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00" w:hanging="429"/>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59" w:lineRule="exact"/>
        <w:rPr>
          <w:sz w:val="24"/>
          <w:szCs w:val="24"/>
          <w:color w:val="auto"/>
        </w:rPr>
      </w:pPr>
    </w:p>
    <w:p>
      <w:pPr>
        <w:ind w:left="700"/>
        <w:spacing w:after="0"/>
        <w:tabs>
          <w:tab w:leader="none" w:pos="596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b w:val="1"/>
          <w:bCs w:val="1"/>
          <w:color w:val="auto"/>
        </w:rPr>
        <w:t>June 30, 2020</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59" w:lineRule="exact"/>
        <w:rPr>
          <w:sz w:val="24"/>
          <w:szCs w:val="24"/>
          <w:color w:val="auto"/>
        </w:rPr>
      </w:pPr>
    </w:p>
    <w:p>
      <w:pPr>
        <w:ind w:left="660" w:right="1900" w:hanging="416"/>
        <w:spacing w:after="0" w:line="340"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001-36174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360" w:type="dxa"/>
            <w:vAlign w:val="bottom"/>
            <w:gridSpan w:val="2"/>
          </w:tcPr>
          <w:p>
            <w:pPr>
              <w:jc w:val="center"/>
              <w:ind w:left="316"/>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spacing w:after="0"/>
              <w:rPr>
                <w:sz w:val="20"/>
                <w:szCs w:val="20"/>
                <w:color w:val="auto"/>
              </w:rPr>
            </w:pPr>
          </w:p>
        </w:tc>
        <w:tc>
          <w:tcPr>
            <w:tcW w:w="4540" w:type="dxa"/>
            <w:vAlign w:val="bottom"/>
            <w:gridSpan w:val="2"/>
          </w:tcPr>
          <w:p>
            <w:pPr>
              <w:jc w:val="right"/>
              <w:ind w:right="2636"/>
              <w:spacing w:after="0"/>
              <w:rPr>
                <w:sz w:val="20"/>
                <w:szCs w:val="20"/>
                <w:color w:val="auto"/>
              </w:rPr>
            </w:pPr>
            <w:r>
              <w:rPr>
                <w:rFonts w:ascii="Arial" w:cs="Arial" w:eastAsia="Arial" w:hAnsi="Arial"/>
                <w:sz w:val="18"/>
                <w:szCs w:val="18"/>
                <w:b w:val="1"/>
                <w:bCs w:val="1"/>
                <w:color w:val="auto"/>
              </w:rPr>
              <w:t>45-4914248</w:t>
            </w:r>
          </w:p>
        </w:tc>
      </w:tr>
      <w:tr>
        <w:trPr>
          <w:trHeight w:val="217"/>
        </w:trPr>
        <w:tc>
          <w:tcPr>
            <w:tcW w:w="4360" w:type="dxa"/>
            <w:vAlign w:val="bottom"/>
            <w:gridSpan w:val="2"/>
          </w:tcPr>
          <w:p>
            <w:pPr>
              <w:jc w:val="center"/>
              <w:ind w:left="316"/>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60" w:type="dxa"/>
            <w:vAlign w:val="bottom"/>
          </w:tcPr>
          <w:p>
            <w:pPr>
              <w:spacing w:after="0"/>
              <w:rPr>
                <w:sz w:val="18"/>
                <w:szCs w:val="18"/>
                <w:color w:val="auto"/>
              </w:rPr>
            </w:pPr>
          </w:p>
        </w:tc>
        <w:tc>
          <w:tcPr>
            <w:tcW w:w="4540" w:type="dxa"/>
            <w:vAlign w:val="bottom"/>
            <w:gridSpan w:val="2"/>
          </w:tcPr>
          <w:p>
            <w:pPr>
              <w:jc w:val="center"/>
              <w:ind w:right="1696"/>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63"/>
        </w:trPr>
        <w:tc>
          <w:tcPr>
            <w:tcW w:w="2480" w:type="dxa"/>
            <w:vAlign w:val="bottom"/>
          </w:tcPr>
          <w:p>
            <w:pPr>
              <w:ind w:left="860"/>
              <w:spacing w:after="0"/>
              <w:rPr>
                <w:sz w:val="20"/>
                <w:szCs w:val="20"/>
                <w:color w:val="auto"/>
              </w:rPr>
            </w:pPr>
            <w:r>
              <w:rPr>
                <w:rFonts w:ascii="Arial" w:cs="Arial" w:eastAsia="Arial" w:hAnsi="Arial"/>
                <w:sz w:val="18"/>
                <w:szCs w:val="18"/>
                <w:b w:val="1"/>
                <w:bCs w:val="1"/>
                <w:color w:val="auto"/>
              </w:rPr>
              <w:t>2100 Powell Street</w:t>
            </w:r>
          </w:p>
        </w:tc>
        <w:tc>
          <w:tcPr>
            <w:tcW w:w="1880" w:type="dxa"/>
            <w:vAlign w:val="bottom"/>
          </w:tcPr>
          <w:p>
            <w:pPr>
              <w:ind w:left="200"/>
              <w:spacing w:after="0"/>
              <w:rPr>
                <w:sz w:val="20"/>
                <w:szCs w:val="20"/>
                <w:color w:val="auto"/>
              </w:rPr>
            </w:pPr>
            <w:r>
              <w:rPr>
                <w:rFonts w:ascii="Arial" w:cs="Arial" w:eastAsia="Arial" w:hAnsi="Arial"/>
                <w:sz w:val="18"/>
                <w:szCs w:val="18"/>
                <w:b w:val="1"/>
                <w:bCs w:val="1"/>
                <w:color w:val="auto"/>
              </w:rPr>
              <w:t>Emeryville , CA</w:t>
            </w:r>
          </w:p>
        </w:tc>
        <w:tc>
          <w:tcPr>
            <w:tcW w:w="2360" w:type="dxa"/>
            <w:vAlign w:val="bottom"/>
          </w:tcPr>
          <w:p>
            <w:pPr>
              <w:spacing w:after="0"/>
              <w:rPr>
                <w:sz w:val="24"/>
                <w:szCs w:val="24"/>
                <w:color w:val="auto"/>
              </w:rPr>
            </w:pPr>
          </w:p>
        </w:tc>
        <w:tc>
          <w:tcPr>
            <w:tcW w:w="4540" w:type="dxa"/>
            <w:vAlign w:val="bottom"/>
            <w:gridSpan w:val="2"/>
          </w:tcPr>
          <w:p>
            <w:pPr>
              <w:jc w:val="right"/>
              <w:ind w:right="2856"/>
              <w:spacing w:after="0"/>
              <w:rPr>
                <w:sz w:val="20"/>
                <w:szCs w:val="20"/>
                <w:color w:val="auto"/>
              </w:rPr>
            </w:pPr>
            <w:r>
              <w:rPr>
                <w:rFonts w:ascii="Arial" w:cs="Arial" w:eastAsia="Arial" w:hAnsi="Arial"/>
                <w:sz w:val="18"/>
                <w:szCs w:val="18"/>
                <w:b w:val="1"/>
                <w:bCs w:val="1"/>
                <w:color w:val="auto"/>
              </w:rPr>
              <w:t>94608</w:t>
            </w:r>
          </w:p>
        </w:tc>
      </w:tr>
      <w:tr>
        <w:trPr>
          <w:trHeight w:val="217"/>
        </w:trPr>
        <w:tc>
          <w:tcPr>
            <w:tcW w:w="436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00" w:type="dxa"/>
            <w:vAlign w:val="bottom"/>
          </w:tcPr>
          <w:p>
            <w:pPr>
              <w:jc w:val="center"/>
              <w:ind w:right="2136"/>
              <w:spacing w:after="0"/>
              <w:rPr>
                <w:sz w:val="20"/>
                <w:szCs w:val="20"/>
                <w:color w:val="auto"/>
              </w:rPr>
            </w:pPr>
            <w:r>
              <w:rPr>
                <w:rFonts w:ascii="Arial" w:cs="Arial" w:eastAsia="Arial" w:hAnsi="Arial"/>
                <w:sz w:val="14"/>
                <w:szCs w:val="14"/>
                <w:b w:val="1"/>
                <w:bCs w:val="1"/>
                <w:color w:val="auto"/>
                <w:w w:val="98"/>
              </w:rPr>
              <w:t>(Zip Code)</w:t>
            </w:r>
          </w:p>
        </w:tc>
      </w:tr>
      <w:tr>
        <w:trPr>
          <w:trHeight w:val="556"/>
        </w:trPr>
        <w:tc>
          <w:tcPr>
            <w:tcW w:w="2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36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(855) 530-6642</w:t>
            </w:r>
          </w:p>
        </w:tc>
        <w:tc>
          <w:tcPr>
            <w:tcW w:w="4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86"/>
        </w:trPr>
        <w:tc>
          <w:tcPr>
            <w:tcW w:w="2480" w:type="dxa"/>
            <w:vAlign w:val="bottom"/>
          </w:tcPr>
          <w:p>
            <w:pPr>
              <w:spacing w:after="0"/>
              <w:rPr>
                <w:sz w:val="16"/>
                <w:szCs w:val="16"/>
                <w:color w:val="auto"/>
              </w:rPr>
            </w:pPr>
          </w:p>
        </w:tc>
        <w:tc>
          <w:tcPr>
            <w:tcW w:w="8780" w:type="dxa"/>
            <w:vAlign w:val="bottom"/>
            <w:gridSpan w:val="4"/>
          </w:tcPr>
          <w:p>
            <w:pPr>
              <w:jc w:val="center"/>
              <w:ind w:right="241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23"/>
        </w:trPr>
        <w:tc>
          <w:tcPr>
            <w:tcW w:w="2480" w:type="dxa"/>
            <w:vAlign w:val="bottom"/>
          </w:tcPr>
          <w:p>
            <w:pPr>
              <w:spacing w:after="0"/>
              <w:rPr>
                <w:sz w:val="24"/>
                <w:szCs w:val="24"/>
                <w:color w:val="auto"/>
              </w:rPr>
            </w:pPr>
          </w:p>
        </w:tc>
        <w:tc>
          <w:tcPr>
            <w:tcW w:w="8780" w:type="dxa"/>
            <w:vAlign w:val="bottom"/>
            <w:gridSpan w:val="4"/>
          </w:tcPr>
          <w:p>
            <w:pPr>
              <w:jc w:val="center"/>
              <w:ind w:right="2396"/>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35"/>
        </w:trPr>
        <w:tc>
          <w:tcPr>
            <w:tcW w:w="4360" w:type="dxa"/>
            <w:vAlign w:val="bottom"/>
            <w:tcBorders>
              <w:bottom w:val="single" w:sz="8" w:color="auto"/>
            </w:tcBorders>
            <w:gridSpan w:val="2"/>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r>
      <w:tr>
        <w:trPr>
          <w:trHeight w:val="237"/>
        </w:trPr>
        <w:tc>
          <w:tcPr>
            <w:tcW w:w="43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Title of each class</w:t>
            </w:r>
          </w:p>
        </w:tc>
        <w:tc>
          <w:tcPr>
            <w:tcW w:w="2360" w:type="dxa"/>
            <w:vAlign w:val="bottom"/>
          </w:tcPr>
          <w:p>
            <w:pPr>
              <w:jc w:val="center"/>
              <w:ind w:left="310"/>
              <w:spacing w:after="0"/>
              <w:rPr>
                <w:sz w:val="20"/>
                <w:szCs w:val="20"/>
                <w:color w:val="auto"/>
              </w:rPr>
            </w:pPr>
            <w:r>
              <w:rPr>
                <w:rFonts w:ascii="Arial" w:cs="Arial" w:eastAsia="Arial" w:hAnsi="Arial"/>
                <w:sz w:val="18"/>
                <w:szCs w:val="18"/>
                <w:color w:val="auto"/>
                <w:w w:val="92"/>
              </w:rPr>
              <w:t>Trading Symbol(s)</w:t>
            </w:r>
          </w:p>
        </w:tc>
        <w:tc>
          <w:tcPr>
            <w:tcW w:w="4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3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37"/>
        </w:trPr>
        <w:tc>
          <w:tcPr>
            <w:tcW w:w="43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360" w:type="dxa"/>
            <w:vAlign w:val="bottom"/>
          </w:tcPr>
          <w:p>
            <w:pPr>
              <w:jc w:val="center"/>
              <w:ind w:left="310"/>
              <w:spacing w:after="0"/>
              <w:rPr>
                <w:sz w:val="20"/>
                <w:szCs w:val="20"/>
                <w:color w:val="auto"/>
              </w:rPr>
            </w:pPr>
            <w:r>
              <w:rPr>
                <w:rFonts w:ascii="Arial" w:cs="Arial" w:eastAsia="Arial" w:hAnsi="Arial"/>
                <w:sz w:val="18"/>
                <w:szCs w:val="18"/>
                <w:color w:val="auto"/>
              </w:rPr>
              <w:t>NMIH</w:t>
            </w:r>
          </w:p>
        </w:tc>
        <w:tc>
          <w:tcPr>
            <w:tcW w:w="4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248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jc w:val="both"/>
        <w:ind w:right="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56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60" w:type="dxa"/>
            <w:vAlign w:val="bottom"/>
          </w:tcPr>
          <w:p>
            <w:pPr>
              <w:ind w:left="7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August 3, 2020 was 84,805,164 shares.</w:t>
      </w:r>
    </w:p>
    <w:p>
      <w:pPr>
        <w:sectPr>
          <w:pgSz w:w="11900" w:h="16838" w:orient="portrait"/>
          <w:cols w:equalWidth="0" w:num="1">
            <w:col w:w="11260"/>
          </w:cols>
          <w:pgMar w:left="320" w:top="1035" w:right="31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035"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300" w:type="dxa"/>
            <w:vAlign w:val="bottom"/>
          </w:tcPr>
          <w:p>
            <w:pPr>
              <w:ind w:left="268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20"/>
                <w:szCs w:val="20"/>
                <w:color w:val="auto"/>
              </w:rPr>
            </w:pPr>
          </w:p>
        </w:tc>
      </w:tr>
      <w:tr>
        <w:trPr>
          <w:trHeight w:val="243"/>
        </w:trPr>
        <w:tc>
          <w:tcPr>
            <w:tcW w:w="1980" w:type="dxa"/>
            <w:vAlign w:val="bottom"/>
            <w:gridSpan w:val="2"/>
          </w:tcPr>
          <w:p>
            <w:pPr>
              <w:spacing w:after="0"/>
              <w:rPr>
                <w:sz w:val="21"/>
                <w:szCs w:val="21"/>
                <w:color w:val="auto"/>
              </w:rPr>
            </w:pPr>
          </w:p>
        </w:tc>
        <w:tc>
          <w:tcPr>
            <w:tcW w:w="73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29"/>
        </w:trPr>
        <w:tc>
          <w:tcPr>
            <w:tcW w:w="9280" w:type="dxa"/>
            <w:vAlign w:val="bottom"/>
            <w:gridSpan w:val="3"/>
            <w:shd w:val="clear" w:color="auto" w:fill="CCEEFF"/>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Cautionary Note Regarding Forward Looking Statements</w:t>
              </w:r>
            </w:hyperlink>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29"/>
        </w:trPr>
        <w:tc>
          <w:tcPr>
            <w:tcW w:w="1080" w:type="dxa"/>
            <w:vAlign w:val="bottom"/>
          </w:tcPr>
          <w:p>
            <w:pPr>
              <w:ind w:left="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w:t>
              </w:r>
            </w:hyperlink>
          </w:p>
        </w:tc>
        <w:tc>
          <w:tcPr>
            <w:tcW w:w="9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9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70"/>
        </w:trPr>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1.</w:t>
            </w:r>
          </w:p>
        </w:tc>
        <w:tc>
          <w:tcPr>
            <w:tcW w:w="8200" w:type="dxa"/>
            <w:vAlign w:val="bottom"/>
            <w:gridSpan w:val="2"/>
            <w:shd w:val="clear" w:color="auto" w:fill="CCEEFF"/>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70"/>
        </w:trPr>
        <w:tc>
          <w:tcPr>
            <w:tcW w:w="1080" w:type="dxa"/>
            <w:vAlign w:val="bottom"/>
          </w:tcPr>
          <w:p>
            <w:pPr>
              <w:ind w:left="120"/>
              <w:spacing w:after="0"/>
              <w:rPr>
                <w:sz w:val="20"/>
                <w:szCs w:val="20"/>
                <w:color w:val="auto"/>
              </w:rPr>
            </w:pPr>
            <w:r>
              <w:rPr>
                <w:rFonts w:ascii="Arial" w:cs="Arial" w:eastAsia="Arial" w:hAnsi="Arial"/>
                <w:sz w:val="18"/>
                <w:szCs w:val="18"/>
                <w:color w:val="auto"/>
              </w:rPr>
              <w:t>Item 2.</w:t>
            </w:r>
          </w:p>
        </w:tc>
        <w:tc>
          <w:tcPr>
            <w:tcW w:w="8200" w:type="dxa"/>
            <w:vAlign w:val="bottom"/>
            <w:gridSpan w:val="2"/>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Management's Discussion and Analysis of Financial Condition and Results of Operations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r>
      <w:tr>
        <w:trPr>
          <w:trHeight w:val="270"/>
        </w:trPr>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3.</w:t>
            </w:r>
          </w:p>
        </w:tc>
        <w:tc>
          <w:tcPr>
            <w:tcW w:w="8200" w:type="dxa"/>
            <w:vAlign w:val="bottom"/>
            <w:gridSpan w:val="2"/>
            <w:shd w:val="clear" w:color="auto" w:fill="CCEEFF"/>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Quantitative and Qualitative Disclosures About Market Risk</w:t>
              </w:r>
            </w:hyperlink>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57</w:t>
              </w:r>
            </w:hyperlink>
          </w:p>
        </w:tc>
      </w:tr>
      <w:tr>
        <w:trPr>
          <w:trHeight w:val="270"/>
        </w:trPr>
        <w:tc>
          <w:tcPr>
            <w:tcW w:w="1080" w:type="dxa"/>
            <w:vAlign w:val="bottom"/>
          </w:tcPr>
          <w:p>
            <w:pPr>
              <w:ind w:left="120"/>
              <w:spacing w:after="0"/>
              <w:rPr>
                <w:sz w:val="20"/>
                <w:szCs w:val="20"/>
                <w:color w:val="auto"/>
              </w:rPr>
            </w:pPr>
            <w:r>
              <w:rPr>
                <w:rFonts w:ascii="Arial" w:cs="Arial" w:eastAsia="Arial" w:hAnsi="Arial"/>
                <w:sz w:val="18"/>
                <w:szCs w:val="18"/>
                <w:color w:val="auto"/>
              </w:rPr>
              <w:t>Item 4.</w:t>
            </w:r>
          </w:p>
        </w:tc>
        <w:tc>
          <w:tcPr>
            <w:tcW w:w="8200" w:type="dxa"/>
            <w:vAlign w:val="bottom"/>
            <w:gridSpan w:val="2"/>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Controls and Procedures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58</w:t>
              </w:r>
            </w:hyperlink>
          </w:p>
        </w:tc>
      </w:tr>
      <w:tr>
        <w:trPr>
          <w:trHeight w:val="230"/>
        </w:trPr>
        <w:tc>
          <w:tcPr>
            <w:tcW w:w="108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58">
              <w:r>
                <w:rPr>
                  <w:rFonts w:ascii="Arial" w:cs="Arial" w:eastAsia="Arial" w:hAnsi="Arial"/>
                  <w:sz w:val="18"/>
                  <w:szCs w:val="18"/>
                  <w:b w:val="1"/>
                  <w:bCs w:val="1"/>
                  <w:u w:val="single" w:color="auto"/>
                  <w:color w:val="0000FF"/>
                </w:rPr>
                <w:t>PART II</w:t>
              </w:r>
            </w:hyperlink>
          </w:p>
        </w:tc>
        <w:tc>
          <w:tcPr>
            <w:tcW w:w="900" w:type="dxa"/>
            <w:vAlign w:val="bottom"/>
            <w:shd w:val="clear" w:color="auto" w:fill="CCEEFF"/>
          </w:tcPr>
          <w:p>
            <w:pPr>
              <w:spacing w:after="0"/>
              <w:rPr>
                <w:sz w:val="19"/>
                <w:szCs w:val="19"/>
                <w:color w:val="auto"/>
              </w:rPr>
            </w:pPr>
          </w:p>
        </w:tc>
        <w:tc>
          <w:tcPr>
            <w:tcW w:w="7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59</w:t>
              </w:r>
            </w:hyperlink>
          </w:p>
        </w:tc>
      </w:tr>
      <w:tr>
        <w:trPr>
          <w:trHeight w:val="270"/>
        </w:trPr>
        <w:tc>
          <w:tcPr>
            <w:tcW w:w="1080" w:type="dxa"/>
            <w:vAlign w:val="bottom"/>
          </w:tcPr>
          <w:p>
            <w:pPr>
              <w:ind w:left="120"/>
              <w:spacing w:after="0"/>
              <w:rPr>
                <w:sz w:val="20"/>
                <w:szCs w:val="20"/>
                <w:color w:val="auto"/>
              </w:rPr>
            </w:pPr>
            <w:r>
              <w:rPr>
                <w:rFonts w:ascii="Arial" w:cs="Arial" w:eastAsia="Arial" w:hAnsi="Arial"/>
                <w:sz w:val="18"/>
                <w:szCs w:val="18"/>
                <w:color w:val="auto"/>
              </w:rPr>
              <w:t>Item 1.</w:t>
            </w:r>
          </w:p>
        </w:tc>
        <w:tc>
          <w:tcPr>
            <w:tcW w:w="8200" w:type="dxa"/>
            <w:vAlign w:val="bottom"/>
            <w:gridSpan w:val="2"/>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Legal Proceedings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r>
      <w:tr>
        <w:trPr>
          <w:trHeight w:val="270"/>
        </w:trPr>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1A.</w:t>
            </w:r>
          </w:p>
        </w:tc>
        <w:tc>
          <w:tcPr>
            <w:tcW w:w="900" w:type="dxa"/>
            <w:vAlign w:val="bottom"/>
            <w:shd w:val="clear" w:color="auto" w:fill="CCEEFF"/>
          </w:tcPr>
          <w:p>
            <w:pPr>
              <w:spacing w:after="0"/>
              <w:rPr>
                <w:rFonts w:ascii="Arial" w:cs="Arial" w:eastAsia="Arial" w:hAnsi="Arial"/>
                <w:sz w:val="18"/>
                <w:szCs w:val="18"/>
                <w:u w:val="single" w:color="auto"/>
                <w:color w:val="0000FF"/>
                <w:w w:val="87"/>
                <w:shd w:val="clear" w:color="auto" w:fill="CCEEFF"/>
              </w:rPr>
            </w:pPr>
            <w:hyperlink w:anchor="page59">
              <w:r>
                <w:rPr>
                  <w:rFonts w:ascii="Arial" w:cs="Arial" w:eastAsia="Arial" w:hAnsi="Arial"/>
                  <w:sz w:val="18"/>
                  <w:szCs w:val="18"/>
                  <w:u w:val="single" w:color="auto"/>
                  <w:color w:val="0000FF"/>
                  <w:w w:val="87"/>
                  <w:shd w:val="clear" w:color="auto" w:fill="CCEEFF"/>
                </w:rPr>
                <w:t>Risk Factors</w:t>
              </w:r>
            </w:hyperlink>
          </w:p>
        </w:tc>
        <w:tc>
          <w:tcPr>
            <w:tcW w:w="730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r>
      <w:tr>
        <w:trPr>
          <w:trHeight w:val="270"/>
        </w:trPr>
        <w:tc>
          <w:tcPr>
            <w:tcW w:w="1080" w:type="dxa"/>
            <w:vAlign w:val="bottom"/>
          </w:tcPr>
          <w:p>
            <w:pPr>
              <w:ind w:left="120"/>
              <w:spacing w:after="0"/>
              <w:rPr>
                <w:sz w:val="20"/>
                <w:szCs w:val="20"/>
                <w:color w:val="auto"/>
              </w:rPr>
            </w:pPr>
            <w:r>
              <w:rPr>
                <w:rFonts w:ascii="Arial" w:cs="Arial" w:eastAsia="Arial" w:hAnsi="Arial"/>
                <w:sz w:val="18"/>
                <w:szCs w:val="18"/>
                <w:color w:val="auto"/>
              </w:rPr>
              <w:t>Item 6.</w:t>
            </w:r>
          </w:p>
        </w:tc>
        <w:tc>
          <w:tcPr>
            <w:tcW w:w="8200" w:type="dxa"/>
            <w:vAlign w:val="bottom"/>
            <w:gridSpan w:val="2"/>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Exhibits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63</w:t>
              </w:r>
            </w:hyperlink>
          </w:p>
        </w:tc>
      </w:tr>
      <w:tr>
        <w:trPr>
          <w:trHeight w:val="229"/>
        </w:trPr>
        <w:tc>
          <w:tcPr>
            <w:tcW w:w="108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65">
              <w:r>
                <w:rPr>
                  <w:rFonts w:ascii="Arial" w:cs="Arial" w:eastAsia="Arial" w:hAnsi="Arial"/>
                  <w:sz w:val="18"/>
                  <w:szCs w:val="18"/>
                  <w:b w:val="1"/>
                  <w:bCs w:val="1"/>
                  <w:u w:val="single" w:color="auto"/>
                  <w:color w:val="0000FF"/>
                </w:rPr>
                <w:t>Signatures</w:t>
              </w:r>
            </w:hyperlink>
          </w:p>
        </w:tc>
        <w:tc>
          <w:tcPr>
            <w:tcW w:w="900" w:type="dxa"/>
            <w:vAlign w:val="bottom"/>
            <w:shd w:val="clear" w:color="auto" w:fill="CCEEFF"/>
          </w:tcPr>
          <w:p>
            <w:pPr>
              <w:spacing w:after="0"/>
              <w:rPr>
                <w:sz w:val="19"/>
                <w:szCs w:val="19"/>
                <w:color w:val="auto"/>
              </w:rPr>
            </w:pPr>
          </w:p>
        </w:tc>
        <w:tc>
          <w:tcPr>
            <w:tcW w:w="7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75"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"perceive,"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0" w:lineRule="exact"/>
        <w:rPr>
          <w:sz w:val="20"/>
          <w:szCs w:val="20"/>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relating to the coronavirus (COVID-19) pandemic and the measures taken by governmental authorities and other third parties to combat it, including their impact on the global economy, the U.S. housing, real estate, housing finance and mortgage insurance markets, and our business, operations and personnel;</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 generally, or with first time homebuyers or on very high loan-to-value mortgages;</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71"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actions of existing competitors, including other private mortgage insurers and government mortgage insurers like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11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71" w:lineRule="exact"/>
        <w:rPr>
          <w:rFonts w:ascii="Arial" w:cs="Arial" w:eastAsia="Arial" w:hAnsi="Arial"/>
          <w:sz w:val="18"/>
          <w:szCs w:val="18"/>
          <w:color w:val="auto"/>
        </w:rPr>
      </w:pPr>
    </w:p>
    <w:p>
      <w:pPr>
        <w:jc w:val="both"/>
        <w:ind w:left="980" w:hanging="324"/>
        <w:spacing w:after="0" w:line="31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adoption of new or changes to existing laws and regulations that impact our business or financial condition directly or the mortgage insurance industry generally or their enforcement and implementation by regulators, including any action by the Consumer Financial Protection Bureau to address the planned expiration of the "QM Patch" under the Dodd-Frank Act Ability to Repay/Qualified Mortgage rule;</w:t>
      </w:r>
    </w:p>
    <w:p>
      <w:pPr>
        <w:spacing w:after="0" w:line="94"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 particular;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 w:name="page4"/>
    <w:bookmarkEnd w:id="3"/>
    <w:p>
      <w:pPr>
        <w:jc w:val="both"/>
        <w:ind w:left="980" w:hanging="324"/>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94"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7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this Report and in Part I, Item 1A, of our Annual Report on Form 10-K for the year ended December 31, 2019 (2019 10-K), as subsequently updated in other reports we file from time to time with the U.S. Securities and Exchange Commission (SEC).</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the "Company"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Condensed Consolidated Balance Sheets as of June 30, 2020 (Unaudited) and December 31, 2019</w:t>
            </w:r>
          </w:p>
        </w:tc>
        <w:tc>
          <w:tcPr>
            <w:tcW w:w="700" w:type="dxa"/>
            <w:vAlign w:val="bottom"/>
            <w:shd w:val="clear" w:color="auto" w:fill="CCEEFF"/>
          </w:tcPr>
          <w:p>
            <w:pPr>
              <w:jc w:val="right"/>
              <w:spacing w:after="0"/>
              <w:rPr>
                <w:rFonts w:ascii="Arial" w:cs="Arial" w:eastAsia="Arial" w:hAnsi="Arial"/>
                <w:sz w:val="18"/>
                <w:szCs w:val="18"/>
                <w:u w:val="single" w:color="auto"/>
                <w:color w:val="0000FF"/>
                <w:shd w:val="clear" w:color="auto" w:fill="CCEEFF"/>
              </w:rPr>
            </w:pPr>
            <w:hyperlink w:anchor="page5">
              <w:r>
                <w:rPr>
                  <w:rFonts w:ascii="Arial" w:cs="Arial" w:eastAsia="Arial" w:hAnsi="Arial"/>
                  <w:sz w:val="18"/>
                  <w:szCs w:val="18"/>
                  <w:u w:val="single" w:color="auto"/>
                  <w:color w:val="0000FF"/>
                  <w:shd w:val="clear" w:color="auto" w:fill="CCEEFF"/>
                </w:rPr>
                <w:t>6</w:t>
              </w:r>
            </w:hyperlink>
          </w:p>
        </w:tc>
      </w:tr>
      <w:tr>
        <w:trPr>
          <w:trHeight w:val="229"/>
        </w:trPr>
        <w:tc>
          <w:tcPr>
            <w:tcW w:w="10540" w:type="dxa"/>
            <w:vAlign w:val="bottom"/>
          </w:tcPr>
          <w:p>
            <w:pPr>
              <w:ind w:left="20"/>
              <w:spacing w:after="0"/>
              <w:rPr>
                <w:sz w:val="20"/>
                <w:szCs w:val="20"/>
                <w:color w:val="auto"/>
              </w:rPr>
            </w:pPr>
            <w:r>
              <w:rPr>
                <w:rFonts w:ascii="Arial" w:cs="Arial" w:eastAsia="Arial" w:hAnsi="Arial"/>
                <w:sz w:val="18"/>
                <w:szCs w:val="18"/>
                <w:color w:val="auto"/>
                <w:w w:val="93"/>
              </w:rPr>
              <w:t>Condensed Consolidated Statements of Operations and Comprehensive Income for the three and six months ended June 30, 2020 and 2019</w:t>
            </w:r>
          </w:p>
        </w:tc>
        <w:tc>
          <w:tcPr>
            <w:tcW w:w="700" w:type="dxa"/>
            <w:vAlign w:val="bottom"/>
          </w:tcPr>
          <w:p>
            <w:pPr>
              <w:spacing w:after="0"/>
              <w:rPr>
                <w:sz w:val="19"/>
                <w:szCs w:val="19"/>
                <w:color w:val="auto"/>
              </w:rPr>
            </w:pPr>
          </w:p>
        </w:tc>
      </w:tr>
      <w:tr>
        <w:trPr>
          <w:trHeight w:val="257"/>
        </w:trPr>
        <w:tc>
          <w:tcPr>
            <w:tcW w:w="10540" w:type="dxa"/>
            <w:vAlign w:val="bottom"/>
          </w:tcPr>
          <w:p>
            <w:pPr>
              <w:ind w:left="20"/>
              <w:spacing w:after="0"/>
              <w:rPr>
                <w:sz w:val="20"/>
                <w:szCs w:val="20"/>
                <w:color w:val="auto"/>
              </w:rPr>
            </w:pPr>
            <w:r>
              <w:rPr>
                <w:rFonts w:ascii="Arial" w:cs="Arial" w:eastAsia="Arial" w:hAnsi="Arial"/>
                <w:sz w:val="18"/>
                <w:szCs w:val="18"/>
                <w:color w:val="auto"/>
              </w:rPr>
              <w:t>(Unaudited)</w:t>
            </w:r>
          </w:p>
        </w:tc>
        <w:tc>
          <w:tcPr>
            <w:tcW w:w="7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70"/>
        </w:trPr>
        <w:tc>
          <w:tcPr>
            <w:tcW w:w="10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Condensed Consolidated Statements of Changes in Shareholders' Equity for the six months ended June 30, 2020 and 2019 (Unaudited)</w:t>
            </w:r>
          </w:p>
        </w:tc>
        <w:tc>
          <w:tcPr>
            <w:tcW w:w="700" w:type="dxa"/>
            <w:vAlign w:val="bottom"/>
            <w:shd w:val="clear" w:color="auto" w:fill="CCEEFF"/>
          </w:tcPr>
          <w:p>
            <w:pPr>
              <w:jc w:val="right"/>
              <w:spacing w:after="0"/>
              <w:rPr>
                <w:rFonts w:ascii="Arial" w:cs="Arial" w:eastAsia="Arial" w:hAnsi="Arial"/>
                <w:sz w:val="18"/>
                <w:szCs w:val="18"/>
                <w:u w:val="single" w:color="auto"/>
                <w:color w:val="0000FF"/>
                <w:shd w:val="clear" w:color="auto" w:fill="CCEEFF"/>
              </w:rPr>
            </w:pPr>
            <w:hyperlink w:anchor="page7">
              <w:r>
                <w:rPr>
                  <w:rFonts w:ascii="Arial" w:cs="Arial" w:eastAsia="Arial" w:hAnsi="Arial"/>
                  <w:sz w:val="18"/>
                  <w:szCs w:val="18"/>
                  <w:u w:val="single" w:color="auto"/>
                  <w:color w:val="0000FF"/>
                  <w:shd w:val="clear" w:color="auto" w:fill="CCEEFF"/>
                </w:rPr>
                <w:t>8</w:t>
              </w:r>
            </w:hyperlink>
          </w:p>
        </w:tc>
      </w:tr>
      <w:tr>
        <w:trPr>
          <w:trHeight w:val="270"/>
        </w:trPr>
        <w:tc>
          <w:tcPr>
            <w:tcW w:w="10540" w:type="dxa"/>
            <w:vAlign w:val="bottom"/>
          </w:tcPr>
          <w:p>
            <w:pPr>
              <w:ind w:left="20"/>
              <w:spacing w:after="0"/>
              <w:rPr>
                <w:sz w:val="20"/>
                <w:szCs w:val="20"/>
                <w:color w:val="auto"/>
              </w:rPr>
            </w:pPr>
            <w:r>
              <w:rPr>
                <w:rFonts w:ascii="Arial" w:cs="Arial" w:eastAsia="Arial" w:hAnsi="Arial"/>
                <w:sz w:val="18"/>
                <w:szCs w:val="18"/>
                <w:color w:val="auto"/>
              </w:rPr>
              <w:t>Condensed Consolidated Statements of Cash Flows for the six months ended June 30, 2020 and 2019 (Unaudited)</w:t>
            </w:r>
          </w:p>
        </w:tc>
        <w:tc>
          <w:tcPr>
            <w:tcW w:w="70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10</w:t>
              </w:r>
            </w:hyperlink>
          </w:p>
        </w:tc>
      </w:tr>
      <w:tr>
        <w:trPr>
          <w:trHeight w:val="270"/>
        </w:trPr>
        <w:tc>
          <w:tcPr>
            <w:tcW w:w="10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to Condensed Consolidated Financial Statements (Unaudited)</w:t>
            </w:r>
          </w:p>
        </w:tc>
        <w:tc>
          <w:tcPr>
            <w:tcW w:w="700" w:type="dxa"/>
            <w:vAlign w:val="bottom"/>
            <w:shd w:val="clear" w:color="auto" w:fill="CCEEFF"/>
          </w:tcPr>
          <w:p>
            <w:pPr>
              <w:jc w:val="right"/>
              <w:spacing w:after="0"/>
              <w:rPr>
                <w:rFonts w:ascii="Arial" w:cs="Arial" w:eastAsia="Arial" w:hAnsi="Arial"/>
                <w:sz w:val="18"/>
                <w:szCs w:val="18"/>
                <w:u w:val="single" w:color="auto"/>
                <w:color w:val="0000FF"/>
                <w:shd w:val="clear" w:color="auto" w:fill="CCEEFF"/>
              </w:rPr>
            </w:pPr>
            <w:hyperlink w:anchor="page10">
              <w:r>
                <w:rPr>
                  <w:rFonts w:ascii="Arial" w:cs="Arial" w:eastAsia="Arial" w:hAnsi="Arial"/>
                  <w:sz w:val="18"/>
                  <w:szCs w:val="18"/>
                  <w:u w:val="single" w:color="auto"/>
                  <w:color w:val="0000FF"/>
                  <w:shd w:val="clear" w:color="auto" w:fill="CCEEFF"/>
                </w:rPr>
                <w:t>11</w:t>
              </w:r>
            </w:hyperlink>
          </w:p>
        </w:tc>
      </w:tr>
      <w:tr>
        <w:trPr>
          <w:trHeight w:val="1242"/>
        </w:trPr>
        <w:tc>
          <w:tcPr>
            <w:tcW w:w="10540" w:type="dxa"/>
            <w:vAlign w:val="bottom"/>
          </w:tcPr>
          <w:p>
            <w:pPr>
              <w:ind w:left="5580"/>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24"/>
                <w:szCs w:val="24"/>
                <w:color w:val="auto"/>
              </w:rPr>
            </w:pPr>
          </w:p>
        </w:tc>
      </w:tr>
      <w:tr>
        <w:trPr>
          <w:trHeight w:val="115"/>
        </w:trPr>
        <w:tc>
          <w:tcPr>
            <w:tcW w:w="105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December 31, 2019</w:t>
            </w:r>
          </w:p>
        </w:tc>
      </w:tr>
      <w:tr>
        <w:trPr>
          <w:trHeight w:val="251"/>
        </w:trPr>
        <w:tc>
          <w:tcPr>
            <w:tcW w:w="7680" w:type="dxa"/>
            <w:vAlign w:val="bottom"/>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3280" w:type="dxa"/>
            <w:vAlign w:val="bottom"/>
            <w:gridSpan w:val="4"/>
          </w:tcPr>
          <w:p>
            <w:pPr>
              <w:jc w:val="right"/>
              <w:ind w:right="61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Fixed maturities, available-for-sale, at fair value (amortized cost of $1,286,803 and $1,113,779 as of</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7"/>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June 30, 2020 and December 31, 2019, respectively)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1,339,771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1,140,940</w:t>
            </w: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w w:val="93"/>
              </w:rPr>
              <w:t>Cash and cash equivalents (including restricted cash of $2,068 and $2,662 as of June 30, 2020 and</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December 31, 2019, respectively)</w:t>
            </w:r>
          </w:p>
        </w:tc>
        <w:tc>
          <w:tcPr>
            <w:tcW w:w="280" w:type="dxa"/>
            <w:vAlign w:val="bottom"/>
          </w:tcPr>
          <w:p>
            <w:pPr>
              <w:spacing w:after="0"/>
              <w:rPr>
                <w:sz w:val="20"/>
                <w:szCs w:val="20"/>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515,450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41,089</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46,085</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Accrued investment income</w:t>
            </w:r>
          </w:p>
        </w:tc>
        <w:tc>
          <w:tcPr>
            <w:tcW w:w="28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7,909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6,831</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3,512</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28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63,619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59,972</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26,096</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Intangible assets and goodwill</w:t>
            </w:r>
          </w:p>
        </w:tc>
        <w:tc>
          <w:tcPr>
            <w:tcW w:w="28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3,634</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reinsurance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15,488</w:t>
            </w:r>
          </w:p>
        </w:tc>
      </w:tr>
      <w:tr>
        <w:trPr>
          <w:trHeight w:val="270"/>
        </w:trPr>
        <w:tc>
          <w:tcPr>
            <w:tcW w:w="7680" w:type="dxa"/>
            <w:vAlign w:val="bottom"/>
          </w:tcPr>
          <w:p>
            <w:pPr>
              <w:ind w:left="220"/>
              <w:spacing w:after="0"/>
              <w:rPr>
                <w:sz w:val="20"/>
                <w:szCs w:val="20"/>
                <w:color w:val="auto"/>
              </w:rPr>
            </w:pPr>
            <w:r>
              <w:rPr>
                <w:rFonts w:ascii="Arial" w:cs="Arial" w:eastAsia="Arial" w:hAnsi="Arial"/>
                <w:sz w:val="18"/>
                <w:szCs w:val="18"/>
                <w:color w:val="auto"/>
              </w:rPr>
              <w:t xml:space="preserve">Reinsurance recoverable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14,307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4,939</w:t>
            </w:r>
          </w:p>
        </w:tc>
      </w:tr>
      <w:tr>
        <w:trPr>
          <w:trHeight w:val="27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16,049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16,232</w:t>
            </w:r>
          </w:p>
        </w:tc>
      </w:tr>
      <w:tr>
        <w:trPr>
          <w:trHeight w:val="263"/>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2,046,931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1,364,818</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392,773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145,764</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28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115,236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136,642</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39,904</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28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69,903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23,752</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Reinsurance funds withheld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14,310</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Warrant liability, at fair value</w:t>
            </w:r>
          </w:p>
        </w:tc>
        <w:tc>
          <w:tcPr>
            <w:tcW w:w="28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7,641</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tax liability,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83,785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56,360</w:t>
            </w:r>
          </w:p>
        </w:tc>
      </w:tr>
      <w:tr>
        <w:trPr>
          <w:trHeight w:val="243"/>
        </w:trPr>
        <w:tc>
          <w:tcPr>
            <w:tcW w:w="7680" w:type="dxa"/>
            <w:vAlign w:val="bottom"/>
          </w:tcPr>
          <w:p>
            <w:pPr>
              <w:ind w:left="220"/>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8,517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10,025</w:t>
            </w:r>
          </w:p>
        </w:tc>
      </w:tr>
      <w:tr>
        <w:trPr>
          <w:trHeight w:val="27"/>
        </w:trPr>
        <w:tc>
          <w:tcPr>
            <w:tcW w:w="7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789,894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434,398</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Common stock - class A shares, $0.01 par value; 84,804,766 and 68,358,074 shares issued and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0"/>
              </w:rPr>
              <w:t>outstanding as of June 30, 2020 and December 31, 2019, respectively (250,000,000 shares authorized)</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684</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927,950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707,003</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17,288</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290,564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205,445</w:t>
            </w:r>
          </w:p>
        </w:tc>
      </w:tr>
      <w:tr>
        <w:trPr>
          <w:trHeight w:val="27"/>
        </w:trPr>
        <w:tc>
          <w:tcPr>
            <w:tcW w:w="7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1,257,037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930,420</w:t>
            </w:r>
          </w:p>
        </w:tc>
      </w:tr>
      <w:tr>
        <w:trPr>
          <w:trHeight w:val="264"/>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2,046,931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1,364,818</w:t>
            </w: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Reinsurance recoverable has been reclassified from "Other assets" in the prior period.</w:t>
      </w:r>
    </w:p>
    <w:p>
      <w:pPr>
        <w:spacing w:after="0" w:line="248" w:lineRule="exact"/>
        <w:rPr>
          <w:sz w:val="20"/>
          <w:szCs w:val="20"/>
          <w:color w:val="auto"/>
        </w:rPr>
      </w:pPr>
    </w:p>
    <w:p>
      <w:pPr>
        <w:ind w:left="5100"/>
        <w:spacing w:after="0"/>
        <w:rPr>
          <w:sz w:val="20"/>
          <w:szCs w:val="20"/>
          <w:color w:val="auto"/>
        </w:rPr>
      </w:pPr>
      <w:r>
        <w:rPr>
          <w:rFonts w:ascii="Arial" w:cs="Arial" w:eastAsia="Arial" w:hAnsi="Arial"/>
          <w:sz w:val="16"/>
          <w:szCs w:val="16"/>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 June 30,</w:t>
            </w:r>
          </w:p>
        </w:tc>
        <w:tc>
          <w:tcPr>
            <w:tcW w:w="360" w:type="dxa"/>
            <w:vAlign w:val="bottom"/>
          </w:tcPr>
          <w:p>
            <w:pPr>
              <w:spacing w:after="0"/>
              <w:rPr>
                <w:sz w:val="16"/>
                <w:szCs w:val="16"/>
                <w:color w:val="auto"/>
              </w:rPr>
            </w:pPr>
          </w:p>
        </w:tc>
        <w:tc>
          <w:tcPr>
            <w:tcW w:w="296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For the six months ended June 30,</w:t>
            </w:r>
          </w:p>
        </w:tc>
      </w:tr>
      <w:tr>
        <w:trPr>
          <w:trHeight w:val="196"/>
        </w:trPr>
        <w:tc>
          <w:tcPr>
            <w:tcW w:w="4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251"/>
        </w:trPr>
        <w:tc>
          <w:tcPr>
            <w:tcW w:w="45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gridSpan w:val="5"/>
          </w:tcPr>
          <w:p>
            <w:pPr>
              <w:ind w:left="180"/>
              <w:spacing w:after="0"/>
              <w:rPr>
                <w:sz w:val="20"/>
                <w:szCs w:val="20"/>
                <w:color w:val="auto"/>
              </w:rPr>
            </w:pPr>
            <w:r>
              <w:rPr>
                <w:rFonts w:ascii="Arial" w:cs="Arial" w:eastAsia="Arial" w:hAnsi="Arial"/>
                <w:sz w:val="14"/>
                <w:szCs w:val="14"/>
                <w:i w:val="1"/>
                <w:iCs w:val="1"/>
                <w:color w:val="auto"/>
              </w:rPr>
              <w:t>(In Thousands, except for per share data)</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98,944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83,249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197,661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157,118</w:t>
            </w:r>
          </w:p>
        </w:tc>
      </w:tr>
      <w:tr>
        <w:trPr>
          <w:trHeight w:val="243"/>
        </w:trPr>
        <w:tc>
          <w:tcPr>
            <w:tcW w:w="452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7,070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15,174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15,012</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realized investment gains (losses)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4520" w:type="dxa"/>
            <w:vAlign w:val="bottom"/>
          </w:tcPr>
          <w:p>
            <w:pPr>
              <w:ind w:left="22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456</w:t>
            </w:r>
          </w:p>
        </w:tc>
      </w:tr>
      <w:tr>
        <w:trPr>
          <w:trHeight w:val="27"/>
        </w:trPr>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107,948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91,180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215,597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172,286</w:t>
            </w: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Insurance claims and claim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34,334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40,031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5,666</w:t>
            </w:r>
          </w:p>
        </w:tc>
      </w:tr>
      <w:tr>
        <w:trPr>
          <w:trHeight w:val="270"/>
        </w:trPr>
        <w:tc>
          <w:tcPr>
            <w:tcW w:w="4520" w:type="dxa"/>
            <w:vAlign w:val="bottom"/>
          </w:tcPr>
          <w:p>
            <w:pPr>
              <w:ind w:left="220"/>
              <w:spacing w:after="0"/>
              <w:rPr>
                <w:sz w:val="20"/>
                <w:szCs w:val="20"/>
                <w:color w:val="auto"/>
              </w:rPr>
            </w:pPr>
            <w:r>
              <w:rPr>
                <w:rFonts w:ascii="Arial" w:cs="Arial" w:eastAsia="Arial" w:hAnsi="Arial"/>
                <w:sz w:val="18"/>
                <w:szCs w:val="18"/>
                <w:color w:val="auto"/>
              </w:rPr>
              <w:t>Underwriting and operating expenses</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30,370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32,190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62,647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62,990</w:t>
            </w:r>
          </w:p>
        </w:tc>
      </w:tr>
      <w:tr>
        <w:trPr>
          <w:trHeight w:val="270"/>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expenses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402</w:t>
            </w:r>
          </w:p>
        </w:tc>
      </w:tr>
      <w:tr>
        <w:trPr>
          <w:trHeight w:val="243"/>
        </w:trPr>
        <w:tc>
          <w:tcPr>
            <w:tcW w:w="45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5,941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8,685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6,132</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8"/>
              </w:rPr>
              <w:t>Loss (gain) from change in fair value of warrant liability</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7,164</w:t>
            </w: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72,971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40,222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108,464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82,354</w:t>
            </w:r>
          </w:p>
        </w:tc>
      </w:tr>
      <w:tr>
        <w:trPr>
          <w:trHeight w:val="27"/>
        </w:trPr>
        <w:tc>
          <w:tcPr>
            <w:tcW w:w="4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34,977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50,958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107,133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89,932</w:t>
            </w:r>
          </w:p>
        </w:tc>
      </w:tr>
      <w:tr>
        <w:trPr>
          <w:trHeight w:val="243"/>
        </w:trPr>
        <w:tc>
          <w:tcPr>
            <w:tcW w:w="452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11,858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22,014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17,933</w:t>
            </w:r>
          </w:p>
        </w:tc>
      </w:tr>
      <w:tr>
        <w:trPr>
          <w:trHeight w:val="27"/>
        </w:trPr>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26,848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39,100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85,119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71,999</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1.07</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w:t>
            </w:r>
          </w:p>
        </w:tc>
      </w:tr>
      <w:tr>
        <w:trPr>
          <w:trHeight w:val="203"/>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73,617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67,590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71,090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67,143</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72,407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69,348</w:t>
            </w:r>
          </w:p>
        </w:tc>
      </w:tr>
      <w:tr>
        <w:trPr>
          <w:trHeight w:val="203"/>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26,848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85,119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71,999</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Unrealized gains in accumulated other comprehensive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income, net of tax expense of $8,978 and $3,662 for the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three months ended June 30, 2020 and 2019, and $5,162</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and $7,615 for the six months ended June 30, 2020 and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2019,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33,773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19,418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28,647</w:t>
            </w:r>
          </w:p>
        </w:tc>
      </w:tr>
      <w:tr>
        <w:trPr>
          <w:trHeight w:val="229"/>
        </w:trPr>
        <w:tc>
          <w:tcPr>
            <w:tcW w:w="4520" w:type="dxa"/>
            <w:vAlign w:val="bottom"/>
          </w:tcPr>
          <w:p>
            <w:pPr>
              <w:ind w:left="220"/>
              <w:spacing w:after="0"/>
              <w:rPr>
                <w:sz w:val="20"/>
                <w:szCs w:val="20"/>
                <w:color w:val="auto"/>
              </w:rPr>
            </w:pPr>
            <w:r>
              <w:rPr>
                <w:rFonts w:ascii="Arial" w:cs="Arial" w:eastAsia="Arial" w:hAnsi="Arial"/>
                <w:sz w:val="18"/>
                <w:szCs w:val="18"/>
                <w:color w:val="auto"/>
                <w:w w:val="99"/>
              </w:rPr>
              <w:t>Reclassification adjustment for realized (gains) losses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8"/>
                <w:szCs w:val="18"/>
                <w:color w:val="auto"/>
              </w:rPr>
              <w:t>included in net income, net of tax expense (benefit) of</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8"/>
                <w:szCs w:val="18"/>
                <w:color w:val="auto"/>
                <w:w w:val="92"/>
              </w:rPr>
              <w:t>$149 and ($24) for the three months ended June 30, 2020</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8"/>
                <w:szCs w:val="18"/>
                <w:color w:val="auto"/>
                <w:w w:val="93"/>
              </w:rPr>
              <w:t>and 2019, and ($258) and ($63) for the six months ended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June 30, 2020 and 2019, respectively</w:t>
            </w:r>
          </w:p>
        </w:tc>
        <w:tc>
          <w:tcPr>
            <w:tcW w:w="3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237</w:t>
            </w:r>
          </w:p>
        </w:tc>
      </w:tr>
      <w:tr>
        <w:trPr>
          <w:trHeight w:val="27"/>
        </w:trPr>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33,211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20,387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28,884</w:t>
            </w:r>
          </w:p>
        </w:tc>
      </w:tr>
      <w:tr>
        <w:trPr>
          <w:trHeight w:val="264"/>
        </w:trPr>
        <w:tc>
          <w:tcPr>
            <w:tcW w:w="4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60,059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52,968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105,506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100,883</w:t>
            </w: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Certain "Underwriting and operating expenses" have been reclassified as "Service expenses" in prior periods.</w:t>
      </w:r>
    </w:p>
    <w:p>
      <w:pPr>
        <w:spacing w:after="0" w:line="59" w:lineRule="exact"/>
        <w:rPr>
          <w:sz w:val="20"/>
          <w:szCs w:val="20"/>
          <w:color w:val="auto"/>
        </w:rPr>
      </w:pPr>
    </w:p>
    <w:p>
      <w:pPr>
        <w:ind w:left="5100"/>
        <w:spacing w:after="0"/>
        <w:rPr>
          <w:sz w:val="20"/>
          <w:szCs w:val="20"/>
          <w:color w:val="auto"/>
        </w:rPr>
      </w:pPr>
      <w:r>
        <w:rPr>
          <w:rFonts w:ascii="Arial" w:cs="Arial" w:eastAsia="Arial" w:hAnsi="Arial"/>
          <w:sz w:val="16"/>
          <w:szCs w:val="16"/>
          <w:i w:val="1"/>
          <w:iCs w:val="1"/>
          <w:color w:val="auto"/>
        </w:rPr>
        <w:t>See accompanying notes to condensed consolidated financial statements (unaudited).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16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restart"/>
          </w:tcPr>
          <w:p>
            <w:pPr>
              <w:jc w:val="right"/>
              <w:ind w:right="153"/>
              <w:spacing w:after="0" w:line="126"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4"/>
                <w:szCs w:val="4"/>
                <w:color w:val="auto"/>
              </w:rPr>
            </w:pPr>
          </w:p>
        </w:tc>
        <w:tc>
          <w:tcPr>
            <w:tcW w:w="1140" w:type="dxa"/>
            <w:vAlign w:val="bottom"/>
            <w:vMerge w:val="restart"/>
          </w:tcPr>
          <w:p>
            <w:pPr>
              <w:jc w:val="right"/>
              <w:ind w:right="72"/>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900" w:type="dxa"/>
            <w:vAlign w:val="bottom"/>
            <w:vMerge w:val="restart"/>
          </w:tcPr>
          <w:p>
            <w:pPr>
              <w:jc w:val="right"/>
              <w:ind w:right="152"/>
              <w:spacing w:after="0" w:line="126" w:lineRule="exact"/>
              <w:rPr>
                <w:sz w:val="20"/>
                <w:szCs w:val="20"/>
                <w:color w:val="auto"/>
              </w:rPr>
            </w:pPr>
            <w:r>
              <w:rPr>
                <w:rFonts w:ascii="Arial" w:cs="Arial" w:eastAsia="Arial" w:hAnsi="Arial"/>
                <w:sz w:val="14"/>
                <w:szCs w:val="14"/>
                <w:b w:val="1"/>
                <w:bCs w:val="1"/>
                <w:color w:val="auto"/>
              </w:rPr>
              <w:t>Retained</w:t>
            </w: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40" w:type="dxa"/>
            <w:vAlign w:val="bottom"/>
          </w:tcPr>
          <w:p>
            <w:pPr>
              <w:spacing w:after="0"/>
              <w:rPr>
                <w:sz w:val="4"/>
                <w:szCs w:val="4"/>
                <w:color w:val="auto"/>
              </w:rPr>
            </w:pPr>
          </w:p>
        </w:tc>
        <w:tc>
          <w:tcPr>
            <w:tcW w:w="10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4"/>
                <w:szCs w:val="4"/>
                <w:color w:val="auto"/>
              </w:rPr>
            </w:pPr>
          </w:p>
        </w:tc>
        <w:tc>
          <w:tcPr>
            <w:tcW w:w="8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Paid-in Capital</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Earnings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3"/>
          </w:tcPr>
          <w:p>
            <w:pPr>
              <w:jc w:val="right"/>
              <w:ind w:right="612"/>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68,358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707,003</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17,288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205,445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930,420</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Common stock: class A shares issued related to</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Common stock: class A shares issued under stock</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2,552</w:t>
            </w:r>
          </w:p>
        </w:tc>
        <w:tc>
          <w:tcPr>
            <w:tcW w:w="1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Change in unrealized investment gains/losses, net of</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 of $3,409</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(12,824)</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58,271</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58,271</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2020</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68,874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706,021</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4,464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263,716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974,890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1"/>
              </w:rPr>
              <w:t>Common stock: class A shares issued related to public</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offering</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15,870</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219,528</w:t>
            </w:r>
          </w:p>
        </w:tc>
        <w:tc>
          <w:tcPr>
            <w:tcW w:w="18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219,687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Common stock: class A shares issued under stock</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2,722</w:t>
            </w:r>
          </w:p>
        </w:tc>
        <w:tc>
          <w:tcPr>
            <w:tcW w:w="1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investment gains, net of tax</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of $8,829</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33,211</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33,211</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26,848</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26,848</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2020</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84,805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927,950</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37,675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290,564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1,257,037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40" w:hanging="332"/>
        <w:spacing w:after="0" w:line="257" w:lineRule="auto"/>
        <w:tabs>
          <w:tab w:leader="none" w:pos="124"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the three months ended March 31, 2020, we issued 6,474 common shares, with a par value of $0.01 in connection with the exercise of warrants, which is not identifiable in this schedule due to rounding. During three months ended June 30, 2020, we issued 61,226 common shares, with a par value of $0.01 in connection with shares issued under stock plan,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180" w:type="dxa"/>
            <w:vAlign w:val="bottom"/>
            <w:gridSpan w:val="3"/>
          </w:tcPr>
          <w:p>
            <w:pPr>
              <w:jc w:val="right"/>
              <w:ind w:right="171"/>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Accumulated 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restart"/>
          </w:tcPr>
          <w:p>
            <w:pPr>
              <w:jc w:val="right"/>
              <w:ind w:right="153"/>
              <w:spacing w:after="0" w:line="126"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4"/>
                <w:szCs w:val="4"/>
                <w:color w:val="auto"/>
              </w:rPr>
            </w:pPr>
          </w:p>
        </w:tc>
        <w:tc>
          <w:tcPr>
            <w:tcW w:w="1140" w:type="dxa"/>
            <w:vAlign w:val="bottom"/>
            <w:vMerge w:val="restart"/>
          </w:tcPr>
          <w:p>
            <w:pPr>
              <w:jc w:val="right"/>
              <w:ind w:right="72"/>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40" w:type="dxa"/>
            <w:vAlign w:val="bottom"/>
          </w:tcPr>
          <w:p>
            <w:pPr>
              <w:spacing w:after="0"/>
              <w:rPr>
                <w:sz w:val="4"/>
                <w:szCs w:val="4"/>
                <w:color w:val="auto"/>
              </w:rPr>
            </w:pPr>
          </w:p>
        </w:tc>
        <w:tc>
          <w:tcPr>
            <w:tcW w:w="10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4"/>
                <w:szCs w:val="4"/>
                <w:color w:val="auto"/>
              </w:rPr>
            </w:pPr>
          </w:p>
        </w:tc>
        <w:tc>
          <w:tcPr>
            <w:tcW w:w="8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Retained Earnings</w:t>
            </w:r>
          </w:p>
        </w:tc>
        <w:tc>
          <w:tcPr>
            <w:tcW w:w="280" w:type="dxa"/>
            <w:vAlign w:val="bottom"/>
          </w:tcPr>
          <w:p>
            <w:pPr>
              <w:spacing w:after="0"/>
              <w:rPr>
                <w:sz w:val="4"/>
                <w:szCs w:val="4"/>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Paid-in Capital</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Income</w:t>
            </w:r>
          </w:p>
        </w:tc>
        <w:tc>
          <w:tcPr>
            <w:tcW w:w="12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3"/>
          </w:tcPr>
          <w:p>
            <w:pPr>
              <w:jc w:val="right"/>
              <w:ind w:right="672"/>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682,181</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(14,832)</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33,488</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701,500</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Common stock: class A shares issued related to</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944</w:t>
            </w:r>
          </w:p>
        </w:tc>
        <w:tc>
          <w:tcPr>
            <w:tcW w:w="200" w:type="dxa"/>
            <w:vAlign w:val="bottom"/>
          </w:tcPr>
          <w:p>
            <w:pPr>
              <w:spacing w:after="0"/>
              <w:rPr>
                <w:sz w:val="20"/>
                <w:szCs w:val="20"/>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Common stock: class A shares issued under stock</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2,981</w:t>
            </w:r>
          </w:p>
        </w:tc>
        <w:tc>
          <w:tcPr>
            <w:tcW w:w="2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Change in unrealized investment gains/losses, net of</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of $3,992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15,016</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32,899</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32,899</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2019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684,635</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184</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66,387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751,881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Common stock: class A shares issued related to</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3,835</w:t>
            </w:r>
          </w:p>
        </w:tc>
        <w:tc>
          <w:tcPr>
            <w:tcW w:w="200" w:type="dxa"/>
            <w:vAlign w:val="bottom"/>
          </w:tcPr>
          <w:p>
            <w:pPr>
              <w:spacing w:after="0"/>
              <w:rPr>
                <w:sz w:val="20"/>
                <w:szCs w:val="20"/>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Common stock: class A shares issued under stock</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3,475</w:t>
            </w:r>
          </w:p>
        </w:tc>
        <w:tc>
          <w:tcPr>
            <w:tcW w:w="2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Change in unrealized investment gains/losses, net of</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of $3,686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13,868</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13,868</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39,100</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39,100</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2019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692,163</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14,052</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105,487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812,379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40" w:hanging="332"/>
        <w:spacing w:after="0" w:line="273" w:lineRule="auto"/>
        <w:tabs>
          <w:tab w:leader="none" w:pos="124" w:val="left"/>
        </w:tabs>
        <w:numPr>
          <w:ilvl w:val="0"/>
          <w:numId w:val="8"/>
        </w:numPr>
        <w:rPr>
          <w:rFonts w:ascii="Arial" w:cs="Arial" w:eastAsia="Arial" w:hAnsi="Arial"/>
          <w:sz w:val="14"/>
          <w:szCs w:val="14"/>
          <w:color w:val="auto"/>
        </w:rPr>
      </w:pPr>
      <w:r>
        <w:rPr>
          <w:rFonts w:ascii="Arial" w:cs="Arial" w:eastAsia="Arial" w:hAnsi="Arial"/>
          <w:sz w:val="14"/>
          <w:szCs w:val="14"/>
          <w:color w:val="auto"/>
        </w:rPr>
        <w:t>During the three months ended March 31, 2019, we issued 39,195 common shares with a par value of $0.01 in connection with the exercise of warrants, which is not identifiable in this schedule due to rounding.</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For the six months ended June 30,</w:t>
            </w:r>
          </w:p>
        </w:tc>
      </w:tr>
      <w:tr>
        <w:trPr>
          <w:trHeight w:val="196"/>
        </w:trPr>
        <w:tc>
          <w:tcPr>
            <w:tcW w:w="76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237"/>
        </w:trPr>
        <w:tc>
          <w:tcPr>
            <w:tcW w:w="7660" w:type="dxa"/>
            <w:vAlign w:val="bottom"/>
          </w:tcPr>
          <w:p>
            <w:pPr>
              <w:ind w:left="20"/>
              <w:spacing w:after="0"/>
              <w:rPr>
                <w:sz w:val="20"/>
                <w:szCs w:val="20"/>
                <w:color w:val="auto"/>
              </w:rPr>
            </w:pPr>
            <w:r>
              <w:rPr>
                <w:rFonts w:ascii="Arial" w:cs="Arial" w:eastAsia="Arial" w:hAnsi="Arial"/>
                <w:sz w:val="17"/>
                <w:szCs w:val="17"/>
                <w:color w:val="auto"/>
              </w:rPr>
              <w:t>Cash flows from operating activities</w:t>
            </w:r>
          </w:p>
        </w:tc>
        <w:tc>
          <w:tcPr>
            <w:tcW w:w="420" w:type="dxa"/>
            <w:vAlign w:val="bottom"/>
          </w:tcPr>
          <w:p>
            <w:pPr>
              <w:spacing w:after="0"/>
              <w:rPr>
                <w:sz w:val="20"/>
                <w:szCs w:val="20"/>
                <w:color w:val="auto"/>
              </w:rPr>
            </w:pPr>
          </w:p>
        </w:tc>
        <w:tc>
          <w:tcPr>
            <w:tcW w:w="1980" w:type="dxa"/>
            <w:vAlign w:val="bottom"/>
            <w:gridSpan w:val="3"/>
          </w:tcPr>
          <w:p>
            <w:pPr>
              <w:jc w:val="right"/>
              <w:ind w:right="95"/>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20"/>
                <w:szCs w:val="20"/>
                <w:color w:val="auto"/>
              </w:rPr>
            </w:pPr>
          </w:p>
        </w:tc>
      </w:tr>
      <w:tr>
        <w:trPr>
          <w:trHeight w:val="243"/>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85,119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71,999</w:t>
            </w:r>
          </w:p>
        </w:tc>
      </w:tr>
      <w:tr>
        <w:trPr>
          <w:trHeight w:val="225"/>
        </w:trPr>
        <w:tc>
          <w:tcPr>
            <w:tcW w:w="7660" w:type="dxa"/>
            <w:vAlign w:val="bottom"/>
          </w:tcPr>
          <w:p>
            <w:pPr>
              <w:ind w:left="1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realized investment (gains) losses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(639)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300</w:t>
            </w:r>
          </w:p>
        </w:tc>
      </w:tr>
      <w:tr>
        <w:trPr>
          <w:trHeight w:val="226"/>
        </w:trPr>
        <w:tc>
          <w:tcPr>
            <w:tcW w:w="7660" w:type="dxa"/>
            <w:vAlign w:val="bottom"/>
          </w:tcPr>
          <w:p>
            <w:pPr>
              <w:ind w:left="220"/>
              <w:spacing w:after="0"/>
              <w:rPr>
                <w:sz w:val="20"/>
                <w:szCs w:val="20"/>
                <w:color w:val="auto"/>
              </w:rPr>
            </w:pPr>
            <w:r>
              <w:rPr>
                <w:rFonts w:ascii="Arial" w:cs="Arial" w:eastAsia="Arial" w:hAnsi="Arial"/>
                <w:sz w:val="17"/>
                <w:szCs w:val="17"/>
                <w:color w:val="auto"/>
              </w:rPr>
              <w:t>(Gain) loss from change in fair value of warrant liability</w:t>
            </w:r>
          </w:p>
        </w:tc>
        <w:tc>
          <w:tcPr>
            <w:tcW w:w="4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(4,723)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7,164</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4,914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4,339</w:t>
            </w:r>
          </w:p>
        </w:tc>
      </w:tr>
      <w:tr>
        <w:trPr>
          <w:trHeight w:val="225"/>
        </w:trPr>
        <w:tc>
          <w:tcPr>
            <w:tcW w:w="7660" w:type="dxa"/>
            <w:vAlign w:val="bottom"/>
          </w:tcPr>
          <w:p>
            <w:pPr>
              <w:ind w:left="220"/>
              <w:spacing w:after="0"/>
              <w:rPr>
                <w:sz w:val="20"/>
                <w:szCs w:val="20"/>
                <w:color w:val="auto"/>
              </w:rPr>
            </w:pPr>
            <w:r>
              <w:rPr>
                <w:rFonts w:ascii="Arial" w:cs="Arial" w:eastAsia="Arial" w:hAnsi="Arial"/>
                <w:sz w:val="17"/>
                <w:szCs w:val="17"/>
                <w:color w:val="auto"/>
              </w:rPr>
              <w:t>Net amortization of premium on investment securities</w:t>
            </w:r>
          </w:p>
        </w:tc>
        <w:tc>
          <w:tcPr>
            <w:tcW w:w="420" w:type="dxa"/>
            <w:vAlign w:val="bottom"/>
          </w:tcPr>
          <w:p>
            <w:pPr>
              <w:spacing w:after="0"/>
              <w:rPr>
                <w:sz w:val="19"/>
                <w:szCs w:val="19"/>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622</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Amortization of debt discount and debt issuance costs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3,267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499</w:t>
            </w:r>
          </w:p>
        </w:tc>
      </w:tr>
      <w:tr>
        <w:trPr>
          <w:trHeight w:val="226"/>
        </w:trPr>
        <w:tc>
          <w:tcPr>
            <w:tcW w:w="766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420" w:type="dxa"/>
            <w:vAlign w:val="bottom"/>
          </w:tcPr>
          <w:p>
            <w:pPr>
              <w:spacing w:after="0"/>
              <w:rPr>
                <w:sz w:val="19"/>
                <w:szCs w:val="19"/>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22,006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17,840</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Share-based compensation expense</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5,274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6,456</w:t>
            </w:r>
          </w:p>
        </w:tc>
      </w:tr>
      <w:tr>
        <w:trPr>
          <w:trHeight w:val="225"/>
        </w:trPr>
        <w:tc>
          <w:tcPr>
            <w:tcW w:w="766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Premiums receivable</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(6,218)</w:t>
            </w:r>
          </w:p>
        </w:tc>
      </w:tr>
      <w:tr>
        <w:trPr>
          <w:trHeight w:val="226"/>
        </w:trPr>
        <w:tc>
          <w:tcPr>
            <w:tcW w:w="7660" w:type="dxa"/>
            <w:vAlign w:val="bottom"/>
          </w:tcPr>
          <w:p>
            <w:pPr>
              <w:ind w:left="340"/>
              <w:spacing w:after="0"/>
              <w:rPr>
                <w:sz w:val="20"/>
                <w:szCs w:val="20"/>
                <w:color w:val="auto"/>
              </w:rPr>
            </w:pPr>
            <w:r>
              <w:rPr>
                <w:rFonts w:ascii="Arial" w:cs="Arial" w:eastAsia="Arial" w:hAnsi="Arial"/>
                <w:sz w:val="17"/>
                <w:szCs w:val="17"/>
                <w:color w:val="auto"/>
              </w:rPr>
              <w:t>Accrued investment income</w:t>
            </w:r>
          </w:p>
        </w:tc>
        <w:tc>
          <w:tcPr>
            <w:tcW w:w="4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(1,078)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(607)</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Prepaid expenses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(312)</w:t>
            </w:r>
          </w:p>
        </w:tc>
      </w:tr>
      <w:tr>
        <w:trPr>
          <w:trHeight w:val="225"/>
        </w:trPr>
        <w:tc>
          <w:tcPr>
            <w:tcW w:w="7660" w:type="dxa"/>
            <w:vAlign w:val="bottom"/>
          </w:tcPr>
          <w:p>
            <w:pPr>
              <w:ind w:left="340"/>
              <w:spacing w:after="0"/>
              <w:rPr>
                <w:sz w:val="20"/>
                <w:szCs w:val="20"/>
                <w:color w:val="auto"/>
              </w:rPr>
            </w:pPr>
            <w:r>
              <w:rPr>
                <w:rFonts w:ascii="Arial" w:cs="Arial" w:eastAsia="Arial" w:hAnsi="Arial"/>
                <w:sz w:val="17"/>
                <w:szCs w:val="17"/>
                <w:color w:val="auto"/>
              </w:rPr>
              <w:t>Deferred policy acquisition costs, net</w:t>
            </w:r>
          </w:p>
        </w:tc>
        <w:tc>
          <w:tcPr>
            <w:tcW w:w="4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(3,647)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(5,767)</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assets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(260)</w:t>
            </w:r>
          </w:p>
        </w:tc>
      </w:tr>
      <w:tr>
        <w:trPr>
          <w:trHeight w:val="226"/>
        </w:trPr>
        <w:tc>
          <w:tcPr>
            <w:tcW w:w="7660" w:type="dxa"/>
            <w:vAlign w:val="bottom"/>
          </w:tcPr>
          <w:p>
            <w:pPr>
              <w:ind w:left="340"/>
              <w:spacing w:after="0"/>
              <w:rPr>
                <w:sz w:val="20"/>
                <w:szCs w:val="20"/>
                <w:color w:val="auto"/>
              </w:rPr>
            </w:pPr>
            <w:r>
              <w:rPr>
                <w:rFonts w:ascii="Arial" w:cs="Arial" w:eastAsia="Arial" w:hAnsi="Arial"/>
                <w:sz w:val="17"/>
                <w:szCs w:val="17"/>
                <w:color w:val="auto"/>
              </w:rPr>
              <w:t>Unearned premiums</w:t>
            </w:r>
          </w:p>
        </w:tc>
        <w:tc>
          <w:tcPr>
            <w:tcW w:w="4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(21,406)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(7,535)</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Reserve for insurance claims and claim expenses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46,151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5,621</w:t>
            </w:r>
          </w:p>
        </w:tc>
      </w:tr>
      <w:tr>
        <w:trPr>
          <w:trHeight w:val="226"/>
        </w:trPr>
        <w:tc>
          <w:tcPr>
            <w:tcW w:w="7660" w:type="dxa"/>
            <w:vAlign w:val="bottom"/>
          </w:tcPr>
          <w:p>
            <w:pPr>
              <w:ind w:left="340"/>
              <w:spacing w:after="0"/>
              <w:rPr>
                <w:sz w:val="20"/>
                <w:szCs w:val="20"/>
                <w:color w:val="auto"/>
              </w:rPr>
            </w:pPr>
            <w:r>
              <w:rPr>
                <w:rFonts w:ascii="Arial" w:cs="Arial" w:eastAsia="Arial" w:hAnsi="Arial"/>
                <w:sz w:val="17"/>
                <w:szCs w:val="17"/>
                <w:color w:val="auto"/>
              </w:rPr>
              <w:t>Reinsurance recoverable</w:t>
            </w:r>
          </w:p>
        </w:tc>
        <w:tc>
          <w:tcPr>
            <w:tcW w:w="4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(9,368)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(774)</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Reinsurance balances, net</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2,658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336</w:t>
            </w:r>
          </w:p>
        </w:tc>
      </w:tr>
      <w:tr>
        <w:trPr>
          <w:trHeight w:val="225"/>
        </w:trPr>
        <w:tc>
          <w:tcPr>
            <w:tcW w:w="7660" w:type="dxa"/>
            <w:vAlign w:val="bottom"/>
          </w:tcPr>
          <w:p>
            <w:pPr>
              <w:ind w:left="340"/>
              <w:spacing w:after="0"/>
              <w:rPr>
                <w:sz w:val="20"/>
                <w:szCs w:val="20"/>
                <w:color w:val="auto"/>
              </w:rPr>
            </w:pPr>
            <w:r>
              <w:rPr>
                <w:rFonts w:ascii="Arial" w:cs="Arial" w:eastAsia="Arial" w:hAnsi="Arial"/>
                <w:sz w:val="17"/>
                <w:szCs w:val="17"/>
                <w:color w:val="auto"/>
              </w:rPr>
              <w:t>Accounts payable and accrued expenses</w:t>
            </w:r>
          </w:p>
        </w:tc>
        <w:tc>
          <w:tcPr>
            <w:tcW w:w="4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(1,247)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(6,379)</w:t>
            </w:r>
          </w:p>
        </w:tc>
      </w:tr>
      <w:tr>
        <w:trPr>
          <w:trHeight w:val="31"/>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127,355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87,324</w:t>
            </w:r>
          </w:p>
        </w:tc>
      </w:tr>
      <w:tr>
        <w:trPr>
          <w:trHeight w:val="205"/>
        </w:trPr>
        <w:tc>
          <w:tcPr>
            <w:tcW w:w="766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Purchase of short-term investments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(41,872)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(113,276)</w:t>
            </w:r>
          </w:p>
        </w:tc>
      </w:tr>
      <w:tr>
        <w:trPr>
          <w:trHeight w:val="225"/>
        </w:trPr>
        <w:tc>
          <w:tcPr>
            <w:tcW w:w="7660" w:type="dxa"/>
            <w:vAlign w:val="bottom"/>
          </w:tcPr>
          <w:p>
            <w:pPr>
              <w:ind w:left="120"/>
              <w:spacing w:after="0"/>
              <w:rPr>
                <w:sz w:val="20"/>
                <w:szCs w:val="20"/>
                <w:color w:val="auto"/>
              </w:rPr>
            </w:pPr>
            <w:r>
              <w:rPr>
                <w:rFonts w:ascii="Arial" w:cs="Arial" w:eastAsia="Arial" w:hAnsi="Arial"/>
                <w:sz w:val="17"/>
                <w:szCs w:val="17"/>
                <w:color w:val="auto"/>
              </w:rPr>
              <w:t>Purchase of fixed-maturity investments, available-for-sale</w:t>
            </w:r>
          </w:p>
        </w:tc>
        <w:tc>
          <w:tcPr>
            <w:tcW w:w="4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(451,462)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(126,179)</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Proceeds from maturity of short-term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85,689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119,748</w:t>
            </w:r>
          </w:p>
        </w:tc>
      </w:tr>
      <w:tr>
        <w:trPr>
          <w:trHeight w:val="225"/>
        </w:trPr>
        <w:tc>
          <w:tcPr>
            <w:tcW w:w="7660" w:type="dxa"/>
            <w:vAlign w:val="bottom"/>
          </w:tcPr>
          <w:p>
            <w:pPr>
              <w:ind w:left="12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420" w:type="dxa"/>
            <w:vAlign w:val="bottom"/>
          </w:tcPr>
          <w:p>
            <w:pPr>
              <w:spacing w:after="0"/>
              <w:rPr>
                <w:sz w:val="19"/>
                <w:szCs w:val="19"/>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297,977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49,229</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Software and equipment</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(4,638)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(4,491)</w:t>
            </w:r>
          </w:p>
        </w:tc>
      </w:tr>
      <w:tr>
        <w:trPr>
          <w:trHeight w:val="219"/>
        </w:trPr>
        <w:tc>
          <w:tcPr>
            <w:tcW w:w="766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(114,306)</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(74,969)</w:t>
            </w:r>
          </w:p>
        </w:tc>
      </w:tr>
      <w:tr>
        <w:trPr>
          <w:trHeight w:val="31"/>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4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43"/>
        </w:trPr>
        <w:tc>
          <w:tcPr>
            <w:tcW w:w="7660" w:type="dxa"/>
            <w:vAlign w:val="bottom"/>
          </w:tcPr>
          <w:p>
            <w:pPr>
              <w:ind w:left="120"/>
              <w:spacing w:after="0"/>
              <w:rPr>
                <w:sz w:val="20"/>
                <w:szCs w:val="20"/>
                <w:color w:val="auto"/>
              </w:rPr>
            </w:pPr>
            <w:r>
              <w:rPr>
                <w:rFonts w:ascii="Arial" w:cs="Arial" w:eastAsia="Arial" w:hAnsi="Arial"/>
                <w:sz w:val="17"/>
                <w:szCs w:val="17"/>
                <w:color w:val="auto"/>
              </w:rPr>
              <w:t>Proceeds from issuance of common stock related to public offering, net of issuance costs</w:t>
            </w:r>
          </w:p>
        </w:tc>
        <w:tc>
          <w:tcPr>
            <w:tcW w:w="42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220,284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3,391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12,374</w:t>
            </w:r>
          </w:p>
        </w:tc>
      </w:tr>
      <w:tr>
        <w:trPr>
          <w:trHeight w:val="226"/>
        </w:trPr>
        <w:tc>
          <w:tcPr>
            <w:tcW w:w="7660" w:type="dxa"/>
            <w:vAlign w:val="bottom"/>
          </w:tcPr>
          <w:p>
            <w:pPr>
              <w:ind w:left="120"/>
              <w:spacing w:after="0"/>
              <w:rPr>
                <w:sz w:val="20"/>
                <w:szCs w:val="20"/>
                <w:color w:val="auto"/>
              </w:rPr>
            </w:pPr>
            <w:r>
              <w:rPr>
                <w:rFonts w:ascii="Arial" w:cs="Arial" w:eastAsia="Arial" w:hAnsi="Arial"/>
                <w:sz w:val="17"/>
                <w:szCs w:val="17"/>
                <w:color w:val="auto"/>
              </w:rPr>
              <w:t>Taxes paid related to net share settlement of equity awards</w:t>
            </w:r>
          </w:p>
        </w:tc>
        <w:tc>
          <w:tcPr>
            <w:tcW w:w="4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(7,462)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(13,538)</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Proceeds from senior secured notes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6"/>
        </w:trPr>
        <w:tc>
          <w:tcPr>
            <w:tcW w:w="7660" w:type="dxa"/>
            <w:vAlign w:val="bottom"/>
          </w:tcPr>
          <w:p>
            <w:pPr>
              <w:ind w:left="120"/>
              <w:spacing w:after="0"/>
              <w:rPr>
                <w:sz w:val="20"/>
                <w:szCs w:val="20"/>
                <w:color w:val="auto"/>
              </w:rPr>
            </w:pPr>
            <w:r>
              <w:rPr>
                <w:rFonts w:ascii="Arial" w:cs="Arial" w:eastAsia="Arial" w:hAnsi="Arial"/>
                <w:sz w:val="17"/>
                <w:szCs w:val="17"/>
                <w:color w:val="auto"/>
              </w:rPr>
              <w:t>Repayments of term loan</w:t>
            </w:r>
          </w:p>
        </w:tc>
        <w:tc>
          <w:tcPr>
            <w:tcW w:w="4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(147,750)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(750)</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Payments of debt issuance costs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(7,151)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19"/>
        </w:trPr>
        <w:tc>
          <w:tcPr>
            <w:tcW w:w="7660" w:type="dxa"/>
            <w:vAlign w:val="bottom"/>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461,312</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(1,914)</w:t>
            </w:r>
          </w:p>
        </w:tc>
      </w:tr>
      <w:tr>
        <w:trPr>
          <w:trHeight w:val="31"/>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74"/>
        </w:trPr>
        <w:tc>
          <w:tcPr>
            <w:tcW w:w="76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225"/>
        </w:trPr>
        <w:tc>
          <w:tcPr>
            <w:tcW w:w="7660" w:type="dxa"/>
            <w:vAlign w:val="bottom"/>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420" w:type="dxa"/>
            <w:vAlign w:val="bottom"/>
          </w:tcPr>
          <w:p>
            <w:pPr>
              <w:spacing w:after="0"/>
              <w:rPr>
                <w:sz w:val="19"/>
                <w:szCs w:val="19"/>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474,361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10,441</w:t>
            </w: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41,089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25,294</w:t>
            </w:r>
          </w:p>
        </w:tc>
      </w:tr>
      <w:tr>
        <w:trPr>
          <w:trHeight w:val="248"/>
        </w:trPr>
        <w:tc>
          <w:tcPr>
            <w:tcW w:w="76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515,450</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35,735</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3"/>
        </w:trPr>
        <w:tc>
          <w:tcPr>
            <w:tcW w:w="76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r>
      <w:tr>
        <w:trPr>
          <w:trHeight w:val="225"/>
        </w:trPr>
        <w:tc>
          <w:tcPr>
            <w:tcW w:w="7660" w:type="dxa"/>
            <w:vAlign w:val="bottom"/>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1"/>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paid</w:t>
            </w: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4,286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5,365</w:t>
            </w:r>
          </w:p>
        </w:tc>
      </w:tr>
      <w:tr>
        <w:trPr>
          <w:trHeight w:val="225"/>
        </w:trPr>
        <w:tc>
          <w:tcPr>
            <w:tcW w:w="7660" w:type="dxa"/>
            <w:vAlign w:val="bottom"/>
          </w:tcPr>
          <w:p>
            <w:pPr>
              <w:ind w:left="220"/>
              <w:spacing w:after="0"/>
              <w:rPr>
                <w:sz w:val="20"/>
                <w:szCs w:val="20"/>
                <w:color w:val="auto"/>
              </w:rPr>
            </w:pPr>
            <w:r>
              <w:rPr>
                <w:rFonts w:ascii="Arial" w:cs="Arial" w:eastAsia="Arial" w:hAnsi="Arial"/>
                <w:sz w:val="17"/>
                <w:szCs w:val="17"/>
                <w:color w:val="auto"/>
              </w:rPr>
              <w:t>Income taxes refunded</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560" w:type="dxa"/>
            <w:vAlign w:val="bottom"/>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134</w:t>
            </w:r>
          </w:p>
        </w:tc>
      </w:tr>
    </w:tbl>
    <w:p>
      <w:pPr>
        <w:spacing w:after="0" w:line="120" w:lineRule="exact"/>
        <w:rPr>
          <w:sz w:val="20"/>
          <w:szCs w:val="20"/>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Reinsurance recoverable have been reclassified from "Reinsurance balance, net" in the prior period.</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wholly-owned subsidiary, NMI Services, Inc. (NMIS), through which we offer outsourced loan review services to mortgage loan originators.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2019, included in our 2019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previously reported financial information have been made to conform to current period presentation. The results of operations for the interim period may not be indicative of the results that may be expected for the full year ending December 31, 2020.</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 Developments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30, 2020, the World Health Organization (WHO) declared the outbreak of COVID-19 a global health emergency and characterized the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outbreak as a global pandemic on March 11, 2020. In an effort to stem contagion and control the COVID-19 pandemic, the population at large has severely curtailed day-to-day activity and local, state and federal regulators have imposed a broad set of restrictions on personal and business conduct nationwide. The COVID-19 pandemic, along with the widespread public and regulatory response, has caused a dramatic slowdown in U.S. and global economic activity and a record number of Americans have been furloughed or laid-off.</w:t>
      </w:r>
    </w:p>
    <w:p>
      <w:pPr>
        <w:spacing w:after="0" w:line="13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The global dislocation caused by COVID-19 is unprecedented and, while there is broad hope for medical advances that might relieve the crisis and provide for a near-term return to normalized activity, it is not known how long the dislocation will persist and if or when any such medical advances may</w:t>
      </w:r>
    </w:p>
    <w:p>
      <w:pPr>
        <w:spacing w:after="0"/>
        <w:rPr>
          <w:sz w:val="20"/>
          <w:szCs w:val="20"/>
          <w:color w:val="auto"/>
        </w:rPr>
      </w:pPr>
      <w:r>
        <w:rPr>
          <w:rFonts w:ascii="Arial" w:cs="Arial" w:eastAsia="Arial" w:hAnsi="Arial"/>
          <w:sz w:val="16"/>
          <w:szCs w:val="16"/>
          <w:color w:val="auto"/>
        </w:rPr>
        <w:t>be developed or made available. In response to the COVID-19 outbreak and continuing uncertainties, we activated our business continuity program to</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ensure our employees are safe and able to continue serving our customers and their borrowers without interruption. We have also sought to broadly assess the impact that the COVID-19 outbreak has had and may continue to have on the U.S economy and housing market, and the implications for the mortgage insurance market, and our business performance and financial position, including our new business production, default and claims experience, and investment portfolio results. Given the uncertainty that remains, we cannot fully assess or estimate the ultimate impact of COVID-19.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w:t>
      </w:r>
      <w:r>
        <w:rPr>
          <w:rFonts w:ascii="Arial" w:cs="Arial" w:eastAsia="Arial" w:hAnsi="Arial"/>
          <w:sz w:val="18"/>
          <w:szCs w:val="18"/>
          <w:color w:val="auto"/>
        </w:rPr>
        <w:t xml:space="preserve"> </w:t>
      </w:r>
      <w:r>
        <w:rPr>
          <w:rFonts w:ascii="Arial" w:cs="Arial" w:eastAsia="Arial" w:hAnsi="Arial"/>
          <w:sz w:val="18"/>
          <w:szCs w:val="18"/>
          <w:i w:val="1"/>
          <w:iCs w:val="1"/>
          <w:color w:val="auto"/>
        </w:rPr>
        <w:t>Notes to Consolidated Financial Statements - Note 2 - Summary of Accounting Principles</w:t>
      </w:r>
      <w:r>
        <w:rPr>
          <w:rFonts w:ascii="Arial" w:cs="Arial" w:eastAsia="Arial" w:hAnsi="Arial"/>
          <w:sz w:val="18"/>
          <w:szCs w:val="18"/>
          <w:color w:val="auto"/>
        </w:rPr>
        <w:t>" of our 2019 10-K, other than as noted in "</w:t>
      </w:r>
      <w:r>
        <w:rPr>
          <w:rFonts w:ascii="Arial" w:cs="Arial" w:eastAsia="Arial" w:hAnsi="Arial"/>
          <w:sz w:val="18"/>
          <w:szCs w:val="18"/>
          <w:i w:val="1"/>
          <w:iCs w:val="1"/>
          <w:color w:val="auto"/>
        </w:rPr>
        <w:t>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Premium Receivables,</w:t>
      </w:r>
      <w:r>
        <w:rPr>
          <w:rFonts w:ascii="Arial" w:cs="Arial" w:eastAsia="Arial" w:hAnsi="Arial"/>
          <w:sz w:val="18"/>
          <w:szCs w:val="18"/>
          <w:color w:val="auto"/>
        </w:rPr>
        <w:t>" "</w:t>
      </w:r>
      <w:r>
        <w:rPr>
          <w:rFonts w:ascii="Arial" w:cs="Arial" w:eastAsia="Arial" w:hAnsi="Arial"/>
          <w:sz w:val="18"/>
          <w:szCs w:val="18"/>
          <w:i w:val="1"/>
          <w:iCs w:val="1"/>
          <w:color w:val="auto"/>
        </w:rPr>
        <w:t>Reinsurance</w:t>
      </w:r>
      <w:r>
        <w:rPr>
          <w:rFonts w:ascii="Arial" w:cs="Arial" w:eastAsia="Arial" w:hAnsi="Arial"/>
          <w:sz w:val="18"/>
          <w:szCs w:val="18"/>
          <w:color w:val="auto"/>
        </w:rPr>
        <w:t>" and "</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below.</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Arial" w:cs="Arial" w:eastAsia="Arial" w:hAnsi="Arial"/>
          <w:sz w:val="16"/>
          <w:szCs w:val="16"/>
          <w:i w:val="1"/>
          <w:iCs w:val="1"/>
          <w:color w:val="auto"/>
        </w:rPr>
        <w:t>Realized Investment Loss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1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severity of the decline in fair value;</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financial condition of the issuer;</w:t>
      </w:r>
    </w:p>
    <w:p>
      <w:pPr>
        <w:spacing w:after="0" w:line="147"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1"/>
          <w:szCs w:val="21"/>
          <w:color w:val="auto"/>
        </w:rPr>
      </w:pPr>
      <w:r>
        <w:rPr>
          <w:rFonts w:ascii="Arial" w:cs="Arial" w:eastAsia="Arial" w:hAnsi="Arial"/>
          <w:sz w:val="17"/>
          <w:szCs w:val="17"/>
          <w:color w:val="auto"/>
        </w:rPr>
        <w:t>recent rating downgrades of the applicable security or issuer by one or more nationally recognized statistical ratings organization; and</w:t>
      </w:r>
    </w:p>
    <w:p>
      <w:pPr>
        <w:spacing w:after="0" w:line="165" w:lineRule="exact"/>
        <w:rPr>
          <w:rFonts w:ascii="Arial" w:cs="Arial" w:eastAsia="Arial" w:hAnsi="Arial"/>
          <w:sz w:val="21"/>
          <w:szCs w:val="21"/>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other adverse conditions related to or impacting the security or issuer.</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we determine that a security impairment is credit-related, an impairment loss is recognized through the statement of operations as a provision for credit loss expense, and presented as a "Realized Investment Loss."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"Realized Investment Gain or Loss." The portion of a security impairment attributed to other non-credit related factors is recognized in other comprehensive income, net of taxes.</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elected to present accrued interest receivable separately from available for sale securities on our consolidated balance sheet. Accrued interest receivable was $7.9 million as of June 30, 2020 and is included in "</w:t>
      </w:r>
      <w:r>
        <w:rPr>
          <w:rFonts w:ascii="Arial" w:cs="Arial" w:eastAsia="Arial" w:hAnsi="Arial"/>
          <w:sz w:val="18"/>
          <w:szCs w:val="18"/>
          <w:i w:val="1"/>
          <w:iCs w:val="1"/>
          <w:color w:val="auto"/>
        </w:rPr>
        <w:t>Accrued Investment Income.</w:t>
      </w:r>
      <w:r>
        <w:rPr>
          <w:rFonts w:ascii="Arial" w:cs="Arial" w:eastAsia="Arial" w:hAnsi="Arial"/>
          <w:sz w:val="18"/>
          <w:szCs w:val="18"/>
          <w:color w:val="auto"/>
        </w:rPr>
        <w:t>" We have elected not to measure an allowance for credit losses for accrued interest receivable on available for sale securities. Accrued interest for available for sale securities is written off against interest income when the receivable has aged 90 days past due. We did not write off any accrued interest receivable during the three or six months ended June 30, 2020.</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Receivable</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did not establish an allowance for credit loss at June 30, 2020.</w:t>
      </w:r>
    </w:p>
    <w:p>
      <w:pPr>
        <w:spacing w:after="0" w:line="1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Premiums receivable may be written off prior to 120 days in the ordinary course of business for non-credit events including, but not limited to, the modification or refinancing of an underlying insured loan. We have established a reserve for premium write-offs based on historical experience; such reserve was deemed to be immaterial at June 30, 2020.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We account for premiums, claims and claim expenses that are ceded to reinsurers on a basis consistent with that which we use to account for the original policies we issue and pursuant to the terms of our reinsurance contracts. We account for premiums ceded or otherwise paid to reinsurers as a reduction to premium revenue.</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NMIC has entered into quota share reinsurance treaties effective September 1, 2016 (the 2016 QSR Transaction), January 1, 2018 (the 2018 QSR Transaction) and April 1, 2020 (the 2020 QSR Transaction), which we refer to collectively as the QSR Transactions. We earn profit and ceding commissions in connection with the QSR Transactions. Profit commissions represent a percentage of the profits recognized by reinsurers that are returned to us, based on the level of claims and claim expenses that we cede. We recognize any profit commissions we earn as increases to premium revenue. Ceding commissions are calculated as a percentage of ceded written premiums under the 2016 QSR Transaction and as a percentage of ceded earned premiums under the 2018 and 2020 QSR Transactions, and are intended to cover our costs of acquiring and servicing direct policies. We recognize any ceding commissions we earn in a manner consistent with our recognition of earnings on the underlying insurance policies, over the terms of the policies reinsured. We account for ceding commissions earned as a reduction to underwriting and operating expenses.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the QSR Transactions, we cede a portion of claims and claim expense reserves to our reinsurers, and account for such ceded reserves as "</w:t>
      </w:r>
      <w:r>
        <w:rPr>
          <w:rFonts w:ascii="Arial" w:cs="Arial" w:eastAsia="Arial" w:hAnsi="Arial"/>
          <w:sz w:val="16"/>
          <w:szCs w:val="16"/>
          <w:i w:val="1"/>
          <w:iCs w:val="1"/>
          <w:color w:val="auto"/>
        </w:rPr>
        <w:t>Reinsurance Recoverables</w:t>
      </w:r>
      <w:r>
        <w:rPr>
          <w:rFonts w:ascii="Arial" w:cs="Arial" w:eastAsia="Arial" w:hAnsi="Arial"/>
          <w:sz w:val="16"/>
          <w:szCs w:val="16"/>
          <w:color w:val="auto"/>
        </w:rPr>
        <w:t>" on the consolidated balance sheets and such ceded claims as reductions to claims expenses on the consolidated statements of operations. As of June 30, 2020, we had $14.3 million of reinsurance recoverables under the QSR Transactions. 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recoverables if we do not expect to recover amounts due from one or more of our reinsurance counterparties, and report our reinsurance recoverables net of such allowance, if any. We actively monitor the counterparty credit profiles of our reinsurers and each is required to partially collateralize its obligations under the terms of our QSR Transactions. As of June 30, 2020, we did not recognize any allowance for credit loss with respect to our reinsurance recoverables.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June 2016, the Financial Accounting Standard Board (FASB) issued Accounting Standards Update (ASU) 2016-13, </w:t>
      </w:r>
      <w:r>
        <w:rPr>
          <w:rFonts w:ascii="Arial" w:cs="Arial" w:eastAsia="Arial" w:hAnsi="Arial"/>
          <w:sz w:val="16"/>
          <w:szCs w:val="16"/>
          <w:i w:val="1"/>
          <w:iCs w:val="1"/>
          <w:color w:val="auto"/>
        </w:rPr>
        <w:t xml:space="preserve">Financial Instruments-Credit Losses (Topic 326) </w:t>
      </w:r>
      <w:r>
        <w:rPr>
          <w:rFonts w:ascii="Arial" w:cs="Arial" w:eastAsia="Arial" w:hAnsi="Arial"/>
          <w:sz w:val="16"/>
          <w:szCs w:val="16"/>
          <w:color w:val="auto"/>
        </w:rPr>
        <w:t>and subsequently issued amendments to the initial guidance: ASU 2019-04,</w:t>
      </w:r>
      <w:r>
        <w:rPr>
          <w:rFonts w:ascii="Arial" w:cs="Arial" w:eastAsia="Arial" w:hAnsi="Arial"/>
          <w:sz w:val="16"/>
          <w:szCs w:val="16"/>
          <w:i w:val="1"/>
          <w:iCs w:val="1"/>
          <w:color w:val="auto"/>
        </w:rPr>
        <w:t xml:space="preserve"> Codification Improvements to Topic 326</w:t>
      </w:r>
      <w:r>
        <w:rPr>
          <w:rFonts w:ascii="Arial" w:cs="Arial" w:eastAsia="Arial" w:hAnsi="Arial"/>
          <w:sz w:val="16"/>
          <w:szCs w:val="16"/>
          <w:color w:val="auto"/>
        </w:rPr>
        <w:t>,</w:t>
      </w:r>
      <w:r>
        <w:rPr>
          <w:rFonts w:ascii="Arial" w:cs="Arial" w:eastAsia="Arial" w:hAnsi="Arial"/>
          <w:sz w:val="16"/>
          <w:szCs w:val="16"/>
          <w:i w:val="1"/>
          <w:iCs w:val="1"/>
          <w:color w:val="auto"/>
        </w:rPr>
        <w:t xml:space="preserve"> Financial Instruments-Credit Losses (Topic 815)</w:t>
      </w:r>
      <w:r>
        <w:rPr>
          <w:rFonts w:ascii="Arial" w:cs="Arial" w:eastAsia="Arial" w:hAnsi="Arial"/>
          <w:sz w:val="16"/>
          <w:szCs w:val="16"/>
          <w:color w:val="auto"/>
        </w:rPr>
        <w:t>,</w:t>
      </w:r>
      <w:r>
        <w:rPr>
          <w:rFonts w:ascii="Arial" w:cs="Arial" w:eastAsia="Arial" w:hAnsi="Arial"/>
          <w:sz w:val="16"/>
          <w:szCs w:val="16"/>
          <w:i w:val="1"/>
          <w:iCs w:val="1"/>
          <w:color w:val="auto"/>
        </w:rPr>
        <w:t xml:space="preserve"> Derivatives and Hedging</w:t>
      </w:r>
      <w:r>
        <w:rPr>
          <w:rFonts w:ascii="Arial" w:cs="Arial" w:eastAsia="Arial" w:hAnsi="Arial"/>
          <w:sz w:val="16"/>
          <w:szCs w:val="16"/>
          <w:color w:val="auto"/>
        </w:rPr>
        <w:t>, and Topic 825,</w:t>
      </w:r>
      <w:r>
        <w:rPr>
          <w:rFonts w:ascii="Arial" w:cs="Arial" w:eastAsia="Arial" w:hAnsi="Arial"/>
          <w:sz w:val="16"/>
          <w:szCs w:val="16"/>
          <w:i w:val="1"/>
          <w:iCs w:val="1"/>
          <w:color w:val="auto"/>
        </w:rPr>
        <w:t xml:space="preserve"> Financial Instruments</w:t>
      </w:r>
      <w:r>
        <w:rPr>
          <w:rFonts w:ascii="Arial" w:cs="Arial" w:eastAsia="Arial" w:hAnsi="Arial"/>
          <w:sz w:val="16"/>
          <w:szCs w:val="16"/>
          <w:color w:val="auto"/>
        </w:rPr>
        <w:t>, ASU 2019-05,</w:t>
      </w:r>
      <w:r>
        <w:rPr>
          <w:rFonts w:ascii="Arial" w:cs="Arial" w:eastAsia="Arial" w:hAnsi="Arial"/>
          <w:sz w:val="16"/>
          <w:szCs w:val="16"/>
          <w:i w:val="1"/>
          <w:iCs w:val="1"/>
          <w:color w:val="auto"/>
        </w:rPr>
        <w:t xml:space="preserve"> Financial Instruments-Credit Losses: Targeted Transition Relief</w:t>
      </w:r>
      <w:r>
        <w:rPr>
          <w:rFonts w:ascii="Arial" w:cs="Arial" w:eastAsia="Arial" w:hAnsi="Arial"/>
          <w:sz w:val="16"/>
          <w:szCs w:val="16"/>
          <w:color w:val="auto"/>
        </w:rPr>
        <w:t>, and ASU 2019-11, C</w:t>
      </w:r>
      <w:r>
        <w:rPr>
          <w:rFonts w:ascii="Arial" w:cs="Arial" w:eastAsia="Arial" w:hAnsi="Arial"/>
          <w:sz w:val="16"/>
          <w:szCs w:val="16"/>
          <w:i w:val="1"/>
          <w:iCs w:val="1"/>
          <w:color w:val="auto"/>
        </w:rPr>
        <w:t>odification Improvements to Topic 326, Financial Instruments-Credit Losses</w:t>
      </w:r>
      <w:r>
        <w:rPr>
          <w:rFonts w:ascii="Arial" w:cs="Arial" w:eastAsia="Arial" w:hAnsi="Arial"/>
          <w:sz w:val="16"/>
          <w:szCs w:val="16"/>
          <w:color w:val="auto"/>
        </w:rPr>
        <w:t>. These updates will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companies to measure and establish reserves for lifetime expected credit losses on many financial assets held at a given reporting date. Under the guidance, the methodology for measuring lifetime credit losses shifts from an incurred loss model, whereby losses are only recognized once probable and estimable, to a current expected credit loss (CECL) model, whereby losses are recognized upfront based on a future economic forecast. Credit losses relating to available-for-sale fixed maturity securities are recorded through an allowance for credit losses, rather than a write-down of the asset as was required, with the amount of the allowance limited to the amount by which fair value is less than amortized cost. The length of time an available-for sale fixed maturity security has been held in an unrealized loss position will no longer impact its credit loss determination. We adopted these updates on January 1, 2020. Adoption of the updated standards did not have a material impact on our consolidated financial statements, and had no impact on our accounting for insurance claims and claim expenses as these items are not in scope of the guidance.</w:t>
      </w:r>
    </w:p>
    <w:p>
      <w:pPr>
        <w:spacing w:after="0" w:line="1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update modifies the fair value measurement disclosure requirements of ASC 820. We adopted this ASU on January 1, 2020 and determined it did not have a material impact on our consolidated financial statements.</w:t>
      </w:r>
    </w:p>
    <w:p>
      <w:pPr>
        <w:spacing w:after="0" w:line="13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w:t>
      </w:r>
      <w:r>
        <w:rPr>
          <w:rFonts w:ascii="Arial" w:cs="Arial" w:eastAsia="Arial" w:hAnsi="Arial"/>
          <w:sz w:val="16"/>
          <w:szCs w:val="16"/>
          <w:color w:val="auto"/>
        </w:rPr>
        <w:t>. This update applies to cloud computing arrangements structured as service contracts, and provides companies with guidance on the criteria for capitalizing implementation, set-up and other up-front costs incurred in association with these arrangements. We adopted this ASU on January 1, 2020 and applied it on a prospective basis for eligible costs incurred after the effective date. The adoption of this ASU did not have a material impact on our consolidated financial statements.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August 2018, the FASB issued ASU 2018-12, </w:t>
      </w:r>
      <w:r>
        <w:rPr>
          <w:rFonts w:ascii="Arial" w:cs="Arial" w:eastAsia="Arial" w:hAnsi="Arial"/>
          <w:sz w:val="17"/>
          <w:szCs w:val="17"/>
          <w:i w:val="1"/>
          <w:iCs w:val="1"/>
          <w:color w:val="auto"/>
        </w:rPr>
        <w:t>Targeted Improvements to the Accounting for Long-Duration Contracts</w:t>
      </w:r>
      <w:r>
        <w:rPr>
          <w:rFonts w:ascii="Arial" w:cs="Arial" w:eastAsia="Arial" w:hAnsi="Arial"/>
          <w:sz w:val="17"/>
          <w:szCs w:val="17"/>
          <w:color w:val="auto"/>
        </w:rPr>
        <w:t>. This update provides guidance to the existing recognition, measurement, presentation and disclosure requirements for long-duration contracts issued by an insurance entity. The FASB subsequently issued ASU 2019-09 in November 2019, which amended the effective date for this standard. The standard will now take effect for public business entities for fiscal years, and interim periods within those fiscal years, beginning after December 15, 2021. We are currently evaluating the impact the adoption of this ASU will have, if any, on our consolidated financial statements.</w:t>
      </w:r>
    </w:p>
    <w:p>
      <w:pPr>
        <w:spacing w:after="0" w:line="1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November 2019, the FASB issued ASU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This update eliminates certain exceptions for recognizing deferred taxes for investments, performing intra-period allocations and calculating income taxes in interim periods. The ASU also includes guidance to reduce complexity in certain income tax areas, including recognizing deferred taxes for tax goodwill and allocating taxes to members of a consolidated group. The standard will take effect for public business entities for fiscal years, and interim periods within those fiscal years, beginning after December 15, 2020. We are currently evaluating the impact the adoption of this ASU will have, if any, on our consolidated financial statements.</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This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in 2021. The ASU includes optional expedients and exceptions for applying GAAP to contracts, hedging relationships and other transactions affected by reference rate reform if certain criteria are met. The standard is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through December 31, 2022 for all entities that have contracts, hedging relationships, and other transactions that reference LIBOR or another reference rate expected to be discontinued because of reference rate reform. We are currently evaluating the impact the adoption of this ASU would have, if any, to our contract modifications that are affected by the discontinuation of LIBOR.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Arial" w:cs="Arial" w:eastAsia="Arial" w:hAnsi="Arial"/>
          <w:sz w:val="16"/>
          <w:szCs w:val="16"/>
          <w:i w:val="1"/>
          <w:iCs w:val="1"/>
          <w:color w:val="auto"/>
        </w:rPr>
        <w:t>Realized Investment Loss</w:t>
      </w:r>
      <w:r>
        <w:rPr>
          <w:rFonts w:ascii="Arial" w:cs="Arial" w:eastAsia="Arial" w:hAnsi="Arial"/>
          <w:sz w:val="16"/>
          <w:szCs w:val="16"/>
          <w:color w:val="auto"/>
        </w:rPr>
        <w:t>." To the extent we determine that a security impairment is credit-related, an impairment loss is recognized through the statement of operations as a provision for credit loss expense. The portion of a security impairment attributed to other non-credit related factors is recognized in other comprehensive income, net of taxes.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695"/>
              <w:spacing w:after="0"/>
              <w:rPr>
                <w:sz w:val="20"/>
                <w:szCs w:val="20"/>
                <w:color w:val="auto"/>
              </w:rPr>
            </w:pPr>
            <w:r>
              <w:rPr>
                <w:rFonts w:ascii="Arial" w:cs="Arial" w:eastAsia="Arial" w:hAnsi="Arial"/>
                <w:sz w:val="14"/>
                <w:szCs w:val="14"/>
                <w:b w:val="1"/>
                <w:bCs w:val="1"/>
                <w:color w:val="auto"/>
                <w:w w:val="92"/>
              </w:rPr>
              <w:t>Gross Unrealized</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center"/>
              <w:ind w:right="334"/>
              <w:spacing w:after="0"/>
              <w:rPr>
                <w:sz w:val="20"/>
                <w:szCs w:val="20"/>
                <w:color w:val="auto"/>
              </w:rPr>
            </w:pPr>
            <w:r>
              <w:rPr>
                <w:rFonts w:ascii="Arial" w:cs="Arial" w:eastAsia="Arial" w:hAnsi="Arial"/>
                <w:sz w:val="14"/>
                <w:szCs w:val="14"/>
                <w:b w:val="1"/>
                <w:bCs w:val="1"/>
                <w:color w:val="auto"/>
              </w:rPr>
              <w:t>Fair</w:t>
            </w:r>
          </w:p>
        </w:tc>
      </w:tr>
      <w:tr>
        <w:trPr>
          <w:trHeight w:val="196"/>
        </w:trPr>
        <w:tc>
          <w:tcPr>
            <w:tcW w:w="4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As of June 30, 2020</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3"/>
          </w:tcPr>
          <w:p>
            <w:pPr>
              <w:jc w:val="center"/>
              <w:ind w:left="675"/>
              <w:spacing w:after="0"/>
              <w:rPr>
                <w:sz w:val="20"/>
                <w:szCs w:val="20"/>
                <w:color w:val="auto"/>
              </w:rPr>
            </w:pPr>
            <w:r>
              <w:rPr>
                <w:rFonts w:ascii="Arial" w:cs="Arial" w:eastAsia="Arial" w:hAnsi="Arial"/>
                <w:sz w:val="14"/>
                <w:szCs w:val="14"/>
                <w:i w:val="1"/>
                <w:iCs w:val="1"/>
                <w:color w:val="auto"/>
                <w:w w:val="93"/>
              </w:rPr>
              <w:t>(In Thousands)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31,196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2,484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33,680</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175,035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7,743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182,778</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987,938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42,964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1,029,918</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92,278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93,039</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1,286,447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54,262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1,339,415</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356</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1,286,803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54,262</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1,339,771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765"/>
        </w:trPr>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695"/>
              <w:spacing w:after="0"/>
              <w:rPr>
                <w:sz w:val="20"/>
                <w:szCs w:val="20"/>
                <w:color w:val="auto"/>
              </w:rPr>
            </w:pPr>
            <w:r>
              <w:rPr>
                <w:rFonts w:ascii="Arial" w:cs="Arial" w:eastAsia="Arial" w:hAnsi="Arial"/>
                <w:sz w:val="14"/>
                <w:szCs w:val="14"/>
                <w:b w:val="1"/>
                <w:bCs w:val="1"/>
                <w:color w:val="auto"/>
                <w:w w:val="92"/>
              </w:rPr>
              <w:t>Gross Unrealized</w:t>
            </w: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center"/>
              <w:ind w:right="334"/>
              <w:spacing w:after="0"/>
              <w:rPr>
                <w:sz w:val="20"/>
                <w:szCs w:val="20"/>
                <w:color w:val="auto"/>
              </w:rPr>
            </w:pPr>
            <w:r>
              <w:rPr>
                <w:rFonts w:ascii="Arial" w:cs="Arial" w:eastAsia="Arial" w:hAnsi="Arial"/>
                <w:sz w:val="14"/>
                <w:szCs w:val="14"/>
                <w:b w:val="1"/>
                <w:bCs w:val="1"/>
                <w:color w:val="auto"/>
              </w:rPr>
              <w:t>Fair</w:t>
            </w:r>
          </w:p>
        </w:tc>
      </w:tr>
      <w:tr>
        <w:trPr>
          <w:trHeight w:val="195"/>
        </w:trPr>
        <w:tc>
          <w:tcPr>
            <w:tcW w:w="4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3"/>
          </w:tcPr>
          <w:p>
            <w:pPr>
              <w:jc w:val="center"/>
              <w:ind w:left="675"/>
              <w:spacing w:after="0"/>
              <w:rPr>
                <w:sz w:val="20"/>
                <w:szCs w:val="20"/>
                <w:color w:val="auto"/>
              </w:rPr>
            </w:pPr>
            <w:r>
              <w:rPr>
                <w:rFonts w:ascii="Arial" w:cs="Arial" w:eastAsia="Arial" w:hAnsi="Arial"/>
                <w:sz w:val="14"/>
                <w:szCs w:val="14"/>
                <w:i w:val="1"/>
                <w:iCs w:val="1"/>
                <w:color w:val="auto"/>
                <w:w w:val="93"/>
              </w:rPr>
              <w:t>(In Thousands)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48,203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48,929</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189,530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190,216</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661,719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23,373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684,881</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170,153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172,642</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1,069,605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28,481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1,096,668</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44,174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44,272</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1,113,779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28,579</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1,140,940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did not own any mortgage-backed securities in our asset-backed securities portfolio at June 30, 2020 or December 31, 2019. We periodically recognize unsettled trades payable or receivable in connection with our investing activity. Unsettled trades payable represent funds due for investments purchased at period end. Unsettled trades receivable represent funds due for investments sold at period end. Included in "Accounts Payable and Accrued Expenses" are $68.9 million and $5.6 million of unsettled trade payables from the purchase of investment securities at June 30, 2020 and December 31, 2019,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breakdown of the fair value of our corporate debt securities by issuer industry group as of June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84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 2020</w:t>
            </w:r>
          </w:p>
        </w:tc>
        <w:tc>
          <w:tcPr>
            <w:tcW w:w="17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Consumer</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26</w:t>
            </w:r>
          </w:p>
        </w:tc>
      </w:tr>
      <w:tr>
        <w:trPr>
          <w:trHeight w:val="27"/>
        </w:trPr>
        <w:tc>
          <w:tcPr>
            <w:tcW w:w="7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1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10</w:t>
            </w:r>
          </w:p>
        </w:tc>
      </w:tr>
      <w:tr>
        <w:trPr>
          <w:trHeight w:val="27"/>
        </w:trPr>
        <w:tc>
          <w:tcPr>
            <w:tcW w:w="7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8</w:t>
            </w:r>
          </w:p>
        </w:tc>
      </w:tr>
      <w:tr>
        <w:trPr>
          <w:trHeight w:val="27"/>
        </w:trPr>
        <w:tc>
          <w:tcPr>
            <w:tcW w:w="7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r>
      <w:tr>
        <w:trPr>
          <w:trHeight w:val="264"/>
        </w:trPr>
        <w:tc>
          <w:tcPr>
            <w:tcW w:w="7640" w:type="dxa"/>
            <w:vAlign w:val="bottom"/>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2"/>
                <w:szCs w:val="2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and December 31, 2019, approximately $5.7 million and $5.5 million, respectively, of our cash and investments were held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amortized cost and fair value of available-for-sale securities as of June 30, 2020 and December 31, 2019,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2020</w:t>
            </w:r>
          </w:p>
        </w:tc>
        <w:tc>
          <w:tcPr>
            <w:tcW w:w="3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4"/>
                <w:szCs w:val="14"/>
                <w:color w:val="auto"/>
              </w:rPr>
            </w:pPr>
          </w:p>
        </w:tc>
        <w:tc>
          <w:tcPr>
            <w:tcW w:w="1200" w:type="dxa"/>
            <w:vAlign w:val="bottom"/>
          </w:tcPr>
          <w:p>
            <w:pPr>
              <w:jc w:val="center"/>
              <w:ind w:right="4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72,505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73,072</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387,886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410,176</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716,261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744,725</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17,873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18,759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92,278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93,039</w:t>
            </w:r>
          </w:p>
        </w:tc>
        <w:tc>
          <w:tcPr>
            <w:tcW w:w="0" w:type="dxa"/>
            <w:vAlign w:val="bottom"/>
          </w:tcPr>
          <w:p>
            <w:pPr>
              <w:spacing w:after="0"/>
              <w:rPr>
                <w:sz w:val="1"/>
                <w:szCs w:val="1"/>
                <w:color w:val="auto"/>
              </w:rPr>
            </w:pPr>
          </w:p>
        </w:tc>
      </w:tr>
      <w:tr>
        <w:trPr>
          <w:trHeight w:val="263"/>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1,286,803</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1,339,771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32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24"/>
                <w:szCs w:val="24"/>
                <w:color w:val="auto"/>
              </w:rPr>
            </w:pPr>
          </w:p>
        </w:tc>
        <w:tc>
          <w:tcPr>
            <w:tcW w:w="1200" w:type="dxa"/>
            <w:vAlign w:val="bottom"/>
          </w:tcPr>
          <w:p>
            <w:pPr>
              <w:jc w:val="center"/>
              <w:ind w:right="4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138,776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139,113</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406,986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417,208</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380,737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394,180</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17,127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17,797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170,153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64"/>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1,113,779</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1,140,940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2020, the investment portfolio had gross unrealized losses of $1.3 million, of which $0.1 million had been in an unrealized loss position for a period of 12 months or longer. For those securities in an unrealized loss position, the length of time the length of time the securities were in such a position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3"/>
                <w:szCs w:val="13"/>
                <w:color w:val="auto"/>
              </w:rPr>
            </w:pPr>
          </w:p>
        </w:tc>
        <w:tc>
          <w:tcPr>
            <w:tcW w:w="94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3"/>
                <w:szCs w:val="13"/>
                <w:color w:val="auto"/>
              </w:rPr>
            </w:pPr>
          </w:p>
        </w:tc>
        <w:tc>
          <w:tcPr>
            <w:tcW w:w="720" w:type="dxa"/>
            <w:vAlign w:val="bottom"/>
          </w:tcPr>
          <w:p>
            <w:pPr>
              <w:jc w:val="right"/>
              <w:ind w:right="125"/>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3"/>
                <w:szCs w:val="13"/>
                <w:color w:val="auto"/>
              </w:rPr>
            </w:pPr>
          </w:p>
        </w:tc>
        <w:tc>
          <w:tcPr>
            <w:tcW w:w="94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w:t>
            </w:r>
          </w:p>
        </w:tc>
        <w:tc>
          <w:tcPr>
            <w:tcW w:w="960" w:type="dxa"/>
            <w:vAlign w:val="bottom"/>
            <w:gridSpan w:val="2"/>
            <w:vMerge w:val="restart"/>
          </w:tcPr>
          <w:p>
            <w:pPr>
              <w:jc w:val="right"/>
              <w:ind w:right="75"/>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8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9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7"/>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As of June 30, 2020</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5"/>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194,885</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195,438</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32,683</w:t>
            </w:r>
          </w:p>
        </w:tc>
        <w:tc>
          <w:tcPr>
            <w:tcW w:w="20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2,913</w:t>
            </w:r>
          </w:p>
        </w:tc>
        <w:tc>
          <w:tcPr>
            <w:tcW w:w="20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35,596</w:t>
            </w:r>
          </w:p>
        </w:tc>
        <w:tc>
          <w:tcPr>
            <w:tcW w:w="20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20" w:type="dxa"/>
            <w:vAlign w:val="bottom"/>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227,568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4"/>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12 Months or Greater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4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3"/>
                <w:szCs w:val="13"/>
                <w:color w:val="auto"/>
              </w:rPr>
            </w:pPr>
          </w:p>
        </w:tc>
        <w:tc>
          <w:tcPr>
            <w:tcW w:w="720" w:type="dxa"/>
            <w:vAlign w:val="bottom"/>
          </w:tcPr>
          <w:p>
            <w:pPr>
              <w:jc w:val="right"/>
              <w:ind w:right="105"/>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4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w:t>
            </w:r>
          </w:p>
        </w:tc>
        <w:tc>
          <w:tcPr>
            <w:tcW w:w="160" w:type="dxa"/>
            <w:vAlign w:val="bottom"/>
          </w:tcPr>
          <w:p>
            <w:pPr>
              <w:spacing w:after="0"/>
              <w:rPr>
                <w:sz w:val="13"/>
                <w:szCs w:val="13"/>
                <w:color w:val="auto"/>
              </w:rPr>
            </w:pPr>
          </w:p>
        </w:tc>
        <w:tc>
          <w:tcPr>
            <w:tcW w:w="8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3"/>
                <w:szCs w:val="13"/>
                <w:color w:val="auto"/>
              </w:rPr>
            </w:pPr>
          </w:p>
        </w:tc>
        <w:tc>
          <w:tcPr>
            <w:tcW w:w="8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7"/>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5"/>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w:t>
            </w: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U.S. government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92,844</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93,843</w:t>
            </w:r>
          </w:p>
        </w:tc>
        <w:tc>
          <w:tcPr>
            <w:tcW w:w="20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30,481</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23,976</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19,236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22,224</w:t>
            </w:r>
          </w:p>
        </w:tc>
        <w:tc>
          <w:tcPr>
            <w:tcW w:w="20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 for credit losses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June 30, 2020, we did not recognize an allowance for credit loss for any security in the investment portfolio and we did record any provision for credit loss for investment securities during the three or six months ended June 30, 2020. Based on current facts and circumstances, we believe the unrealized losses as of June 30, 2020 are not indicative of the ultimate collectability of the current amortized cost of the securities. We believe the gross unrealized losses are primarily attributable to widening credit spreads as a result of uncertainties arising from the COVID-19 pandemic.</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2019, we recognized $0.4 million other-than-temporarily impaired (OTTI) losses in connection with the planned sale of a security that was disposed of in April 2019.</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96"/>
        </w:trPr>
        <w:tc>
          <w:tcPr>
            <w:tcW w:w="42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196"/>
        </w:trPr>
        <w:tc>
          <w:tcPr>
            <w:tcW w:w="4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7,320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88"/>
              </w:rPr>
              <w:t>7,741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15,669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15,237</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Investment expenses</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ind w:right="35"/>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(225)</w:t>
            </w:r>
          </w:p>
        </w:tc>
      </w:tr>
      <w:tr>
        <w:trPr>
          <w:trHeight w:val="27"/>
        </w:trPr>
        <w:tc>
          <w:tcPr>
            <w:tcW w:w="4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88"/>
              </w:rPr>
              <w:t>7,629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15,174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15,012</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realized investment gains (losses):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96"/>
        </w:trPr>
        <w:tc>
          <w:tcPr>
            <w:tcW w:w="42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196"/>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realized investment gains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4,586</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center"/>
              <w:ind w:left="595"/>
              <w:spacing w:after="0"/>
              <w:rPr>
                <w:sz w:val="20"/>
                <w:szCs w:val="20"/>
                <w:color w:val="auto"/>
              </w:rPr>
            </w:pPr>
            <w:r>
              <w:rPr>
                <w:rFonts w:ascii="Arial" w:cs="Arial" w:eastAsia="Arial" w:hAnsi="Arial"/>
                <w:sz w:val="18"/>
                <w:szCs w:val="18"/>
                <w:color w:val="auto"/>
                <w:w w:val="86"/>
              </w:rPr>
              <w:t>217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Gross realized investment losses</w:t>
            </w:r>
          </w:p>
        </w:tc>
        <w:tc>
          <w:tcPr>
            <w:tcW w:w="10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1"/>
              </w:rPr>
              <w:t>(3,875)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w w:val="99"/>
              </w:rPr>
              <w:t>(135)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center"/>
              <w:ind w:left="575"/>
              <w:spacing w:after="0"/>
              <w:rPr>
                <w:sz w:val="20"/>
                <w:szCs w:val="20"/>
                <w:color w:val="auto"/>
              </w:rPr>
            </w:pPr>
            <w:r>
              <w:rPr>
                <w:rFonts w:ascii="Arial" w:cs="Arial" w:eastAsia="Arial" w:hAnsi="Arial"/>
                <w:sz w:val="18"/>
                <w:szCs w:val="18"/>
                <w:color w:val="auto"/>
                <w:w w:val="95"/>
              </w:rPr>
              <w:t>(517)</w:t>
            </w:r>
          </w:p>
        </w:tc>
      </w:tr>
      <w:tr>
        <w:trPr>
          <w:trHeight w:val="27"/>
        </w:trPr>
        <w:tc>
          <w:tcPr>
            <w:tcW w:w="4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investment gains (losses)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(113)</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95"/>
              </w:rPr>
              <w:t>(300)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 Fair value measurements based on quoted prices in active markets that we have the ability to access for identical assets or liabilities.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3"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Fair Value Measurements Using</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00" w:type="dxa"/>
            <w:vAlign w:val="bottom"/>
          </w:tcPr>
          <w:p>
            <w:pPr>
              <w:spacing w:after="0"/>
              <w:rPr>
                <w:sz w:val="13"/>
                <w:szCs w:val="13"/>
                <w:color w:val="auto"/>
              </w:rPr>
            </w:pPr>
          </w:p>
        </w:tc>
        <w:tc>
          <w:tcPr>
            <w:tcW w:w="14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 of June 30, 2020</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33,680</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33,680</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6"/>
              <w:spacing w:after="0"/>
              <w:rPr>
                <w:sz w:val="20"/>
                <w:szCs w:val="20"/>
                <w:color w:val="auto"/>
              </w:rPr>
            </w:pPr>
            <w:r>
              <w:rPr>
                <w:rFonts w:ascii="Arial" w:cs="Arial" w:eastAsia="Arial" w:hAnsi="Arial"/>
                <w:sz w:val="18"/>
                <w:szCs w:val="18"/>
                <w:color w:val="auto"/>
              </w:rPr>
              <w:t>182,778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182,778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1,029,918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1,029,918</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6"/>
              <w:spacing w:after="0"/>
              <w:rPr>
                <w:sz w:val="20"/>
                <w:szCs w:val="20"/>
                <w:color w:val="auto"/>
              </w:rPr>
            </w:pPr>
            <w:r>
              <w:rPr>
                <w:rFonts w:ascii="Arial" w:cs="Arial" w:eastAsia="Arial" w:hAnsi="Arial"/>
                <w:sz w:val="18"/>
                <w:szCs w:val="18"/>
                <w:color w:val="auto"/>
              </w:rPr>
              <w:t>93,039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93,039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515,806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515,806</w:t>
            </w:r>
          </w:p>
        </w:tc>
        <w:tc>
          <w:tcPr>
            <w:tcW w:w="0" w:type="dxa"/>
            <w:vAlign w:val="bottom"/>
          </w:tcPr>
          <w:p>
            <w:pPr>
              <w:spacing w:after="0"/>
              <w:rPr>
                <w:sz w:val="1"/>
                <w:szCs w:val="1"/>
                <w:color w:val="auto"/>
              </w:rPr>
            </w:pP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549,486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1,305,735</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1,855,221</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4"/>
        </w:trPr>
        <w:tc>
          <w:tcPr>
            <w:tcW w:w="4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Fair Value Measurements Using</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00" w:type="dxa"/>
            <w:vAlign w:val="bottom"/>
          </w:tcPr>
          <w:p>
            <w:pPr>
              <w:spacing w:after="0"/>
              <w:rPr>
                <w:sz w:val="13"/>
                <w:szCs w:val="13"/>
                <w:color w:val="auto"/>
              </w:rPr>
            </w:pPr>
          </w:p>
        </w:tc>
        <w:tc>
          <w:tcPr>
            <w:tcW w:w="14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48,929</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48,929</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6"/>
              <w:spacing w:after="0"/>
              <w:rPr>
                <w:sz w:val="20"/>
                <w:szCs w:val="20"/>
                <w:color w:val="auto"/>
              </w:rPr>
            </w:pPr>
            <w:r>
              <w:rPr>
                <w:rFonts w:ascii="Arial" w:cs="Arial" w:eastAsia="Arial" w:hAnsi="Arial"/>
                <w:sz w:val="18"/>
                <w:szCs w:val="18"/>
                <w:color w:val="auto"/>
              </w:rPr>
              <w:t>190,216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190,216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684,881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684,881</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6"/>
              <w:spacing w:after="0"/>
              <w:rPr>
                <w:sz w:val="20"/>
                <w:szCs w:val="20"/>
                <w:color w:val="auto"/>
              </w:rPr>
            </w:pPr>
            <w:r>
              <w:rPr>
                <w:rFonts w:ascii="Arial" w:cs="Arial" w:eastAsia="Arial" w:hAnsi="Arial"/>
                <w:sz w:val="18"/>
                <w:szCs w:val="18"/>
                <w:color w:val="auto"/>
              </w:rPr>
              <w:t>172,642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85,361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85,361</w:t>
            </w:r>
          </w:p>
        </w:tc>
        <w:tc>
          <w:tcPr>
            <w:tcW w:w="0" w:type="dxa"/>
            <w:vAlign w:val="bottom"/>
          </w:tcPr>
          <w:p>
            <w:pPr>
              <w:spacing w:after="0"/>
              <w:rPr>
                <w:sz w:val="1"/>
                <w:szCs w:val="1"/>
                <w:color w:val="auto"/>
              </w:rPr>
            </w:pP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134,290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1,047,739</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1,182,029</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7,641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7,641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transfers between Level 2 and Level 3 of the fair value hierarchy during the six months ended June 30, 2020, or the year ended December 31,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gridSpan w:val="4"/>
          </w:tcPr>
          <w:p>
            <w:pPr>
              <w:jc w:val="right"/>
              <w:ind w:right="450"/>
              <w:spacing w:after="0"/>
              <w:rPr>
                <w:sz w:val="20"/>
                <w:szCs w:val="20"/>
                <w:color w:val="auto"/>
              </w:rPr>
            </w:pPr>
            <w:r>
              <w:rPr>
                <w:rFonts w:ascii="Arial" w:cs="Arial" w:eastAsia="Arial" w:hAnsi="Arial"/>
                <w:sz w:val="18"/>
                <w:szCs w:val="18"/>
                <w:color w:val="auto"/>
                <w:w w:val="96"/>
              </w:rPr>
              <w:t>For the six months ended June 30,</w:t>
            </w:r>
          </w:p>
        </w:tc>
      </w:tr>
      <w:tr>
        <w:trPr>
          <w:trHeight w:val="27"/>
        </w:trPr>
        <w:tc>
          <w:tcPr>
            <w:tcW w:w="7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2019</w:t>
            </w:r>
          </w:p>
        </w:tc>
      </w:tr>
      <w:tr>
        <w:trPr>
          <w:trHeight w:val="27"/>
        </w:trPr>
        <w:tc>
          <w:tcPr>
            <w:tcW w:w="7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7,641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8"/>
              </w:rPr>
              <w:t>7,296</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 included in earnings</w:t>
            </w:r>
          </w:p>
        </w:tc>
        <w:tc>
          <w:tcPr>
            <w:tcW w:w="3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(4,723)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center"/>
              <w:ind w:left="330"/>
              <w:spacing w:after="0"/>
              <w:rPr>
                <w:sz w:val="20"/>
                <w:szCs w:val="20"/>
                <w:color w:val="auto"/>
              </w:rPr>
            </w:pPr>
            <w:r>
              <w:rPr>
                <w:rFonts w:ascii="Arial" w:cs="Arial" w:eastAsia="Arial" w:hAnsi="Arial"/>
                <w:sz w:val="18"/>
                <w:szCs w:val="18"/>
                <w:color w:val="auto"/>
                <w:w w:val="88"/>
              </w:rPr>
              <w:t>7,164</w:t>
            </w:r>
          </w:p>
        </w:tc>
      </w:tr>
      <w:tr>
        <w:trPr>
          <w:trHeight w:val="27"/>
        </w:trPr>
        <w:tc>
          <w:tcPr>
            <w:tcW w:w="7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common stock on warrant exercise</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4"/>
              </w:rPr>
              <w:t>(4,781)</w:t>
            </w:r>
          </w:p>
        </w:tc>
      </w:tr>
      <w:tr>
        <w:trPr>
          <w:trHeight w:val="264"/>
        </w:trPr>
        <w:tc>
          <w:tcPr>
            <w:tcW w:w="7680" w:type="dxa"/>
            <w:vAlign w:val="bottom"/>
          </w:tcPr>
          <w:p>
            <w:pPr>
              <w:ind w:left="20"/>
              <w:spacing w:after="0"/>
              <w:rPr>
                <w:sz w:val="20"/>
                <w:szCs w:val="20"/>
                <w:color w:val="auto"/>
              </w:rPr>
            </w:pPr>
            <w:r>
              <w:rPr>
                <w:rFonts w:ascii="Arial" w:cs="Arial" w:eastAsia="Arial" w:hAnsi="Arial"/>
                <w:sz w:val="18"/>
                <w:szCs w:val="18"/>
                <w:color w:val="auto"/>
              </w:rPr>
              <w:t>Balance, June 30</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center"/>
              <w:ind w:left="330"/>
              <w:spacing w:after="0"/>
              <w:rPr>
                <w:sz w:val="20"/>
                <w:szCs w:val="20"/>
                <w:color w:val="auto"/>
              </w:rPr>
            </w:pPr>
            <w:r>
              <w:rPr>
                <w:rFonts w:ascii="Arial" w:cs="Arial" w:eastAsia="Arial" w:hAnsi="Arial"/>
                <w:sz w:val="18"/>
                <w:szCs w:val="18"/>
                <w:color w:val="auto"/>
                <w:w w:val="88"/>
              </w:rPr>
              <w:t>9,679</w:t>
            </w: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outlines the key inputs and assumptions used to calculate the fair value of the warrant liability in the Black-Scholes option-pricing model as of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June 30,</w:t>
            </w:r>
          </w:p>
        </w:tc>
        <w:tc>
          <w:tcPr>
            <w:tcW w:w="1320" w:type="dxa"/>
            <w:vAlign w:val="bottom"/>
            <w:tcBorders>
              <w:bottom w:val="single" w:sz="8" w:color="auto"/>
            </w:tcBorders>
          </w:tcPr>
          <w:p>
            <w:pPr>
              <w:spacing w:after="0"/>
              <w:rPr>
                <w:sz w:val="16"/>
                <w:szCs w:val="16"/>
                <w:color w:val="auto"/>
              </w:rPr>
            </w:pPr>
          </w:p>
        </w:tc>
      </w:tr>
      <w:tr>
        <w:trPr>
          <w:trHeight w:val="196"/>
        </w:trPr>
        <w:tc>
          <w:tcPr>
            <w:tcW w:w="75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price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7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28.39</w:t>
            </w: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1.72 - 1.95%</w:t>
            </w:r>
          </w:p>
        </w:tc>
      </w:tr>
      <w:tr>
        <w:trPr>
          <w:trHeight w:val="27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w:t>
            </w:r>
          </w:p>
        </w:tc>
        <w:tc>
          <w:tcPr>
            <w:tcW w:w="440" w:type="dxa"/>
            <w:vAlign w:val="bottom"/>
            <w:shd w:val="clear" w:color="auto" w:fill="CCEEFF"/>
          </w:tcPr>
          <w:p>
            <w:pPr>
              <w:spacing w:after="0"/>
              <w:rPr>
                <w:sz w:val="23"/>
                <w:szCs w:val="23"/>
                <w:color w:val="auto"/>
              </w:rPr>
            </w:pPr>
          </w:p>
        </w:tc>
        <w:tc>
          <w:tcPr>
            <w:tcW w:w="19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1.81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0.92 - 2.81 years</w:t>
            </w: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33.8 - 40.0%</w:t>
            </w:r>
          </w:p>
        </w:tc>
      </w:tr>
      <w:tr>
        <w:trPr>
          <w:trHeight w:val="24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4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7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changes in fair value of the warrant liability for the six months ended June 30, 2020 and 2019 are primarily attributable to changes in the price of our common stock during the respective periods, with additional impact related to changes in other Black-Scholes model inputs. The change in fair value of the warrant liability for the six months ended June 30, 2019 also reflects the impact of the exercises of outstanding warrants.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19, 2020, we issued $400 million aggregate principal amount of senior secured notes that mature on June 1, 2025 (the Notes). At June 30, 2020, the Notes were carried at a cost of $392.8 million, net of unamortized debt issuance costs of $7.2 million, and had a fair value of $418.4 million as assessed under our Level 2 hierarchy. At December 31, 2019, our 2018 Term Loan was carried at a cost of $145.8 million, net of unamortized debt issuance costs of $2.0 million, and had a fair value of $147.8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Secured Notes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June 30, 2020, we had $400 million aggregate principal amount of senior secured notes outstanding. The Notes were issued pursuant to an indenture dated June 19, 2020 (the Indenture) and bear interest at a rate of 7.375%, payable semi-annually on June 1 and December 1. A portion of the proceeds from the Notes offering were used to repay the outstanding amount due under our $150 million term loan (2018 Term Loan) and to pay underwriting fees incurred in connection with the offering. Remaining proceeds of $244.4 million are available for general corporate purposes, including to support the growth of our new business production and operations.</w:t>
      </w:r>
    </w:p>
    <w:p>
      <w:pPr>
        <w:spacing w:after="0" w:line="13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 or (2) the principal value of the Note plus the present value of all future interest payments. At any time on or after March 1, 2025, we may elect to redeem the Notes in whole or in part at a price equal to 100% of the aggregate principal amount of the Notes to be redeemed plus accrued and unpaid interest thereon. From time to time prior to June 1, 2022, we may also elect to use proceeds raised from one or more equity offerings to redeem up to 40% of the aggregate principal amount of the Notes at a price equal to 107.375% of the aggregate principal amount thereof plus accrued and unpaid interest thereon, subject to certain exceptions.</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At June 30, 2020, $7.2 million of unamortized debt issuance costs remained.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three and six months ended June 30, 2020 includes $2.6 million of costs related to the extinguishment of the 2018 Term Loan and issuance of the Notes.</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subject to certain covenants under the Notes (as defined in the Indenture), including, but not limited to, a maximum debt-to-total capitalization ratio of 35%. We were in compliance with all Notes covenants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2020 Revolving Credit Facility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20, 2020, we amended our $85 million three-year secured revolving credit facility (the 2018 Revolving Credit Facility), increasing borrowing capacity under the facility to $100 million, extending its maturity date from May 24, 2021 to February 22, 2023, and reducing the interest cost related to both undrawn commitments and drawn borrowings under the facility (as amended, the 2020 Revolving Credit Facility). Borrowings under the 2020 Revolving Credit Facility may be used for general corporate purposes, including to support the growth of our new business production and operations, and accrue interest at a variable rate equal to, at our discretion, (i) a base rate (as defined in our existing credit agreement (the Credit Agreement), subject to a floor of 1.00% per annum) plus a margin of 0.375% to 1.875% per annum or (ii) the Eurodollar Rate (subject to a floor of —% per annum) plus a margin of 1.375% to 2.875% per annum, based on the applicable corporate credit rating at the time. As of June 30, 2020, no borrowings were drawn under the 2020 Revolving Credit Facility.</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the 2020 Revolving Credit Facility, we are required to pay a quarterly commitment fee on the average daily undrawn amount of 0.175% to 0.525%, based on the applicable corporate credit rating at the time. As of June 30, 2020, the applicable commitment fee was 0.35%. For the three and six months ended June 30, 2020, we recorded $0.1 million and $0.2 million of commitment fees in interest expense, respectively.</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incurred debt issuance costs of $0.8 million in connection with the 2020 Revolving Credit Facility and had $0.6 million of unamortized debt issuance costs associated with the 2018 Revolving Credit Facility remaining at the time of its amendment and replacement. Combined unamortized debt issuance will be amortized through interest expense on a straight-line basis over the contractual life of the 2020 Revolving Credit Facility. At June 30, 2020, remaining unamortized deferred debt issuance costs were $1.2 million.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certain covenants under the 2020 Revolving Credit Facility, including, but not limited to, the following: a maximum debt-to-total capitalization ratio of 35%, a minimum liquidity requirement, compliance with the PMIERs financial requirements (subject to any GSE approved waivers), and minimum consolidated net worth and statutory capital requirements (respectively, as defined therein). We were in compliance with all covenants at June 30,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June 30, 2019</w:t>
            </w:r>
          </w:p>
        </w:tc>
      </w:tr>
      <w:tr>
        <w:trPr>
          <w:trHeight w:val="196"/>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ind w:left="8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120"/>
              <w:spacing w:after="0"/>
              <w:rPr>
                <w:sz w:val="20"/>
                <w:szCs w:val="20"/>
                <w:color w:val="auto"/>
              </w:rPr>
            </w:pPr>
            <w:r>
              <w:rPr>
                <w:rFonts w:ascii="Arial" w:cs="Arial" w:eastAsia="Arial" w:hAnsi="Arial"/>
                <w:sz w:val="18"/>
                <w:szCs w:val="18"/>
                <w:color w:val="auto"/>
              </w:rPr>
              <w:t>Direct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108,478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92,213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480"/>
              <w:spacing w:after="0"/>
              <w:rPr>
                <w:sz w:val="20"/>
                <w:szCs w:val="20"/>
                <w:color w:val="auto"/>
              </w:rPr>
            </w:pPr>
            <w:r>
              <w:rPr>
                <w:rFonts w:ascii="Arial" w:cs="Arial" w:eastAsia="Arial" w:hAnsi="Arial"/>
                <w:sz w:val="18"/>
                <w:szCs w:val="18"/>
                <w:color w:val="auto"/>
              </w:rPr>
              <w:t>211,931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480"/>
              <w:spacing w:after="0"/>
              <w:rPr>
                <w:sz w:val="20"/>
                <w:szCs w:val="20"/>
                <w:color w:val="auto"/>
              </w:rPr>
            </w:pPr>
            <w:r>
              <w:rPr>
                <w:rFonts w:ascii="Arial" w:cs="Arial" w:eastAsia="Arial" w:hAnsi="Arial"/>
                <w:sz w:val="18"/>
                <w:szCs w:val="18"/>
                <w:color w:val="auto"/>
              </w:rPr>
              <w:t>173,943</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Ceded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(18,369)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(9,604)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(30,451)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(19,411)</w:t>
            </w:r>
          </w:p>
        </w:tc>
      </w:tr>
      <w:tr>
        <w:trPr>
          <w:trHeight w:val="264"/>
        </w:trPr>
        <w:tc>
          <w:tcPr>
            <w:tcW w:w="5260" w:type="dxa"/>
            <w:vAlign w:val="bottom"/>
          </w:tcPr>
          <w:p>
            <w:pPr>
              <w:ind w:left="120"/>
              <w:spacing w:after="0"/>
              <w:rPr>
                <w:sz w:val="20"/>
                <w:szCs w:val="20"/>
                <w:color w:val="auto"/>
              </w:rPr>
            </w:pPr>
            <w:r>
              <w:rPr>
                <w:rFonts w:ascii="Arial" w:cs="Arial" w:eastAsia="Arial" w:hAnsi="Arial"/>
                <w:sz w:val="18"/>
                <w:szCs w:val="18"/>
                <w:color w:val="auto"/>
              </w:rPr>
              <w:t>Net premiums written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90,109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82,609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181,480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154,532</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120,150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95,180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233,337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181,478</w:t>
            </w:r>
          </w:p>
        </w:tc>
      </w:tr>
      <w:tr>
        <w:trPr>
          <w:trHeight w:val="270"/>
        </w:trPr>
        <w:tc>
          <w:tcPr>
            <w:tcW w:w="5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Ceded </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(21,206)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(11,931)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(35,676)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(24,360)</w:t>
            </w:r>
          </w:p>
        </w:tc>
      </w:tr>
      <w:tr>
        <w:trPr>
          <w:trHeight w:val="288"/>
        </w:trPr>
        <w:tc>
          <w:tcPr>
            <w:tcW w:w="5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premiums earned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98,944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83,249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197,661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157,118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9"/>
          <w:szCs w:val="9"/>
          <w:color w:val="auto"/>
        </w:rPr>
      </w:pPr>
      <w:r>
        <w:rPr>
          <w:rFonts w:ascii="Arial" w:cs="Arial" w:eastAsia="Arial" w:hAnsi="Arial"/>
          <w:sz w:val="14"/>
          <w:szCs w:val="14"/>
          <w:color w:val="auto"/>
        </w:rPr>
        <w:t>Net of profit commission.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entered into excess-of-loss reinsurance agreements with Oaktown Re Ltd., Oaktown Re II Ltd. and Oaktown Re III Ltd. (special purpose reinsurance entities collectively referred to as the Oaktown Re Vehicles) effective May 2, 2017, July 25, 2018 and July 30, 2019, respectively. Each agreement provides NMIC with aggregate excess-of-loss reinsurance coverage on a defined portfolio of mortgage insurance policies written during a discrete period. Under each agreement, NMIC retains a first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NMIC makes risk premium payments to the Oaktown Re Vehicles for the applicable outstanding reinsurance coverage amount and pays an additional amount for anticipated operating expenses (capped at $300 thousand per year to Oaktown Re Ltd. and $250 thousand per year to Oaktown Re II, Ltd. and Oaktown Re III, Ltd.). NMIC ceded aggregate premiums to the Oaktown Re Vehicles of $3.3 million and $7.1 million during the three and six months ended June 30, 2020 and $2.9 million and $5.9 million during the three and six months ended June 30, 2019, respectively.</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NMIC applies claims paid on covered policies against its first layer aggregate retained loss exposure under each excess-of-loss agreement. NMIC did not cede any incurred losses on covered policies to the Oaktown Re Vehicles during the three and six months ended June 30, 2020 and 2019, as the aggregate first layer risk retention was not exhausted for each applicable agreement during such periods.</w:t>
      </w:r>
    </w:p>
    <w:p>
      <w:pPr>
        <w:spacing w:after="0" w:line="13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We refer to NMIC's reinsurance agreements with and the insurance-linked note issuances by Oaktown Re Ltd., Oaktown Re II, Ltd. and Oaktown Re III, Ltd. individually as the 2017 ILN Transaction, 2018 ILN Transaction and 2019 ILN Transaction, and collectively as the ILN Transactions.</w:t>
      </w:r>
    </w:p>
    <w:p>
      <w:pPr>
        <w:spacing w:after="0" w:line="11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1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inception date, covered production period, initial and current reinsurance coverage amount, and initial and current first layer retained aggregate loss under each of the ILN Transactions. Current amounts are presented as of June 30,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Initial First Layer</w:t>
            </w:r>
          </w:p>
        </w:tc>
        <w:tc>
          <w:tcPr>
            <w:tcW w:w="120" w:type="dxa"/>
            <w:vAlign w:val="bottom"/>
          </w:tcPr>
          <w:p>
            <w:pPr>
              <w:spacing w:after="0"/>
              <w:rPr>
                <w:sz w:val="14"/>
                <w:szCs w:val="14"/>
                <w:color w:val="auto"/>
              </w:rPr>
            </w:pPr>
          </w:p>
        </w:tc>
        <w:tc>
          <w:tcPr>
            <w:tcW w:w="1140" w:type="dxa"/>
            <w:vAlign w:val="bottom"/>
          </w:tcPr>
          <w:p>
            <w:pPr>
              <w:jc w:val="right"/>
              <w:ind w:right="139"/>
              <w:spacing w:after="0"/>
              <w:rPr>
                <w:sz w:val="20"/>
                <w:szCs w:val="20"/>
                <w:color w:val="auto"/>
              </w:rPr>
            </w:pPr>
            <w:r>
              <w:rPr>
                <w:rFonts w:ascii="Arial" w:cs="Arial" w:eastAsia="Arial" w:hAnsi="Arial"/>
                <w:sz w:val="14"/>
                <w:szCs w:val="14"/>
                <w:b w:val="1"/>
                <w:bCs w:val="1"/>
                <w:color w:val="auto"/>
              </w:rPr>
              <w:t>Current First</w:t>
            </w:r>
          </w:p>
        </w:tc>
        <w:tc>
          <w:tcPr>
            <w:tcW w:w="0" w:type="dxa"/>
            <w:vAlign w:val="bottom"/>
          </w:tcPr>
          <w:p>
            <w:pPr>
              <w:spacing w:after="0"/>
              <w:rPr>
                <w:sz w:val="1"/>
                <w:szCs w:val="1"/>
                <w:color w:val="auto"/>
              </w:rPr>
            </w:pPr>
          </w:p>
        </w:tc>
      </w:tr>
      <w:tr>
        <w:trPr>
          <w:trHeight w:val="135"/>
        </w:trPr>
        <w:tc>
          <w:tcPr>
            <w:tcW w:w="2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Inception Date</w:t>
            </w:r>
          </w:p>
        </w:tc>
        <w:tc>
          <w:tcPr>
            <w:tcW w:w="120" w:type="dxa"/>
            <w:vAlign w:val="bottom"/>
            <w:vMerge w:val="restart"/>
          </w:tcPr>
          <w:p>
            <w:pPr>
              <w:spacing w:after="0"/>
              <w:rPr>
                <w:sz w:val="11"/>
                <w:szCs w:val="11"/>
                <w:color w:val="auto"/>
              </w:rPr>
            </w:pPr>
          </w:p>
        </w:tc>
        <w:tc>
          <w:tcPr>
            <w:tcW w:w="21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Covered Production</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Reinsurance</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Reinsurance</w:t>
            </w: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ind w:right="79"/>
              <w:spacing w:after="0" w:line="135" w:lineRule="exact"/>
              <w:rPr>
                <w:sz w:val="20"/>
                <w:szCs w:val="20"/>
                <w:color w:val="auto"/>
              </w:rPr>
            </w:pPr>
            <w:r>
              <w:rPr>
                <w:rFonts w:ascii="Arial" w:cs="Arial" w:eastAsia="Arial" w:hAnsi="Arial"/>
                <w:sz w:val="14"/>
                <w:szCs w:val="14"/>
                <w:b w:val="1"/>
                <w:bCs w:val="1"/>
                <w:color w:val="auto"/>
                <w:w w:val="95"/>
              </w:rPr>
              <w:t>Layer Retained</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Retained 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44"/>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 ILN Transaction</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May 2, 2017</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1/1/2013 - 12/31/2016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211,320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40,226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126,793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122,034</w:t>
            </w:r>
          </w:p>
        </w:tc>
        <w:tc>
          <w:tcPr>
            <w:tcW w:w="0" w:type="dxa"/>
            <w:vAlign w:val="bottom"/>
          </w:tcPr>
          <w:p>
            <w:pPr>
              <w:spacing w:after="0"/>
              <w:rPr>
                <w:sz w:val="1"/>
                <w:szCs w:val="1"/>
                <w:color w:val="auto"/>
              </w:rPr>
            </w:pPr>
          </w:p>
        </w:tc>
      </w:tr>
      <w:tr>
        <w:trPr>
          <w:trHeight w:val="243"/>
        </w:trPr>
        <w:tc>
          <w:tcPr>
            <w:tcW w:w="2000" w:type="dxa"/>
            <w:vAlign w:val="bottom"/>
          </w:tcPr>
          <w:p>
            <w:pPr>
              <w:ind w:left="20"/>
              <w:spacing w:after="0"/>
              <w:rPr>
                <w:sz w:val="20"/>
                <w:szCs w:val="20"/>
                <w:color w:val="auto"/>
              </w:rPr>
            </w:pPr>
            <w:r>
              <w:rPr>
                <w:rFonts w:ascii="Arial" w:cs="Arial" w:eastAsia="Arial" w:hAnsi="Arial"/>
                <w:sz w:val="18"/>
                <w:szCs w:val="18"/>
                <w:color w:val="auto"/>
              </w:rPr>
              <w:t>2018 ILN Transaction</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25, 2018</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264,545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158,489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125,312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123,694</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ILN Transaction</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30, 2019</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326,905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231,877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123,424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123,345</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right="520" w:hanging="332"/>
        <w:spacing w:after="0" w:line="273" w:lineRule="auto"/>
        <w:tabs>
          <w:tab w:leader="none" w:pos="161" w:val="left"/>
        </w:tabs>
        <w:numPr>
          <w:ilvl w:val="0"/>
          <w:numId w:val="12"/>
        </w:numPr>
        <w:rPr>
          <w:rFonts w:ascii="Arial" w:cs="Arial" w:eastAsia="Arial" w:hAnsi="Arial"/>
          <w:sz w:val="9"/>
          <w:szCs w:val="9"/>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terms of the 2018 ILN Transaction and the 2019 ILN Transaction, we are required to maintain a certain level of restricted funds in premium deposit accounts with Bank of New York Mellon until the respective notes have been redeemed in full. "Cash and cash equivalents" on our condensed consolidated balance sheet includes restricted amounts of $2.1 million as of June 30, 2020. We are not required to deposit additional funds into the premium deposit accounts in the future and the restricted balances required under these transactions.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is a party to three outstanding quota share reinsurance treaties – the 2016 QSR Transaction, effective September 1, 2016, the 2018 QSR Transaction, effective January 1, 2018 and the 2020 QSR Transaction, effective April 1, 2020.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8"/>
          <w:szCs w:val="18"/>
          <w:color w:val="212529"/>
        </w:rPr>
        <w:t>The 2016 QSR Transaction is scheduled to terminate</w:t>
      </w:r>
      <w:r>
        <w:rPr>
          <w:rFonts w:ascii="Arial" w:cs="Arial" w:eastAsia="Arial" w:hAnsi="Arial"/>
          <w:sz w:val="18"/>
          <w:szCs w:val="18"/>
          <w:color w:val="auto"/>
        </w:rPr>
        <w:t xml:space="preserve"> </w:t>
      </w:r>
      <w:r>
        <w:rPr>
          <w:rFonts w:ascii="Arial" w:cs="Arial" w:eastAsia="Arial" w:hAnsi="Arial"/>
          <w:sz w:val="18"/>
          <w:szCs w:val="18"/>
          <w:color w:val="212529"/>
        </w:rPr>
        <w:t>on 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re-assuming the related risk.</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re-assuming the related risk.</w:t>
      </w:r>
    </w:p>
    <w:p>
      <w:pPr>
        <w:spacing w:after="0" w:line="13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terms of the 2020 QSR Transaction, NMIC cedes premiums earned related to eligible policies written from April 1, 2020 to December 31, 2020 (Eligible Policies). At the time the 2020 QSR Transaction agreement was executed, NMIC ceded premiums earned related to 10.5% of the risk on the Eligible Policies, and subsequent to the execution of the agreement, we engaged additional reinsurance counterparties and increased the cession under the 2020 QSR Transaction to 21.0% of the risk on the Eligible Policies, subject in all respects to the terms of the agreement. Financial results for the three and six months ended June 30, 2020</w:t>
      </w:r>
      <w:r>
        <w:rPr>
          <w:rFonts w:ascii="Arial" w:cs="Arial" w:eastAsia="Arial" w:hAnsi="Arial"/>
          <w:sz w:val="16"/>
          <w:szCs w:val="16"/>
          <w:color w:val="auto"/>
          <w:strike w:val="1"/>
        </w:rPr>
        <w:t>,</w:t>
      </w:r>
      <w:r>
        <w:rPr>
          <w:rFonts w:ascii="Arial" w:cs="Arial" w:eastAsia="Arial" w:hAnsi="Arial"/>
          <w:sz w:val="16"/>
          <w:szCs w:val="16"/>
          <w:color w:val="auto"/>
        </w:rPr>
        <w:t xml:space="preserve"> reflect the initial 10.5% cession rate under the 2020 QSR Transaction. The 2020 QSR Transaction is scheduled to terminate on December 31, 2031. NMIC has the option, based on certain conditions and subject to a termination fee, to terminate the agreement as of December 31, 2024, or at the end of any calendar quarter thereafter, which would result in NMIC re-assuming the related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-501650</wp:posOffset>
            </wp:positionV>
            <wp:extent cx="28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related to the QSR Transactions: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4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June 30, 2020</w:t>
            </w: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June 30, 2020</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2019</w:t>
            </w:r>
          </w:p>
        </w:tc>
      </w:tr>
      <w:tr>
        <w:trPr>
          <w:trHeight w:val="196"/>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4"/>
          </w:tcPr>
          <w:p>
            <w:pPr>
              <w:jc w:val="right"/>
              <w:ind w:right="1095"/>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risk-in-force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4,563,676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4,558,862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4,563,676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4,558,862</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Ceded premiums earned</w:t>
            </w:r>
          </w:p>
        </w:tc>
        <w:tc>
          <w:tcPr>
            <w:tcW w:w="2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(23,210)</w:t>
            </w:r>
          </w:p>
        </w:tc>
        <w:tc>
          <w:tcPr>
            <w:tcW w:w="3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(20,919)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(46,221)</w:t>
            </w:r>
          </w:p>
        </w:tc>
        <w:tc>
          <w:tcPr>
            <w:tcW w:w="3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(42,387)</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claims and claim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8,669</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10,201</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1,669</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Ceding commission earned</w:t>
            </w:r>
          </w:p>
        </w:tc>
        <w:tc>
          <w:tcPr>
            <w:tcW w:w="240" w:type="dxa"/>
            <w:vAlign w:val="bottom"/>
          </w:tcPr>
          <w:p>
            <w:pPr>
              <w:spacing w:after="0"/>
              <w:rPr>
                <w:sz w:val="21"/>
                <w:szCs w:val="21"/>
                <w:color w:val="auto"/>
              </w:rPr>
            </w:pP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4,428</w:t>
            </w:r>
          </w:p>
        </w:tc>
        <w:tc>
          <w:tcPr>
            <w:tcW w:w="340" w:type="dxa"/>
            <w:vAlign w:val="bottom"/>
          </w:tcPr>
          <w:p>
            <w:pPr>
              <w:spacing w:after="0"/>
              <w:rPr>
                <w:sz w:val="21"/>
                <w:szCs w:val="21"/>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8,941</w:t>
            </w:r>
          </w:p>
        </w:tc>
        <w:tc>
          <w:tcPr>
            <w:tcW w:w="34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8,377</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commission</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5,271</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11,884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17,684</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23,945</w:t>
            </w:r>
          </w:p>
        </w:tc>
      </w:tr>
      <w:tr>
        <w:trPr>
          <w:trHeight w:val="27"/>
        </w:trPr>
        <w:tc>
          <w:tcPr>
            <w:tcW w:w="4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Ceded premiums written under the 2016 QSR Transaction are recorded on the balance sheet as prepaid reinsurance premiums and amortized to ceded premiums earned in a manner consistent with the recognition of revenue on direct premiums. Under the 2018 QSR Transaction and 2020 QSR Transactions,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QSR Transaction, 2018 QSR Transaction and 2020 QSR Transaction, generally remain below 60%, 61% and 50%, respectively, as measured annually. Ceded claims and claim expenses under each of the QSR Transactions reduce the respective profit commission received by NMIC on a dollar-for-dollar basis.</w:t>
      </w:r>
    </w:p>
    <w:p>
      <w:pPr>
        <w:spacing w:after="0" w:line="14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$4.9 million as of June 30, 2020.</w:t>
      </w:r>
    </w:p>
    <w:p>
      <w:pPr>
        <w:spacing w:after="0" w:line="12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accordance with the terms of the 2018 and 2020 QSR Transactions, cash payments for ceded premiums earned are settled on a quarterly basis, offset by amounts due to NMIC for ceding and profit commissions. Any loss recoveries and any potential profit commission to NMIC are also settled quarterly. NMIC's reinsurance recoverable balance is supported by trust accounts established and maintained by each reinsurer in accordance with the PMIERs funding requirements for risk ceded to non-affiliates. The reinsurance recoverable on loss reserves related to the 2018 QSR Transaction was $9.4 million as of June 30, 2020. The reinsurance recoverable on loss reserves related to the 2020 QSR Transaction were immaterial as of June 30,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w:t>
      </w:r>
    </w:p>
    <w:p>
      <w:pPr>
        <w:spacing w:after="0" w:line="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not reported (IBNR) reserves. We also establish reserves for claim expenses, which represent the estimated cost of the claim administration process, including legal and other fees, as well as other general expenses of administering the claim settlement process. As of June 30, 2020, we had 10,816 primary loans in default and held gross reserves for insurance claims and claim expenses of $69.9 million. During the six months ended June 30, 2020, we paid 83 claims totaling $4.1 million, including 78 claims covered under the QSR Transactions representing $0.8 million of ceded claims and claim expenses.</w:t>
      </w:r>
    </w:p>
    <w:p>
      <w:pPr>
        <w:spacing w:after="0" w:line="10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June 30, 2020, 231 loans in the pool were in default. These 231 loans represented approximately $19.6 million of RIF. Due to the size of the remaining deductible, the low level of defaults reported to us on loans in the pool through June 30, 2020 and the expected severity (all loans in the pool have loan-to-value (LTV) ratios under 80%), we did not establish any case or IBNR reserves for pool risk at June 30, 2020. In connection with the settlement of pool claims, we applied $0.9 million to the pool deductible through June 30, 2020. At June 30, 2020, the remaining pool deductible was $9.5 million. We have not paid any pool claims to date. 100% of our pool RIF is reinsured under the 2016 QSR Transaction.</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10,816 loans in default in our primary insured portfolio as of June 30, 2020, which represented a 2.90%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 against 372,934 total policies in-force. We had 1,028 loans in default in our primary insured portfolio as of June 30, 2019, which represented a 0.32% default rate against 324,876 total policies in-force. The increase in our default population is primarily due to challenges borrowers are facing related to the COVID-19 outbreak and their decision to access the forbearance program for federally backed loans codified under the Coronavirus Aid, Relief and Economic Security (CARES) Act or similar programs made available by private lenders.</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 In response to the COVID-19 outbreak, the FHFA and GSEs have introduced new repayment and loan modification options to further assist borrowers with their transition out of forbearance programs and default status.</w:t>
      </w:r>
    </w:p>
    <w:p>
      <w:pPr>
        <w:spacing w:after="0" w:line="131"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6"/>
          <w:szCs w:val="16"/>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w:t>
      </w:r>
    </w:p>
    <w:p>
      <w:pPr>
        <w:jc w:val="both"/>
        <w:spacing w:after="0" w:line="296" w:lineRule="auto"/>
        <w:rPr>
          <w:sz w:val="20"/>
          <w:szCs w:val="20"/>
          <w:color w:val="auto"/>
        </w:rPr>
      </w:pPr>
      <w:r>
        <w:rPr>
          <w:rFonts w:ascii="Arial" w:cs="Arial" w:eastAsia="Arial" w:hAnsi="Arial"/>
          <w:sz w:val="16"/>
          <w:szCs w:val="16"/>
          <w:color w:val="auto"/>
        </w:rPr>
        <w:t>during the forbearance period over an extended length of time. At June 30, 2020,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While we established lower reserves per defaulted loan at June 30, 2020, our total reserve position and claims and claims expenses increased substantially as of and during the period ended June 30, 2020 due to the significant increase in the size of our default population.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gross reserve balances for primary insurance claims and claim expenses: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680" w:type="dxa"/>
            <w:vAlign w:val="bottom"/>
            <w:tcBorders>
              <w:bottom w:val="single" w:sz="8" w:color="auto"/>
            </w:tcBorders>
          </w:tcPr>
          <w:p>
            <w:pPr>
              <w:spacing w:after="0"/>
              <w:rPr>
                <w:sz w:val="16"/>
                <w:szCs w:val="16"/>
                <w:color w:val="auto"/>
              </w:rPr>
            </w:pPr>
          </w:p>
        </w:tc>
      </w:tr>
      <w:tr>
        <w:trPr>
          <w:trHeight w:val="196"/>
        </w:trPr>
        <w:tc>
          <w:tcPr>
            <w:tcW w:w="76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gridSpan w:val="3"/>
          </w:tcPr>
          <w:p>
            <w:pPr>
              <w:jc w:val="right"/>
              <w:ind w:right="576"/>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7"/>
                <w:szCs w:val="17"/>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4"/>
              </w:rPr>
              <w:t>23,752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12,811</w:t>
            </w:r>
          </w:p>
        </w:tc>
      </w:tr>
      <w:tr>
        <w:trPr>
          <w:trHeight w:val="27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8"/>
              </w:rPr>
              <w:t>(4,939)</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(3,001)</w:t>
            </w:r>
          </w:p>
        </w:tc>
      </w:tr>
      <w:tr>
        <w:trPr>
          <w:trHeight w:val="26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4"/>
              </w:rPr>
              <w:t>18,813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9,810</w:t>
            </w:r>
          </w:p>
        </w:tc>
      </w:tr>
      <w:tr>
        <w:trPr>
          <w:trHeight w:val="88"/>
        </w:trPr>
        <w:tc>
          <w:tcPr>
            <w:tcW w:w="768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incurred:</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4"/>
              </w:rPr>
              <w:t>42,516</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7,401</w:t>
            </w:r>
          </w:p>
        </w:tc>
      </w:tr>
      <w:tr>
        <w:trPr>
          <w:trHeight w:val="270"/>
        </w:trPr>
        <w:tc>
          <w:tcPr>
            <w:tcW w:w="76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8"/>
              </w:rPr>
              <w:t>(2,485)</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(1,735)</w:t>
            </w:r>
          </w:p>
        </w:tc>
      </w:tr>
      <w:tr>
        <w:trPr>
          <w:trHeight w:val="26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and claim expenses incurred</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4"/>
              </w:rPr>
              <w:t>40,031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5,666</w:t>
            </w:r>
          </w:p>
        </w:tc>
      </w:tr>
      <w:tr>
        <w:trPr>
          <w:trHeight w:val="129"/>
        </w:trPr>
        <w:tc>
          <w:tcPr>
            <w:tcW w:w="76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tcPr>
          <w:p>
            <w:pPr>
              <w:ind w:left="480"/>
              <w:spacing w:after="0"/>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1040" w:type="dxa"/>
            <w:vAlign w:val="bottom"/>
          </w:tcPr>
          <w:p>
            <w:pPr>
              <w:spacing w:after="0"/>
              <w:rPr>
                <w:sz w:val="23"/>
                <w:szCs w:val="23"/>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3,209</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1,368</w:t>
            </w:r>
          </w:p>
        </w:tc>
      </w:tr>
      <w:tr>
        <w:trPr>
          <w:trHeight w:val="27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xml:space="preserve">Reinsurance terminations </w:t>
            </w:r>
            <w:r>
              <w:rPr>
                <w:rFonts w:ascii="Arial" w:cs="Arial" w:eastAsia="Arial" w:hAnsi="Arial"/>
                <w:sz w:val="23"/>
                <w:szCs w:val="23"/>
                <w:color w:val="auto"/>
                <w:vertAlign w:val="superscript"/>
              </w:rPr>
              <w:t>(4)</w:t>
            </w:r>
          </w:p>
        </w:tc>
        <w:tc>
          <w:tcPr>
            <w:tcW w:w="10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 claims and claim expenses paid</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819</w:t>
            </w:r>
          </w:p>
        </w:tc>
      </w:tr>
      <w:tr>
        <w:trPr>
          <w:trHeight w:val="27"/>
        </w:trPr>
        <w:tc>
          <w:tcPr>
            <w:tcW w:w="7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88"/>
        </w:trPr>
        <w:tc>
          <w:tcPr>
            <w:tcW w:w="76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04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w w:val="94"/>
              </w:rPr>
              <w:t>55,596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w w:val="90"/>
              </w:rPr>
              <w:t>14,657</w:t>
            </w:r>
          </w:p>
        </w:tc>
      </w:tr>
      <w:tr>
        <w:trPr>
          <w:trHeight w:val="27"/>
        </w:trPr>
        <w:tc>
          <w:tcPr>
            <w:tcW w:w="7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3"/>
                <w:szCs w:val="23"/>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4"/>
              </w:rPr>
              <w:t>14,307</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3,775</w:t>
            </w:r>
          </w:p>
        </w:tc>
      </w:tr>
      <w:tr>
        <w:trPr>
          <w:trHeight w:val="264"/>
        </w:trPr>
        <w:tc>
          <w:tcPr>
            <w:tcW w:w="76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4"/>
              </w:rPr>
              <w:t>69,903</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18,432</w:t>
            </w: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color w:val="auto"/>
        </w:rPr>
      </w:pPr>
      <w:r>
        <w:rPr>
          <w:rFonts w:ascii="Arial" w:cs="Arial" w:eastAsia="Arial" w:hAnsi="Arial"/>
          <w:sz w:val="14"/>
          <w:szCs w:val="14"/>
          <w:color w:val="auto"/>
        </w:rPr>
        <w:t>Related to ceded losses recoverable under the QSR Transactions. See Note 5,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spacing w:after="0" w:line="13" w:lineRule="exact"/>
        <w:rPr>
          <w:rFonts w:ascii="Arial" w:cs="Arial" w:eastAsia="Arial" w:hAnsi="Arial"/>
          <w:sz w:val="9"/>
          <w:szCs w:val="9"/>
          <w:color w:val="auto"/>
        </w:rPr>
      </w:pPr>
    </w:p>
    <w:p>
      <w:pPr>
        <w:ind w:left="340" w:right="20" w:hanging="332"/>
        <w:spacing w:after="0" w:line="241" w:lineRule="auto"/>
        <w:tabs>
          <w:tab w:leader="none" w:pos="148" w:val="left"/>
        </w:tabs>
        <w:numPr>
          <w:ilvl w:val="0"/>
          <w:numId w:val="13"/>
        </w:numPr>
        <w:rPr>
          <w:rFonts w:ascii="Arial" w:cs="Arial" w:eastAsia="Arial" w:hAnsi="Arial"/>
          <w:sz w:val="9"/>
          <w:szCs w:val="9"/>
          <w:color w:val="auto"/>
        </w:rPr>
      </w:pPr>
      <w:r>
        <w:rPr>
          <w:rFonts w:ascii="Arial" w:cs="Arial" w:eastAsia="Arial" w:hAnsi="Arial"/>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w:t>
      </w: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3"/>
          <w:szCs w:val="13"/>
          <w:color w:val="auto"/>
        </w:rPr>
        <w:t>Related to insured loans with defaults occurring in prior years, which have been continuously in default before the start of the current year. Amounts are presented net of reinsurance.</w:t>
      </w:r>
    </w:p>
    <w:p>
      <w:pPr>
        <w:spacing w:after="0" w:line="12" w:lineRule="exact"/>
        <w:rPr>
          <w:rFonts w:ascii="Arial" w:cs="Arial" w:eastAsia="Arial" w:hAnsi="Arial"/>
          <w:sz w:val="9"/>
          <w:szCs w:val="9"/>
          <w:color w:val="auto"/>
        </w:rPr>
      </w:pPr>
    </w:p>
    <w:p>
      <w:pPr>
        <w:ind w:left="340" w:hanging="332"/>
        <w:spacing w:after="0" w:line="255" w:lineRule="auto"/>
        <w:tabs>
          <w:tab w:leader="none" w:pos="185" w:val="left"/>
        </w:tabs>
        <w:numPr>
          <w:ilvl w:val="0"/>
          <w:numId w:val="13"/>
        </w:numPr>
        <w:rPr>
          <w:rFonts w:ascii="Arial" w:cs="Arial" w:eastAsia="Arial" w:hAnsi="Arial"/>
          <w:sz w:val="9"/>
          <w:szCs w:val="9"/>
          <w:color w:val="auto"/>
        </w:rPr>
      </w:pPr>
      <w:r>
        <w:rPr>
          <w:rFonts w:ascii="Arial" w:cs="Arial" w:eastAsia="Arial" w:hAnsi="Arial"/>
          <w:sz w:val="14"/>
          <w:szCs w:val="14"/>
          <w:color w:val="auto"/>
        </w:rPr>
        <w:t>Represents the settlement of reinsurance recoverables in conjunction with the termination of one reinsurer under the 2016 QSR Transaction on a cut-off basis. See Note 5, "Reinsurance" for additional information.</w:t>
      </w:r>
    </w:p>
    <w:p>
      <w:pPr>
        <w:spacing w:after="0" w:line="13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"claims incurred" section of the table above shows claims and claim expenses incurred on defaults occurring in current and prior years, including IBNR reserves and is presented net of reinsurance. The amount of claims incurred relating to current year defaults represents the estimated amount of claims and claim expenses to ultimately be paid on such loans. We recognized $2.5 million and $1.7 million of favorable prior year development during the six months ended June 30, 2020 and 2019, respectively, primarily due to the curing of previously reported defaults. We may increase or decrease our claim estimates and reserves as we learn additional information about individual defaulted loans, and continue to observe and analyze loss development trends in our portfolio. Gross reserves of $16.5 million related to prior year defaults remained as of June 30,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 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EPS of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400" w:type="dxa"/>
            <w:vAlign w:val="bottom"/>
            <w:gridSpan w:val="6"/>
          </w:tcPr>
          <w:p>
            <w:pPr>
              <w:ind w:left="520"/>
              <w:spacing w:after="0"/>
              <w:rPr>
                <w:sz w:val="20"/>
                <w:szCs w:val="20"/>
                <w:color w:val="auto"/>
              </w:rPr>
            </w:pPr>
            <w:r>
              <w:rPr>
                <w:rFonts w:ascii="Arial" w:cs="Arial" w:eastAsia="Arial" w:hAnsi="Arial"/>
                <w:sz w:val="14"/>
                <w:szCs w:val="14"/>
                <w:b w:val="1"/>
                <w:bCs w:val="1"/>
                <w:color w:val="auto"/>
              </w:rPr>
              <w:t>For the three months ended June 30,</w:t>
            </w:r>
          </w:p>
        </w:tc>
        <w:tc>
          <w:tcPr>
            <w:tcW w:w="360" w:type="dxa"/>
            <w:vAlign w:val="bottom"/>
          </w:tcPr>
          <w:p>
            <w:pPr>
              <w:spacing w:after="0"/>
              <w:rPr>
                <w:sz w:val="16"/>
                <w:szCs w:val="16"/>
                <w:color w:val="auto"/>
              </w:rPr>
            </w:pPr>
          </w:p>
        </w:tc>
        <w:tc>
          <w:tcPr>
            <w:tcW w:w="29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For the six months ended June 30,</w:t>
            </w:r>
          </w:p>
        </w:tc>
      </w:tr>
      <w:tr>
        <w:trPr>
          <w:trHeight w:val="196"/>
        </w:trPr>
        <w:tc>
          <w:tcPr>
            <w:tcW w:w="45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196"/>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5"/>
          </w:tcPr>
          <w:p>
            <w:pPr>
              <w:ind w:left="180"/>
              <w:spacing w:after="0"/>
              <w:rPr>
                <w:sz w:val="20"/>
                <w:szCs w:val="20"/>
                <w:color w:val="auto"/>
              </w:rPr>
            </w:pPr>
            <w:r>
              <w:rPr>
                <w:rFonts w:ascii="Arial" w:cs="Arial" w:eastAsia="Arial" w:hAnsi="Arial"/>
                <w:sz w:val="14"/>
                <w:szCs w:val="14"/>
                <w:i w:val="1"/>
                <w:iCs w:val="1"/>
                <w:color w:val="auto"/>
              </w:rPr>
              <w:t>(In Thousands, except for per share data)</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26,848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85,119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71,999</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9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73,617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67,590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71,090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67,143</w:t>
            </w:r>
          </w:p>
        </w:tc>
      </w:tr>
      <w:tr>
        <w:trPr>
          <w:trHeight w:val="27"/>
        </w:trPr>
        <w:tc>
          <w:tcPr>
            <w:tcW w:w="4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26,848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71,999</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Gain from change in fair value of warrant liability</w:t>
            </w:r>
          </w:p>
        </w:tc>
        <w:tc>
          <w:tcPr>
            <w:tcW w:w="94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w:t>
            </w: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26,848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80,396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71,999</w:t>
            </w:r>
          </w:p>
        </w:tc>
      </w:tr>
      <w:tr>
        <w:trPr>
          <w:trHeight w:val="256"/>
        </w:trPr>
        <w:tc>
          <w:tcPr>
            <w:tcW w:w="4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73,617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71,090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67,143</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Dilutive effect of issuable shares</w:t>
            </w:r>
          </w:p>
        </w:tc>
        <w:tc>
          <w:tcPr>
            <w:tcW w:w="9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2,205</w:t>
            </w:r>
          </w:p>
        </w:tc>
      </w:tr>
      <w:tr>
        <w:trPr>
          <w:trHeight w:val="27"/>
        </w:trPr>
        <w:tc>
          <w:tcPr>
            <w:tcW w:w="4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74,174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72,407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69,348</w:t>
            </w:r>
          </w:p>
        </w:tc>
      </w:tr>
      <w:tr>
        <w:trPr>
          <w:trHeight w:val="257"/>
        </w:trPr>
        <w:tc>
          <w:tcPr>
            <w:tcW w:w="45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8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748</w:t>
            </w:r>
          </w:p>
        </w:tc>
      </w:tr>
      <w:tr>
        <w:trPr>
          <w:trHeight w:val="27"/>
        </w:trPr>
        <w:tc>
          <w:tcPr>
            <w:tcW w:w="4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issued 992 thousand warrants in connection with a private placement of our common stock in April 2012. Each warrant gives the holder thereof the right to purchase one share of common stock at an exercise price equal to $10.00. The warrants were issued with an aggregate fair value of $5.1 million.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June 30, 2020, no warrants were exercised. During the six months ended June 30, 2020, nine thousand warrants were exercised resulting in the issuance of six thousand shares of common stock. Upon exercise, we reclassified approximately $0.2 million of warrant fair value from warrant liability to additional paid-in capital.</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June 30, 2019, 193 thousand warrants were exercised resulting in the issuance of 129 thousand shares of common stock. Upon exercise, we reclassified approximately $3.9 million of warrant fair value from warrant liability to additional paid-in capital, of which $2.0 million related to changes in fair value during the three months ended June 30, 2019. During the six months ended June 30, 2019, 260 thousand warrants were exercised resulting in the issuance of 168 thousand shares of common stock. Upon exercise, we reclassified approximately $4.8 million of warrant fair value from warrant liability to additional paid-in capital, of which $2.3 million related to changes in fair value during the six months ended June 30,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 U.S. taxpayer and are subject to a statutory U.S. federal corporate income tax rate of 21%. NMIH files a consolidated U.S. federal and various state income tax returns on behalf of itself and its subsidiaries. Our effective tax rate on our pre-tax income was 23.2% and 20.5% for the three and six months ended June 30, 2020, respectively, compared to 23.3% and 19.9% for the three and six months ended June 30, 2019,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and the change in fair value of our warrant liability. Such items are treated on a discrete basis in the reporting period in which they occur.</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six months ended June 30, 2020 represents a change in our net deferred tax liability. As of June 30, 2020, we held $7.6 million of tax and loss bonds in "Other assets" in our condensed consolidated balance sheet.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10. Common Stock</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2020, we had 84.8 million outstanding shares of common stock. Holders of our common stock have no preemptive or conversion rights or other subscription rights, and there are no redemption or sinking fund provisions applicable to the common stock. Each holder of our common stock is entitled to one vote per share on all matters to be voted upon by stockholders, and there are no cumulative voting rights. Holders of common stock are entitled to receive dividends ratably if any are declared.</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8, 2020, we completed the sale of 13.8 million shares of common stock and granted the underwriters on the transaction a 15% overallotment option to purchase additional shares. The overallotment option was exercised in full, resulting in a total of 15.9 million shares of common stock issued. The common stock offering generated proceeds of $219.7 million, net of underwriting discounts, commissions and other direct offering expenses.</w:t>
      </w:r>
    </w:p>
    <w:p>
      <w:pPr>
        <w:spacing w:after="0" w:line="129" w:lineRule="exact"/>
        <w:rPr>
          <w:sz w:val="20"/>
          <w:szCs w:val="20"/>
          <w:color w:val="auto"/>
        </w:rPr>
      </w:pPr>
    </w:p>
    <w:p>
      <w:pPr>
        <w:jc w:val="right"/>
        <w:ind w:left="360" w:right="9120" w:hanging="352"/>
        <w:spacing w:after="0" w:line="495" w:lineRule="auto"/>
        <w:tabs>
          <w:tab w:leader="none" w:pos="2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Information </w:t>
      </w:r>
      <w:r>
        <w:rPr>
          <w:rFonts w:ascii="Arial" w:cs="Arial" w:eastAsia="Arial" w:hAnsi="Arial"/>
          <w:sz w:val="16"/>
          <w:szCs w:val="16"/>
          <w:i w:val="1"/>
          <w:iCs w:val="1"/>
          <w:color w:val="auto"/>
        </w:rPr>
        <w:t>Statutory Requirements</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net income (loss)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96"/>
        </w:trPr>
        <w:tc>
          <w:tcPr>
            <w:tcW w:w="4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r>
      <w:tr>
        <w:trPr>
          <w:trHeight w:val="196"/>
        </w:trPr>
        <w:tc>
          <w:tcPr>
            <w:tcW w:w="4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net (loss) gain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(24,705)</w:t>
            </w:r>
          </w:p>
        </w:tc>
        <w:tc>
          <w:tcPr>
            <w:tcW w:w="11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3"/>
              </w:rPr>
              <w:t>6,466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(17,014)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5,539</w:t>
            </w:r>
          </w:p>
        </w:tc>
      </w:tr>
      <w:tr>
        <w:trPr>
          <w:trHeight w:val="27"/>
        </w:trPr>
        <w:tc>
          <w:tcPr>
            <w:tcW w:w="4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NMIC and Re One's combined statutory surplus, contingency reserve and risk-to-capital (RTC) ratio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December 31, 2019</w:t>
            </w:r>
          </w:p>
        </w:tc>
      </w:tr>
      <w:tr>
        <w:trPr>
          <w:trHeight w:val="19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0" w:type="dxa"/>
            <w:vAlign w:val="bottom"/>
            <w:gridSpan w:val="3"/>
          </w:tcPr>
          <w:p>
            <w:pPr>
              <w:jc w:val="right"/>
              <w:ind w:right="1215"/>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surplus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892,160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449,602</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Contingency reserve</w:t>
            </w:r>
          </w:p>
        </w:tc>
        <w:tc>
          <w:tcPr>
            <w:tcW w:w="260" w:type="dxa"/>
            <w:vAlign w:val="bottom"/>
          </w:tcPr>
          <w:p>
            <w:pPr>
              <w:spacing w:after="0"/>
              <w:rPr>
                <w:sz w:val="21"/>
                <w:szCs w:val="21"/>
                <w:color w:val="auto"/>
              </w:rPr>
            </w:pPr>
          </w:p>
        </w:tc>
        <w:tc>
          <w:tcPr>
            <w:tcW w:w="1480" w:type="dxa"/>
            <w:vAlign w:val="bottom"/>
          </w:tcPr>
          <w:p>
            <w:pPr>
              <w:jc w:val="right"/>
              <w:ind w:right="137"/>
              <w:spacing w:after="0"/>
              <w:rPr>
                <w:sz w:val="20"/>
                <w:szCs w:val="20"/>
                <w:color w:val="auto"/>
              </w:rPr>
            </w:pPr>
            <w:r>
              <w:rPr>
                <w:rFonts w:ascii="Arial" w:cs="Arial" w:eastAsia="Arial" w:hAnsi="Arial"/>
                <w:sz w:val="18"/>
                <w:szCs w:val="18"/>
                <w:color w:val="auto"/>
              </w:rPr>
              <w:t>648,493</w:t>
            </w:r>
          </w:p>
        </w:tc>
        <w:tc>
          <w:tcPr>
            <w:tcW w:w="22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531,825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RTC ratio</w:t>
            </w: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r>
    </w:tbl>
    <w:p>
      <w:pPr>
        <w:spacing w:after="0" w:line="148" w:lineRule="exact"/>
        <w:rPr>
          <w:sz w:val="20"/>
          <w:szCs w:val="20"/>
          <w:color w:val="auto"/>
        </w:rPr>
      </w:pPr>
    </w:p>
    <w:p>
      <w:pPr>
        <w:jc w:val="both"/>
        <w:ind w:firstLine="688"/>
        <w:spacing w:after="0" w:line="277" w:lineRule="auto"/>
        <w:rPr>
          <w:sz w:val="20"/>
          <w:szCs w:val="20"/>
          <w:color w:val="auto"/>
        </w:rPr>
      </w:pPr>
      <w:r>
        <w:rPr>
          <w:rFonts w:ascii="Arial" w:cs="Arial" w:eastAsia="Arial" w:hAnsi="Arial"/>
          <w:sz w:val="18"/>
          <w:szCs w:val="18"/>
          <w:color w:val="auto"/>
        </w:rPr>
        <w:t>In June 2020, NMIH contributed approximately $445 million of capital to NMIC following completion of its respective Notes and common stock offerings.</w:t>
      </w:r>
    </w:p>
    <w:p>
      <w:pPr>
        <w:spacing w:after="0" w:line="116" w:lineRule="exact"/>
        <w:rPr>
          <w:sz w:val="20"/>
          <w:szCs w:val="20"/>
          <w:color w:val="auto"/>
        </w:rPr>
      </w:pPr>
    </w:p>
    <w:p>
      <w:pPr>
        <w:jc w:val="both"/>
        <w:ind w:firstLine="688"/>
        <w:spacing w:after="0" w:line="255"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that are incorporated in Delaware. Delaware corporate law provides that dividends are only payable out of a corporation's capital surplus or, subject to certain limitations, recent net profits. NMIC and Re One are subject to certain rules and regulations prescribed by jurisdictions in which they are authorized to operate and the GSEs that may restrict their ability to pay dividends to NMIH. Since inception, NMIC and Re One have not paid any dividends to NMIH. NMIC and Re One have the capacity to pay aggregate ordinary dividends as calculated under Wisconsin law of $16.1 million to NMIH during the 12-month period ending December 31, 2020.</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Wisconsin OCI has approved the allocation of interest expense on the $400 million Notes and $100 million 2020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30, 2020, NMIC entered into a reinsurance agreement with Oaktown Re IV Ltd. (Oaktown Re IV), a Bermuda domiciled special purpose reinsurer, that provides for up to $322.1 million of aggregate excess-of-loss reinsurance coverage at inception for new delinquencies on an existing portfolio of mortgage insurance policies written between July 1, 2019 and March</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31, 2020. For the reinsurance coverage period, NMIC will retain the first layer of $169.5 million of aggregate losses and Oaktown Re IV will then provide second layer coverage up to the outstanding reinsurance coverage amount. NMIC will then retain losses in excess of the outstanding reinsurance coverage amount.</w:t>
      </w:r>
    </w:p>
    <w:p>
      <w:pPr>
        <w:spacing w:after="0" w:line="13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Oaktown Re IV financed the coverage by issuing mortgage insurance-linked notes in an aggregate principal amount of $322.1 million to unaffiliated investors. The notes issued by Oaktown Re IV mature on July 25, 2030; all proceeds raised were deposited into a reinsurance trust to collateralize and fund the obligations of Oaktown Re IV to NMIC under the reinsurance agreement. Funds in the reinsurance trust account are required to be invested in high credit quality money market funds at all times. We refer to NMIC's reinsurance agreement with and the insurance-linked notes issued by Oaktown Re IV as the 2020 ILN Transaction. Under the terms of the 2020 ILN Transaction, NMIC makes risk premium payments for the applicable outstanding reinsurance coverage amount and pays Oaktown Re IV for anticipated operating expenses (capped at $250,000 per year).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2019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2019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private MI through our wholly-owned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after giving effect to third-party reinsurance. Our subsidiary, NMIS, provides outsourced loan review services to mortgage loan originators.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June 30, 2020, we had master policies with 1,534 customers, including national and regional mortgage banks, money center banks, credit unions, community banks, builder-owned mortgage lenders, internet-sourced lenders and other non-bank lenders. As of June 30, 2020, we had $101.2 billion of total insurance-in-force (IIF), including primary IIF of $98.9 billion, and $25.3 billion of gross RIF, including primary RIF of $25.2 billion.</w:t>
      </w:r>
    </w:p>
    <w:p>
      <w:pPr>
        <w:spacing w:after="0" w:line="1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financial strength and profitability.</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Our common stock trades on the NASDAQ under the symbol "NMIH." Our headquarters is located in Emeryville, California. As of June 30, 2020, we had 269 employees. Our corporate website is located at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3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Developments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30, 2020, the WHO declared the outbreak of the COVID-19 virus to be a global health emergency and characterized the outbreak as a global pandemic on March 11, 2020. In an effort to stem contagion and control the COVID-19 pandemic, the population at large has severely curtailed day-to-day activity and local, state and federal regulators have imposed a broad set of restrictions on personal and business conduct nationwide. The COVID-19 pandemic, along with the widespread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public and regulatory response, has caused a dramatic slowdown in U.S. and global economic activity and a record number of Americans have been furloughed or laid-off.</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global dislocation caused by COVID-19 is unprecedented and, while there is broad hope for medical advances that might relieve the crisis and provide for a near-term return to normalized activity, it is not known how long the dislocation will persist and if or when any such medical advances may be developed or made available. In response to the COVID-19 outbreak and continuing uncertainties, we activated our business continuity program to ensure our employees are safe and able to continue serving our customers without interruption. We have also sought to broadly assess the impact that the COVID-19 outbreak has had and may continue to have on the U.S economy and housing market, and the implications for the mortgage insurance market, and our business performance and financial position.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Potential Impact on the U.S. Housing Market and Mortgage Insurance Industry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U.S. housing market is demonstrating notable resiliency amidst the broader economic dislocation caused by the outbreak of COVID-19. Low interest rates are helping to support housing affordability, and medical concerns and lifestyle preferences are driving people to move from densely populated urban areas to suburban communities where social distancing is more easily achieved, and shelter-in-place directives are reinforcing the value of homeownership – all of which are contributing to an influx of new home buyers, record levels of purchase demand, and generally stable to rising house prices nationally.</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 possibility remains that the housing market will soften, we believe the general strength of the market coming into the COVID-19 crisis will help to mitigate the risk of a severe pullback. We observe several favorable differences in the current environment compared to the period leading up to and through the 2008 Financial Crisis – the last period of significant economic volatility in the U.S. and one noted for its significant housing market dislocation. Such differences include:</w:t>
      </w:r>
    </w:p>
    <w:p>
      <w:pPr>
        <w:spacing w:after="0" w:line="133" w:lineRule="exact"/>
        <w:rPr>
          <w:sz w:val="20"/>
          <w:szCs w:val="20"/>
          <w:color w:val="auto"/>
        </w:rPr>
      </w:pPr>
    </w:p>
    <w:p>
      <w:pPr>
        <w:ind w:left="1300" w:hanging="644"/>
        <w:spacing w:after="0" w:line="342" w:lineRule="auto"/>
        <w:tabs>
          <w:tab w:leader="none" w:pos="87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generally higher quality borrower base (as measured by weighted average FICO scores and LTV ratios) and tighter underwriting standards (with, among other items, full-documentation required to verify borrower income and asset positions) that prevail in the current market;</w:t>
      </w:r>
    </w:p>
    <w:p>
      <w:pPr>
        <w:spacing w:after="0" w:line="69" w:lineRule="exact"/>
        <w:rPr>
          <w:rFonts w:ascii="Arial" w:cs="Arial" w:eastAsia="Arial" w:hAnsi="Arial"/>
          <w:sz w:val="16"/>
          <w:szCs w:val="16"/>
          <w:color w:val="auto"/>
        </w:rPr>
      </w:pPr>
    </w:p>
    <w:p>
      <w:pPr>
        <w:ind w:left="1300" w:right="20" w:hanging="644"/>
        <w:spacing w:after="0" w:line="277" w:lineRule="auto"/>
        <w:tabs>
          <w:tab w:leader="none" w:pos="9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lower concentration of higher risk loan structures, such as negative amortizing, interest-only or short-termed option adjustable-rate mortgages being originated and outstanding in the current market;</w:t>
      </w:r>
    </w:p>
    <w:p>
      <w:pPr>
        <w:spacing w:after="0" w:line="116" w:lineRule="exact"/>
        <w:rPr>
          <w:rFonts w:ascii="Arial" w:cs="Arial" w:eastAsia="Arial" w:hAnsi="Arial"/>
          <w:sz w:val="18"/>
          <w:szCs w:val="18"/>
          <w:color w:val="auto"/>
        </w:rPr>
      </w:pPr>
    </w:p>
    <w:p>
      <w:pPr>
        <w:ind w:left="1300" w:hanging="644"/>
        <w:spacing w:after="0" w:line="263" w:lineRule="auto"/>
        <w:tabs>
          <w:tab w:leader="none" w:pos="9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meaningfully higher proportion of loans used for lower risk purposes, such as the purchase of a primary residence or rate-term refinancing in the current market, as opposed to cash-out refinancings, investment properties or second home purchases, which prevailed to a far greater degree in the lead up to the 2008 Financial Crisis;</w:t>
      </w:r>
    </w:p>
    <w:p>
      <w:pPr>
        <w:spacing w:after="0" w:line="129" w:lineRule="exact"/>
        <w:rPr>
          <w:rFonts w:ascii="Arial" w:cs="Arial" w:eastAsia="Arial" w:hAnsi="Arial"/>
          <w:sz w:val="18"/>
          <w:szCs w:val="18"/>
          <w:color w:val="auto"/>
        </w:rPr>
      </w:pPr>
    </w:p>
    <w:p>
      <w:pPr>
        <w:ind w:left="1300" w:hanging="644"/>
        <w:spacing w:after="0" w:line="263" w:lineRule="auto"/>
        <w:tabs>
          <w:tab w:leader="none" w:pos="9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immediate application by politicians, regulators, lenders, loan servicers and others of a broad toolkit of resources designed to aid distressed borrowers, including forbearance, foreclosure moratoriums and other assistance programs codified under the CARES Act enacted on March 27, 2020; and</w:t>
      </w:r>
    </w:p>
    <w:p>
      <w:pPr>
        <w:spacing w:after="0" w:line="129" w:lineRule="exact"/>
        <w:rPr>
          <w:rFonts w:ascii="Arial" w:cs="Arial" w:eastAsia="Arial" w:hAnsi="Arial"/>
          <w:sz w:val="18"/>
          <w:szCs w:val="18"/>
          <w:color w:val="auto"/>
        </w:rPr>
      </w:pPr>
    </w:p>
    <w:p>
      <w:pPr>
        <w:ind w:left="1300" w:hanging="644"/>
        <w:spacing w:after="0" w:line="263"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broader and equally immediate application of a massive amount of fiscal and monetary stimulus by the federal government under the CARES Act and across a range of other programs designed to assist unemployed individuals and distressed businesses, as well as support the smooth functioning of various capital and risk markets.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perceive the house price environment in the period leading up to the COVID-crisis to be anchored by more balanced market fundamentals than that in the period leading up to the 2008 Financial Crisis. We believe the 2008 Financial Crisis was directly precipitated by irresponsible behavior in the housing market in which home prices were driven to unsustainable heights (a so-called "bubble"). We see a causal link between the housing market and the 2008 Financial Crisis that we do not see in the COVID-19 outbreak, and we believe this will further contribute to housing market stability through the COVID-19 pandemic.</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anticipate that total purchase mortgage origination volume will grow compared to what it otherwise would have been as house prices remain stable (and potentially continue to increase) and purchase transaction volume expands with COVID-19 spurring increased demand for homeownership. We also expect total refinancing origination volume will increase significantly as declining mortgage rates create continued refinancing opportunities for existing borrowers.</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Growth in total mortgage origination volume increases the addressable market for the U.S. mortgage insurance industry, while accelerated refinancing activity increases prepayment speed on outstanding insured mortgages. In this context, we anticipate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total U.S. mortgage insurance industry new insurance written (NIW) volume will increase, potentially to record levels, while we expect the persistency of existing in-force insured risk across the industry will decline precipitously.</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we currently observe broad resiliency in the housing and high-LTV mortgage markets and, for the reasons discussed above, expect this trend to continue in the near term, the ultimate impact of COVID-19 remains highly uncertain. See Item 1A, "</w:t>
      </w:r>
      <w:r>
        <w:rPr>
          <w:rFonts w:ascii="Arial" w:cs="Arial" w:eastAsia="Arial" w:hAnsi="Arial"/>
          <w:sz w:val="18"/>
          <w:szCs w:val="18"/>
          <w:i w:val="1"/>
          <w:iCs w:val="1"/>
          <w:color w:val="auto"/>
        </w:rPr>
        <w:t>Risk Factors - The COVID-19 outbreak could</w:t>
      </w:r>
      <w:r>
        <w:rPr>
          <w:rFonts w:ascii="Arial" w:cs="Arial" w:eastAsia="Arial" w:hAnsi="Arial"/>
          <w:sz w:val="18"/>
          <w:szCs w:val="18"/>
          <w:color w:val="auto"/>
        </w:rPr>
        <w:t xml:space="preserve"> </w:t>
      </w:r>
      <w:r>
        <w:rPr>
          <w:rFonts w:ascii="Arial" w:cs="Arial" w:eastAsia="Arial" w:hAnsi="Arial"/>
          <w:sz w:val="18"/>
          <w:szCs w:val="18"/>
          <w:i w:val="1"/>
          <w:iCs w:val="1"/>
          <w:color w:val="auto"/>
        </w:rPr>
        <w:t>materially adversely affect our business, results of operations and financial condition</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Potential Impact on NMI's Business Performance and Financial Position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had 269 employees at June 30, 2020, including 125 who typically work at our corporate headquarters in Emeryville, CA and 144 who typically work from home in locations across the country. In response to the COVID-19 outbreak, we activated our business continuity program and instituted additional work-from-home practices for our 125 Emeryville-based staff. We have transitioned our operations seamlessly and continue to positively engage with customers on a remote basis. Our IT environment, underwriting capabilities, policy servicing platform and risk architecture have continued without interruption, and our internal control environment and internal controls over financial reporting are unchanged. We have achieved this transition without incurring additional capital expenditures or operating expenses and we believe our current operating platform can continue to support our newly distributed needs for an extended period without further investment beyond that planned in the ordinary course.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Business Production</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NIW has expanded significantly in past periods, driven by growth in the overall mortgage insurance market and the success we have had further developing our customer franchise. During the three-year period between January 1, 2017 and December 31, 2019, we activated 340 new lenders, growing our franchise by over 45%, and successfully deepened our engagement with many existing customers. In the same period, total U.S. mortgage insurance NIW volume increased by 19% annually - peaking at $384 billion for the year-ended December 31, 2019. Notwithstanding the recent gains and the customer success we have achieved, we initially expected that the onset of COVID-19 would cause our total NIW volume (and total U.S. mortgage insurance industry volume) to decline. Our initial expectations have not borne out – the broad resiliency of the housing market and increased demand for homeownership now being observed are driving record volume for us and the broader U.S. mortgage insurance industry.</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wrote $13.1 billion of NIW during the three months ended June 30, 2020, up 16% compared to the three months ended March 31, 2020. We now expect our NIW volume and total U.S. mortgage insurance industry production will continue to grow in 2020, with the potential for total market production and our NIW volume to reach record levels.</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broadly defined underwriting standards and loan-level eligibility criteria that are designed to limit our exposure to higher risk loans, and have used Rate GPS to actively shape the mix of our new business production and insured portfolio by, among other risk factors, borrower FICO score, debt-to-income (DTI) ratio and LTV ratio. At June 30, 2020, the weighted average FICO score of our IIF was 752 and we had a 4% mix of below 680 FICO score risk. Similarly, at June 30, 2020, the weighted average LTV ratio (at origination) of our insured portfolio was 91.8% and we had a 9% mix of 97% LTV risk. In the weeks following the outbreak of COVID-19, we adopted changes to our underwriting guidelines, including changes to our loan documentation requirements, asset reserve requirements, employment verification process and income continuance determinations, which we expect will further strengthen the credit risk profile of our new business production.</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set our premium rates based on a broad range of individual and market variables, including property type, type of loan product, borrower credit characteristics, and lender profile. Given the significant economic dislocation caused thus far by the COVID-19 outbreak, and the uncertain duration and ultimate global impact of this crisis, we have taken action to increase the premium rates we charge on all new business production, in accordance with our filed rates and applicable rating rules. We expect the pricing changes we have instituted will increase the rate received on NIW volume in future periods and further enhance the credit mix of our new business production.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Delinquency Trends and Claims Expense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10,816 defaulted loans in our primary insured portfolio at June 30, 2020, which represented a 2.90% default rate against our 372,934 total policies in-force. Our default population has increased significantly as borrowers have faced increasing challenges related to the COVID-19 outbreak and chosen to access the forbearance program for federally backed loans codified under the CARES Act or other similar assistance programs made available by private lenders. We expect our default population will grow in future periods as additional borrowers who have accessed forbearance programs and paused their monthly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payments age into default status. At June 30, 2020, 28,555 or 7.7% of the loans we insured in our primary portfolio were enrolled in a forbearance program, including 9,502 of the loans in our default population, 6,752 loans that had missed at least one payment, but not progressed into default status and 12,301 additional loans that were fully performing without any missed payments. As of July 31, 2020, our default population had increased to 14,175, representing a 3.8% default rate.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establish reserves for claims and allocated claim expenses when we are notified that a borrower is in default. The size of the reserve we establish for each defaulted loan (and by extension our aggregate reserve and claims expense) will reflect our best estimate of the future claim payment to be made under each individual policy. Our future claims exposure is a function of the number of delinquent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fully defer the payments otherwise due during the forbearance period, over an extended length of time. In response to the onset of the COVID-19 outbreak, the GSEs have introduced new repayment and loan modification options to further assist borrowers with their transition out of forbearance and back into performing status. Our reserve setting process considers the beneficial impact of forbearance, foreclosure moratorium and other assistance programs available to defaulted borrowers. At June 30, 2020,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1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master policies require insureds to file a claim no later than 60-days after completion of a foreclosure, and in connection with the claim, the insured is generally entitled to include in the claim amount (i) interest (capped at three years) and (ii) certain advances, each as incurred through the date the claim is filed. Under our master policies, a national foreclosure moratorium of the type currently required will not limit the amount of accrued interest (subject to the three-year limit) or advances that may be included in the claim amount. If the duration of the current foreclosure moratorium mandated by the GSEs is extended beyond August 31, 2020 for an extended period of time, loans in our default inventory, including those with defaults unrelated to the COVID-19 crisis that had not yet gone through foreclosure, may remain in a pre-foreclosure default status for a prolonged period of time, which would delay our receipt of certain claims for loans that do not cure and could increase the severity of claims we may ultimately be required to pay after the moratorium is lifted.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Regulatory Capital Position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approved mortgage insurer and Wisconsin-domiciled carrier, we are required to satisfy financial and/or capitalization requirements stipulated by each of the GSEs and the Wisconsin OCI.</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financial requirements stipulated by the GSEs are outlined in the PMIERs. Under the PMIERs, we must maintain available assets that are equal to or exceed a minimum risk-based required asset amount, subject to a minimum floor of $400 million. At June 30, 2020, we reported $1,656 million available assets against $1,048 million risk-based required assets for a $609 million of "excess" funding position. The capital relief we expect to receive in connection with our 2020 ILN Transaction is not included in our PMIERs position as of June 30, 2020, as the transaction was completed after quarter end. In future periods, the 2020 ILN Transaction will bolster our "excess" PMIERs funding position, subject to GSE approvals.</w:t>
      </w:r>
    </w:p>
    <w:p>
      <w:pPr>
        <w:spacing w:after="0" w:line="1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(FEMA) to be a Major Disaster zone. In June 2020, the GSEs issued additional guidance on the risk-based treatment of loans affected by the COVID-19 crisis. Under the revised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PMIERs minimum risk-based required asset amount is also adjusted for our reinsurance transactions (as approved by the GSEs). Under our quota share reinsurance treaties, we receive credit for the PMIERs risk-based required asset amount 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2" w:name="page33"/>
    <w:bookmarkEnd w:id="32"/>
    <w:p>
      <w:pPr>
        <w:jc w:val="both"/>
        <w:spacing w:after="0" w:line="270" w:lineRule="auto"/>
        <w:rPr>
          <w:sz w:val="20"/>
          <w:szCs w:val="20"/>
          <w:color w:val="auto"/>
        </w:rPr>
      </w:pPr>
      <w:r>
        <w:rPr>
          <w:rFonts w:ascii="Arial" w:cs="Arial" w:eastAsia="Arial" w:hAnsi="Arial"/>
          <w:sz w:val="17"/>
          <w:szCs w:val="17"/>
          <w:color w:val="auto"/>
        </w:rPr>
        <w:t>ceded RIF. As our gross PMIERs risk-based required asset amount on ceded RIF increases, our PMIERS credit for ceded RIF automatically increases as well (in an unlimited amount). Under our ILN transactions, we generally receive credit for the PMIERs risk-based required asset amount on ceded RIF to the extent such requirement is within the subordinated coverage (excess of loss detachment threshold) afforded by the transaction. We have structured our ILN transactions to be overcollateralized, such that there are more ILN notes outstanding and cash held in trust than we currently receive credit for under the PMIERs. To the extent our PMIERs risk-based required asset amount on RIF ceded under the ILN transactions grows, we receive increased PMIERs credit under the treaties. The increasing PMIERs credit we receive under the ILN treaties is further enhanced by their delinquency lockout triggers. In the event of certain credit enhancement or delinquency events, the ILN notes stop amortizing and the cash held in trust is secured for our benefit (a Lock-Out Event). As the underlying RIF continues to run-off, this has the effect of increasing the overcollateralization within, and excess PMIERs capacity provided by, each ILN structure.</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the overcollateralization within and PMIERs capacity provided by each ILN Transaction will grow as assets are preserved in the applicable reinsurance trust account.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the level of overcollateralization of each of our ILN Transactions at June 30, 2020:</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00" w:type="dxa"/>
            <w:vAlign w:val="bottom"/>
            <w:tcBorders>
              <w:bottom w:val="single" w:sz="8" w:color="A6A6A6"/>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 values in thousands)</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 ILN Transaction</w:t>
            </w:r>
          </w:p>
        </w:tc>
        <w:tc>
          <w:tcPr>
            <w:tcW w:w="5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 ILN Transaction</w:t>
            </w:r>
          </w:p>
        </w:tc>
        <w:tc>
          <w:tcPr>
            <w:tcW w:w="5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2019 ILN Transaction</w:t>
            </w:r>
          </w:p>
        </w:tc>
        <w:tc>
          <w:tcPr>
            <w:tcW w:w="280" w:type="dxa"/>
            <w:vAlign w:val="bottom"/>
            <w:tcBorders>
              <w:bottom w:val="single" w:sz="8" w:color="auto"/>
            </w:tcBorders>
            <w:shd w:val="clear" w:color="auto" w:fill="CCEEFF"/>
          </w:tcPr>
          <w:p>
            <w:pPr>
              <w:spacing w:after="0"/>
              <w:rPr>
                <w:sz w:val="18"/>
                <w:szCs w:val="18"/>
                <w:color w:val="auto"/>
              </w:rPr>
            </w:pPr>
          </w:p>
        </w:tc>
      </w:tr>
      <w:tr>
        <w:trPr>
          <w:trHeight w:val="241"/>
        </w:trPr>
        <w:tc>
          <w:tcPr>
            <w:tcW w:w="5000" w:type="dxa"/>
            <w:vAlign w:val="bottom"/>
          </w:tcPr>
          <w:p>
            <w:pPr>
              <w:ind w:left="20"/>
              <w:spacing w:after="0"/>
              <w:rPr>
                <w:sz w:val="20"/>
                <w:szCs w:val="20"/>
                <w:color w:val="auto"/>
              </w:rPr>
            </w:pPr>
            <w:r>
              <w:rPr>
                <w:rFonts w:ascii="Arial" w:cs="Arial" w:eastAsia="Arial" w:hAnsi="Arial"/>
                <w:sz w:val="18"/>
                <w:szCs w:val="18"/>
                <w:color w:val="auto"/>
              </w:rPr>
              <w:t>Ceded RIF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2,697,982</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3,233,508</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4,065,248</w:t>
            </w:r>
          </w:p>
        </w:tc>
        <w:tc>
          <w:tcPr>
            <w:tcW w:w="28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94"/>
        </w:trPr>
        <w:tc>
          <w:tcPr>
            <w:tcW w:w="50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Current First Layer Retained Loss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122,034</w:t>
            </w:r>
          </w:p>
        </w:tc>
        <w:tc>
          <w:tcPr>
            <w:tcW w:w="5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123,694</w:t>
            </w:r>
          </w:p>
        </w:tc>
        <w:tc>
          <w:tcPr>
            <w:tcW w:w="5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123,345</w:t>
            </w:r>
          </w:p>
        </w:tc>
        <w:tc>
          <w:tcPr>
            <w:tcW w:w="28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Reinsurance Coverage</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5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158,489</w:t>
            </w:r>
          </w:p>
        </w:tc>
        <w:tc>
          <w:tcPr>
            <w:tcW w:w="5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231,877</w:t>
            </w:r>
          </w:p>
        </w:tc>
        <w:tc>
          <w:tcPr>
            <w:tcW w:w="280" w:type="dxa"/>
            <w:vAlign w:val="bottom"/>
            <w:tcBorders>
              <w:bottom w:val="single" w:sz="8" w:color="CCEEFF"/>
            </w:tcBorders>
            <w:shd w:val="clear" w:color="auto" w:fill="CCEEFF"/>
          </w:tcPr>
          <w:p>
            <w:pPr>
              <w:spacing w:after="0"/>
              <w:rPr>
                <w:sz w:val="23"/>
                <w:szCs w:val="23"/>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Eligible Coverage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162,260</w:t>
            </w: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282,183</w:t>
            </w:r>
          </w:p>
        </w:tc>
        <w:tc>
          <w:tcPr>
            <w:tcW w:w="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355,222</w:t>
            </w:r>
          </w:p>
        </w:tc>
        <w:tc>
          <w:tcPr>
            <w:tcW w:w="280" w:type="dxa"/>
            <w:vAlign w:val="bottom"/>
            <w:tcBorders>
              <w:top w:val="single" w:sz="8" w:color="auto"/>
            </w:tcBorders>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Subordinated Coverage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87"/>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87"/>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148"/>
        </w:trPr>
        <w:tc>
          <w:tcPr>
            <w:tcW w:w="5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PMIERs Charge on Ceded RIF</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87"/>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87"/>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Overcollateralization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11,917</w:t>
            </w: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55,709</w:t>
            </w:r>
          </w:p>
        </w:tc>
        <w:tc>
          <w:tcPr>
            <w:tcW w:w="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54,238</w:t>
            </w:r>
          </w:p>
        </w:tc>
        <w:tc>
          <w:tcPr>
            <w:tcW w:w="280" w:type="dxa"/>
            <w:vAlign w:val="bottom"/>
            <w:tcBorders>
              <w:top w:val="single" w:sz="8" w:color="auto"/>
            </w:tcBorders>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2040" w:type="dxa"/>
            <w:vAlign w:val="bottom"/>
            <w:gridSpan w:val="2"/>
          </w:tcPr>
          <w:p>
            <w:pPr>
              <w:spacing w:after="0"/>
              <w:rPr>
                <w:sz w:val="2"/>
                <w:szCs w:val="2"/>
                <w:color w:val="auto"/>
              </w:rPr>
            </w:pPr>
          </w:p>
        </w:tc>
        <w:tc>
          <w:tcPr>
            <w:tcW w:w="1840" w:type="dxa"/>
            <w:vAlign w:val="bottom"/>
            <w:gridSpan w:val="2"/>
          </w:tcPr>
          <w:p>
            <w:pPr>
              <w:spacing w:after="0"/>
              <w:rPr>
                <w:sz w:val="2"/>
                <w:szCs w:val="2"/>
                <w:color w:val="auto"/>
              </w:rPr>
            </w:pPr>
          </w:p>
        </w:tc>
      </w:tr>
      <w:tr>
        <w:trPr>
          <w:trHeight w:val="149"/>
        </w:trPr>
        <w:tc>
          <w:tcPr>
            <w:tcW w:w="5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spacing w:after="0"/>
              <w:rPr>
                <w:sz w:val="12"/>
                <w:szCs w:val="12"/>
                <w:color w:val="auto"/>
              </w:rPr>
            </w:pPr>
          </w:p>
        </w:tc>
        <w:tc>
          <w:tcPr>
            <w:tcW w:w="2040" w:type="dxa"/>
            <w:vAlign w:val="bottom"/>
            <w:gridSpan w:val="2"/>
            <w:shd w:val="clear" w:color="auto" w:fill="CCEEFF"/>
          </w:tcPr>
          <w:p>
            <w:pPr>
              <w:spacing w:after="0"/>
              <w:rPr>
                <w:sz w:val="12"/>
                <w:szCs w:val="12"/>
                <w:color w:val="auto"/>
              </w:rPr>
            </w:pPr>
          </w:p>
        </w:tc>
        <w:tc>
          <w:tcPr>
            <w:tcW w:w="1840" w:type="dxa"/>
            <w:vAlign w:val="bottom"/>
            <w:gridSpan w:val="2"/>
            <w:shd w:val="clear" w:color="auto" w:fill="CCEEFF"/>
          </w:tcPr>
          <w:p>
            <w:pPr>
              <w:spacing w:after="0"/>
              <w:rPr>
                <w:sz w:val="12"/>
                <w:szCs w:val="12"/>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Delinquency Trigger</w:t>
            </w:r>
          </w:p>
        </w:tc>
        <w:tc>
          <w:tcPr>
            <w:tcW w:w="280" w:type="dxa"/>
            <w:vAlign w:val="bottom"/>
          </w:tcPr>
          <w:p>
            <w:pPr>
              <w:spacing w:after="0"/>
              <w:rPr>
                <w:sz w:val="21"/>
                <w:szCs w:val="21"/>
                <w:color w:val="auto"/>
              </w:rPr>
            </w:pPr>
          </w:p>
        </w:tc>
        <w:tc>
          <w:tcPr>
            <w:tcW w:w="2080" w:type="dxa"/>
            <w:vAlign w:val="bottom"/>
            <w:gridSpan w:val="2"/>
          </w:tcPr>
          <w:p>
            <w:pPr>
              <w:jc w:val="right"/>
              <w:ind w:right="190"/>
              <w:spacing w:after="0"/>
              <w:rPr>
                <w:sz w:val="20"/>
                <w:szCs w:val="20"/>
                <w:color w:val="auto"/>
              </w:rPr>
            </w:pPr>
            <w:r>
              <w:rPr>
                <w:rFonts w:ascii="Arial" w:cs="Arial" w:eastAsia="Arial" w:hAnsi="Arial"/>
                <w:sz w:val="18"/>
                <w:szCs w:val="18"/>
                <w:color w:val="auto"/>
              </w:rPr>
              <w:t>4.0%</w:t>
            </w:r>
          </w:p>
        </w:tc>
        <w:tc>
          <w:tcPr>
            <w:tcW w:w="2040" w:type="dxa"/>
            <w:vAlign w:val="bottom"/>
            <w:gridSpan w:val="2"/>
          </w:tcPr>
          <w:p>
            <w:pPr>
              <w:jc w:val="right"/>
              <w:ind w:right="210"/>
              <w:spacing w:after="0"/>
              <w:rPr>
                <w:sz w:val="20"/>
                <w:szCs w:val="20"/>
                <w:color w:val="auto"/>
              </w:rPr>
            </w:pPr>
            <w:r>
              <w:rPr>
                <w:rFonts w:ascii="Arial" w:cs="Arial" w:eastAsia="Arial" w:hAnsi="Arial"/>
                <w:sz w:val="18"/>
                <w:szCs w:val="18"/>
                <w:color w:val="auto"/>
              </w:rPr>
              <w:t>4.0%</w:t>
            </w:r>
          </w:p>
        </w:tc>
        <w:tc>
          <w:tcPr>
            <w:tcW w:w="1840" w:type="dxa"/>
            <w:vAlign w:val="bottom"/>
            <w:gridSpan w:val="2"/>
          </w:tcPr>
          <w:p>
            <w:pPr>
              <w:jc w:val="center"/>
              <w:ind w:left="1332"/>
              <w:spacing w:after="0"/>
              <w:rPr>
                <w:sz w:val="20"/>
                <w:szCs w:val="20"/>
                <w:color w:val="auto"/>
              </w:rPr>
            </w:pPr>
            <w:r>
              <w:rPr>
                <w:rFonts w:ascii="Arial" w:cs="Arial" w:eastAsia="Arial" w:hAnsi="Arial"/>
                <w:sz w:val="18"/>
                <w:szCs w:val="18"/>
                <w:color w:val="auto"/>
                <w:w w:val="92"/>
              </w:rPr>
              <w:t>4.0%</w:t>
            </w:r>
          </w:p>
        </w:tc>
      </w:tr>
      <w:tr>
        <w:trPr>
          <w:trHeight w:val="27"/>
        </w:trPr>
        <w:tc>
          <w:tcPr>
            <w:tcW w:w="5000" w:type="dxa"/>
            <w:vAlign w:val="bottom"/>
            <w:tcBorders>
              <w:bottom w:val="single" w:sz="8" w:color="A6A6A6"/>
            </w:tcBorders>
          </w:tcPr>
          <w:p>
            <w:pPr>
              <w:spacing w:after="0"/>
              <w:rPr>
                <w:sz w:val="2"/>
                <w:szCs w:val="2"/>
                <w:color w:val="auto"/>
              </w:rPr>
            </w:pPr>
          </w:p>
        </w:tc>
        <w:tc>
          <w:tcPr>
            <w:tcW w:w="280" w:type="dxa"/>
            <w:vAlign w:val="bottom"/>
            <w:tcBorders>
              <w:bottom w:val="single" w:sz="8" w:color="A6A6A6"/>
            </w:tcBorders>
          </w:tcPr>
          <w:p>
            <w:pPr>
              <w:spacing w:after="0"/>
              <w:rPr>
                <w:sz w:val="2"/>
                <w:szCs w:val="2"/>
                <w:color w:val="auto"/>
              </w:rPr>
            </w:pPr>
          </w:p>
        </w:tc>
        <w:tc>
          <w:tcPr>
            <w:tcW w:w="1540" w:type="dxa"/>
            <w:vAlign w:val="bottom"/>
            <w:tcBorders>
              <w:bottom w:val="single" w:sz="8" w:color="A6A6A6"/>
            </w:tcBorders>
          </w:tcPr>
          <w:p>
            <w:pPr>
              <w:spacing w:after="0"/>
              <w:rPr>
                <w:sz w:val="2"/>
                <w:szCs w:val="2"/>
                <w:color w:val="auto"/>
              </w:rPr>
            </w:pPr>
          </w:p>
        </w:tc>
        <w:tc>
          <w:tcPr>
            <w:tcW w:w="540" w:type="dxa"/>
            <w:vAlign w:val="bottom"/>
            <w:tcBorders>
              <w:bottom w:val="single" w:sz="8" w:color="A6A6A6"/>
            </w:tcBorders>
          </w:tcPr>
          <w:p>
            <w:pPr>
              <w:spacing w:after="0"/>
              <w:rPr>
                <w:sz w:val="2"/>
                <w:szCs w:val="2"/>
                <w:color w:val="auto"/>
              </w:rPr>
            </w:pPr>
          </w:p>
        </w:tc>
        <w:tc>
          <w:tcPr>
            <w:tcW w:w="1500" w:type="dxa"/>
            <w:vAlign w:val="bottom"/>
            <w:tcBorders>
              <w:bottom w:val="single" w:sz="8" w:color="A6A6A6"/>
            </w:tcBorders>
          </w:tcPr>
          <w:p>
            <w:pPr>
              <w:spacing w:after="0"/>
              <w:rPr>
                <w:sz w:val="2"/>
                <w:szCs w:val="2"/>
                <w:color w:val="auto"/>
              </w:rPr>
            </w:pPr>
          </w:p>
        </w:tc>
        <w:tc>
          <w:tcPr>
            <w:tcW w:w="540" w:type="dxa"/>
            <w:vAlign w:val="bottom"/>
            <w:tcBorders>
              <w:bottom w:val="single" w:sz="8" w:color="A6A6A6"/>
            </w:tcBorders>
          </w:tcPr>
          <w:p>
            <w:pPr>
              <w:spacing w:after="0"/>
              <w:rPr>
                <w:sz w:val="2"/>
                <w:szCs w:val="2"/>
                <w:color w:val="auto"/>
              </w:rPr>
            </w:pPr>
          </w:p>
        </w:tc>
        <w:tc>
          <w:tcPr>
            <w:tcW w:w="1560" w:type="dxa"/>
            <w:vAlign w:val="bottom"/>
            <w:tcBorders>
              <w:bottom w:val="single" w:sz="8" w:color="A6A6A6"/>
            </w:tcBorders>
          </w:tcPr>
          <w:p>
            <w:pPr>
              <w:spacing w:after="0"/>
              <w:rPr>
                <w:sz w:val="2"/>
                <w:szCs w:val="2"/>
                <w:color w:val="auto"/>
              </w:rPr>
            </w:pPr>
          </w:p>
        </w:tc>
        <w:tc>
          <w:tcPr>
            <w:tcW w:w="280" w:type="dxa"/>
            <w:vAlign w:val="bottom"/>
            <w:tcBorders>
              <w:bottom w:val="single" w:sz="8" w:color="A6A6A6"/>
            </w:tcBorders>
          </w:tcPr>
          <w:p>
            <w:pPr>
              <w:spacing w:after="0"/>
              <w:rPr>
                <w:sz w:val="2"/>
                <w:szCs w:val="2"/>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2020, we had an aggregate $122 million of overcollateralization available across the 2017, 2018 and 2019 ILN Transactions to absorb an increase in the PMIERs risk-based required asset amount on ceded RIF. Assuming the Lock-Out Events remain in effect for each transaction and our underlying RIF continues to run-off at the same rate as it did during the month ended June 30, 2020, we estimate that our total overcollateralization would increase by up to approximately $80 million per quarter.</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PMIERs funding requirement will go up in future periods based on the volume and risk profile of our new business production, and performance of our in-force insurance portfolio. We estimate, however, that we will remain in compliance with our PMIERs asset requirements even if the forbearance-driven default rate on our in-force portfolio materially exceeds its current level, given our $609 million excess available asset position at June 30, 2020, the nationwide applicability of the 70% haircut on delinquent policies affected by the COVID-19 crisis, the increasing PMIERs relief automatically provided under each of our quota share treaties and 2017, 2018, and 2019 ILN Transactions and additional risk protection and PMIERs capacity provided under our newly announced 2020 ILN and QSR Transactions.</w:t>
      </w:r>
    </w:p>
    <w:p>
      <w:pPr>
        <w:spacing w:after="0" w:line="13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NMIC is also subject to state regulatory minimum capital requirements based on its RIF. Formulations of this minimum capital vary by state, however, the most common measure allows for a maximum ratio of RIF to statutory capital (commonly referred to as "risk-to-capital" or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 and we expect this to remain the case in the aftermath of the COVID-19 outbreak.</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i w:val="1"/>
          <w:iCs w:val="1"/>
          <w:color w:val="auto"/>
        </w:rPr>
        <w:t>Liquidity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evaluate our liquidity position at both a holding company (NMIH) and primary operating subsidiary (NMIC) level. As of June 30, 2020, we had $1.9 billion of consolidated cash and investments, including $76 million of cash and investments at NMIH.</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8 2020, NMIH completed the sale of 15.9 million shares of common stock, including the exercise of a 15% overallotment option, and raised proceeds of approximately $220 million, net of underwriting discounts, commissions and other direct offering expenses. See Item 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Notes to Condensed Consolidated Financial Statements - Note 10, Common Stock</w:t>
      </w:r>
      <w:r>
        <w:rPr>
          <w:rFonts w:ascii="Arial" w:cs="Arial" w:eastAsia="Arial" w:hAnsi="Arial"/>
          <w:sz w:val="18"/>
          <w:szCs w:val="18"/>
          <w:color w:val="auto"/>
        </w:rPr>
        <w:t>." On June 19, 2020, NMIH also completed the sale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$400 million aggregate principal amount of senior secured notes, raising net proceeds of $244 million after giving effect to offering expenses and the repayment of the principal amount outstanding under our $150 million 2018 Term Loan. See Item 1, "</w:t>
      </w:r>
      <w:r>
        <w:rPr>
          <w:rFonts w:ascii="Arial" w:cs="Arial" w:eastAsia="Arial" w:hAnsi="Arial"/>
          <w:sz w:val="18"/>
          <w:szCs w:val="18"/>
          <w:i w:val="1"/>
          <w:iCs w:val="1"/>
          <w:color w:val="auto"/>
        </w:rPr>
        <w:t>Financial Statements - Notes to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4, Debt.</w:t>
      </w:r>
      <w:r>
        <w:rPr>
          <w:rFonts w:ascii="Arial" w:cs="Arial" w:eastAsia="Arial" w:hAnsi="Arial"/>
          <w:sz w:val="18"/>
          <w:szCs w:val="18"/>
          <w:color w:val="auto"/>
        </w:rPr>
        <w:t>" NMIH contributed approximately $445 million of capital to NMIC following completion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Notes and common stock offerings.</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also has access to $100 million of undrawn revolving credit capacity under the 2020 Revolving Credit Facility and $16.1 million of aggregate ordinary course dividend capacity available from NMIC and Re One without the prior approval of the Wisconsin OCI. Amounts drawn under the 2020 Revolving Credit Facility are available as directed for NMIH needs or may be down-streamed to support the requirements of our operating subsidiaries if we so decide. See Item 1, "</w:t>
      </w:r>
      <w:r>
        <w:rPr>
          <w:rFonts w:ascii="Arial" w:cs="Arial" w:eastAsia="Arial" w:hAnsi="Arial"/>
          <w:sz w:val="17"/>
          <w:szCs w:val="17"/>
          <w:i w:val="1"/>
          <w:iCs w:val="1"/>
          <w:color w:val="auto"/>
        </w:rPr>
        <w:t>Financial Statements - Notes to Condensed Consolidated Financial Statements - Note 4, Debt</w:t>
      </w:r>
      <w:r>
        <w:rPr>
          <w:rFonts w:ascii="Arial" w:cs="Arial" w:eastAsia="Arial" w:hAnsi="Arial"/>
          <w:sz w:val="17"/>
          <w:szCs w:val="17"/>
          <w:color w:val="auto"/>
        </w:rPr>
        <w:t>."</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NMIH's principal liquidity demands include funds for the payment of (i) certain corporate expenses, (ii) certain reimbursable expenses of our insurance subsidiaries, including NMIC, and (iii) principal and interest as due on our outstanding debt. NMIH generates cash interest income on its investment portfolio and benefits from tax, expense-sharing and debt service agreements with its subsidiaries. Such agreements have been approved by the Wisconsin OCI and provide for the reimbursement of substantially all of NMIH's annual cash expenditures. While such agreements are subject to revocation by the Wisconsin OCI, we do not expect such action to be taken at this time. The Wisconsin OCI has refreshed its approval of the debt service agreement providing for the additional reimbursement by NMIC of interest expense due on our newly issued Notes and 2020 Revolving Credit Facility.</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June 30, 2020, NMIC had $1.7 billion of cash and investments, including $433 million of cash and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June 30, 2020, NMIC generated $237 million of cash flow from operations and received an additional $437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7"/>
          <w:szCs w:val="17"/>
          <w:i w:val="1"/>
          <w:iCs w:val="1"/>
          <w:color w:val="auto"/>
        </w:rPr>
        <w:t>i.e.</w:t>
      </w:r>
      <w:r>
        <w:rPr>
          <w:rFonts w:ascii="Arial" w:cs="Arial" w:eastAsia="Arial" w:hAnsi="Arial"/>
          <w:sz w:val="17"/>
          <w:szCs w:val="17"/>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pay meaningful cash claims in the near-term.</w:t>
      </w:r>
    </w:p>
    <w:p>
      <w:pPr>
        <w:spacing w:after="0" w:line="1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Premiums paid to NMIC on monthly policies are generally collected and remitted by loan servicers. We have noted the broad discussion about the liquidity challenges loan servicers may themselves face in the event of widespread borrower utilization of forbearance programs. We do not currently believe that loan servicer liquidity issues will have a material impact on NMIC's premium receipts or liquidity profile. Loan servicers are contractually obligated to advance mortgage insurance premiums in a timely manner, even if the underlying borrowers fail to remit their monthly mortgage payments.In June 2020, the GSEs issued guidance to the PMIERs that, among other items, requires us to notify them of our intent to cancel coverage on policies for which servicers have failed to make timely premium payments so that the GSEs can pay the premiums directly to us and preserve the mortgage insurance coverage. Through June 30, 2020, we did not see any notable changes in servicer payment practices, with servicers generally continuing to remit monthly premium payments as scheduled, including those for policies covering loans that are in a forbearance program.</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portfolio</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2020, we had $1.9 billion of cash and invested assets. Our investment strategy equally prioritizes capital preservation alongside income generation, and we have a long-established investment policy that sets conservative limits for asset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types, industry sectors, single issuers and instrument credit ratings. At June 30, 2020, our investment portfolio was comprised of 100% fixed income assets with 100% of our holdings rated investment grade and our portfolio having an average rating of "A+." At June 30, 2020, our portfolio was in a $53 million aggregate unrealized gain position; it was highly liquid and highly diversified with no Level 3 asset positions and no single issuer concentration greater than 1.3%. We did not record any allowance for credit losses in the portfolio during the three months ended June 30, 2020, as we expect to recover the amortized cost basis of all securities held.</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pre-tax book yield on our investment portfolio was 2.4% for the three months ended June 30, 2020. At the onset of the COVID-19 crisis, we decided to prioritize liquidity and increased our cash and equivalent holdings as a percentage of our total portfolio. We believe such action was prudent in light of the heightened market volatility and general uncertainty developing in the early stages of the COVID-19 pandemic; however, it contributed to a decline in our pre-tax book yield during the quarter. We have since redeployed much of our excess liquidity position and expect net investment income to rebound in the future.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monitor the impact that the CARES Act may have on our business, financial condition and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3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NIW;</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71"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5" w:name="page36"/>
    <w:bookmarkEnd w:id="35"/>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June 30, 2020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is a party to three outstanding quota share reinsurance treaties – the 2016 QSR Transaction, effective September 1, 2016, the 2018 QSR Transaction, effective January 1, 2018, and 2020 QSR Transaction, effective April 1, 2020.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S&amp;P, A.M. Best or both.</w:t>
      </w:r>
    </w:p>
    <w:p>
      <w:pPr>
        <w:spacing w:after="0" w:line="1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2020 QSR Transaction, NMIC cedes premiums earned related to Eligible Policies written from April 1, 2020 through December 31, 2020, in exchange for reimbursement of ceded claims and claim expenses on covered policies, a 20% ceding commission, and a profit commission of up to 50% that varies directly and inversely with ceded claims. At the time the 2020 QSR Transaction agreement was executed, NMIC ceded premiums earned related to 10.5% of the risk on the Eligible Policies, and subsequent to the execution of the agreement, we engaged additional reinsurance counterparties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increased the cession under the 2020 QSR Transaction to 21.0% of the risk on the Eligible Policies, subject in all respects to the terms of the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for the three and six months ended June 30, 2020</w:t>
      </w:r>
      <w:r>
        <w:rPr>
          <w:rFonts w:ascii="Arial" w:cs="Arial" w:eastAsia="Arial" w:hAnsi="Arial"/>
          <w:sz w:val="18"/>
          <w:szCs w:val="18"/>
          <w:color w:val="auto"/>
          <w:strike w:val="1"/>
        </w:rPr>
        <w:t>,</w:t>
      </w:r>
      <w:r>
        <w:rPr>
          <w:rFonts w:ascii="Arial" w:cs="Arial" w:eastAsia="Arial" w:hAnsi="Arial"/>
          <w:sz w:val="18"/>
          <w:szCs w:val="18"/>
          <w:color w:val="auto"/>
        </w:rPr>
        <w:t xml:space="preserve"> reflect the initial 10.5% cession rate under the 2020 QSR Transaction.</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NMIC has secured aggregate excess-of-loss reinsurance coverage on defined portfolios of mortgage insurance policies written during discrete periods through a series of mortgage insurance-linked note offerings by the Oaktown Re Vehicles.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occurs.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1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inception date, covered production period, initial and current reinsurance coverage amount, and initial and current first layer retained aggregate loss under each of the ILN Transactions. Current amounts are presented as of June 30,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Initial First Layer</w:t>
            </w:r>
          </w:p>
        </w:tc>
        <w:tc>
          <w:tcPr>
            <w:tcW w:w="140" w:type="dxa"/>
            <w:vAlign w:val="bottom"/>
          </w:tcPr>
          <w:p>
            <w:pPr>
              <w:spacing w:after="0"/>
              <w:rPr>
                <w:sz w:val="14"/>
                <w:szCs w:val="14"/>
                <w:color w:val="auto"/>
              </w:rPr>
            </w:pPr>
          </w:p>
        </w:tc>
        <w:tc>
          <w:tcPr>
            <w:tcW w:w="1140" w:type="dxa"/>
            <w:vAlign w:val="bottom"/>
          </w:tcPr>
          <w:p>
            <w:pPr>
              <w:jc w:val="right"/>
              <w:ind w:right="139"/>
              <w:spacing w:after="0"/>
              <w:rPr>
                <w:sz w:val="20"/>
                <w:szCs w:val="20"/>
                <w:color w:val="auto"/>
              </w:rPr>
            </w:pPr>
            <w:r>
              <w:rPr>
                <w:rFonts w:ascii="Arial" w:cs="Arial" w:eastAsia="Arial" w:hAnsi="Arial"/>
                <w:sz w:val="14"/>
                <w:szCs w:val="14"/>
                <w:b w:val="1"/>
                <w:bCs w:val="1"/>
                <w:color w:val="auto"/>
              </w:rPr>
              <w:t>Current First</w:t>
            </w:r>
          </w:p>
        </w:tc>
        <w:tc>
          <w:tcPr>
            <w:tcW w:w="0" w:type="dxa"/>
            <w:vAlign w:val="bottom"/>
          </w:tcPr>
          <w:p>
            <w:pPr>
              <w:spacing w:after="0"/>
              <w:rPr>
                <w:sz w:val="1"/>
                <w:szCs w:val="1"/>
                <w:color w:val="auto"/>
              </w:rPr>
            </w:pPr>
          </w:p>
        </w:tc>
      </w:tr>
      <w:tr>
        <w:trPr>
          <w:trHeight w:val="135"/>
        </w:trPr>
        <w:tc>
          <w:tcPr>
            <w:tcW w:w="2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Inception Date</w:t>
            </w:r>
          </w:p>
        </w:tc>
        <w:tc>
          <w:tcPr>
            <w:tcW w:w="120" w:type="dxa"/>
            <w:vAlign w:val="bottom"/>
            <w:vMerge w:val="restart"/>
          </w:tcPr>
          <w:p>
            <w:pPr>
              <w:spacing w:after="0"/>
              <w:rPr>
                <w:sz w:val="11"/>
                <w:szCs w:val="11"/>
                <w:color w:val="auto"/>
              </w:rPr>
            </w:pPr>
          </w:p>
        </w:tc>
        <w:tc>
          <w:tcPr>
            <w:tcW w:w="21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Covered Production</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Reinsurance</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Reinsurance</w:t>
            </w: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79"/>
              <w:spacing w:after="0" w:line="135" w:lineRule="exact"/>
              <w:rPr>
                <w:sz w:val="20"/>
                <w:szCs w:val="20"/>
                <w:color w:val="auto"/>
              </w:rPr>
            </w:pPr>
            <w:r>
              <w:rPr>
                <w:rFonts w:ascii="Arial" w:cs="Arial" w:eastAsia="Arial" w:hAnsi="Arial"/>
                <w:sz w:val="14"/>
                <w:szCs w:val="14"/>
                <w:b w:val="1"/>
                <w:bCs w:val="1"/>
                <w:color w:val="auto"/>
                <w:w w:val="95"/>
              </w:rPr>
              <w:t>Layer Retained</w:t>
            </w:r>
          </w:p>
        </w:tc>
        <w:tc>
          <w:tcPr>
            <w:tcW w:w="0" w:type="dxa"/>
            <w:vAlign w:val="bottom"/>
          </w:tcPr>
          <w:p>
            <w:pPr>
              <w:spacing w:after="0"/>
              <w:rPr>
                <w:sz w:val="1"/>
                <w:szCs w:val="1"/>
                <w:color w:val="auto"/>
              </w:rPr>
            </w:pPr>
          </w:p>
        </w:tc>
      </w:tr>
      <w:tr>
        <w:trPr>
          <w:trHeight w:val="189"/>
        </w:trPr>
        <w:tc>
          <w:tcPr>
            <w:tcW w:w="20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Retained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4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 ILN Transaction</w:t>
            </w:r>
          </w:p>
        </w:tc>
        <w:tc>
          <w:tcPr>
            <w:tcW w:w="1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2, 2017</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1/1/2013 - 12/31/2016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211,320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40,226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126,793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122,034</w:t>
            </w:r>
          </w:p>
        </w:tc>
        <w:tc>
          <w:tcPr>
            <w:tcW w:w="0" w:type="dxa"/>
            <w:vAlign w:val="bottom"/>
          </w:tcPr>
          <w:p>
            <w:pPr>
              <w:spacing w:after="0"/>
              <w:rPr>
                <w:sz w:val="1"/>
                <w:szCs w:val="1"/>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18"/>
                <w:szCs w:val="18"/>
                <w:color w:val="auto"/>
              </w:rPr>
              <w:t>2018 ILN Transaction</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July 25, 2018</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264,545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158,489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125,312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123,694</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ILN Transaction</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30, 2019</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326,905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231,877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123,424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123,345</w:t>
            </w:r>
          </w:p>
        </w:tc>
        <w:tc>
          <w:tcPr>
            <w:tcW w:w="0" w:type="dxa"/>
            <w:vAlign w:val="bottom"/>
          </w:tcPr>
          <w:p>
            <w:pPr>
              <w:spacing w:after="0"/>
              <w:rPr>
                <w:sz w:val="1"/>
                <w:szCs w:val="1"/>
                <w:color w:val="auto"/>
              </w:rPr>
            </w:pPr>
          </w:p>
        </w:tc>
      </w:tr>
      <w:tr>
        <w:trPr>
          <w:trHeight w:val="27"/>
        </w:trPr>
        <w:tc>
          <w:tcPr>
            <w:tcW w:w="20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hanging="332"/>
        <w:spacing w:after="0" w:line="273" w:lineRule="auto"/>
        <w:tabs>
          <w:tab w:leader="none" w:pos="162" w:val="left"/>
        </w:tabs>
        <w:numPr>
          <w:ilvl w:val="0"/>
          <w:numId w:val="18"/>
        </w:numPr>
        <w:rPr>
          <w:rFonts w:ascii="Arial" w:cs="Arial" w:eastAsia="Arial" w:hAnsi="Arial"/>
          <w:sz w:val="9"/>
          <w:szCs w:val="9"/>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July 2020, NMIC secured $322.1 million of aggregate excess-of-loss reinsurance coverage at inception for an existing portfolio of policies written from July 1, 2019 and March 31, 2020, through a mortgage insurance-linked notes offering by Oaktown Re IV. The reinsurance coverage amount under the terms of the 2020 ILN Transaction decreases from $322.1 million at inception over a ten-year period as the underlying covered mortgages are amortized or repaid, and/or the mortgage insurance coverage is canceled. The outstanding reinsurance coverage amount will begin amortizing after an initial period in which a target level of credit enhancement is obtained. For the reinsurance coverage period, NMIC retains the first layer of $169.5 million of aggregate losses and Oaktown Re IV then provides second layer coverage up to the outstanding reinsurance coverage amount.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NMIC then retains losses in excess of the outstanding reinsurance coverage amount. See Item 1, "</w:t>
      </w:r>
      <w:r>
        <w:rPr>
          <w:rFonts w:ascii="Arial" w:cs="Arial" w:eastAsia="Arial" w:hAnsi="Arial"/>
          <w:sz w:val="18"/>
          <w:szCs w:val="18"/>
          <w:i w:val="1"/>
          <w:iCs w:val="1"/>
          <w:color w:val="auto"/>
        </w:rPr>
        <w:t>Financial Statements - Notes to Condensed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 Note 5, Reinsurance</w:t>
      </w:r>
      <w:r>
        <w:rPr>
          <w:rFonts w:ascii="Arial" w:cs="Arial" w:eastAsia="Arial" w:hAnsi="Arial"/>
          <w:sz w:val="18"/>
          <w:szCs w:val="18"/>
          <w:color w:val="auto"/>
        </w:rPr>
        <w:t>" for further discussion of these third-party reinsurance arrangements.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Primary and pool IIF and NIW</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6"/>
          </w:tcPr>
          <w:p>
            <w:pPr>
              <w:spacing w:after="0"/>
              <w:rPr>
                <w:sz w:val="20"/>
                <w:szCs w:val="20"/>
                <w:color w:val="auto"/>
              </w:rPr>
            </w:pPr>
            <w:r>
              <w:rPr>
                <w:rFonts w:ascii="Arial" w:cs="Arial" w:eastAsia="Arial" w:hAnsi="Arial"/>
                <w:sz w:val="14"/>
                <w:szCs w:val="14"/>
                <w:b w:val="1"/>
                <w:bCs w:val="1"/>
                <w:color w:val="auto"/>
                <w:w w:val="95"/>
              </w:rPr>
              <w:t>As of and for the three months ended</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jc w:val="right"/>
              <w:ind w:right="293"/>
              <w:spacing w:after="0"/>
              <w:rPr>
                <w:sz w:val="20"/>
                <w:szCs w:val="20"/>
                <w:color w:val="auto"/>
              </w:rPr>
            </w:pPr>
            <w:r>
              <w:rPr>
                <w:rFonts w:ascii="Arial" w:cs="Arial" w:eastAsia="Arial" w:hAnsi="Arial"/>
                <w:sz w:val="14"/>
                <w:szCs w:val="14"/>
                <w:b w:val="1"/>
                <w:bCs w:val="1"/>
                <w:color w:val="auto"/>
              </w:rPr>
              <w:t>For the six months ended</w:t>
            </w:r>
          </w:p>
        </w:tc>
      </w:tr>
      <w:tr>
        <w:trPr>
          <w:trHeight w:val="208"/>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June 30, 2020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June 30, 2020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June 30, 2019</w:t>
            </w:r>
          </w:p>
        </w:tc>
      </w:tr>
      <w:tr>
        <w:trPr>
          <w:trHeight w:val="196"/>
        </w:trPr>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NIW</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IIF</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NIW</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NIW</w:t>
            </w:r>
          </w:p>
        </w:tc>
        <w:tc>
          <w:tcPr>
            <w:tcW w:w="980" w:type="dxa"/>
            <w:vAlign w:val="bottom"/>
            <w:tcBorders>
              <w:bottom w:val="single" w:sz="8" w:color="auto"/>
            </w:tcBorders>
          </w:tcPr>
          <w:p>
            <w:pPr>
              <w:spacing w:after="0"/>
              <w:rPr>
                <w:sz w:val="17"/>
                <w:szCs w:val="17"/>
                <w:color w:val="auto"/>
              </w:rPr>
            </w:pPr>
          </w:p>
        </w:tc>
      </w:tr>
      <w:tr>
        <w:trPr>
          <w:trHeight w:val="196"/>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82,848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11,885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63,922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11,067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22,346</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17,278</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Single</w:t>
            </w:r>
          </w:p>
        </w:tc>
        <w:tc>
          <w:tcPr>
            <w:tcW w:w="24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16,057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17,786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1,814</w:t>
            </w:r>
          </w:p>
        </w:tc>
      </w:tr>
      <w:tr>
        <w:trPr>
          <w:trHeight w:val="27"/>
        </w:trPr>
        <w:tc>
          <w:tcPr>
            <w:tcW w:w="4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98,905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13,124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81,708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12,179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19,092</w:t>
            </w:r>
          </w:p>
        </w:tc>
      </w:tr>
      <w:tr>
        <w:trPr>
          <w:trHeight w:val="108"/>
        </w:trPr>
        <w:tc>
          <w:tcPr>
            <w:tcW w:w="4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64"/>
        </w:trPr>
        <w:tc>
          <w:tcPr>
            <w:tcW w:w="414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101,245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13,124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84,466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12,179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24,421</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19,092</w:t>
            </w: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six months ended June 30, 2020, NIW increased 8% and 28%, respectively, compared to the three and six months ended June 30, 2019, primarily due to growth in our monthly and single premium policy production tied to increased penetration of existing customer accounts and new customer account activations, as well as growth in the size of the total mortgage insurance market NIW volume.</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June 30, 2020, monthly premium polices accounted for 91% of our NIW. As of June 30, 2020, monthly premium policies accounted for 84% of our primary IIF, as compared to 78% at June 30, 2019. We expect the break-down of monthly premium policies and single premium policies (which we refer to as "mix") in our primary IIF will continue to trend toward an increased monthly mix over time given the composition of our NIW.</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IIF increased 20% as of June 30, 2020 compared to June 30, 2019, primarily due to the NIW generated between such measurement dates, partially offset by the run-off of our in-force policies. Our persistency rate decreased to 64% at June 30, 2020 from 86% at June 30, 2019, reflecting the impact of increased refinancing activity tied to record low interest rates.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June 30, 2020</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June 30, 2020</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4"/>
              </w:rPr>
              <w:t>June 30, 2019</w:t>
            </w:r>
          </w:p>
        </w:tc>
      </w:tr>
      <w:tr>
        <w:trPr>
          <w:trHeight w:val="196"/>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jc w:val="right"/>
              <w:ind w:right="779"/>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90,109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82,609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181,480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154,532</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16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98,944</w:t>
            </w:r>
          </w:p>
        </w:tc>
        <w:tc>
          <w:tcPr>
            <w:tcW w:w="280" w:type="dxa"/>
            <w:vAlign w:val="bottom"/>
          </w:tcPr>
          <w:p>
            <w:pPr>
              <w:spacing w:after="0"/>
              <w:rPr>
                <w:sz w:val="21"/>
                <w:szCs w:val="21"/>
                <w:color w:val="auto"/>
              </w:rPr>
            </w:pP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83,249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197,661</w:t>
            </w:r>
          </w:p>
        </w:tc>
        <w:tc>
          <w:tcPr>
            <w:tcW w:w="30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157,118</w:t>
            </w:r>
          </w:p>
        </w:tc>
      </w:tr>
    </w:tbl>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three and six months ended June 30, 2020, net premiums written increased 9% and 17%, respectively, and net premiums earned increased 19% and 26%, respectively, compared to the three and six months ended June 30, 2019. The increases in net premiums written and earned are primarily due to the growth of our IIF and increased monthly policy production, partially offset by increased cessions under the 2018 QSR Transaction tied to the growth of our direct premium volume and the inception of the 2019 ILN Transaction and 2020 QSR Transaction. Net premiums earned grew at an accelerated pace compared to net premiums written due to the amortization of unearned premiums and contribution of single premium policy cancellations, partially offset by new single premium policy originations.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Pool premiums written and earned for the three and six months ended June 30, 2020 and 2019, were $0.7 million and $1.4 million, and $0.8 million and $1.6 million, respectively, before giving effect to the 2016 QSR Transaction, under which all of our written and earned pool premiums are ceded. A portion of ceded pool premiums written and earned are recouped through profit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80" w:type="dxa"/>
            <w:vAlign w:val="bottom"/>
            <w:gridSpan w:val="6"/>
          </w:tcPr>
          <w:p>
            <w:pPr>
              <w:jc w:val="center"/>
              <w:ind w:left="593"/>
              <w:spacing w:after="0"/>
              <w:rPr>
                <w:sz w:val="20"/>
                <w:szCs w:val="20"/>
                <w:color w:val="auto"/>
              </w:rPr>
            </w:pPr>
            <w:r>
              <w:rPr>
                <w:rFonts w:ascii="Arial" w:cs="Arial" w:eastAsia="Arial" w:hAnsi="Arial"/>
                <w:sz w:val="14"/>
                <w:szCs w:val="14"/>
                <w:b w:val="1"/>
                <w:bCs w:val="1"/>
                <w:color w:val="auto"/>
                <w:w w:val="91"/>
              </w:rPr>
              <w:t>As of and for the three months ended</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8"/>
        </w:trPr>
        <w:tc>
          <w:tcPr>
            <w:tcW w:w="4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 2020</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March 31, 2020</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6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w w:val="99"/>
              </w:rPr>
              <w:t>September 30, 2019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 2019</w:t>
            </w:r>
          </w:p>
        </w:tc>
        <w:tc>
          <w:tcPr>
            <w:tcW w:w="200" w:type="dxa"/>
            <w:vAlign w:val="bottom"/>
            <w:tcBorders>
              <w:bottom w:val="single" w:sz="8" w:color="auto"/>
            </w:tcBorders>
          </w:tcPr>
          <w:p>
            <w:pPr>
              <w:spacing w:after="0"/>
              <w:rPr>
                <w:sz w:val="18"/>
                <w:szCs w:val="18"/>
                <w:color w:val="auto"/>
              </w:rPr>
            </w:pPr>
          </w:p>
        </w:tc>
      </w:tr>
      <w:tr>
        <w:trPr>
          <w:trHeight w:val="196"/>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80" w:type="dxa"/>
            <w:vAlign w:val="bottom"/>
            <w:gridSpan w:val="6"/>
          </w:tcPr>
          <w:p>
            <w:pPr>
              <w:jc w:val="center"/>
              <w:ind w:left="573"/>
              <w:spacing w:after="0"/>
              <w:rPr>
                <w:sz w:val="20"/>
                <w:szCs w:val="20"/>
                <w:color w:val="auto"/>
              </w:rPr>
            </w:pPr>
            <w:r>
              <w:rPr>
                <w:rFonts w:ascii="Arial" w:cs="Arial" w:eastAsia="Arial" w:hAnsi="Arial"/>
                <w:sz w:val="14"/>
                <w:szCs w:val="14"/>
                <w:i w:val="1"/>
                <w:iCs w:val="1"/>
                <w:color w:val="auto"/>
                <w:w w:val="93"/>
              </w:rPr>
              <w:t>($ Values In Millions, except as noted below)</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New insurance written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13,124</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400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160" w:type="dxa"/>
            <w:vAlign w:val="bottom"/>
          </w:tcPr>
          <w:p>
            <w:pPr>
              <w:spacing w:after="0"/>
              <w:rPr>
                <w:sz w:val="21"/>
                <w:szCs w:val="21"/>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91 %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3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580" w:type="dxa"/>
            <w:vAlign w:val="bottom"/>
          </w:tcPr>
          <w:p>
            <w:pPr>
              <w:spacing w:after="0"/>
              <w:rPr>
                <w:sz w:val="21"/>
                <w:szCs w:val="21"/>
                <w:color w:val="auto"/>
              </w:rPr>
            </w:pPr>
          </w:p>
        </w:tc>
        <w:tc>
          <w:tcPr>
            <w:tcW w:w="1100" w:type="dxa"/>
            <w:vAlign w:val="bottom"/>
            <w:gridSpan w:val="2"/>
          </w:tcPr>
          <w:p>
            <w:pPr>
              <w:jc w:val="right"/>
              <w:ind w:right="210"/>
              <w:spacing w:after="0"/>
              <w:rPr>
                <w:sz w:val="20"/>
                <w:szCs w:val="20"/>
                <w:color w:val="auto"/>
              </w:rPr>
            </w:pPr>
            <w:r>
              <w:rPr>
                <w:rFonts w:ascii="Arial" w:cs="Arial" w:eastAsia="Arial" w:hAnsi="Arial"/>
                <w:sz w:val="18"/>
                <w:szCs w:val="18"/>
                <w:color w:val="auto"/>
              </w:rPr>
              <w:t>92 %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91 %</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9 %</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8 %</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4000" w:type="dxa"/>
            <w:vAlign w:val="bottom"/>
          </w:tcPr>
          <w:p>
            <w:pPr>
              <w:ind w:left="220"/>
              <w:spacing w:after="0"/>
              <w:rPr>
                <w:sz w:val="20"/>
                <w:szCs w:val="20"/>
                <w:color w:val="auto"/>
              </w:rPr>
            </w:pPr>
            <w:r>
              <w:rPr>
                <w:rFonts w:ascii="Arial" w:cs="Arial" w:eastAsia="Arial" w:hAnsi="Arial"/>
                <w:sz w:val="18"/>
                <w:szCs w:val="18"/>
                <w:color w:val="auto"/>
              </w:rPr>
              <w:t>New risk written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3,260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2,897</w:t>
            </w:r>
          </w:p>
        </w:tc>
        <w:tc>
          <w:tcPr>
            <w:tcW w:w="240" w:type="dxa"/>
            <w:vAlign w:val="bottom"/>
          </w:tcPr>
          <w:p>
            <w:pPr>
              <w:spacing w:after="0"/>
              <w:rPr>
                <w:sz w:val="21"/>
                <w:szCs w:val="21"/>
                <w:color w:val="auto"/>
              </w:rPr>
            </w:pP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3,082</w:t>
            </w:r>
          </w:p>
        </w:tc>
        <w:tc>
          <w:tcPr>
            <w:tcW w:w="260" w:type="dxa"/>
            <w:vAlign w:val="bottom"/>
          </w:tcPr>
          <w:p>
            <w:pPr>
              <w:spacing w:after="0"/>
              <w:rPr>
                <w:sz w:val="21"/>
                <w:szCs w:val="21"/>
                <w:color w:val="auto"/>
              </w:rPr>
            </w:pPr>
          </w:p>
        </w:tc>
        <w:tc>
          <w:tcPr>
            <w:tcW w:w="58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3,651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3,183</w:t>
            </w:r>
          </w:p>
        </w:tc>
        <w:tc>
          <w:tcPr>
            <w:tcW w:w="2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Insurance-in-force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98,905</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98,494</w:t>
            </w: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94,754</w:t>
            </w: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89,713</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81,708</w:t>
            </w:r>
          </w:p>
        </w:tc>
        <w:tc>
          <w:tcPr>
            <w:tcW w:w="200" w:type="dxa"/>
            <w:vAlign w:val="bottom"/>
            <w:shd w:val="clear" w:color="auto" w:fill="CCEEFF"/>
          </w:tcPr>
          <w:p>
            <w:pPr>
              <w:spacing w:after="0"/>
              <w:rPr>
                <w:sz w:val="23"/>
                <w:szCs w:val="23"/>
                <w:color w:val="auto"/>
              </w:rPr>
            </w:pPr>
          </w:p>
        </w:tc>
      </w:tr>
      <w:tr>
        <w:trPr>
          <w:trHeight w:val="243"/>
        </w:trPr>
        <w:tc>
          <w:tcPr>
            <w:tcW w:w="400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160" w:type="dxa"/>
            <w:vAlign w:val="bottom"/>
          </w:tcPr>
          <w:p>
            <w:pPr>
              <w:spacing w:after="0"/>
              <w:rPr>
                <w:sz w:val="21"/>
                <w:szCs w:val="21"/>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84 %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3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580" w:type="dxa"/>
            <w:vAlign w:val="bottom"/>
          </w:tcPr>
          <w:p>
            <w:pPr>
              <w:spacing w:after="0"/>
              <w:rPr>
                <w:sz w:val="21"/>
                <w:szCs w:val="21"/>
                <w:color w:val="auto"/>
              </w:rPr>
            </w:pPr>
          </w:p>
        </w:tc>
        <w:tc>
          <w:tcPr>
            <w:tcW w:w="1100" w:type="dxa"/>
            <w:vAlign w:val="bottom"/>
            <w:gridSpan w:val="2"/>
          </w:tcPr>
          <w:p>
            <w:pPr>
              <w:jc w:val="right"/>
              <w:ind w:right="210"/>
              <w:spacing w:after="0"/>
              <w:rPr>
                <w:sz w:val="20"/>
                <w:szCs w:val="20"/>
                <w:color w:val="auto"/>
              </w:rPr>
            </w:pPr>
            <w:r>
              <w:rPr>
                <w:rFonts w:ascii="Arial" w:cs="Arial" w:eastAsia="Arial" w:hAnsi="Arial"/>
                <w:sz w:val="18"/>
                <w:szCs w:val="18"/>
                <w:color w:val="auto"/>
              </w:rPr>
              <w:t>80 %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78 %</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16 %</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20 %</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70"/>
        </w:trPr>
        <w:tc>
          <w:tcPr>
            <w:tcW w:w="4000" w:type="dxa"/>
            <w:vAlign w:val="bottom"/>
          </w:tcPr>
          <w:p>
            <w:pPr>
              <w:ind w:left="220"/>
              <w:spacing w:after="0"/>
              <w:rPr>
                <w:sz w:val="20"/>
                <w:szCs w:val="20"/>
                <w:color w:val="auto"/>
              </w:rPr>
            </w:pPr>
            <w:r>
              <w:rPr>
                <w:rFonts w:ascii="Arial" w:cs="Arial" w:eastAsia="Arial" w:hAnsi="Arial"/>
                <w:sz w:val="18"/>
                <w:szCs w:val="18"/>
                <w:color w:val="auto"/>
              </w:rPr>
              <w:t xml:space="preserve">Risk-in-force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25,238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25,192</w:t>
            </w:r>
          </w:p>
        </w:tc>
        <w:tc>
          <w:tcPr>
            <w:tcW w:w="240" w:type="dxa"/>
            <w:vAlign w:val="bottom"/>
          </w:tcPr>
          <w:p>
            <w:pPr>
              <w:spacing w:after="0"/>
              <w:rPr>
                <w:sz w:val="23"/>
                <w:szCs w:val="23"/>
                <w:color w:val="auto"/>
              </w:rPr>
            </w:pP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24,173</w:t>
            </w:r>
          </w:p>
        </w:tc>
        <w:tc>
          <w:tcPr>
            <w:tcW w:w="260" w:type="dxa"/>
            <w:vAlign w:val="bottom"/>
          </w:tcPr>
          <w:p>
            <w:pPr>
              <w:spacing w:after="0"/>
              <w:rPr>
                <w:sz w:val="23"/>
                <w:szCs w:val="23"/>
                <w:color w:val="auto"/>
              </w:rPr>
            </w:pPr>
          </w:p>
        </w:tc>
        <w:tc>
          <w:tcPr>
            <w:tcW w:w="58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22,810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20,661</w:t>
            </w:r>
          </w:p>
        </w:tc>
        <w:tc>
          <w:tcPr>
            <w:tcW w:w="200" w:type="dxa"/>
            <w:vAlign w:val="bottom"/>
          </w:tcPr>
          <w:p>
            <w:pPr>
              <w:spacing w:after="0"/>
              <w:rPr>
                <w:sz w:val="23"/>
                <w:szCs w:val="23"/>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372,934</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376,852</w:t>
            </w: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366,039</w:t>
            </w: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350,395</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324,876</w:t>
            </w:r>
          </w:p>
        </w:tc>
        <w:tc>
          <w:tcPr>
            <w:tcW w:w="200" w:type="dxa"/>
            <w:vAlign w:val="bottom"/>
            <w:shd w:val="clear" w:color="auto" w:fill="CCEEFF"/>
          </w:tcPr>
          <w:p>
            <w:pPr>
              <w:spacing w:after="0"/>
              <w:rPr>
                <w:sz w:val="23"/>
                <w:szCs w:val="23"/>
                <w:color w:val="auto"/>
              </w:rPr>
            </w:pPr>
          </w:p>
        </w:tc>
      </w:tr>
      <w:tr>
        <w:trPr>
          <w:trHeight w:val="270"/>
        </w:trPr>
        <w:tc>
          <w:tcPr>
            <w:tcW w:w="4000" w:type="dxa"/>
            <w:vAlign w:val="bottom"/>
          </w:tcPr>
          <w:p>
            <w:pPr>
              <w:ind w:left="220"/>
              <w:spacing w:after="0"/>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14"/>
                <w:szCs w:val="14"/>
                <w:i w:val="1"/>
                <w:iCs w:val="1"/>
                <w:color w:val="auto"/>
              </w:rPr>
              <w:t>($ value in thousands)</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23"/>
                <w:szCs w:val="23"/>
                <w:color w:val="auto"/>
              </w:rPr>
            </w:pP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23"/>
                <w:szCs w:val="23"/>
                <w:color w:val="auto"/>
              </w:rPr>
            </w:pPr>
          </w:p>
        </w:tc>
        <w:tc>
          <w:tcPr>
            <w:tcW w:w="58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3"/>
                <w:szCs w:val="23"/>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Coverage percentage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000" w:type="dxa"/>
            <w:vAlign w:val="bottom"/>
          </w:tcPr>
          <w:p>
            <w:pPr>
              <w:ind w:left="220"/>
              <w:spacing w:after="0"/>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3"/>
                <w:szCs w:val="23"/>
                <w:color w:val="auto"/>
                <w:vertAlign w:val="superscript"/>
              </w:rPr>
              <w:t>(1)</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10,816</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1,448</w:t>
            </w: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1,230</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23"/>
                <w:szCs w:val="23"/>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Percentage of loans in default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000" w:type="dxa"/>
            <w:vAlign w:val="bottom"/>
          </w:tcPr>
          <w:p>
            <w:pPr>
              <w:ind w:left="220"/>
              <w:spacing w:after="0"/>
              <w:rPr>
                <w:sz w:val="20"/>
                <w:szCs w:val="20"/>
                <w:color w:val="auto"/>
              </w:rPr>
            </w:pPr>
            <w:r>
              <w:rPr>
                <w:rFonts w:ascii="Arial" w:cs="Arial" w:eastAsia="Arial" w:hAnsi="Arial"/>
                <w:sz w:val="18"/>
                <w:szCs w:val="18"/>
                <w:color w:val="auto"/>
              </w:rPr>
              <w:t xml:space="preserve">Risk-in-force on defaulted loans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3"/>
                <w:szCs w:val="23"/>
                <w:color w:val="auto"/>
              </w:rPr>
            </w:pP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3"/>
                <w:szCs w:val="23"/>
                <w:color w:val="auto"/>
              </w:rPr>
            </w:pPr>
          </w:p>
        </w:tc>
        <w:tc>
          <w:tcPr>
            <w:tcW w:w="58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3"/>
                <w:szCs w:val="23"/>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0.40 %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3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5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0.43 %</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0.43 %</w:t>
            </w:r>
          </w:p>
        </w:tc>
      </w:tr>
      <w:tr>
        <w:trPr>
          <w:trHeight w:val="243"/>
        </w:trPr>
        <w:tc>
          <w:tcPr>
            <w:tcW w:w="4000" w:type="dxa"/>
            <w:vAlign w:val="bottom"/>
          </w:tcPr>
          <w:p>
            <w:pPr>
              <w:ind w:left="220"/>
              <w:spacing w:after="0"/>
              <w:rPr>
                <w:sz w:val="20"/>
                <w:szCs w:val="20"/>
                <w:color w:val="auto"/>
              </w:rPr>
            </w:pPr>
            <w:r>
              <w:rPr>
                <w:rFonts w:ascii="Arial" w:cs="Arial" w:eastAsia="Arial" w:hAnsi="Arial"/>
                <w:sz w:val="18"/>
                <w:szCs w:val="18"/>
                <w:color w:val="auto"/>
              </w:rPr>
              <w:t>Earnings from cancellations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1"/>
                <w:szCs w:val="21"/>
                <w:color w:val="auto"/>
              </w:rPr>
            </w:pP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1"/>
                <w:szCs w:val="21"/>
                <w:color w:val="auto"/>
              </w:rPr>
            </w:pPr>
          </w:p>
        </w:tc>
        <w:tc>
          <w:tcPr>
            <w:tcW w:w="58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352"/>
        </w:trPr>
        <w:tc>
          <w:tcPr>
            <w:tcW w:w="4000" w:type="dxa"/>
            <w:vAlign w:val="bottom"/>
          </w:tcPr>
          <w:p>
            <w:pPr>
              <w:ind w:left="22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3"/>
                <w:szCs w:val="23"/>
                <w:color w:val="auto"/>
                <w:vertAlign w:val="superscript"/>
              </w:rPr>
              <w:t>(5)</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61"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Calculated as end of period RIF divided by end of period IIF.</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Calculated as net premiums earned divided by average primary IIF for the period, annualized.</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 given 12-month period.</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Defined as the percentage of IIF that is no longer on our books after a given three month period.</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Primary IIF</w:t>
            </w: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2019</w:t>
            </w:r>
          </w:p>
        </w:tc>
      </w:tr>
      <w:tr>
        <w:trPr>
          <w:trHeight w:val="196"/>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5"/>
          </w:tcPr>
          <w:p>
            <w:pPr>
              <w:ind w:left="8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256"/>
              <w:spacing w:after="0"/>
              <w:rPr>
                <w:sz w:val="20"/>
                <w:szCs w:val="20"/>
                <w:color w:val="auto"/>
              </w:rPr>
            </w:pPr>
            <w:r>
              <w:rPr>
                <w:rFonts w:ascii="Arial" w:cs="Arial" w:eastAsia="Arial" w:hAnsi="Arial"/>
                <w:sz w:val="18"/>
                <w:szCs w:val="18"/>
                <w:color w:val="auto"/>
                <w:w w:val="90"/>
              </w:rPr>
              <w:t>98,494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73,234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center"/>
              <w:ind w:left="256"/>
              <w:spacing w:after="0"/>
              <w:rPr>
                <w:sz w:val="20"/>
                <w:szCs w:val="20"/>
                <w:color w:val="auto"/>
              </w:rPr>
            </w:pPr>
            <w:r>
              <w:rPr>
                <w:rFonts w:ascii="Arial" w:cs="Arial" w:eastAsia="Arial" w:hAnsi="Arial"/>
                <w:sz w:val="18"/>
                <w:szCs w:val="18"/>
                <w:color w:val="auto"/>
                <w:w w:val="87"/>
              </w:rPr>
              <w:t>94,754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68,551</w:t>
            </w:r>
          </w:p>
        </w:tc>
      </w:tr>
      <w:tr>
        <w:trPr>
          <w:trHeight w:val="243"/>
        </w:trPr>
        <w:tc>
          <w:tcPr>
            <w:tcW w:w="5680" w:type="dxa"/>
            <w:vAlign w:val="bottom"/>
          </w:tcPr>
          <w:p>
            <w:pPr>
              <w:ind w:left="220"/>
              <w:spacing w:after="0"/>
              <w:rPr>
                <w:sz w:val="20"/>
                <w:szCs w:val="20"/>
                <w:color w:val="auto"/>
              </w:rPr>
            </w:pPr>
            <w:r>
              <w:rPr>
                <w:rFonts w:ascii="Arial" w:cs="Arial" w:eastAsia="Arial" w:hAnsi="Arial"/>
                <w:sz w:val="18"/>
                <w:szCs w:val="18"/>
                <w:color w:val="auto"/>
              </w:rPr>
              <w:t>NIW</w:t>
            </w:r>
          </w:p>
        </w:tc>
        <w:tc>
          <w:tcPr>
            <w:tcW w:w="180" w:type="dxa"/>
            <w:vAlign w:val="bottom"/>
          </w:tcPr>
          <w:p>
            <w:pPr>
              <w:spacing w:after="0"/>
              <w:rPr>
                <w:sz w:val="21"/>
                <w:szCs w:val="21"/>
                <w:color w:val="auto"/>
              </w:rPr>
            </w:pPr>
          </w:p>
        </w:tc>
        <w:tc>
          <w:tcPr>
            <w:tcW w:w="1120" w:type="dxa"/>
            <w:vAlign w:val="bottom"/>
          </w:tcPr>
          <w:p>
            <w:pPr>
              <w:jc w:val="center"/>
              <w:ind w:left="256"/>
              <w:spacing w:after="0"/>
              <w:rPr>
                <w:sz w:val="20"/>
                <w:szCs w:val="20"/>
                <w:color w:val="auto"/>
              </w:rPr>
            </w:pPr>
            <w:r>
              <w:rPr>
                <w:rFonts w:ascii="Arial" w:cs="Arial" w:eastAsia="Arial" w:hAnsi="Arial"/>
                <w:sz w:val="18"/>
                <w:szCs w:val="18"/>
                <w:color w:val="auto"/>
                <w:w w:val="90"/>
              </w:rPr>
              <w:t>13,124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ind w:left="500"/>
              <w:spacing w:after="0"/>
              <w:rPr>
                <w:sz w:val="20"/>
                <w:szCs w:val="20"/>
                <w:color w:val="auto"/>
              </w:rPr>
            </w:pPr>
            <w:r>
              <w:rPr>
                <w:rFonts w:ascii="Arial" w:cs="Arial" w:eastAsia="Arial" w:hAnsi="Arial"/>
                <w:sz w:val="18"/>
                <w:szCs w:val="18"/>
                <w:color w:val="auto"/>
              </w:rPr>
              <w:t>12,179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center"/>
              <w:ind w:left="256"/>
              <w:spacing w:after="0"/>
              <w:rPr>
                <w:sz w:val="20"/>
                <w:szCs w:val="20"/>
                <w:color w:val="auto"/>
              </w:rPr>
            </w:pPr>
            <w:r>
              <w:rPr>
                <w:rFonts w:ascii="Arial" w:cs="Arial" w:eastAsia="Arial" w:hAnsi="Arial"/>
                <w:sz w:val="18"/>
                <w:szCs w:val="18"/>
                <w:color w:val="auto"/>
                <w:w w:val="87"/>
              </w:rPr>
              <w:t>24,421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ind w:left="500"/>
              <w:spacing w:after="0"/>
              <w:rPr>
                <w:sz w:val="20"/>
                <w:szCs w:val="20"/>
                <w:color w:val="auto"/>
              </w:rPr>
            </w:pPr>
            <w:r>
              <w:rPr>
                <w:rFonts w:ascii="Arial" w:cs="Arial" w:eastAsia="Arial" w:hAnsi="Arial"/>
                <w:sz w:val="18"/>
                <w:szCs w:val="18"/>
                <w:color w:val="auto"/>
              </w:rPr>
              <w:t>19,092</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Cancellations, principal repayments and other reductions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8"/>
                <w:szCs w:val="18"/>
                <w:color w:val="auto"/>
                <w:w w:val="92"/>
              </w:rPr>
              <w:t>(12,713)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(3,705)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236"/>
              <w:spacing w:after="0"/>
              <w:rPr>
                <w:sz w:val="20"/>
                <w:szCs w:val="20"/>
                <w:color w:val="auto"/>
              </w:rPr>
            </w:pPr>
            <w:r>
              <w:rPr>
                <w:rFonts w:ascii="Arial" w:cs="Arial" w:eastAsia="Arial" w:hAnsi="Arial"/>
                <w:sz w:val="18"/>
                <w:szCs w:val="18"/>
                <w:color w:val="auto"/>
                <w:w w:val="92"/>
              </w:rPr>
              <w:t>(20,270)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(5,935)</w:t>
            </w:r>
          </w:p>
        </w:tc>
      </w:tr>
      <w:tr>
        <w:trPr>
          <w:trHeight w:val="263"/>
        </w:trPr>
        <w:tc>
          <w:tcPr>
            <w:tcW w:w="5680" w:type="dxa"/>
            <w:vAlign w:val="bottom"/>
          </w:tcPr>
          <w:p>
            <w:pPr>
              <w:ind w:left="20"/>
              <w:spacing w:after="0"/>
              <w:rPr>
                <w:sz w:val="20"/>
                <w:szCs w:val="20"/>
                <w:color w:val="auto"/>
              </w:rPr>
            </w:pPr>
            <w:r>
              <w:rPr>
                <w:rFonts w:ascii="Arial" w:cs="Arial" w:eastAsia="Arial" w:hAnsi="Arial"/>
                <w:sz w:val="18"/>
                <w:szCs w:val="18"/>
                <w:color w:val="auto"/>
              </w:rPr>
              <w:t>IIF,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center"/>
              <w:ind w:left="256"/>
              <w:spacing w:after="0"/>
              <w:rPr>
                <w:sz w:val="20"/>
                <w:szCs w:val="20"/>
                <w:color w:val="auto"/>
              </w:rPr>
            </w:pPr>
            <w:r>
              <w:rPr>
                <w:rFonts w:ascii="Arial" w:cs="Arial" w:eastAsia="Arial" w:hAnsi="Arial"/>
                <w:sz w:val="18"/>
                <w:szCs w:val="18"/>
                <w:color w:val="auto"/>
                <w:w w:val="90"/>
              </w:rPr>
              <w:t>98,905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81,708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center"/>
              <w:ind w:left="256"/>
              <w:spacing w:after="0"/>
              <w:rPr>
                <w:sz w:val="20"/>
                <w:szCs w:val="20"/>
                <w:color w:val="auto"/>
              </w:rPr>
            </w:pPr>
            <w:r>
              <w:rPr>
                <w:rFonts w:ascii="Arial" w:cs="Arial" w:eastAsia="Arial" w:hAnsi="Arial"/>
                <w:sz w:val="18"/>
                <w:szCs w:val="18"/>
                <w:color w:val="auto"/>
                <w:w w:val="87"/>
              </w:rPr>
              <w:t>98,905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81,708</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9" w:name="page40"/>
    <w:bookmarkEnd w:id="39"/>
    <w:p>
      <w:pPr>
        <w:jc w:val="both"/>
        <w:ind w:firstLine="648"/>
        <w:spacing w:after="0" w:line="275"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2020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2019</w:t>
            </w:r>
          </w:p>
        </w:tc>
        <w:tc>
          <w:tcPr>
            <w:tcW w:w="1000" w:type="dxa"/>
            <w:vAlign w:val="bottom"/>
            <w:tcBorders>
              <w:bottom w:val="single" w:sz="8" w:color="auto"/>
            </w:tcBorders>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RIF</w:t>
            </w: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RIF</w:t>
            </w:r>
          </w:p>
        </w:tc>
      </w:tr>
      <w:tr>
        <w:trPr>
          <w:trHeight w:val="196"/>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23,949</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2019</w:t>
            </w:r>
          </w:p>
        </w:tc>
        <w:tc>
          <w:tcPr>
            <w:tcW w:w="10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w w:val="90"/>
              </w:rPr>
              <w:t>34,658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9,017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18,745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4,892</w:t>
            </w: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14,322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24,344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6,177</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2017</w:t>
            </w:r>
          </w:p>
        </w:tc>
        <w:tc>
          <w:tcPr>
            <w:tcW w:w="10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w w:val="90"/>
              </w:rPr>
              <w:t>11,548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17,512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4,319</w:t>
            </w: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9,595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13,903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3,454</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2015 and before</w:t>
            </w:r>
          </w:p>
        </w:tc>
        <w:tc>
          <w:tcPr>
            <w:tcW w:w="10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4,833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7,204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1,819</w:t>
            </w:r>
          </w:p>
        </w:tc>
      </w:tr>
      <w:tr>
        <w:trPr>
          <w:trHeight w:val="27"/>
        </w:trPr>
        <w:tc>
          <w:tcPr>
            <w:tcW w:w="4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98,905</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25,238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81,708</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20,661</w:t>
            </w:r>
          </w:p>
        </w:tc>
      </w:tr>
      <w:tr>
        <w:trPr>
          <w:trHeight w:val="20"/>
        </w:trPr>
        <w:tc>
          <w:tcPr>
            <w:tcW w:w="4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response to the outbreak of COVID-19, we have adopted changes to our underwriting guidelines, including changes to our loan documentation requirements, asset reserve requirements, employment verification process and income continuance determinations, which we expect will further strengthen the credit risk profile of our new business production.</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4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June 30, 2019</w:t>
            </w:r>
          </w:p>
        </w:tc>
      </w:tr>
      <w:tr>
        <w:trPr>
          <w:trHeight w:val="196"/>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80" w:type="dxa"/>
            <w:vAlign w:val="bottom"/>
            <w:gridSpan w:val="5"/>
          </w:tcPr>
          <w:p>
            <w:pPr>
              <w:ind w:left="100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6"/>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8,052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5,627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14,342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8,684</w:t>
            </w: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740-759</w:t>
            </w:r>
          </w:p>
        </w:tc>
        <w:tc>
          <w:tcPr>
            <w:tcW w:w="2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3,481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3,389</w:t>
            </w: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2,829</w:t>
            </w: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700-719</w:t>
            </w:r>
          </w:p>
        </w:tc>
        <w:tc>
          <w:tcPr>
            <w:tcW w:w="2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1,997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2,129</w:t>
            </w: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1,444</w:t>
            </w: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&lt;=679</w:t>
            </w:r>
          </w:p>
        </w:tc>
        <w:tc>
          <w:tcPr>
            <w:tcW w:w="2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617</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13,124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12,179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24,421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19,092</w:t>
            </w:r>
          </w:p>
        </w:tc>
      </w:tr>
      <w:tr>
        <w:trPr>
          <w:trHeight w:val="264"/>
        </w:trPr>
        <w:tc>
          <w:tcPr>
            <w:tcW w:w="4940" w:type="dxa"/>
            <w:vAlign w:val="bottom"/>
          </w:tcPr>
          <w:p>
            <w:pPr>
              <w:ind w:left="20"/>
              <w:spacing w:after="0"/>
              <w:rPr>
                <w:sz w:val="20"/>
                <w:szCs w:val="20"/>
                <w:color w:val="auto"/>
              </w:rPr>
            </w:pPr>
            <w:r>
              <w:rPr>
                <w:rFonts w:ascii="Arial" w:cs="Arial" w:eastAsia="Arial" w:hAnsi="Arial"/>
                <w:sz w:val="18"/>
                <w:szCs w:val="18"/>
                <w:color w:val="auto"/>
              </w:rPr>
              <w:t>Weighted average FICO</w:t>
            </w:r>
          </w:p>
        </w:tc>
        <w:tc>
          <w:tcPr>
            <w:tcW w:w="2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751</w:t>
            </w: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2"/>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Primary NIW by LTV</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656"/>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753"/>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4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June 30, 2020</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June 30, 2019</w:t>
            </w:r>
          </w:p>
        </w:tc>
      </w:tr>
      <w:tr>
        <w:trPr>
          <w:trHeight w:val="196"/>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7"/>
          </w:tcPr>
          <w:p>
            <w:pPr>
              <w:ind w:left="1000"/>
              <w:spacing w:after="0"/>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6"/>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1,268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1,540</w:t>
            </w: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56"/>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10,394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9,355</w:t>
            </w:r>
          </w:p>
        </w:tc>
      </w:tr>
      <w:tr>
        <w:trPr>
          <w:trHeight w:val="27"/>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5,067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4,085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9,149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6,326</w:t>
            </w: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85.00% and below</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56"/>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3,610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1,871</w:t>
            </w:r>
          </w:p>
        </w:tc>
      </w:tr>
      <w:tr>
        <w:trPr>
          <w:trHeight w:val="27"/>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13,124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12,179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24,421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19,092</w:t>
            </w:r>
          </w:p>
        </w:tc>
      </w:tr>
      <w:tr>
        <w:trPr>
          <w:trHeight w:val="263"/>
        </w:trPr>
        <w:tc>
          <w:tcPr>
            <w:tcW w:w="4740" w:type="dxa"/>
            <w:vAlign w:val="bottom"/>
          </w:tcPr>
          <w:p>
            <w:pPr>
              <w:ind w:left="20"/>
              <w:spacing w:after="0"/>
              <w:rPr>
                <w:sz w:val="20"/>
                <w:szCs w:val="20"/>
                <w:color w:val="auto"/>
              </w:rPr>
            </w:pPr>
            <w:r>
              <w:rPr>
                <w:rFonts w:ascii="Arial" w:cs="Arial" w:eastAsia="Arial" w:hAnsi="Arial"/>
                <w:sz w:val="18"/>
                <w:szCs w:val="18"/>
                <w:color w:val="auto"/>
              </w:rPr>
              <w:t>Weighted average LTV</w:t>
            </w:r>
          </w:p>
        </w:tc>
        <w:tc>
          <w:tcPr>
            <w:tcW w:w="1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90.7 %</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92.0 %</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91.0 %</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92.1 %</w:t>
            </w:r>
          </w:p>
        </w:tc>
      </w:tr>
      <w:tr>
        <w:trPr>
          <w:trHeight w:val="21"/>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784"/>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Primary NIW by purchase/refinance mix</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693"/>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2020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June 30, 2020</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30, 2019</w:t>
            </w:r>
          </w:p>
        </w:tc>
      </w:tr>
      <w:tr>
        <w:trPr>
          <w:trHeight w:val="196"/>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7"/>
          </w:tcPr>
          <w:p>
            <w:pPr>
              <w:ind w:left="1080"/>
              <w:spacing w:after="0"/>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6"/>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15,767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17,080</w:t>
            </w:r>
          </w:p>
        </w:tc>
      </w:tr>
      <w:tr>
        <w:trPr>
          <w:trHeight w:val="270"/>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Refinance </w:t>
            </w:r>
            <w:r>
              <w:rPr>
                <w:rFonts w:ascii="Arial" w:cs="Arial" w:eastAsia="Arial" w:hAnsi="Arial"/>
                <w:sz w:val="23"/>
                <w:szCs w:val="23"/>
                <w:color w:val="auto"/>
                <w:vertAlign w:val="superscript"/>
              </w:rPr>
              <w:t>(1)</w:t>
            </w:r>
          </w:p>
        </w:tc>
        <w:tc>
          <w:tcPr>
            <w:tcW w:w="1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w:t>
            </w: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8,654</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2,012</w:t>
            </w:r>
          </w:p>
        </w:tc>
      </w:tr>
      <w:tr>
        <w:trPr>
          <w:trHeight w:val="28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w:t>
            </w:r>
          </w:p>
        </w:tc>
        <w:tc>
          <w:tcPr>
            <w:tcW w:w="10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10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24,421</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19,092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our total primary IIF and RIF by FICO and LTV and total primary RIF by loan type as of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Primary IIF by FICO</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June 30, 2020</w:t>
            </w: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 2019</w:t>
            </w: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4"/>
                <w:szCs w:val="14"/>
                <w:i w:val="1"/>
                <w:iCs w:val="1"/>
                <w:color w:val="auto"/>
              </w:rPr>
              <w:t>($ Values In Millions)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48,898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37,830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740-759</w:t>
            </w: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13,731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13,882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11,388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700-719</w:t>
            </w: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10,228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9,028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&lt;=679</w:t>
            </w: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30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98,905</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81,708</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r>
      <w:tr>
        <w:trPr>
          <w:trHeight w:val="738"/>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Primary RIF by FICO</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96"/>
        </w:trPr>
        <w:tc>
          <w:tcPr>
            <w:tcW w:w="48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June 30, 2020</w:t>
            </w: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 2019</w:t>
            </w: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4"/>
                <w:szCs w:val="14"/>
                <w:i w:val="1"/>
                <w:iCs w:val="1"/>
                <w:color w:val="auto"/>
              </w:rPr>
              <w:t>($ Values In Millions)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12,433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9,551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740-759</w:t>
            </w: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3,585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700-719</w:t>
            </w: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&lt;=679 </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23"/>
                <w:szCs w:val="23"/>
                <w:color w:val="auto"/>
              </w:rPr>
            </w:pPr>
          </w:p>
        </w:tc>
      </w:tr>
      <w:tr>
        <w:trPr>
          <w:trHeight w:val="30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25,238</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20,661</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92"/>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June 30, 2020</w:t>
            </w: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gridSpan w:val="4"/>
          </w:tcPr>
          <w:p>
            <w:pPr>
              <w:jc w:val="right"/>
              <w:ind w:right="14"/>
              <w:spacing w:after="0"/>
              <w:rPr>
                <w:sz w:val="20"/>
                <w:szCs w:val="20"/>
                <w:color w:val="auto"/>
              </w:rPr>
            </w:pPr>
            <w:r>
              <w:rPr>
                <w:rFonts w:ascii="Arial" w:cs="Arial" w:eastAsia="Arial" w:hAnsi="Arial"/>
                <w:sz w:val="14"/>
                <w:szCs w:val="14"/>
                <w:i w:val="1"/>
                <w:iCs w:val="1"/>
                <w:color w:val="auto"/>
              </w:rPr>
              <w:t>($ Values In Millions)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46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45,862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38,371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32,603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25,099</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85.00% and below</w:t>
            </w:r>
          </w:p>
        </w:tc>
        <w:tc>
          <w:tcPr>
            <w:tcW w:w="46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11,987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10,313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0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98,905</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81,708</w:t>
            </w:r>
          </w:p>
        </w:tc>
        <w:tc>
          <w:tcPr>
            <w:tcW w:w="140" w:type="dxa"/>
            <w:vAlign w:val="bottom"/>
            <w:tcBorders>
              <w:bottom w:val="single" w:sz="8" w:color="auto"/>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r>
      <w:tr>
        <w:trPr>
          <w:trHeight w:val="738"/>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6"/>
        </w:trPr>
        <w:tc>
          <w:tcPr>
            <w:tcW w:w="48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June 30, 2020</w:t>
            </w: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gridSpan w:val="4"/>
          </w:tcPr>
          <w:p>
            <w:pPr>
              <w:jc w:val="right"/>
              <w:ind w:right="14"/>
              <w:spacing w:after="0"/>
              <w:rPr>
                <w:sz w:val="20"/>
                <w:szCs w:val="20"/>
                <w:color w:val="auto"/>
              </w:rPr>
            </w:pPr>
            <w:r>
              <w:rPr>
                <w:rFonts w:ascii="Arial" w:cs="Arial" w:eastAsia="Arial" w:hAnsi="Arial"/>
                <w:sz w:val="14"/>
                <w:szCs w:val="14"/>
                <w:i w:val="1"/>
                <w:iCs w:val="1"/>
                <w:color w:val="auto"/>
              </w:rPr>
              <w:t>($ Values In Millions)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46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13,463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11,206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85.00% and below</w:t>
            </w:r>
          </w:p>
        </w:tc>
        <w:tc>
          <w:tcPr>
            <w:tcW w:w="46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25,238</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20,661</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738"/>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7"/>
              </w:rPr>
              <w:t>As of</w:t>
            </w: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 2020</w:t>
            </w:r>
          </w:p>
        </w:tc>
        <w:tc>
          <w:tcPr>
            <w:tcW w:w="1340" w:type="dxa"/>
            <w:vAlign w:val="bottom"/>
          </w:tcPr>
          <w:p>
            <w:pPr>
              <w:jc w:val="right"/>
              <w:ind w:right="151"/>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4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Fixed</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20" w:type="dxa"/>
            <w:vAlign w:val="bottom"/>
          </w:tcPr>
          <w:p>
            <w:pPr>
              <w:spacing w:after="0"/>
              <w:rPr>
                <w:sz w:val="21"/>
                <w:szCs w:val="21"/>
                <w:color w:val="auto"/>
              </w:rPr>
            </w:pPr>
          </w:p>
        </w:tc>
      </w:tr>
      <w:tr>
        <w:trPr>
          <w:trHeight w:val="243"/>
        </w:trPr>
        <w:tc>
          <w:tcPr>
            <w:tcW w:w="4800" w:type="dxa"/>
            <w:vAlign w:val="bottom"/>
          </w:tcPr>
          <w:p>
            <w:pPr>
              <w:ind w:left="120"/>
              <w:spacing w:after="0"/>
              <w:rPr>
                <w:sz w:val="20"/>
                <w:szCs w:val="20"/>
                <w:color w:val="auto"/>
              </w:rPr>
            </w:pPr>
            <w:r>
              <w:rPr>
                <w:rFonts w:ascii="Arial" w:cs="Arial" w:eastAsia="Arial" w:hAnsi="Arial"/>
                <w:sz w:val="18"/>
                <w:szCs w:val="18"/>
                <w:color w:val="auto"/>
              </w:rPr>
              <w:t>Adjustable rate mortgages</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than five years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Five years and longer</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4"/>
                <w:szCs w:val="24"/>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selected primary portfolio statistics, by book year, as of June 30,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As of June 30, 2020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1"/>
                <w:szCs w:val="11"/>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4"/>
              </w:rPr>
              <w:t>Remaining</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 Remaining</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 of</w:t>
            </w: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Incurred Loss</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0" w:type="dxa"/>
            <w:vAlign w:val="bottom"/>
          </w:tcPr>
          <w:p>
            <w:pPr>
              <w:jc w:val="center"/>
              <w:ind w:left="116"/>
              <w:spacing w:after="0" w:line="113" w:lineRule="exact"/>
              <w:rPr>
                <w:sz w:val="20"/>
                <w:szCs w:val="20"/>
                <w:color w:val="auto"/>
              </w:rPr>
            </w:pPr>
            <w:r>
              <w:rPr>
                <w:rFonts w:ascii="Arial" w:cs="Arial" w:eastAsia="Arial" w:hAnsi="Arial"/>
                <w:sz w:val="13"/>
                <w:szCs w:val="13"/>
                <w:b w:val="1"/>
                <w:bCs w:val="1"/>
                <w:color w:val="auto"/>
                <w:w w:val="98"/>
              </w:rPr>
              <w:t>Ratio</w:t>
            </w: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vMerge w:val="restart"/>
          </w:tcPr>
          <w:p>
            <w:pPr>
              <w:jc w:val="center"/>
              <w:ind w:left="117"/>
              <w:spacing w:after="0"/>
              <w:rPr>
                <w:sz w:val="20"/>
                <w:szCs w:val="20"/>
                <w:color w:val="auto"/>
              </w:rPr>
            </w:pPr>
            <w:r>
              <w:rPr>
                <w:rFonts w:ascii="Arial" w:cs="Arial" w:eastAsia="Arial" w:hAnsi="Arial"/>
                <w:sz w:val="14"/>
                <w:szCs w:val="14"/>
                <w:b w:val="1"/>
                <w:bCs w:val="1"/>
                <w:color w:val="auto"/>
                <w:w w:val="98"/>
              </w:rPr>
              <w:t>Current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restart"/>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Insurance</w:t>
            </w:r>
          </w:p>
        </w:tc>
        <w:tc>
          <w:tcPr>
            <w:tcW w:w="960" w:type="dxa"/>
            <w:vAlign w:val="bottom"/>
            <w:gridSpan w:val="2"/>
            <w:vMerge w:val="restart"/>
          </w:tcPr>
          <w:p>
            <w:pPr>
              <w:jc w:val="center"/>
              <w:spacing w:after="0" w:line="158" w:lineRule="exact"/>
              <w:rPr>
                <w:sz w:val="20"/>
                <w:szCs w:val="20"/>
                <w:color w:val="auto"/>
              </w:rPr>
            </w:pPr>
            <w:r>
              <w:rPr>
                <w:rFonts w:ascii="Arial" w:cs="Arial" w:eastAsia="Arial" w:hAnsi="Arial"/>
                <w:sz w:val="14"/>
                <w:szCs w:val="14"/>
                <w:b w:val="1"/>
                <w:bCs w:val="1"/>
                <w:color w:val="auto"/>
                <w:w w:val="92"/>
              </w:rPr>
              <w:t>Insurance in</w:t>
            </w:r>
          </w:p>
        </w:tc>
        <w:tc>
          <w:tcPr>
            <w:tcW w:w="940" w:type="dxa"/>
            <w:vAlign w:val="bottom"/>
            <w:vMerge w:val="restart"/>
          </w:tcPr>
          <w:p>
            <w:pPr>
              <w:jc w:val="center"/>
              <w:ind w:left="195"/>
              <w:spacing w:after="0" w:line="158" w:lineRule="exact"/>
              <w:rPr>
                <w:sz w:val="20"/>
                <w:szCs w:val="20"/>
                <w:color w:val="auto"/>
              </w:rPr>
            </w:pPr>
            <w:r>
              <w:rPr>
                <w:rFonts w:ascii="Arial" w:cs="Arial" w:eastAsia="Arial" w:hAnsi="Arial"/>
                <w:sz w:val="14"/>
                <w:szCs w:val="14"/>
                <w:b w:val="1"/>
                <w:bCs w:val="1"/>
                <w:color w:val="auto"/>
                <w:w w:val="94"/>
              </w:rPr>
              <w:t>of Original</w:t>
            </w:r>
          </w:p>
        </w:tc>
        <w:tc>
          <w:tcPr>
            <w:tcW w:w="280" w:type="dxa"/>
            <w:vAlign w:val="bottom"/>
          </w:tcPr>
          <w:p>
            <w:pPr>
              <w:spacing w:after="0"/>
              <w:rPr>
                <w:sz w:val="6"/>
                <w:szCs w:val="6"/>
                <w:color w:val="auto"/>
              </w:rPr>
            </w:pPr>
          </w:p>
        </w:tc>
        <w:tc>
          <w:tcPr>
            <w:tcW w:w="1120" w:type="dxa"/>
            <w:vAlign w:val="bottom"/>
            <w:gridSpan w:val="2"/>
            <w:vMerge w:val="restart"/>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Policies Ever in</w:t>
            </w:r>
          </w:p>
        </w:tc>
        <w:tc>
          <w:tcPr>
            <w:tcW w:w="1100" w:type="dxa"/>
            <w:vAlign w:val="bottom"/>
            <w:gridSpan w:val="2"/>
            <w:vMerge w:val="restart"/>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Policies in</w:t>
            </w:r>
          </w:p>
        </w:tc>
        <w:tc>
          <w:tcPr>
            <w:tcW w:w="84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Loans in</w:t>
            </w:r>
          </w:p>
        </w:tc>
        <w:tc>
          <w:tcPr>
            <w:tcW w:w="78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Claims</w:t>
            </w:r>
          </w:p>
        </w:tc>
        <w:tc>
          <w:tcPr>
            <w:tcW w:w="1080" w:type="dxa"/>
            <w:vAlign w:val="bottom"/>
            <w:gridSpan w:val="2"/>
            <w:vMerge w:val="restart"/>
          </w:tcPr>
          <w:p>
            <w:pPr>
              <w:jc w:val="center"/>
              <w:spacing w:after="0" w:line="158" w:lineRule="exact"/>
              <w:rPr>
                <w:sz w:val="20"/>
                <w:szCs w:val="20"/>
                <w:color w:val="auto"/>
              </w:rPr>
            </w:pPr>
            <w:r>
              <w:rPr>
                <w:rFonts w:ascii="Arial" w:cs="Arial" w:eastAsia="Arial" w:hAnsi="Arial"/>
                <w:sz w:val="14"/>
                <w:szCs w:val="14"/>
                <w:b w:val="1"/>
                <w:bCs w:val="1"/>
                <w:color w:val="auto"/>
                <w:w w:val="95"/>
              </w:rPr>
              <w:t>(Inception to</w:t>
            </w:r>
          </w:p>
        </w:tc>
        <w:tc>
          <w:tcPr>
            <w:tcW w:w="1140" w:type="dxa"/>
            <w:vAlign w:val="bottom"/>
            <w:gridSpan w:val="2"/>
            <w:vMerge w:val="restart"/>
          </w:tcPr>
          <w:p>
            <w:pPr>
              <w:jc w:val="right"/>
              <w:ind w:right="150"/>
              <w:spacing w:after="0" w:line="158" w:lineRule="exact"/>
              <w:rPr>
                <w:sz w:val="20"/>
                <w:szCs w:val="20"/>
                <w:color w:val="auto"/>
              </w:rPr>
            </w:pPr>
            <w:r>
              <w:rPr>
                <w:rFonts w:ascii="Arial" w:cs="Arial" w:eastAsia="Arial" w:hAnsi="Arial"/>
                <w:sz w:val="14"/>
                <w:szCs w:val="14"/>
                <w:b w:val="1"/>
                <w:bCs w:val="1"/>
                <w:color w:val="auto"/>
              </w:rPr>
              <w:t>Cumulative</w:t>
            </w:r>
          </w:p>
        </w:tc>
        <w:tc>
          <w:tcPr>
            <w:tcW w:w="7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920" w:type="dxa"/>
            <w:vAlign w:val="bottom"/>
            <w:gridSpan w:val="2"/>
            <w:vMerge w:val="restart"/>
          </w:tcPr>
          <w:p>
            <w:pPr>
              <w:jc w:val="center"/>
              <w:spacing w:after="0" w:line="136" w:lineRule="exact"/>
              <w:rPr>
                <w:sz w:val="20"/>
                <w:szCs w:val="20"/>
                <w:color w:val="auto"/>
              </w:rPr>
            </w:pPr>
            <w:r>
              <w:rPr>
                <w:rFonts w:ascii="Arial" w:cs="Arial" w:eastAsia="Arial" w:hAnsi="Arial"/>
                <w:sz w:val="14"/>
                <w:szCs w:val="14"/>
                <w:b w:val="1"/>
                <w:bCs w:val="1"/>
                <w:color w:val="auto"/>
                <w:w w:val="95"/>
              </w:rPr>
              <w:t>Default Rate</w:t>
            </w:r>
          </w:p>
        </w:tc>
        <w:tc>
          <w:tcPr>
            <w:tcW w:w="0" w:type="dxa"/>
            <w:vAlign w:val="bottom"/>
          </w:tcPr>
          <w:p>
            <w:pPr>
              <w:spacing w:after="0"/>
              <w:rPr>
                <w:sz w:val="1"/>
                <w:szCs w:val="1"/>
                <w:color w:val="auto"/>
              </w:rPr>
            </w:pPr>
          </w:p>
        </w:tc>
      </w:tr>
      <w:tr>
        <w:trPr>
          <w:trHeight w:val="55"/>
        </w:trPr>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Book year</w:t>
            </w: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Pr>
          <w:p>
            <w:pPr>
              <w:spacing w:after="0"/>
              <w:rPr>
                <w:sz w:val="4"/>
                <w:szCs w:val="4"/>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4"/>
              </w:rPr>
              <w:t>Force</w:t>
            </w:r>
          </w:p>
        </w:tc>
        <w:tc>
          <w:tcPr>
            <w:tcW w:w="940" w:type="dxa"/>
            <w:vAlign w:val="bottom"/>
            <w:vMerge w:val="restart"/>
          </w:tcPr>
          <w:p>
            <w:pPr>
              <w:jc w:val="center"/>
              <w:ind w:left="195"/>
              <w:spacing w:after="0"/>
              <w:rPr>
                <w:sz w:val="20"/>
                <w:szCs w:val="20"/>
                <w:color w:val="auto"/>
              </w:rPr>
            </w:pPr>
            <w:r>
              <w:rPr>
                <w:rFonts w:ascii="Arial" w:cs="Arial" w:eastAsia="Arial" w:hAnsi="Arial"/>
                <w:sz w:val="14"/>
                <w:szCs w:val="14"/>
                <w:b w:val="1"/>
                <w:bCs w:val="1"/>
                <w:color w:val="auto"/>
                <w:w w:val="93"/>
              </w:rPr>
              <w:t>Insurance</w:t>
            </w:r>
          </w:p>
        </w:tc>
        <w:tc>
          <w:tcPr>
            <w:tcW w:w="280" w:type="dxa"/>
            <w:vAlign w:val="bottom"/>
          </w:tcPr>
          <w:p>
            <w:pPr>
              <w:spacing w:after="0"/>
              <w:rPr>
                <w:sz w:val="4"/>
                <w:szCs w:val="4"/>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Force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Force</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Default</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Paid</w:t>
            </w:r>
          </w:p>
        </w:tc>
        <w:tc>
          <w:tcPr>
            <w:tcW w:w="800" w:type="dxa"/>
            <w:vAlign w:val="bottom"/>
            <w:vMerge w:val="restart"/>
          </w:tcPr>
          <w:p>
            <w:pPr>
              <w:jc w:val="center"/>
              <w:ind w:left="116"/>
              <w:spacing w:after="0"/>
              <w:rPr>
                <w:sz w:val="20"/>
                <w:szCs w:val="20"/>
                <w:color w:val="auto"/>
              </w:rPr>
            </w:pPr>
            <w:r>
              <w:rPr>
                <w:rFonts w:ascii="Arial" w:cs="Arial" w:eastAsia="Arial" w:hAnsi="Arial"/>
                <w:sz w:val="14"/>
                <w:szCs w:val="14"/>
                <w:b w:val="1"/>
                <w:bCs w:val="1"/>
                <w:color w:val="auto"/>
                <w:w w:val="96"/>
              </w:rPr>
              <w:t xml:space="preserve">Date) </w:t>
            </w:r>
            <w:r>
              <w:rPr>
                <w:rFonts w:ascii="Arial" w:cs="Arial" w:eastAsia="Arial" w:hAnsi="Arial"/>
                <w:sz w:val="9"/>
                <w:szCs w:val="9"/>
                <w:b w:val="1"/>
                <w:bCs w:val="1"/>
                <w:color w:val="auto"/>
                <w:w w:val="96"/>
              </w:rPr>
              <w:t>(1)</w:t>
            </w:r>
          </w:p>
        </w:tc>
        <w:tc>
          <w:tcPr>
            <w:tcW w:w="280" w:type="dxa"/>
            <w:vAlign w:val="bottom"/>
          </w:tcPr>
          <w:p>
            <w:pPr>
              <w:spacing w:after="0"/>
              <w:rPr>
                <w:sz w:val="4"/>
                <w:szCs w:val="4"/>
                <w:color w:val="auto"/>
              </w:rPr>
            </w:pPr>
          </w:p>
        </w:tc>
        <w:tc>
          <w:tcPr>
            <w:tcW w:w="11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9"/>
                <w:szCs w:val="9"/>
                <w:b w:val="1"/>
                <w:bCs w:val="1"/>
                <w:color w:val="auto"/>
              </w:rPr>
              <w:t>(2)</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70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vMerge w:val="continue"/>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840" w:type="dxa"/>
            <w:vAlign w:val="bottom"/>
            <w:tcBorders>
              <w:bottom w:val="single" w:sz="8" w:color="auto"/>
            </w:tcBorders>
            <w:gridSpan w:val="2"/>
            <w:vMerge w:val="continue"/>
          </w:tcPr>
          <w:p>
            <w:pPr>
              <w:spacing w:after="0"/>
              <w:rPr>
                <w:sz w:val="11"/>
                <w:szCs w:val="11"/>
                <w:color w:val="auto"/>
              </w:rPr>
            </w:pPr>
          </w:p>
        </w:tc>
        <w:tc>
          <w:tcPr>
            <w:tcW w:w="780" w:type="dxa"/>
            <w:vAlign w:val="bottom"/>
            <w:tcBorders>
              <w:bottom w:val="single" w:sz="8" w:color="auto"/>
            </w:tcBorders>
            <w:gridSpan w:val="2"/>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vMerge w:val="continue"/>
          </w:tcPr>
          <w:p>
            <w:pPr>
              <w:spacing w:after="0"/>
              <w:rPr>
                <w:sz w:val="11"/>
                <w:szCs w:val="11"/>
                <w:color w:val="auto"/>
              </w:rPr>
            </w:pPr>
          </w:p>
        </w:tc>
        <w:tc>
          <w:tcPr>
            <w:tcW w:w="740" w:type="dxa"/>
            <w:vAlign w:val="bottom"/>
            <w:tcBorders>
              <w:bottom w:val="single" w:sz="8" w:color="auto"/>
            </w:tcBorders>
          </w:tcPr>
          <w:p>
            <w:pPr>
              <w:jc w:val="center"/>
              <w:ind w:left="137"/>
              <w:spacing w:after="0"/>
              <w:rPr>
                <w:sz w:val="20"/>
                <w:szCs w:val="20"/>
                <w:color w:val="auto"/>
              </w:rPr>
            </w:pPr>
            <w:r>
              <w:rPr>
                <w:rFonts w:ascii="Arial" w:cs="Arial" w:eastAsia="Arial" w:hAnsi="Arial"/>
                <w:sz w:val="9"/>
                <w:szCs w:val="9"/>
                <w:b w:val="1"/>
                <w:bCs w:val="1"/>
                <w:color w:val="auto"/>
              </w:rPr>
              <w:t>(3)</w:t>
            </w: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ind w:left="40"/>
              <w:spacing w:after="0"/>
              <w:rPr>
                <w:sz w:val="20"/>
                <w:szCs w:val="20"/>
                <w:color w:val="auto"/>
              </w:rPr>
            </w:pPr>
            <w:r>
              <w:rPr>
                <w:rFonts w:ascii="Arial" w:cs="Arial" w:eastAsia="Arial" w:hAnsi="Arial"/>
                <w:sz w:val="14"/>
                <w:szCs w:val="14"/>
                <w:i w:val="1"/>
                <w:iCs w:val="1"/>
                <w:color w:val="auto"/>
              </w:rPr>
              <w:t>($ Values in Millions)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10 %</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0.3 %</w:t>
            </w: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0.3 %</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700" w:type="dxa"/>
            <w:vAlign w:val="bottom"/>
          </w:tcPr>
          <w:p>
            <w:pPr>
              <w:ind w:left="2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649</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19 %</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14,786</w:t>
            </w:r>
          </w:p>
        </w:tc>
        <w:tc>
          <w:tcPr>
            <w:tcW w:w="12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4.2 %</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4,167</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34 %</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52,548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20,466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3.4 %</w:t>
            </w: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1.3 %</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700" w:type="dxa"/>
            <w:vAlign w:val="bottom"/>
          </w:tcPr>
          <w:p>
            <w:pPr>
              <w:ind w:left="2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9,595</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83,626</w:t>
            </w:r>
          </w:p>
        </w:tc>
        <w:tc>
          <w:tcPr>
            <w:tcW w:w="12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42,628</w:t>
            </w:r>
          </w:p>
        </w:tc>
        <w:tc>
          <w:tcPr>
            <w:tcW w:w="10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21,582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11,548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85,897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51,702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700" w:type="dxa"/>
            <w:vAlign w:val="bottom"/>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14,322</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104,043</w:t>
            </w:r>
          </w:p>
        </w:tc>
        <w:tc>
          <w:tcPr>
            <w:tcW w:w="12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62,237</w:t>
            </w:r>
          </w:p>
        </w:tc>
        <w:tc>
          <w:tcPr>
            <w:tcW w:w="10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1"/>
                <w:szCs w:val="21"/>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34,658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148,423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119,696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70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24,421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23,949</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98 %</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73,653</w:t>
            </w:r>
          </w:p>
        </w:tc>
        <w:tc>
          <w:tcPr>
            <w:tcW w:w="12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72,474</w:t>
            </w:r>
          </w:p>
        </w:tc>
        <w:tc>
          <w:tcPr>
            <w:tcW w:w="10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8.5 %</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0.7 %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7"/>
        </w:trPr>
        <w:tc>
          <w:tcPr>
            <w:tcW w:w="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155,661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98,905</w:t>
            </w:r>
          </w:p>
        </w:tc>
        <w:tc>
          <w:tcPr>
            <w:tcW w:w="9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563,631</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372,934</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10,816</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Calculated as total claims incurred (paid and reserved) divided by cumulative premiums earned, net of reinsurance.</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Calculated as the sum of the number of claims paid ever to date and number of loans in default divided by policies ever in force.</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Calculated as the number of loans in default divided by number of policies in force.</w:t>
      </w:r>
    </w:p>
    <w:p>
      <w:pPr>
        <w:sectPr>
          <w:pgSz w:w="11900" w:h="16838" w:orient="portrait"/>
          <w:cols w:equalWidth="0" w:num="1">
            <w:col w:w="11140"/>
          </w:cols>
          <w:pgMar w:left="320" w:top="123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37" w:right="4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June 30, 2020, our RIF continues to be modestly more concentrated in California, primarily as a result of the size of the California mortgage market relative to the rest of the country and the location and timing of our acquisition of new customers. The distribution of our primary RIF as of June 30, 2020 is not necessarily representative of the geographic distribution we expect in the future.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Top 10 primary RIF by state</w:t>
            </w:r>
          </w:p>
        </w:tc>
        <w:tc>
          <w:tcPr>
            <w:tcW w:w="1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74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7"/>
                <w:szCs w:val="17"/>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Texas</w:t>
            </w:r>
          </w:p>
        </w:tc>
        <w:tc>
          <w:tcPr>
            <w:tcW w:w="15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Virginia</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Colorado</w:t>
            </w: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Maryland</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Massachusetts</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and the percentage of coverage on insured loans.</w:t>
      </w:r>
    </w:p>
    <w:p>
      <w:pPr>
        <w:spacing w:after="0" w:line="1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Reserves for claims and allocated claim expenses are established for mortgage loans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and ILN Transactions, as applicable under each treaty. We have not yet ceded any reserves under the ILN Transactions as incurred claims and claims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2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ectPr>
          <w:pgSz w:w="11900" w:h="16838" w:orient="portrait"/>
          <w:cols w:equalWidth="0" w:num="1">
            <w:col w:w="11240"/>
          </w:cols>
          <w:pgMar w:left="320" w:top="11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43" w:name="page44"/>
    <w:bookmarkEnd w:id="43"/>
    <w:p>
      <w:pPr>
        <w:jc w:val="both"/>
        <w:ind w:firstLine="648"/>
        <w:spacing w:after="0" w:line="257" w:lineRule="auto"/>
        <w:rPr>
          <w:sz w:val="20"/>
          <w:szCs w:val="20"/>
          <w:color w:val="auto"/>
        </w:rPr>
      </w:pPr>
      <w:r>
        <w:rPr>
          <w:rFonts w:ascii="Arial" w:cs="Arial" w:eastAsia="Arial" w:hAnsi="Arial"/>
          <w:sz w:val="18"/>
          <w:szCs w:val="18"/>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response to the COVID-19 outbreak, politicians, regulators, lenders, loan servicers and others have offered extraordinary assistance to dislocated borrowers through, among other programs, the forbearance, foreclosure moratorium and other assistance programs codified under the CARES Act. The FHFA and GSEs have offered further assistance by introducing new repayment and loan modification options to assist borrowers with their transition out of forbearance programs and default status. At June 30, 2020,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gross reserve balances for primary insurance claims and claim expenses.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June 30, 2019</w:t>
            </w:r>
          </w:p>
        </w:tc>
      </w:tr>
      <w:tr>
        <w:trPr>
          <w:trHeight w:val="196"/>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5"/>
          </w:tcPr>
          <w:p>
            <w:pPr>
              <w:ind w:left="76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29,479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15,537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23,752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12,811</w:t>
            </w:r>
          </w:p>
        </w:tc>
      </w:tr>
      <w:tr>
        <w:trPr>
          <w:trHeight w:val="27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(6,193)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(4,939)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(3,001)</w:t>
            </w:r>
          </w:p>
        </w:tc>
      </w:tr>
      <w:tr>
        <w:trPr>
          <w:trHeight w:val="26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23,286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9,810</w:t>
            </w:r>
          </w:p>
        </w:tc>
      </w:tr>
      <w:tr>
        <w:trPr>
          <w:trHeight w:val="250"/>
        </w:trPr>
        <w:tc>
          <w:tcPr>
            <w:tcW w:w="55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Claims and claim expenses incurred:</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34,958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42,516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7,401</w:t>
            </w:r>
          </w:p>
        </w:tc>
      </w:tr>
      <w:tr>
        <w:trPr>
          <w:trHeight w:val="270"/>
        </w:trPr>
        <w:tc>
          <w:tcPr>
            <w:tcW w:w="55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(2,485)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(1,735)</w:t>
            </w:r>
          </w:p>
        </w:tc>
      </w:tr>
      <w:tr>
        <w:trPr>
          <w:trHeight w:val="26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and claim expenses incurred</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34,334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40,031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5,666</w:t>
            </w:r>
          </w:p>
        </w:tc>
      </w:tr>
      <w:tr>
        <w:trPr>
          <w:trHeight w:val="250"/>
        </w:trPr>
        <w:tc>
          <w:tcPr>
            <w:tcW w:w="55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5560" w:type="dxa"/>
            <w:vAlign w:val="bottom"/>
          </w:tcPr>
          <w:p>
            <w:pPr>
              <w:ind w:left="480"/>
              <w:spacing w:after="0"/>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18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1,368</w:t>
            </w:r>
          </w:p>
        </w:tc>
      </w:tr>
      <w:tr>
        <w:trPr>
          <w:trHeight w:val="270"/>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xml:space="preserve">Reinsurance terminations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(549)</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Total claims and claim expenses paid</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819</w:t>
            </w:r>
          </w:p>
        </w:tc>
      </w:tr>
      <w:tr>
        <w:trPr>
          <w:trHeight w:val="27"/>
        </w:trPr>
        <w:tc>
          <w:tcPr>
            <w:tcW w:w="5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5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8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55,596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14,657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55,596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14,657</w:t>
            </w:r>
          </w:p>
        </w:tc>
      </w:tr>
      <w:tr>
        <w:trPr>
          <w:trHeight w:val="27"/>
        </w:trPr>
        <w:tc>
          <w:tcPr>
            <w:tcW w:w="5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14,307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3,775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14,307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3,775</w:t>
            </w:r>
          </w:p>
        </w:tc>
      </w:tr>
      <w:tr>
        <w:trPr>
          <w:trHeight w:val="263"/>
        </w:trPr>
        <w:tc>
          <w:tcPr>
            <w:tcW w:w="55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69,903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18,432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69,903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18,432</w:t>
            </w: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line="250" w:lineRule="auto"/>
        <w:tabs>
          <w:tab w:leader="none" w:pos="162" w:val="left"/>
        </w:tabs>
        <w:numPr>
          <w:ilvl w:val="0"/>
          <w:numId w:val="21"/>
        </w:numPr>
        <w:rPr>
          <w:rFonts w:ascii="Arial" w:cs="Arial" w:eastAsia="Arial" w:hAnsi="Arial"/>
          <w:sz w:val="9"/>
          <w:szCs w:val="9"/>
          <w:color w:val="auto"/>
        </w:rPr>
      </w:pPr>
      <w:r>
        <w:rPr>
          <w:rFonts w:ascii="Arial" w:cs="Arial" w:eastAsia="Arial" w:hAnsi="Arial"/>
          <w:sz w:val="14"/>
          <w:szCs w:val="14"/>
          <w:color w:val="auto"/>
        </w:rPr>
        <w:t>Related to ceded losses recoverable under the QSR Transactions. See Item 1, "</w:t>
      </w:r>
      <w:r>
        <w:rPr>
          <w:rFonts w:ascii="Arial" w:cs="Arial" w:eastAsia="Arial" w:hAnsi="Arial"/>
          <w:sz w:val="14"/>
          <w:szCs w:val="14"/>
          <w:i w:val="1"/>
          <w:iCs w:val="1"/>
          <w:color w:val="auto"/>
        </w:rPr>
        <w:t>Financial Statements - Notes to Condensed Consolidated Financial Statements - Note 5, Reinsurance</w:t>
      </w:r>
      <w:r>
        <w:rPr>
          <w:rFonts w:ascii="Arial" w:cs="Arial" w:eastAsia="Arial" w:hAnsi="Arial"/>
          <w:sz w:val="14"/>
          <w:szCs w:val="14"/>
          <w:color w:val="auto"/>
        </w:rPr>
        <w:t>" for additional information.</w:t>
      </w:r>
    </w:p>
    <w:p>
      <w:pPr>
        <w:ind w:left="340" w:hanging="332"/>
        <w:spacing w:after="0" w:line="241" w:lineRule="auto"/>
        <w:tabs>
          <w:tab w:leader="none" w:pos="148" w:val="left"/>
        </w:tabs>
        <w:numPr>
          <w:ilvl w:val="0"/>
          <w:numId w:val="21"/>
        </w:numPr>
        <w:rPr>
          <w:rFonts w:ascii="Arial" w:cs="Arial" w:eastAsia="Arial" w:hAnsi="Arial"/>
          <w:sz w:val="9"/>
          <w:szCs w:val="9"/>
          <w:color w:val="auto"/>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3"/>
          <w:szCs w:val="13"/>
          <w:color w:val="auto"/>
        </w:rPr>
        <w:t>Related to insured loans with defaults occurring in prior years, which have been continuously in default before the start of the current year. Amounts are presented net of reinsurance.</w:t>
      </w:r>
    </w:p>
    <w:p>
      <w:pPr>
        <w:spacing w:after="0" w:line="12" w:lineRule="exact"/>
        <w:rPr>
          <w:rFonts w:ascii="Arial" w:cs="Arial" w:eastAsia="Arial" w:hAnsi="Arial"/>
          <w:sz w:val="9"/>
          <w:szCs w:val="9"/>
          <w:color w:val="auto"/>
        </w:rPr>
      </w:pPr>
    </w:p>
    <w:p>
      <w:pPr>
        <w:ind w:left="140" w:hanging="132"/>
        <w:spacing w:after="0"/>
        <w:tabs>
          <w:tab w:leader="none" w:pos="140" w:val="left"/>
        </w:tabs>
        <w:numPr>
          <w:ilvl w:val="0"/>
          <w:numId w:val="21"/>
        </w:numPr>
        <w:rPr>
          <w:rFonts w:ascii="Arial" w:cs="Arial" w:eastAsia="Arial" w:hAnsi="Arial"/>
          <w:sz w:val="8"/>
          <w:szCs w:val="8"/>
          <w:color w:val="auto"/>
        </w:rPr>
      </w:pPr>
      <w:r>
        <w:rPr>
          <w:rFonts w:ascii="Arial" w:cs="Arial" w:eastAsia="Arial" w:hAnsi="Arial"/>
          <w:sz w:val="12"/>
          <w:szCs w:val="12"/>
          <w:color w:val="auto"/>
        </w:rPr>
        <w:t>Represents the settlement of reinsurance recoverables in conjunction with the termination of one reinsurer under the 2016 QSR Transaction on a cut-off basis. See Item 1, "</w:t>
      </w:r>
      <w:r>
        <w:rPr>
          <w:rFonts w:ascii="Arial" w:cs="Arial" w:eastAsia="Arial" w:hAnsi="Arial"/>
          <w:sz w:val="12"/>
          <w:szCs w:val="12"/>
          <w:i w:val="1"/>
          <w:iCs w:val="1"/>
          <w:color w:val="auto"/>
        </w:rPr>
        <w:t>Financial Statements</w:t>
      </w:r>
    </w:p>
    <w:p>
      <w:pPr>
        <w:spacing w:after="0" w:line="24" w:lineRule="exact"/>
        <w:rPr>
          <w:rFonts w:ascii="Arial" w:cs="Arial" w:eastAsia="Arial" w:hAnsi="Arial"/>
          <w:sz w:val="8"/>
          <w:szCs w:val="8"/>
          <w:color w:val="auto"/>
        </w:rPr>
      </w:pPr>
    </w:p>
    <w:p>
      <w:pPr>
        <w:ind w:left="420" w:hanging="88"/>
        <w:spacing w:after="0"/>
        <w:tabs>
          <w:tab w:leader="none" w:pos="420" w:val="left"/>
        </w:tabs>
        <w:numPr>
          <w:ilvl w:val="1"/>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Notes to Condensed Consolidated Financial Statements - Note 5, Reinsurance</w:t>
      </w:r>
      <w:r>
        <w:rPr>
          <w:rFonts w:ascii="Arial" w:cs="Arial" w:eastAsia="Arial" w:hAnsi="Arial"/>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4" w:name="page45"/>
    <w:bookmarkEnd w:id="44"/>
    <w:p>
      <w:pPr>
        <w:jc w:val="both"/>
        <w:ind w:firstLine="648"/>
        <w:spacing w:after="0" w:line="273" w:lineRule="auto"/>
        <w:rPr>
          <w:sz w:val="20"/>
          <w:szCs w:val="20"/>
          <w:color w:val="auto"/>
        </w:rPr>
      </w:pPr>
      <w:r>
        <w:rPr>
          <w:rFonts w:ascii="Arial" w:cs="Arial" w:eastAsia="Arial" w:hAnsi="Arial"/>
          <w:sz w:val="17"/>
          <w:szCs w:val="17"/>
          <w:color w:val="auto"/>
        </w:rPr>
        <w:t>The "claims incurred" section of the table above shows claims and claim expenses incurred on defaults occurring in current and prior years, including IBNR reserves and is presented net of reinsurance. The amount of claims incurred for current year defaults represents the estimated amount of claims and claim expenses to be ultimately be paid on such loans. The decreases during the periods presented in reserves held for prior year defaults represent favorable development and are generally the result of the curing of previously reported defaults. We may increase or decrease our claim estimates and reserves as we learn additional information about individual defaulted loans, and continue to observe and analyze loss development trends in our portfolio. Gross reserves of $16.5 million related to prior year defaults remained as of June 30, 2020.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620" w:type="dxa"/>
            <w:vAlign w:val="bottom"/>
          </w:tcPr>
          <w:p>
            <w:pPr>
              <w:spacing w:after="0"/>
              <w:rPr>
                <w:sz w:val="17"/>
                <w:szCs w:val="17"/>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2020</w:t>
            </w: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2019</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2020</w:t>
            </w:r>
          </w:p>
        </w:tc>
        <w:tc>
          <w:tcPr>
            <w:tcW w:w="1320" w:type="dxa"/>
            <w:vAlign w:val="bottom"/>
          </w:tcPr>
          <w:p>
            <w:pPr>
              <w:jc w:val="right"/>
              <w:ind w:right="153"/>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13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877</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Plus: new defaults</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9,770</w:t>
            </w:r>
          </w:p>
        </w:tc>
        <w:tc>
          <w:tcPr>
            <w:tcW w:w="12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10,282</w:t>
            </w:r>
          </w:p>
        </w:tc>
        <w:tc>
          <w:tcPr>
            <w:tcW w:w="12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1,120</w:t>
            </w: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(907)</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Less: claims paid</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(62)</w:t>
            </w: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claims denied</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13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10,816</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10,816</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1,028</w:t>
            </w:r>
          </w:p>
        </w:tc>
      </w:tr>
      <w:tr>
        <w:trPr>
          <w:trHeight w:val="27"/>
        </w:trPr>
        <w:tc>
          <w:tcPr>
            <w:tcW w:w="56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the ending default inventory at June 30, 2020 compared to June 30, 2019, is primarily attributable to the COVID-19 outbreak as borrowers have faced increasing challenges and chosen to access the forbearance program for federally backed loans codified under the CARES Act and other similar assistance programs made available by private lenders. At June 30, 2020, 9,724 of our 10,816 ending default inventory were in a COVID-19 related forbearance program.</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details of our claims paid, before giving effect to claims ceded under the QSR Transactions and ILN Transactions,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June 30, 2020</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June 30, 2020</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30, 2019</w:t>
            </w:r>
          </w:p>
        </w:tc>
      </w:tr>
      <w:tr>
        <w:trPr>
          <w:trHeight w:val="196"/>
        </w:trPr>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4"/>
          </w:tcPr>
          <w:p>
            <w:pPr>
              <w:jc w:val="right"/>
              <w:ind w:right="936"/>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7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Total amount paid for claims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2,578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216"/>
              <w:spacing w:after="0"/>
              <w:rPr>
                <w:sz w:val="20"/>
                <w:szCs w:val="20"/>
                <w:color w:val="auto"/>
              </w:rPr>
            </w:pPr>
            <w:r>
              <w:rPr>
                <w:rFonts w:ascii="Arial" w:cs="Arial" w:eastAsia="Arial" w:hAnsi="Arial"/>
                <w:sz w:val="18"/>
                <w:szCs w:val="18"/>
                <w:color w:val="auto"/>
              </w:rPr>
              <w:t>4,081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1,714</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amount paid per claim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w:t>
            </w:r>
          </w:p>
        </w:tc>
      </w:tr>
      <w:tr>
        <w:trPr>
          <w:trHeight w:val="352"/>
        </w:trPr>
        <w:tc>
          <w:tcPr>
            <w:tcW w:w="5360" w:type="dxa"/>
            <w:vAlign w:val="bottom"/>
          </w:tcPr>
          <w:p>
            <w:pPr>
              <w:ind w:left="20"/>
              <w:spacing w:after="0"/>
              <w:rPr>
                <w:sz w:val="20"/>
                <w:szCs w:val="20"/>
                <w:color w:val="auto"/>
              </w:rPr>
            </w:pPr>
            <w:r>
              <w:rPr>
                <w:rFonts w:ascii="Arial" w:cs="Arial" w:eastAsia="Arial" w:hAnsi="Arial"/>
                <w:sz w:val="18"/>
                <w:szCs w:val="18"/>
                <w:color w:val="auto"/>
              </w:rPr>
              <w:t xml:space="preserve">Severity </w:t>
            </w:r>
            <w:r>
              <w:rPr>
                <w:rFonts w:ascii="Arial" w:cs="Arial" w:eastAsia="Arial" w:hAnsi="Arial"/>
                <w:sz w:val="23"/>
                <w:szCs w:val="23"/>
                <w:color w:val="auto"/>
                <w:vertAlign w:val="superscript"/>
              </w:rPr>
              <w:t>(2)</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89 %</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87 %</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69 %</w:t>
            </w:r>
          </w:p>
        </w:tc>
      </w:tr>
    </w:tbl>
    <w:p>
      <w:pPr>
        <w:spacing w:after="0" w:line="61" w:lineRule="exact"/>
        <w:rPr>
          <w:sz w:val="20"/>
          <w:szCs w:val="20"/>
          <w:color w:val="auto"/>
        </w:rPr>
      </w:pPr>
    </w:p>
    <w:p>
      <w:pPr>
        <w:ind w:left="340" w:hanging="332"/>
        <w:spacing w:after="0" w:line="273" w:lineRule="auto"/>
        <w:tabs>
          <w:tab w:leader="none" w:pos="161" w:val="left"/>
        </w:tabs>
        <w:numPr>
          <w:ilvl w:val="0"/>
          <w:numId w:val="22"/>
        </w:numPr>
        <w:rPr>
          <w:rFonts w:ascii="Arial" w:cs="Arial" w:eastAsia="Arial" w:hAnsi="Arial"/>
          <w:sz w:val="9"/>
          <w:szCs w:val="9"/>
          <w:color w:val="auto"/>
        </w:rPr>
      </w:pPr>
      <w:r>
        <w:rPr>
          <w:rFonts w:ascii="Arial" w:cs="Arial" w:eastAsia="Arial" w:hAnsi="Arial"/>
          <w:sz w:val="14"/>
          <w:szCs w:val="14"/>
          <w:color w:val="auto"/>
        </w:rPr>
        <w:t>Count includes one and two claims settled without payment for the three and six months ended June 30, 2020, respectively, and four and seven claims settled without payment for the three and six months ended June 30, 2019, respectively.</w:t>
      </w:r>
    </w:p>
    <w:p>
      <w:pPr>
        <w:spacing w:after="0" w:line="119" w:lineRule="exact"/>
        <w:rPr>
          <w:rFonts w:ascii="Arial" w:cs="Arial" w:eastAsia="Arial" w:hAnsi="Arial"/>
          <w:sz w:val="9"/>
          <w:szCs w:val="9"/>
          <w:color w:val="auto"/>
        </w:rPr>
      </w:pPr>
    </w:p>
    <w:p>
      <w:pPr>
        <w:ind w:left="340" w:hanging="332"/>
        <w:spacing w:after="0" w:line="273" w:lineRule="auto"/>
        <w:tabs>
          <w:tab w:leader="none" w:pos="164" w:val="left"/>
        </w:tabs>
        <w:numPr>
          <w:ilvl w:val="0"/>
          <w:numId w:val="22"/>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number of claims paid for the three and six months ended June 30, 2020 increased compared to the three and six months ended June 30, 2019, primarily due to an increase in our default inventory and the continued growth and seasoning of our insured portfolio. The timing and magnitude of future claims paid may be impacted by, among other factors, the forbearance program and foreclosure moratorium codified under the CARES Act, which may extend the timeline over which loans would otherwise progress through the default cycle to claim payment status.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claims severity for the three and six months ended June 30, 2020 was 89% and 87%, respectively, compared to 77% and 69% for the three and six months ended June 30, 2019, respectively. The increase in claims severity for the three and six months ended June 30, 2020 can be attributed to an increase in claims settled using the percent option instead of through third-party sales. Third-party marketing and sales of foreclosed properties, which were curtailed in the first half of 2020 due to COVID-19, often mitigate the severity of the claim payment we ultimately pay.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5" w:name="page46"/>
    <w:bookmarkEnd w:id="45"/>
    <w:p>
      <w:pPr>
        <w:ind w:firstLine="648"/>
        <w:spacing w:after="0" w:line="277"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Average reserve per default:</w:t>
            </w: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 June 30, 2020</w:t>
            </w: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3"/>
              </w:rPr>
              <w:t>As of June 30, 2019</w:t>
            </w:r>
          </w:p>
        </w:tc>
      </w:tr>
      <w:tr>
        <w:trPr>
          <w:trHeight w:val="196"/>
        </w:trPr>
        <w:tc>
          <w:tcPr>
            <w:tcW w:w="6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3"/>
          </w:tcPr>
          <w:p>
            <w:pPr>
              <w:ind w:left="1480"/>
              <w:spacing w:after="0"/>
              <w:rPr>
                <w:sz w:val="20"/>
                <w:szCs w:val="20"/>
                <w:color w:val="auto"/>
              </w:rPr>
            </w:pPr>
            <w:r>
              <w:rPr>
                <w:rFonts w:ascii="Arial" w:cs="Arial" w:eastAsia="Arial" w:hAnsi="Arial"/>
                <w:sz w:val="14"/>
                <w:szCs w:val="14"/>
                <w:i w:val="1"/>
                <w:iCs w:val="1"/>
                <w:color w:val="auto"/>
                <w:w w:val="95"/>
              </w:rPr>
              <w:t>(In Thousands)</w:t>
            </w:r>
          </w:p>
        </w:tc>
        <w:tc>
          <w:tcPr>
            <w:tcW w:w="1720" w:type="dxa"/>
            <w:vAlign w:val="bottom"/>
          </w:tcPr>
          <w:p>
            <w:pPr>
              <w:spacing w:after="0"/>
              <w:rPr>
                <w:sz w:val="17"/>
                <w:szCs w:val="17"/>
                <w:color w:val="auto"/>
              </w:rPr>
            </w:pPr>
          </w:p>
        </w:tc>
      </w:tr>
      <w:tr>
        <w:trPr>
          <w:trHeight w:val="27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Case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16.4</w:t>
            </w:r>
          </w:p>
        </w:tc>
      </w:tr>
      <w:tr>
        <w:trPr>
          <w:trHeight w:val="270"/>
        </w:trPr>
        <w:tc>
          <w:tcPr>
            <w:tcW w:w="6820" w:type="dxa"/>
            <w:vAlign w:val="bottom"/>
            <w:tcBorders>
              <w:bottom w:val="single" w:sz="8" w:color="CCEEFF"/>
            </w:tcBorders>
          </w:tcPr>
          <w:p>
            <w:pPr>
              <w:ind w:left="20"/>
              <w:spacing w:after="0" w:line="269" w:lineRule="exact"/>
              <w:rPr>
                <w:sz w:val="20"/>
                <w:szCs w:val="20"/>
                <w:color w:val="auto"/>
              </w:rPr>
            </w:pPr>
            <w:r>
              <w:rPr>
                <w:rFonts w:ascii="Arial" w:cs="Arial" w:eastAsia="Arial" w:hAnsi="Arial"/>
                <w:sz w:val="31"/>
                <w:szCs w:val="31"/>
                <w:color w:val="auto"/>
                <w:vertAlign w:val="subscript"/>
              </w:rPr>
              <w:t>IBNR</w:t>
            </w:r>
            <w:r>
              <w:rPr>
                <w:rFonts w:ascii="Arial" w:cs="Arial" w:eastAsia="Arial" w:hAnsi="Arial"/>
                <w:sz w:val="11"/>
                <w:szCs w:val="11"/>
                <w:color w:val="auto"/>
              </w:rPr>
              <w:t xml:space="preserve"> (1)(2)</w:t>
            </w:r>
          </w:p>
        </w:tc>
        <w:tc>
          <w:tcPr>
            <w:tcW w:w="28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1.5</w:t>
            </w: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17.9</w:t>
            </w:r>
          </w:p>
        </w:tc>
      </w:tr>
      <w:tr>
        <w:trPr>
          <w:trHeight w:val="20"/>
        </w:trPr>
        <w:tc>
          <w:tcPr>
            <w:tcW w:w="6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Defined as the gross reserve per insured loan in default.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Amount includes claims adjustment expenses.</w:t>
      </w:r>
    </w:p>
    <w:p>
      <w:pPr>
        <w:spacing w:after="0" w:line="15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average reserve per default at June 30, 2020 decreased from June 30, 2019, primarily due to new COVID-19 related defaults. At June 30, 2020, we established lower reserves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While we established lower reserves per defaulted loan at June 30, 2020, our total reserve position and claims and claims expenses increased substantially as of and during the period ended June 30, 2020 due to the significant increase in the size of our default population.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88"/>
        <w:spacing w:after="0" w:line="296"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established by each of the GSEs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xml:space="preserve"> current vs. delinquent), LTV ratio and other risk features. In general, higher quality loans carry lower asset charges.</w:t>
      </w:r>
    </w:p>
    <w:p>
      <w:pPr>
        <w:spacing w:after="0" w:line="107" w:lineRule="exact"/>
        <w:rPr>
          <w:sz w:val="20"/>
          <w:szCs w:val="20"/>
          <w:color w:val="auto"/>
        </w:rPr>
      </w:pPr>
    </w:p>
    <w:p>
      <w:pPr>
        <w:jc w:val="both"/>
        <w:ind w:firstLine="688"/>
        <w:spacing w:after="0" w:line="254"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 xml:space="preserve">approved insurer's </w:t>
      </w:r>
      <w:r>
        <w:rPr>
          <w:rFonts w:ascii="Arial" w:cs="Arial" w:eastAsia="Arial" w:hAnsi="Arial"/>
          <w:sz w:val="18"/>
          <w:szCs w:val="18"/>
          <w:color w:val="auto"/>
        </w:rPr>
        <w:t>RIF, assessed on a loan-by-loan basis and considered against certain risk-based factors derived from tables set out in the PMIERs,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then adjusted on an aggregate basis for reinsurance transactions approved by the GSEs, such as with respect to our ILN Transactions and QSR Transactions. The </w:t>
      </w:r>
      <w:r>
        <w:rPr>
          <w:rFonts w:ascii="Arial" w:cs="Arial" w:eastAsia="Arial" w:hAnsi="Arial"/>
          <w:sz w:val="18"/>
          <w:szCs w:val="18"/>
          <w:i w:val="1"/>
          <w:iCs w:val="1"/>
          <w:color w:val="auto"/>
        </w:rPr>
        <w:t>aggregate gross 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 primary</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RIF</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risk-based required asset amount </w:t>
      </w:r>
      <w:r>
        <w:rPr>
          <w:rFonts w:ascii="Arial" w:cs="Arial" w:eastAsia="Arial" w:hAnsi="Arial"/>
          <w:sz w:val="18"/>
          <w:szCs w:val="18"/>
          <w:color w:val="auto"/>
        </w:rPr>
        <w:t>for pool insurance considers both factors in the PMIERs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pool insurance policy.</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2020 that NMIC was in full compliance with the PMIERs as of December 31, 2019. NMIC also has an ongoing obligation to immediately notify the GSEs in writing upon discovery of a failure to meet one or more of the PMIERs requirements. We continuously monitor NMIC's compliance with the PMIERs.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1"/>
              </w:rPr>
              <w:t>As of</w:t>
            </w:r>
          </w:p>
        </w:tc>
        <w:tc>
          <w:tcPr>
            <w:tcW w:w="1280" w:type="dxa"/>
            <w:vAlign w:val="bottom"/>
            <w:tcBorders>
              <w:bottom w:val="single" w:sz="8" w:color="auto"/>
            </w:tcBorders>
          </w:tcPr>
          <w:p>
            <w:pPr>
              <w:spacing w:after="0"/>
              <w:rPr>
                <w:sz w:val="16"/>
                <w:szCs w:val="16"/>
                <w:color w:val="auto"/>
              </w:rPr>
            </w:pPr>
          </w:p>
        </w:tc>
      </w:tr>
      <w:tr>
        <w:trPr>
          <w:trHeight w:val="196"/>
        </w:trPr>
        <w:tc>
          <w:tcPr>
            <w:tcW w:w="7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June 30, 2020</w:t>
            </w: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2"/>
              </w:rPr>
              <w:t>June 30, 2019</w:t>
            </w:r>
          </w:p>
        </w:tc>
      </w:tr>
      <w:tr>
        <w:trPr>
          <w:trHeight w:val="196"/>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1,656,426</w:t>
            </w:r>
          </w:p>
        </w:tc>
        <w:tc>
          <w:tcPr>
            <w:tcW w:w="6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878,550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Risk-based required assets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1,047,619</w:t>
            </w:r>
          </w:p>
        </w:tc>
        <w:tc>
          <w:tcPr>
            <w:tcW w:w="660" w:type="dxa"/>
            <w:vAlign w:val="bottom"/>
          </w:tcPr>
          <w:p>
            <w:pPr>
              <w:spacing w:after="0"/>
              <w:rPr>
                <w:sz w:val="21"/>
                <w:szCs w:val="21"/>
                <w:color w:val="auto"/>
              </w:rPr>
            </w:pP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782,460</w:t>
            </w: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$1,656 million at June 30, 2020, compared to $879 million at June 30, 2019. In June 2020, NMIH completed the sale of 15.9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shares of common stock raising net proceeds of approximately $220 million and the sale of the $400 million aggregate principal amount of senior secured notes. NMIH contributed approximately $445 million of capital to NMIC following completion of the Notes and equity offerings. The $778 million increase in NMIC's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periods presented was driven by the NMIH capital contribution and NMIC's positive cash flow from operations during the intervening periods.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increase in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between the periods presented was primarily due to the growth of our gross RIF, increase in our default inventory related to the onset of the COVID-19 pandemic, partially offset by the increased cession of risk under our third-party reinsurance agreements. See "</w:t>
      </w:r>
      <w:r>
        <w:rPr>
          <w:rFonts w:ascii="Arial" w:cs="Arial" w:eastAsia="Arial" w:hAnsi="Arial"/>
          <w:sz w:val="18"/>
          <w:szCs w:val="18"/>
          <w:i w:val="1"/>
          <w:iCs w:val="1"/>
          <w:color w:val="auto"/>
        </w:rPr>
        <w:t>- COVID-19 Developments,</w:t>
      </w:r>
      <w:r>
        <w:rPr>
          <w:rFonts w:ascii="Arial" w:cs="Arial" w:eastAsia="Arial" w:hAnsi="Arial"/>
          <w:sz w:val="18"/>
          <w:szCs w:val="18"/>
          <w:color w:val="auto"/>
        </w:rPr>
        <w:t>" above.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LIBOR Transition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2017, the U.K. Financial Conduct Authority announced that it intends to stop persuading or compelling banks to submit LIBOR rates after 2021, which is expected to render these widely used reference rates unavailable or unreliable. We have exposure to LIBOR-based financial instruments, such as LIBOR-based securities held in our investment portfolio. The 2020 Revolving Credit Facility and premiums paid on our ILN Transactions are also LIBOR-based. We are in the process of reviewing our LIBOR-based contracts that extend beyond 2021 and transitioning to a set of alternative reference rates. We will continue to monitor, assess and plan for the phase out of LIBOR; however, we currently do not know the impact it will have on our operations or financial results.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GSE-imposed asset requirements, NMIC is subject to state regulatory minimum capital requirements based on its RIF. While formulations of this minimum capital may vary by jurisdiction, the most common measure allows for a maximum permitted RTC ratio of 25:1.</w:t>
      </w:r>
    </w:p>
    <w:p>
      <w:pPr>
        <w:spacing w:after="0" w:line="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2020, NMIC's performing primary RIF, net of reinsurance, was approximately $20.0 billion. NMIC ceded 100% of its pool RIF pursuant to the 2016 QSR Transaction. Based on NMIC's total statutory capital of $1.5 billion (including contingency reserves) as of June 30, 2020, NMIC's RTC ratio was 13.3:1. Re One had total statutory capital of $37 million as of June 30, 2020, and a RTC ratio of 1.3:1. We continuously monitor our compliance with state capital requirements.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2020, Moody's Investors Service (Moody's) affirmed its "Baa2" financial strength rating of NMIC and its "Ba2" rating of NMIH's 2020 Revolving Credit Facility, and assigned a "Ba2" rating to the Notes. The outlook for Moody's ratings is stable. In March 2020, S&amp;P updated its outlook from stable to negative for the mortgage insurance sector, including NMIH and NMIC's financial strength and long-term counter-party credit ratings. In June 3, 2020, S&amp;P assigned a "BB" rating to NMIH's senior secured Notes.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Information Technology</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March 31, 2020, we entered into an IT services agreement with Tata Consultancy Services (TCS). Under the agreement, TCS is providing IT services over a seven-year period across such functions as application development and support, infrastructure support, (service desk, end user computing and engineering services), and information security. We expect the engagement with TCS will further our ability to provide innovative IT solutions for our internal and external constituents, while realizing cost efficiencies by leveraging TCS's global platform. In connection with the agreement, a majority of our IT employees transitioned to TCS. We have the ability to terminate the agreement at any time with 120 days' prior notice, subject to the payment of a termination fee and other obligations as specified in the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information technology capabilities. We expect the private MI market to remain competitive, with pressure for industry participants to maintain or grow their market share.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cancelability, loan size limits and the relative ease of use of private MI products compared to government MI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772"/>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Borders>
              <w:bottom w:val="single" w:sz="8" w:color="auto"/>
            </w:tcBorders>
          </w:tcPr>
          <w:p>
            <w:pPr>
              <w:spacing w:after="0"/>
              <w:rPr>
                <w:sz w:val="16"/>
                <w:szCs w:val="16"/>
                <w:color w:val="auto"/>
              </w:rPr>
            </w:pPr>
          </w:p>
        </w:tc>
      </w:tr>
      <w:tr>
        <w:trPr>
          <w:trHeight w:val="196"/>
        </w:trPr>
        <w:tc>
          <w:tcPr>
            <w:tcW w:w="4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7"/>
                <w:szCs w:val="17"/>
                <w:color w:val="auto"/>
              </w:rPr>
            </w:pPr>
          </w:p>
        </w:tc>
      </w:tr>
      <w:tr>
        <w:trPr>
          <w:trHeight w:val="25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920" w:type="dxa"/>
            <w:vAlign w:val="bottom"/>
            <w:gridSpan w:val="7"/>
            <w:shd w:val="clear" w:color="auto" w:fill="CCEEFF"/>
          </w:tcPr>
          <w:p>
            <w:pPr>
              <w:jc w:val="right"/>
              <w:ind w:right="233"/>
              <w:spacing w:after="0"/>
              <w:rPr>
                <w:sz w:val="20"/>
                <w:szCs w:val="20"/>
                <w:color w:val="auto"/>
              </w:rPr>
            </w:pPr>
            <w:r>
              <w:rPr>
                <w:rFonts w:ascii="Arial" w:cs="Arial" w:eastAsia="Arial" w:hAnsi="Arial"/>
                <w:sz w:val="14"/>
                <w:szCs w:val="14"/>
                <w:i w:val="1"/>
                <w:iCs w:val="1"/>
                <w:color w:val="auto"/>
                <w:w w:val="97"/>
              </w:rPr>
              <w:t>($ in thousands, except for per share data)</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43"/>
        </w:trPr>
        <w:tc>
          <w:tcPr>
            <w:tcW w:w="444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98,944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83,249</w:t>
            </w: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197,661</w:t>
            </w:r>
          </w:p>
        </w:tc>
        <w:tc>
          <w:tcPr>
            <w:tcW w:w="50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157,118</w:t>
            </w:r>
          </w:p>
        </w:tc>
        <w:tc>
          <w:tcPr>
            <w:tcW w:w="18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20"/>
              <w:spacing w:after="0"/>
              <w:rPr>
                <w:sz w:val="20"/>
                <w:szCs w:val="20"/>
                <w:color w:val="auto"/>
              </w:rPr>
            </w:pPr>
            <w:r>
              <w:rPr>
                <w:rFonts w:ascii="Arial" w:cs="Arial" w:eastAsia="Arial" w:hAnsi="Arial"/>
                <w:sz w:val="18"/>
                <w:szCs w:val="18"/>
                <w:color w:val="auto"/>
              </w:rPr>
              <w:t>Net realized investment gains (losses)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107,948</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91,180</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215,597</w:t>
            </w: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172,286</w:t>
            </w:r>
          </w:p>
        </w:tc>
        <w:tc>
          <w:tcPr>
            <w:tcW w:w="180" w:type="dxa"/>
            <w:vAlign w:val="bottom"/>
            <w:tcBorders>
              <w:top w:val="single" w:sz="8" w:color="auto"/>
            </w:tcBorders>
          </w:tcPr>
          <w:p>
            <w:pPr>
              <w:spacing w:after="0"/>
              <w:rPr>
                <w:sz w:val="20"/>
                <w:szCs w:val="20"/>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4440" w:type="dxa"/>
            <w:vAlign w:val="bottom"/>
          </w:tcPr>
          <w:p>
            <w:pPr>
              <w:ind w:left="220"/>
              <w:spacing w:after="0"/>
              <w:rPr>
                <w:sz w:val="20"/>
                <w:szCs w:val="20"/>
                <w:color w:val="auto"/>
              </w:rPr>
            </w:pPr>
            <w:r>
              <w:rPr>
                <w:rFonts w:ascii="Arial" w:cs="Arial" w:eastAsia="Arial" w:hAnsi="Arial"/>
                <w:sz w:val="18"/>
                <w:szCs w:val="18"/>
                <w:color w:val="auto"/>
              </w:rPr>
              <w:t>Insurance claims and claim expenses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40,031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5,666</w:t>
            </w:r>
          </w:p>
        </w:tc>
        <w:tc>
          <w:tcPr>
            <w:tcW w:w="18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Underwriting and operating expenses</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62,647</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62,990</w:t>
            </w:r>
          </w:p>
        </w:tc>
        <w:tc>
          <w:tcPr>
            <w:tcW w:w="180" w:type="dxa"/>
            <w:vAlign w:val="bottom"/>
            <w:shd w:val="clear" w:color="auto" w:fill="CCEEFF"/>
          </w:tcPr>
          <w:p>
            <w:pPr>
              <w:spacing w:after="0"/>
              <w:rPr>
                <w:sz w:val="23"/>
                <w:szCs w:val="23"/>
                <w:color w:val="auto"/>
              </w:rPr>
            </w:pPr>
          </w:p>
        </w:tc>
      </w:tr>
      <w:tr>
        <w:trPr>
          <w:trHeight w:val="270"/>
        </w:trPr>
        <w:tc>
          <w:tcPr>
            <w:tcW w:w="4440" w:type="dxa"/>
            <w:vAlign w:val="bottom"/>
          </w:tcPr>
          <w:p>
            <w:pPr>
              <w:ind w:left="220"/>
              <w:spacing w:after="0"/>
              <w:rPr>
                <w:sz w:val="20"/>
                <w:szCs w:val="20"/>
                <w:color w:val="auto"/>
              </w:rPr>
            </w:pPr>
            <w:r>
              <w:rPr>
                <w:rFonts w:ascii="Arial" w:cs="Arial" w:eastAsia="Arial" w:hAnsi="Arial"/>
                <w:sz w:val="18"/>
                <w:szCs w:val="18"/>
                <w:color w:val="auto"/>
              </w:rPr>
              <w:t>Service expenses</w:t>
            </w:r>
            <w:r>
              <w:rPr>
                <w:rFonts w:ascii="Arial" w:cs="Arial" w:eastAsia="Arial" w:hAnsi="Arial"/>
                <w:sz w:val="23"/>
                <w:szCs w:val="23"/>
                <w:color w:val="auto"/>
                <w:vertAlign w:val="superscript"/>
              </w:rPr>
              <w:t>(1)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23"/>
                <w:szCs w:val="23"/>
                <w:color w:val="auto"/>
              </w:rPr>
            </w:pPr>
          </w:p>
        </w:tc>
      </w:tr>
      <w:tr>
        <w:trPr>
          <w:trHeight w:val="250"/>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20"/>
              <w:spacing w:after="0"/>
              <w:rPr>
                <w:sz w:val="20"/>
                <w:szCs w:val="20"/>
                <w:color w:val="auto"/>
              </w:rPr>
            </w:pPr>
            <w:r>
              <w:rPr>
                <w:rFonts w:ascii="Arial" w:cs="Arial" w:eastAsia="Arial" w:hAnsi="Arial"/>
                <w:sz w:val="18"/>
                <w:szCs w:val="18"/>
                <w:color w:val="auto"/>
                <w:w w:val="96"/>
              </w:rPr>
              <w:t>Loss (gain) from change in fair value of warrant liability</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7,164</w:t>
            </w:r>
          </w:p>
        </w:tc>
        <w:tc>
          <w:tcPr>
            <w:tcW w:w="180" w:type="dxa"/>
            <w:vAlign w:val="bottom"/>
          </w:tcPr>
          <w:p>
            <w:pPr>
              <w:spacing w:after="0"/>
              <w:rPr>
                <w:sz w:val="21"/>
                <w:szCs w:val="2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108,464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82,354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70"/>
        </w:trPr>
        <w:tc>
          <w:tcPr>
            <w:tcW w:w="4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107,133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89,932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22,014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17,933</w:t>
            </w:r>
          </w:p>
        </w:tc>
        <w:tc>
          <w:tcPr>
            <w:tcW w:w="180" w:type="dxa"/>
            <w:vAlign w:val="bottom"/>
          </w:tcPr>
          <w:p>
            <w:pPr>
              <w:spacing w:after="0"/>
              <w:rPr>
                <w:sz w:val="21"/>
                <w:szCs w:val="2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39,100</w:t>
            </w: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85,119</w:t>
            </w:r>
          </w:p>
        </w:tc>
        <w:tc>
          <w:tcPr>
            <w:tcW w:w="5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71,999</w:t>
            </w:r>
          </w:p>
        </w:tc>
        <w:tc>
          <w:tcPr>
            <w:tcW w:w="180" w:type="dxa"/>
            <w:vAlign w:val="bottom"/>
            <w:shd w:val="clear" w:color="auto" w:fill="CCEEFF"/>
          </w:tcPr>
          <w:p>
            <w:pPr>
              <w:spacing w:after="0"/>
              <w:rPr>
                <w:sz w:val="24"/>
                <w:szCs w:val="24"/>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46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Earnings per share - Diluted</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0.36</w:t>
            </w:r>
          </w:p>
        </w:tc>
        <w:tc>
          <w:tcPr>
            <w:tcW w:w="360" w:type="dxa"/>
            <w:vAlign w:val="bottom"/>
            <w:gridSpan w:val="4"/>
          </w:tcPr>
          <w:p>
            <w:pPr>
              <w:jc w:val="center"/>
              <w:ind w:left="119"/>
              <w:spacing w:after="0"/>
              <w:rPr>
                <w:sz w:val="20"/>
                <w:szCs w:val="20"/>
                <w:color w:val="auto"/>
              </w:rPr>
            </w:pPr>
            <w:r>
              <w:rPr>
                <w:rFonts w:ascii="Arial" w:cs="Arial" w:eastAsia="Arial" w:hAnsi="Arial"/>
                <w:sz w:val="11"/>
                <w:szCs w:val="11"/>
                <w:color w:val="auto"/>
                <w:w w:val="88"/>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0.56</w:t>
            </w: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50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4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Loss ratio</w:t>
            </w:r>
            <w:r>
              <w:rPr>
                <w:rFonts w:ascii="Arial" w:cs="Arial" w:eastAsia="Arial" w:hAnsi="Arial"/>
                <w:sz w:val="23"/>
                <w:szCs w:val="23"/>
                <w:color w:val="auto"/>
                <w:vertAlign w:val="superscript"/>
              </w:rPr>
              <w:t>(3)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r>
              <w:rPr>
                <w:rFonts w:ascii="Arial" w:cs="Arial" w:eastAsia="Arial" w:hAnsi="Arial"/>
                <w:sz w:val="23"/>
                <w:szCs w:val="23"/>
                <w:color w:val="auto"/>
                <w:vertAlign w:val="superscript"/>
              </w:rPr>
              <w:t>(4)</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346"/>
        </w:trPr>
        <w:tc>
          <w:tcPr>
            <w:tcW w:w="4440" w:type="dxa"/>
            <w:vAlign w:val="bottom"/>
          </w:tcPr>
          <w:p>
            <w:pPr>
              <w:ind w:left="20"/>
              <w:spacing w:after="0"/>
              <w:rPr>
                <w:sz w:val="20"/>
                <w:szCs w:val="20"/>
                <w:color w:val="auto"/>
              </w:rPr>
            </w:pPr>
            <w:r>
              <w:rPr>
                <w:rFonts w:ascii="Arial" w:cs="Arial" w:eastAsia="Arial" w:hAnsi="Arial"/>
                <w:sz w:val="18"/>
                <w:szCs w:val="18"/>
                <w:color w:val="auto"/>
              </w:rPr>
              <w:t xml:space="preserve">Combined ratio </w:t>
            </w:r>
            <w:r>
              <w:rPr>
                <w:rFonts w:ascii="Arial" w:cs="Arial" w:eastAsia="Arial" w:hAnsi="Arial"/>
                <w:sz w:val="23"/>
                <w:szCs w:val="23"/>
                <w:color w:val="auto"/>
                <w:vertAlign w:val="superscript"/>
              </w:rPr>
              <w:t>(5)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65.4 %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42.2 %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51.9 %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43.7 %</w:t>
            </w:r>
          </w:p>
        </w:tc>
      </w:tr>
      <w:tr>
        <w:trPr>
          <w:trHeight w:val="708"/>
        </w:trPr>
        <w:tc>
          <w:tcPr>
            <w:tcW w:w="44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932"/>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852"/>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Borders>
              <w:bottom w:val="single" w:sz="8" w:color="auto"/>
            </w:tcBorders>
          </w:tcPr>
          <w:p>
            <w:pPr>
              <w:spacing w:after="0"/>
              <w:rPr>
                <w:sz w:val="24"/>
                <w:szCs w:val="24"/>
                <w:color w:val="auto"/>
              </w:rPr>
            </w:pPr>
          </w:p>
        </w:tc>
      </w:tr>
      <w:tr>
        <w:trPr>
          <w:trHeight w:val="196"/>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9"/>
                <w:szCs w:val="9"/>
                <w:b w:val="1"/>
                <w:bCs w:val="1"/>
                <w:color w:val="auto"/>
              </w:rPr>
              <w:t>(6)</w:t>
            </w: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w w:val="96"/>
              </w:rPr>
              <w:t>June 30, 2019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b w:val="1"/>
                <w:bCs w:val="1"/>
                <w:color w:val="auto"/>
                <w:w w:val="96"/>
              </w:rPr>
              <w:t>June 30, 2020</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b w:val="1"/>
                <w:bCs w:val="1"/>
                <w:color w:val="auto"/>
                <w:w w:val="98"/>
              </w:rPr>
              <w:t>June 30, 2019</w:t>
            </w:r>
          </w:p>
        </w:tc>
        <w:tc>
          <w:tcPr>
            <w:tcW w:w="180" w:type="dxa"/>
            <w:vAlign w:val="bottom"/>
            <w:tcBorders>
              <w:bottom w:val="single" w:sz="8" w:color="auto"/>
            </w:tcBorders>
            <w:shd w:val="clear" w:color="auto" w:fill="CCEEFF"/>
          </w:tcPr>
          <w:p>
            <w:pPr>
              <w:spacing w:after="0"/>
              <w:rPr>
                <w:sz w:val="17"/>
                <w:szCs w:val="17"/>
                <w:color w:val="auto"/>
              </w:rPr>
            </w:pPr>
          </w:p>
        </w:tc>
      </w:tr>
      <w:tr>
        <w:trPr>
          <w:trHeight w:val="242"/>
        </w:trPr>
        <w:tc>
          <w:tcPr>
            <w:tcW w:w="4440" w:type="dxa"/>
            <w:vAlign w:val="bottom"/>
          </w:tcPr>
          <w:p>
            <w:pPr>
              <w:ind w:left="20"/>
              <w:spacing w:after="0"/>
              <w:rPr>
                <w:sz w:val="20"/>
                <w:szCs w:val="20"/>
                <w:color w:val="auto"/>
              </w:rPr>
            </w:pPr>
            <w:r>
              <w:rPr>
                <w:rFonts w:ascii="Arial" w:cs="Arial" w:eastAsia="Arial" w:hAnsi="Arial"/>
                <w:sz w:val="18"/>
                <w:szCs w:val="18"/>
                <w:color w:val="auto"/>
              </w:rPr>
              <w:t>Adjusted income before tax</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38,292</w:t>
            </w:r>
          </w:p>
        </w:tc>
        <w:tc>
          <w:tcPr>
            <w:tcW w:w="360" w:type="dxa"/>
            <w:vAlign w:val="bottom"/>
            <w:gridSpan w:val="4"/>
          </w:tcPr>
          <w:p>
            <w:pPr>
              <w:jc w:val="center"/>
              <w:ind w:left="119"/>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53,420</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105,035</w:t>
            </w:r>
          </w:p>
        </w:tc>
        <w:tc>
          <w:tcPr>
            <w:tcW w:w="50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98,060</w:t>
            </w: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41,399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82,470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79,925</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Adjusted diluted EPS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1.15</w:t>
            </w:r>
          </w:p>
        </w:tc>
      </w:tr>
    </w:tbl>
    <w:p>
      <w:pPr>
        <w:spacing w:after="0" w:line="170"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9"/>
          <w:szCs w:val="9"/>
          <w:color w:val="auto"/>
        </w:rPr>
      </w:pPr>
      <w:r>
        <w:rPr>
          <w:rFonts w:ascii="Arial" w:cs="Arial" w:eastAsia="Arial" w:hAnsi="Arial"/>
          <w:sz w:val="14"/>
          <w:szCs w:val="14"/>
          <w:color w:val="auto"/>
        </w:rPr>
        <w:t>Certain "Underwriting and operating expenses" have been reclassified as "Service expenses" in prior periods.</w:t>
      </w:r>
    </w:p>
    <w:p>
      <w:pPr>
        <w:spacing w:after="0" w:line="13" w:lineRule="exact"/>
        <w:rPr>
          <w:rFonts w:ascii="Arial" w:cs="Arial" w:eastAsia="Arial" w:hAnsi="Arial"/>
          <w:sz w:val="9"/>
          <w:szCs w:val="9"/>
          <w:color w:val="auto"/>
        </w:rPr>
      </w:pPr>
    </w:p>
    <w:p>
      <w:pPr>
        <w:ind w:left="340" w:hanging="332"/>
        <w:spacing w:after="0" w:line="241" w:lineRule="auto"/>
        <w:tabs>
          <w:tab w:leader="none" w:pos="148" w:val="left"/>
        </w:tabs>
        <w:numPr>
          <w:ilvl w:val="0"/>
          <w:numId w:val="24"/>
        </w:numPr>
        <w:rPr>
          <w:rFonts w:ascii="Arial" w:cs="Arial" w:eastAsia="Arial" w:hAnsi="Arial"/>
          <w:sz w:val="9"/>
          <w:szCs w:val="9"/>
          <w:color w:val="auto"/>
        </w:rPr>
      </w:pPr>
      <w:r>
        <w:rPr>
          <w:rFonts w:ascii="Arial" w:cs="Arial" w:eastAsia="Arial" w:hAnsi="Arial"/>
          <w:sz w:val="14"/>
          <w:szCs w:val="14"/>
          <w:color w:val="auto"/>
        </w:rPr>
        <w:t>Diluted net income for the six months ended June 30, 2020 excludes the impact of the warrant fair value change as it was anti-dilutive. For all other periods presented in the table, diluted net income equals reported net income as the impact of the warrant fair value change was dilutive.</w:t>
      </w:r>
    </w:p>
    <w:p>
      <w:pPr>
        <w:ind w:left="160" w:hanging="152"/>
        <w:spacing w:after="0"/>
        <w:tabs>
          <w:tab w:leader="none" w:pos="160" w:val="left"/>
        </w:tabs>
        <w:numPr>
          <w:ilvl w:val="0"/>
          <w:numId w:val="24"/>
        </w:numPr>
        <w:rPr>
          <w:rFonts w:ascii="Arial" w:cs="Arial" w:eastAsia="Arial" w:hAnsi="Arial"/>
          <w:sz w:val="9"/>
          <w:szCs w:val="9"/>
          <w:color w:val="auto"/>
        </w:rPr>
      </w:pPr>
      <w:r>
        <w:rPr>
          <w:rFonts w:ascii="Arial" w:cs="Arial" w:eastAsia="Arial" w:hAnsi="Arial"/>
          <w:sz w:val="14"/>
          <w:szCs w:val="14"/>
          <w:color w:val="auto"/>
        </w:rPr>
        <w:t>Loss ratio is calculated by dividing the insurance claims and claim expenses by net premiums earned..</w:t>
      </w:r>
    </w:p>
    <w:p>
      <w:pPr>
        <w:spacing w:after="0" w:line="1" w:lineRule="exact"/>
        <w:rPr>
          <w:rFonts w:ascii="Arial" w:cs="Arial" w:eastAsia="Arial" w:hAnsi="Arial"/>
          <w:sz w:val="9"/>
          <w:szCs w:val="9"/>
          <w:color w:val="auto"/>
        </w:rPr>
      </w:pPr>
    </w:p>
    <w:p>
      <w:pPr>
        <w:ind w:left="160" w:hanging="152"/>
        <w:spacing w:after="0"/>
        <w:tabs>
          <w:tab w:leader="none" w:pos="160" w:val="left"/>
        </w:tabs>
        <w:numPr>
          <w:ilvl w:val="0"/>
          <w:numId w:val="24"/>
        </w:numPr>
        <w:rPr>
          <w:rFonts w:ascii="Arial" w:cs="Arial" w:eastAsia="Arial" w:hAnsi="Arial"/>
          <w:sz w:val="9"/>
          <w:szCs w:val="9"/>
          <w:color w:val="auto"/>
        </w:rPr>
      </w:pPr>
      <w:r>
        <w:rPr>
          <w:rFonts w:ascii="Arial" w:cs="Arial" w:eastAsia="Arial" w:hAnsi="Arial"/>
          <w:sz w:val="14"/>
          <w:szCs w:val="14"/>
          <w:color w:val="auto"/>
        </w:rPr>
        <w:t>Expense ratio is calculated by dividing underwriting and operating expenses by net premiums earned.</w:t>
      </w:r>
    </w:p>
    <w:p>
      <w:pPr>
        <w:spacing w:after="0" w:line="1" w:lineRule="exact"/>
        <w:rPr>
          <w:rFonts w:ascii="Arial" w:cs="Arial" w:eastAsia="Arial" w:hAnsi="Arial"/>
          <w:sz w:val="9"/>
          <w:szCs w:val="9"/>
          <w:color w:val="auto"/>
        </w:rPr>
      </w:pPr>
    </w:p>
    <w:p>
      <w:pPr>
        <w:ind w:left="160" w:hanging="152"/>
        <w:spacing w:after="0"/>
        <w:tabs>
          <w:tab w:leader="none" w:pos="160" w:val="left"/>
        </w:tabs>
        <w:numPr>
          <w:ilvl w:val="0"/>
          <w:numId w:val="24"/>
        </w:numPr>
        <w:rPr>
          <w:rFonts w:ascii="Arial" w:cs="Arial" w:eastAsia="Arial" w:hAnsi="Arial"/>
          <w:sz w:val="9"/>
          <w:szCs w:val="9"/>
          <w:color w:val="auto"/>
        </w:rPr>
      </w:pPr>
      <w:r>
        <w:rPr>
          <w:rFonts w:ascii="Arial" w:cs="Arial" w:eastAsia="Arial" w:hAnsi="Arial"/>
          <w:sz w:val="14"/>
          <w:szCs w:val="14"/>
          <w:color w:val="auto"/>
        </w:rPr>
        <w:t>Combined ratio may not foot due to rounding.</w:t>
      </w:r>
    </w:p>
    <w:p>
      <w:pPr>
        <w:spacing w:after="0" w:line="1" w:lineRule="exact"/>
        <w:rPr>
          <w:rFonts w:ascii="Arial" w:cs="Arial" w:eastAsia="Arial" w:hAnsi="Arial"/>
          <w:sz w:val="9"/>
          <w:szCs w:val="9"/>
          <w:color w:val="auto"/>
        </w:rPr>
      </w:pPr>
    </w:p>
    <w:p>
      <w:pPr>
        <w:ind w:left="160" w:hanging="152"/>
        <w:spacing w:after="0"/>
        <w:tabs>
          <w:tab w:leader="none" w:pos="160" w:val="left"/>
        </w:tabs>
        <w:numPr>
          <w:ilvl w:val="0"/>
          <w:numId w:val="24"/>
        </w:numPr>
        <w:rPr>
          <w:rFonts w:ascii="Arial" w:cs="Arial" w:eastAsia="Arial" w:hAnsi="Arial"/>
          <w:sz w:val="9"/>
          <w:szCs w:val="9"/>
          <w:color w:val="auto"/>
        </w:rPr>
      </w:pPr>
      <w:r>
        <w:rPr>
          <w:rFonts w:ascii="Arial" w:cs="Arial" w:eastAsia="Arial" w:hAnsi="Arial"/>
          <w:sz w:val="14"/>
          <w:szCs w:val="14"/>
          <w:color w:val="auto"/>
        </w:rPr>
        <w:t>See "</w:t>
      </w:r>
      <w:r>
        <w:rPr>
          <w:rFonts w:ascii="Arial" w:cs="Arial" w:eastAsia="Arial" w:hAnsi="Arial"/>
          <w:sz w:val="14"/>
          <w:szCs w:val="14"/>
          <w:i w:val="1"/>
          <w:iCs w:val="1"/>
          <w:color w:val="auto"/>
        </w:rPr>
        <w:t>Explanation and Reconciliation of Our Use of Non-GAAP Financial Measures</w:t>
      </w:r>
      <w:r>
        <w:rPr>
          <w:rFonts w:ascii="Arial" w:cs="Arial" w:eastAsia="Arial" w:hAnsi="Arial"/>
          <w:sz w:val="14"/>
          <w:szCs w:val="14"/>
          <w:color w:val="auto"/>
        </w:rPr>
        <w:t>," below.</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2020, net premiums earned increased $15.7 million or 19% and $40.5 million or 26%, respectively, compared to the three and six months ended June 30, 2019. The increase is primarily due to the growth of our IIF, a rise in monthly policy production and higher single premium policy cancellations, partially offset by increased cessions under the 2018 QSR Transaction tied to the growth of our direct premium volume and the inception of the 2019 ILN Transaction and 2020 QSR Transaction.</w:t>
      </w:r>
    </w:p>
    <w:p>
      <w:pPr>
        <w:sectPr>
          <w:pgSz w:w="11900" w:h="16838" w:orient="portrait"/>
          <w:cols w:equalWidth="0" w:num="1">
            <w:col w:w="11240"/>
          </w:cols>
          <w:pgMar w:left="320" w:top="11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48" w:name="page49"/>
    <w:bookmarkEnd w:id="48"/>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2020, net investment income decreased $0.6 million and $0.2 million, respectively, compared to the three and six months ended June 30, 2019. The decreases were driven by a decline in book yield partially offset by an increase in the size of our total investment portfolio. Our book yield declined for the six months ended June 30, 2020 as we prioritized liquidity and increased cash and cash equivalent positions at the onset of the COVID-19 crisis.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and six months ended June 30, 2020, other revenues increased $0.8 million and $1.7 million, respectively, compared to the three and six months ended June 30, 2019. Other revenues represent underwriting fee revenue from our subsidiary, NMIS, which provides outsourced loan review services to mortgage loan originators. The growth in other revenues for the three and six months ended relates to an increase in NMIS' outsourced loan review volume. Amounts recognized in other revenues generally correspond with amounts incurred as service expenses for outsourced loan review activities in the same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Insurance claims and claim expenses increased $31.4 million and $34.4 million for the three and six months ended June 30, 2020, respectively, compared to the three and six months ended June 30, 2019, as a result of an increase in defaults, driven by new defaults on insured loans impacted by COVID-19 outbreak, and an increase in the overall number of policies in our portfolio and aging of earlier book years, offset partially by the release of certain reserves related to prior year defaults.</w:t>
      </w:r>
    </w:p>
    <w:p>
      <w:pPr>
        <w:spacing w:after="0" w:line="133" w:lineRule="exact"/>
        <w:rPr>
          <w:sz w:val="20"/>
          <w:szCs w:val="20"/>
          <w:color w:val="auto"/>
        </w:rPr>
      </w:pPr>
    </w:p>
    <w:p>
      <w:pPr>
        <w:jc w:val="both"/>
        <w:ind w:firstLine="524"/>
        <w:spacing w:after="0" w:line="279" w:lineRule="auto"/>
        <w:rPr>
          <w:sz w:val="20"/>
          <w:szCs w:val="20"/>
          <w:color w:val="auto"/>
        </w:rPr>
      </w:pPr>
      <w:r>
        <w:rPr>
          <w:rFonts w:ascii="Arial" w:cs="Arial" w:eastAsia="Arial" w:hAnsi="Arial"/>
          <w:sz w:val="17"/>
          <w:szCs w:val="17"/>
          <w:color w:val="auto"/>
        </w:rPr>
        <w:t>Underwriting and operating expenses decreased $1.8 million or 6%, and $0.3 million or 1% for the three and six months ended June 30, 2020, respectively, compared to the three and six months ended June 30, 2019. The decrease was primarily driven by reductions in payroll, travel and entertainment, and office administrative expenses as a result of the COVID-19 outbreak. During the three and six months ended June 30, 2020, we also incurred $0.2 million and $0.6 million of underwriting and operating expenses, respectively, related to the capital market reinsurance transaction.</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Service expenses were $1.1 million and $1.8 million for the three and six months ended June 30, 2020, respectively, compared to $0.4 million for the three and six months ended June 30, 2019. Service expenses represent third-party costs incurred by NMIS in connection with the services it provides. The growth in service expenses for the three and six months ended June 30, 2020 relates to an increase in NMIS' outsourced loan review volume. Amounts incurred as service expenses generally correspond with amounts recognized in other revenues in the same periods.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was $5.9 million and $8.7 million for the three and six months ended June 30, 2020, respectively, compared to $3.1 million and $6.1 million for the three and six months ended June 30, 2019, respectively. Interest expense for the three and six months ended June 30, 2020 includes $2.6 million of costs related to the extinguishment of the 2018 Term Loan. Interest expense for the three and six months ended June 30, 2020 benefited from a lower LIBOR indexed to the 2018 Term Loan compared to the three and six months ended June 30, 2019. See Item 1, "</w:t>
      </w:r>
      <w:r>
        <w:rPr>
          <w:rFonts w:ascii="Arial" w:cs="Arial" w:eastAsia="Arial" w:hAnsi="Arial"/>
          <w:sz w:val="18"/>
          <w:szCs w:val="18"/>
          <w:i w:val="1"/>
          <w:iCs w:val="1"/>
          <w:color w:val="auto"/>
        </w:rPr>
        <w:t>Financial Statements - Notes</w:t>
      </w:r>
      <w:r>
        <w:rPr>
          <w:rFonts w:ascii="Arial" w:cs="Arial" w:eastAsia="Arial" w:hAnsi="Arial"/>
          <w:sz w:val="18"/>
          <w:szCs w:val="18"/>
          <w:color w:val="auto"/>
        </w:rPr>
        <w:t xml:space="preserve"> </w:t>
      </w:r>
      <w:r>
        <w:rPr>
          <w:rFonts w:ascii="Arial" w:cs="Arial" w:eastAsia="Arial" w:hAnsi="Arial"/>
          <w:sz w:val="18"/>
          <w:szCs w:val="18"/>
          <w:i w:val="1"/>
          <w:iCs w:val="1"/>
          <w:color w:val="auto"/>
        </w:rPr>
        <w:t>to Condensed Consolidated Financial Statements - Note 4, Debt.</w:t>
      </w:r>
      <w:r>
        <w:rPr>
          <w:rFonts w:ascii="Arial" w:cs="Arial" w:eastAsia="Arial" w:hAnsi="Arial"/>
          <w:sz w:val="18"/>
          <w:szCs w:val="18"/>
          <w:color w:val="auto"/>
        </w:rPr>
        <w:t>"</w:t>
      </w:r>
    </w:p>
    <w:p>
      <w:pPr>
        <w:spacing w:after="0" w:line="1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Income tax expense was $8.1 million and $22.0 million for the three and six months ended June 30, 2020, respectively, compared to $11.9 million and $17.9 million for the three and six months ended June 30, 2019, respectively. Income tax expense decreased for the three months ended June 30, 2020 compared to the three months ended June 30, 2019 due to the decrease in our pre-tax income. Income tax expense increased for the six months ended June 30, 2020 compared to the six months ended June 30, 2019 due to the growth in our pre-tax income. We are subject to a 21% statutory U.S. federal corporate income tax rate. Our effective tax rate on our pre-tax income was 23.2% and 20.5% for the three and six months ended June 30, 2020, respectively, compared to 23.3% and 19.9% for the three and six months ended June 30, 2019, respectively. Our provision for income taxes for interim periods is established based on our estimated annual effective tax rate for a given year. Our effective tax rates for the three and six months ended June 30, 2020 and 2019 reflect the discrete tax effects of the vesting of RSUs and exercise of options, and the change in fair value of our warrant liability in each period. See Item 1, "</w:t>
      </w:r>
      <w:r>
        <w:rPr>
          <w:rFonts w:ascii="Arial" w:cs="Arial" w:eastAsia="Arial" w:hAnsi="Arial"/>
          <w:sz w:val="16"/>
          <w:szCs w:val="16"/>
          <w:i w:val="1"/>
          <w:iCs w:val="1"/>
          <w:color w:val="auto"/>
        </w:rPr>
        <w:t>Financial Statements - Notes to Condensed Consolidated Financial Statements - Note 9, Income Taxes.</w:t>
      </w:r>
      <w:r>
        <w:rPr>
          <w:rFonts w:ascii="Arial" w:cs="Arial" w:eastAsia="Arial" w:hAnsi="Arial"/>
          <w:sz w:val="16"/>
          <w:szCs w:val="16"/>
          <w:color w:val="auto"/>
        </w:rPr>
        <w: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income was $26.8 million and $85.1 million for the three and six months ended June 30, 2020, respectively, compared to $39.1 million and $72.0 million for the three and six months ended June 30, 2019, respectively. Adjusted net income was $29.7 million and $82.5 million for the three and six months ended June 30, 2020, respectively, compared to $41.4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9" w:name="page50"/>
    <w:bookmarkEnd w:id="49"/>
    <w:p>
      <w:pPr>
        <w:jc w:val="both"/>
        <w:spacing w:after="0" w:line="301" w:lineRule="auto"/>
        <w:rPr>
          <w:sz w:val="20"/>
          <w:szCs w:val="20"/>
          <w:color w:val="auto"/>
        </w:rPr>
      </w:pPr>
      <w:r>
        <w:rPr>
          <w:rFonts w:ascii="Arial" w:cs="Arial" w:eastAsia="Arial" w:hAnsi="Arial"/>
          <w:sz w:val="16"/>
          <w:szCs w:val="16"/>
          <w:color w:val="auto"/>
        </w:rPr>
        <w:t>million and $79.9 million for the three and six months ended June 30, 2019, respectively. For the three months ended June 30, 2020, the decrease in net income and adjusted net income can be attributed to an increase in total expense primarily due to increased insurance claims and claims expense resulting from the COVID-19 pandemic, partially offset by an increase in total revenue. For the six months ended June 30, 2020, the increase in net income and adjusted net income can be attributed by increases in total revenues partially offset by increased insurance claims and claims expense.</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Diluted EPS was $0.36 and $1.11 for the three and six months ended June 30, 2020, respectively, compared to $0.56 and $1.04 for the three and six months ended June 30, 2019, respectively. Adjusted diluted EPS was $0.40 and $1.14 for the three and six months ended June 30, 2020, respectively, compared to $0.59 and $1.15 for the three and six months ended June 30, 2019, respectively. Fluctuations in diluted and adjusted diluted EPS for all periods shown were driven by an increase in weighted average diluted shares which is attributed to the common stock offering resulting in the sale of 15.9 million shares of common stock in June of 2020.</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non-GAAP financial measures adjusted income before tax, adjusted net income and adjusted diluted EPS are presented to enhance the comparability of financial results between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Non-GAAP Financial Measure Reconciliations</w:t>
            </w:r>
          </w:p>
        </w:tc>
        <w:tc>
          <w:tcPr>
            <w:tcW w:w="220" w:type="dxa"/>
            <w:vAlign w:val="bottom"/>
          </w:tcPr>
          <w:p>
            <w:pPr>
              <w:spacing w:after="0"/>
              <w:rPr>
                <w:sz w:val="20"/>
                <w:szCs w:val="20"/>
                <w:color w:val="auto"/>
              </w:rPr>
            </w:pPr>
          </w:p>
        </w:tc>
        <w:tc>
          <w:tcPr>
            <w:tcW w:w="296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 June 30,</w:t>
            </w:r>
          </w:p>
        </w:tc>
        <w:tc>
          <w:tcPr>
            <w:tcW w:w="180" w:type="dxa"/>
            <w:vAlign w:val="bottom"/>
          </w:tcPr>
          <w:p>
            <w:pPr>
              <w:spacing w:after="0"/>
              <w:rPr>
                <w:sz w:val="20"/>
                <w:szCs w:val="20"/>
                <w:color w:val="auto"/>
              </w:rPr>
            </w:pPr>
          </w:p>
        </w:tc>
        <w:tc>
          <w:tcPr>
            <w:tcW w:w="248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196"/>
        </w:trPr>
        <w:tc>
          <w:tcPr>
            <w:tcW w:w="53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5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2840" w:type="dxa"/>
            <w:vAlign w:val="bottom"/>
            <w:gridSpan w:val="5"/>
            <w:shd w:val="clear" w:color="auto" w:fill="CCEEFF"/>
          </w:tcPr>
          <w:p>
            <w:pPr>
              <w:spacing w:after="0"/>
              <w:rPr>
                <w:sz w:val="20"/>
                <w:szCs w:val="20"/>
                <w:color w:val="auto"/>
              </w:rPr>
            </w:pPr>
            <w:r>
              <w:rPr>
                <w:rFonts w:ascii="Arial" w:cs="Arial" w:eastAsia="Arial" w:hAnsi="Arial"/>
                <w:sz w:val="14"/>
                <w:szCs w:val="14"/>
                <w:i w:val="1"/>
                <w:iCs w:val="1"/>
                <w:color w:val="auto"/>
              </w:rPr>
              <w:t>in thousands, except for per share data)</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34,977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50,958</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107,133</w:t>
            </w:r>
          </w:p>
        </w:tc>
        <w:tc>
          <w:tcPr>
            <w:tcW w:w="2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89,932</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8,129</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11,858</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22,014</w:t>
            </w:r>
          </w:p>
        </w:tc>
        <w:tc>
          <w:tcPr>
            <w:tcW w:w="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17,933</w:t>
            </w: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26,848</w:t>
            </w:r>
          </w:p>
        </w:tc>
        <w:tc>
          <w:tcPr>
            <w:tcW w:w="3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39,100</w:t>
            </w:r>
          </w:p>
        </w:tc>
        <w:tc>
          <w:tcPr>
            <w:tcW w:w="3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85,119</w:t>
            </w:r>
          </w:p>
        </w:tc>
        <w:tc>
          <w:tcPr>
            <w:tcW w:w="2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71,999</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investment (gains) losses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113</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Loss (gain) from change in fair value warrant liability</w:t>
            </w:r>
          </w:p>
        </w:tc>
        <w:tc>
          <w:tcPr>
            <w:tcW w:w="22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1,236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1,685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(4,723)</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7,164</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market transaction costs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2,790</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664</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3,264</w:t>
            </w:r>
          </w:p>
        </w:tc>
        <w:tc>
          <w:tcPr>
            <w:tcW w:w="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664</w:t>
            </w: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Adjusted income before tax</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38,292</w:t>
            </w:r>
          </w:p>
        </w:tc>
        <w:tc>
          <w:tcPr>
            <w:tcW w:w="3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53,420</w:t>
            </w: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105,035</w:t>
            </w:r>
          </w:p>
        </w:tc>
        <w:tc>
          <w:tcPr>
            <w:tcW w:w="2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98,060</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Income tax expense on adjustments</w:t>
            </w:r>
          </w:p>
        </w:tc>
        <w:tc>
          <w:tcPr>
            <w:tcW w:w="22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202</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29,726</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41,399</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82,470</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79,925</w:t>
            </w:r>
          </w:p>
        </w:tc>
      </w:tr>
      <w:tr>
        <w:trPr>
          <w:trHeight w:val="270"/>
        </w:trPr>
        <w:tc>
          <w:tcPr>
            <w:tcW w:w="5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74,174</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69,590</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72,407</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69,348</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0.40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0.59</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1.15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and Reconciliation of Our Use of Non-GAAP Financial Measures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the use of the non-GAAP measures of adjusted income before tax, adjusted net income and adjusted diluted EPS enhance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Adjusted income before tax </w:t>
      </w:r>
      <w:r>
        <w:rPr>
          <w:rFonts w:ascii="Arial" w:cs="Arial" w:eastAsia="Arial" w:hAnsi="Arial"/>
          <w:sz w:val="18"/>
          <w:szCs w:val="18"/>
          <w:color w:val="auto"/>
        </w:rPr>
        <w:t>is defined as GAAP income before tax, excluding the pre-tax effects of the gain or loss related to the change in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warrant liability, periodic costs incurred in connection with capital markets transactions, net realized gains or losses from our investment portfolio, and discrete, non-recurring and non-operating items in the periods in which such items are incurred.</w:t>
      </w:r>
    </w:p>
    <w:p>
      <w:pPr>
        <w:spacing w:after="0" w:line="1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defined as GAAP net income, excluding the after-tax effects of the gain or loss related to the change in fair value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liability, periodic costs incurred in connection with capital markets transactions, net realized gains or losses from our investment portfolio, and discrete, non-recurring and non-operating items in the periods in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items are incurred. Adjustments to components of pre-tax income are tax effected using the applicable federal statutory tax rate for the respective periods.</w:t>
      </w:r>
    </w:p>
    <w:p>
      <w:pPr>
        <w:spacing w:after="0" w:line="19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Adjusted diluted EPS </w:t>
      </w:r>
      <w:r>
        <w:rPr>
          <w:rFonts w:ascii="Arial" w:cs="Arial" w:eastAsia="Arial" w:hAnsi="Arial"/>
          <w:sz w:val="17"/>
          <w:szCs w:val="17"/>
          <w:color w:val="auto"/>
        </w:rPr>
        <w:t>is defined as adjusted net income divided by adjusted weighted average diluted shares outstanding. Adjusted weighted</w:t>
      </w:r>
      <w:r>
        <w:rPr>
          <w:rFonts w:ascii="Arial" w:cs="Arial" w:eastAsia="Arial" w:hAnsi="Arial"/>
          <w:sz w:val="17"/>
          <w:szCs w:val="17"/>
          <w:b w:val="1"/>
          <w:bCs w:val="1"/>
          <w:color w:val="auto"/>
        </w:rPr>
        <w:t xml:space="preserve"> </w:t>
      </w:r>
      <w:r>
        <w:rPr>
          <w:rFonts w:ascii="Arial" w:cs="Arial" w:eastAsia="Arial" w:hAnsi="Arial"/>
          <w:sz w:val="17"/>
          <w:szCs w:val="17"/>
          <w:color w:val="auto"/>
        </w:rPr>
        <w:t>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133" w:lineRule="exact"/>
        <w:rPr>
          <w:sz w:val="20"/>
          <w:szCs w:val="20"/>
          <w:color w:val="auto"/>
        </w:rPr>
      </w:pPr>
    </w:p>
    <w:p>
      <w:pPr>
        <w:jc w:val="both"/>
        <w:ind w:left="66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 Outstanding warrants at the end of each reporting period are revalued, and any change in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We believe trends in our operating performance can be more clearly identified by excluding fluctuations related to the change in fair value of our warrant liability.</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Capital markets transaction costs</w:t>
      </w:r>
      <w:r>
        <w:rPr>
          <w:rFonts w:ascii="Arial" w:cs="Arial" w:eastAsia="Arial" w:hAnsi="Arial"/>
          <w:sz w:val="18"/>
          <w:szCs w:val="18"/>
          <w:color w:val="auto"/>
        </w:rPr>
        <w:t>. Capital markets transaction costs result from activities that are undertaken to improve our debt profile or</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Net realized investment gains and losses</w:t>
      </w:r>
      <w:r>
        <w:rPr>
          <w:rFonts w:ascii="Arial" w:cs="Arial" w:eastAsia="Arial" w:hAnsi="Arial"/>
          <w:sz w:val="18"/>
          <w:szCs w:val="18"/>
          <w:color w:val="auto"/>
        </w:rPr>
        <w:t>. The recognition of the net realized investment gains or losses can vary significantly across periods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12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Infrequent or unusual non-operating items</w:t>
      </w:r>
      <w:r>
        <w:rPr>
          <w:rFonts w:ascii="Arial" w:cs="Arial" w:eastAsia="Arial" w:hAnsi="Arial"/>
          <w:sz w:val="18"/>
          <w:szCs w:val="18"/>
          <w:color w:val="auto"/>
        </w:rPr>
        <w:t>. Items that are the result of unforeseen or uncommon events, which occur separately from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and are not expected to recur in the future. Identification and exclusion of these items provides clarity about the impact special or rare occurrences may have on our current financial performance. Past adjustments under this category include the effects of the release of the valuation allowance recorded against our net federal and certain state net deferred tax assets in 2016 and the re-measurement of our net deferred tax assets in connection with tax reform in 2017. We believe such items are non-recurring in nature, are not part of our primary operating activities and do not reflect our current period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2"/>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2019</w:t>
            </w:r>
          </w:p>
        </w:tc>
      </w:tr>
      <w:tr>
        <w:trPr>
          <w:trHeight w:val="196"/>
        </w:trPr>
        <w:tc>
          <w:tcPr>
            <w:tcW w:w="7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0" w:type="dxa"/>
            <w:vAlign w:val="bottom"/>
            <w:gridSpan w:val="4"/>
          </w:tcPr>
          <w:p>
            <w:pPr>
              <w:jc w:val="right"/>
              <w:ind w:right="121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investment portfolio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1,339,771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1,140,940</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515,450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41,089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46,085</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26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63,619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59,972</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26,096</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Prepaid reinsurance premiums</w:t>
            </w:r>
          </w:p>
        </w:tc>
        <w:tc>
          <w:tcPr>
            <w:tcW w:w="26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10,263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15,488</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Reinsurance recoverable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14,307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4,939</w:t>
            </w:r>
          </w:p>
        </w:tc>
      </w:tr>
      <w:tr>
        <w:trPr>
          <w:trHeight w:val="270"/>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31,008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30,209</w:t>
            </w:r>
          </w:p>
        </w:tc>
      </w:tr>
      <w:tr>
        <w:trPr>
          <w:trHeight w:val="28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2,046,931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1,364,818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60" w:type="dxa"/>
            <w:vAlign w:val="bottom"/>
          </w:tcPr>
          <w:p>
            <w:pPr>
              <w:ind w:left="220"/>
              <w:spacing w:after="0"/>
              <w:rPr>
                <w:sz w:val="20"/>
                <w:szCs w:val="20"/>
                <w:color w:val="auto"/>
              </w:rPr>
            </w:pPr>
            <w:r>
              <w:rPr>
                <w:rFonts w:ascii="Arial" w:cs="Arial" w:eastAsia="Arial" w:hAnsi="Arial"/>
                <w:sz w:val="18"/>
                <w:szCs w:val="18"/>
                <w:color w:val="auto"/>
              </w:rPr>
              <w:t>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392,773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145,764</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136,642</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104,777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39,904</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23,752</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Reinsurance funds withheld</w:t>
            </w:r>
          </w:p>
        </w:tc>
        <w:tc>
          <w:tcPr>
            <w:tcW w:w="26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12,205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14,310</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Warrant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7,641</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Deferred tax liability, net</w:t>
            </w:r>
          </w:p>
        </w:tc>
        <w:tc>
          <w:tcPr>
            <w:tcW w:w="26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83,785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56,360</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10,025</w:t>
            </w: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789,894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434,398</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1,257,037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930,420</w:t>
            </w:r>
          </w:p>
        </w:tc>
      </w:tr>
      <w:tr>
        <w:trPr>
          <w:trHeight w:val="264"/>
        </w:trPr>
        <w:tc>
          <w:tcPr>
            <w:tcW w:w="766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2,046,931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1,364,818</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Reinsurance recoverable has been reclassified from "Other assets" in prior periods.</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2020, we had $1.9 billion in cash and investments, including $75.6 million held by NMIH. The increases in cash and investments from December 31, 2019 was primarily related to net proceeds of approximately $220 million from the common stock offering and net proceeds of approximately $245 million from the issuance of the Notes, both of which were completed in June 2020.</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deferred policy acquisition costs were $63.6 million as of June 30, 2020, compared to $60.0 million as of December 31, 2019. The increase was primarily driven by growth in the number of policies written during the period and the deferral of certain costs associated with the origination of those policies, partially offset by the amortization of previously deferred acquisition costs.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Prepaid reinsurance premiums were $10.3 million as of June 30, 2020, compared to $15.5 million as of December 31, 2019. Prepaid reinsurance premiums, which represent the unearned premiums on single premium policies ceded under the 2016 QSR Transaction, decreased due to the continued amortization of previously ceded unearned premiums.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assets increased to $31.0 million as of June 30, 2020 from $30.2 million as of December 31, 2019. The increase in other assets was primarily driven by an increase in ceded losses recoverable associated with our QSR transactions due to an increase in defaults and reserves for insurance claims and claims expense resulting from the COVID-19 pandemic, and the capitalization of deferred debt issuance costs incurred in connection with the 2020 Revolving Credit Facility.</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Unearned premiums decreased from $136.6 million as of December 31, 2019 to $115.2 million as of June 30, 2020, primarily due to the amortization of existing unearned premiums through earnings in accordance with the expiration of risk on related single premium policies and the cancellation of other single premium policies, partially offset by single premium policy originations during the six months ended June 30, 2020.</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 was $392.8 million as of June 30, 2020, compared to $145.8 million as of December 31, 2019. Debt at December 31, 2019, represented the carry value of the $150 million 2018 Term Loan, which was repaid in full during the second quarter of 2020. Debt at June 30, 2020, represented the carry value of the recently issued the Notes completed in June 2020.</w:t>
      </w:r>
    </w:p>
    <w:p>
      <w:pPr>
        <w:sectPr>
          <w:pgSz w:w="11900" w:h="16838" w:orient="portrait"/>
          <w:cols w:equalWidth="0" w:num="1">
            <w:col w:w="11240"/>
          </w:cols>
          <w:pgMar w:left="320" w:top="12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type w:val="continuous"/>
        </w:sectPr>
      </w:pPr>
    </w:p>
    <w:bookmarkStart w:id="52" w:name="page53"/>
    <w:bookmarkEnd w:id="52"/>
    <w:p>
      <w:pPr>
        <w:jc w:val="both"/>
        <w:ind w:firstLine="648"/>
        <w:spacing w:after="0" w:line="263" w:lineRule="auto"/>
        <w:rPr>
          <w:sz w:val="20"/>
          <w:szCs w:val="20"/>
          <w:color w:val="auto"/>
        </w:rPr>
      </w:pPr>
      <w:r>
        <w:rPr>
          <w:rFonts w:ascii="Arial" w:cs="Arial" w:eastAsia="Arial" w:hAnsi="Arial"/>
          <w:sz w:val="18"/>
          <w:szCs w:val="18"/>
          <w:color w:val="auto"/>
        </w:rPr>
        <w:t>Accounts payable and accrued expenses increased from $39.9 million as of December 31, 2019 to $104.8 million as of June 30, 2020, primarily due to unsettled payments from the purchase of certain investment securities, partially offset by the settlement of previously accrued compensation during the six months ended June 30, 2020.</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Reserve for insurance claims and claim expenses increased from $23.8 million as of December 31, 2019 to $69.9 million as of June 30, 2020, primarily due to an increase in defaults, driven by new defaults on insured loans impacted by the COVID-19 outbreak, and an increase in the overall number of policies in our portfolio and aging of earlier book years. This was partially offset by the release of prior year reserves primarily tied to default cures. See "</w:t>
      </w:r>
      <w:r>
        <w:rPr>
          <w:rFonts w:ascii="Arial" w:cs="Arial" w:eastAsia="Arial" w:hAnsi="Arial"/>
          <w:sz w:val="18"/>
          <w:szCs w:val="18"/>
          <w:i w:val="1"/>
          <w:iCs w:val="1"/>
          <w:color w:val="auto"/>
        </w:rPr>
        <w:t>- Insurance Claims and Claim Expenses</w:t>
      </w:r>
      <w:r>
        <w:rPr>
          <w:rFonts w:ascii="Arial" w:cs="Arial" w:eastAsia="Arial" w:hAnsi="Arial"/>
          <w:sz w:val="18"/>
          <w:szCs w:val="18"/>
          <w:color w:val="auto"/>
        </w:rPr>
        <w:t>," above for further details.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Reinsurance funds withheld was $12.2 million as of June 30, 2020, representing the net of our ceded reinsurance premiums written, less our profit and ceding commission receivables related to the 2016 QSR Transaction. The decrease in reinsurance funds withheld of $2.1 million from December 31, 2019, relates to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8"/>
          <w:szCs w:val="18"/>
          <w:i w:val="1"/>
          <w:iCs w:val="1"/>
          <w:color w:val="auto"/>
        </w:rPr>
        <w:t>Financial Statements - Notes to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 5, Reinsurance</w:t>
      </w:r>
      <w:r>
        <w:rPr>
          <w:rFonts w:ascii="Arial" w:cs="Arial" w:eastAsia="Arial" w:hAnsi="Arial"/>
          <w:sz w:val="18"/>
          <w:szCs w:val="18"/>
          <w:color w:val="auto"/>
        </w:rPr>
        <w:t>."</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Warrant liability decreased from $7.6 million at December 31, 2019 to $2.7 million at June 30, 2020, primarily due to a decrease in our stock price. For further information regarding the valuation of our warrant liability and its impact on our results of operations and financial position, see Item 1, "</w:t>
      </w:r>
      <w:r>
        <w:rPr>
          <w:rFonts w:ascii="Arial" w:cs="Arial" w:eastAsia="Arial" w:hAnsi="Arial"/>
          <w:sz w:val="17"/>
          <w:szCs w:val="17"/>
          <w:i w:val="1"/>
          <w:iCs w:val="1"/>
          <w:color w:val="auto"/>
        </w:rPr>
        <w:t>Financial Statements - Notes to Condensed Consolidated Financial Statements - Note 3, Fair Value of Financial Instruments.</w:t>
      </w:r>
      <w:r>
        <w:rPr>
          <w:rFonts w:ascii="Arial" w:cs="Arial" w:eastAsia="Arial" w:hAnsi="Arial"/>
          <w:sz w:val="17"/>
          <w:szCs w:val="17"/>
          <w:color w:val="auto"/>
        </w:rPr>
        <w:t>"</w:t>
      </w:r>
    </w:p>
    <w:p>
      <w:pPr>
        <w:spacing w:after="0" w:line="1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deferred tax liability increased from $56.4 million as of December 31, 2019 to $83.8 million as of June 30, 2020, primarily due an increase in the claimed deductibility of our statutory contingency reserve. For further information regarding income taxes and their impact on our results of operations and financial position, see Item 1, "</w:t>
      </w:r>
      <w:r>
        <w:rPr>
          <w:rFonts w:ascii="Arial" w:cs="Arial" w:eastAsia="Arial" w:hAnsi="Arial"/>
          <w:sz w:val="16"/>
          <w:szCs w:val="16"/>
          <w:i w:val="1"/>
          <w:iCs w:val="1"/>
          <w:color w:val="auto"/>
        </w:rPr>
        <w:t>Financial Statements - Notes to Condensed Consolidated Financial Statements - Note 9, Income Taxes.</w:t>
      </w:r>
      <w:r>
        <w:rPr>
          <w:rFonts w:ascii="Arial" w:cs="Arial" w:eastAsia="Arial" w:hAnsi="Arial"/>
          <w:sz w:val="16"/>
          <w:szCs w:val="16"/>
          <w:color w:val="auto"/>
        </w:rPr>
        <w:t>"</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ectPr>
          <w:pgSz w:w="11900" w:h="16838" w:orient="portrait"/>
          <w:cols w:equalWidth="0" w:num="1">
            <w:col w:w="11240"/>
          </w:cols>
          <w:pgMar w:left="320" w:top="1192" w:right="339" w:bottom="1440" w:gutter="0" w:footer="0" w:header="0"/>
        </w:sect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cash flows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in):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Investing activities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Financing activities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28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44"/>
        </w:trPr>
        <w:tc>
          <w:tcPr>
            <w:tcW w:w="420" w:type="dxa"/>
            <w:vAlign w:val="bottom"/>
          </w:tcPr>
          <w:p>
            <w:pPr>
              <w:spacing w:after="0"/>
              <w:rPr>
                <w:sz w:val="21"/>
                <w:szCs w:val="21"/>
                <w:color w:val="auto"/>
              </w:rPr>
            </w:pPr>
          </w:p>
        </w:tc>
        <w:tc>
          <w:tcPr>
            <w:tcW w:w="198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21"/>
                <w:szCs w:val="21"/>
                <w:color w:val="auto"/>
              </w:rPr>
            </w:pPr>
          </w:p>
        </w:tc>
      </w:tr>
      <w:tr>
        <w:trPr>
          <w:trHeight w:val="255"/>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center"/>
              <w:ind w:left="336"/>
              <w:spacing w:after="0"/>
              <w:rPr>
                <w:sz w:val="20"/>
                <w:szCs w:val="20"/>
                <w:color w:val="auto"/>
              </w:rPr>
            </w:pPr>
            <w:r>
              <w:rPr>
                <w:rFonts w:ascii="Arial" w:cs="Arial" w:eastAsia="Arial" w:hAnsi="Arial"/>
                <w:sz w:val="18"/>
                <w:szCs w:val="18"/>
                <w:color w:val="auto"/>
                <w:w w:val="89"/>
              </w:rPr>
              <w:t>127,355</w:t>
            </w:r>
          </w:p>
        </w:tc>
        <w:tc>
          <w:tcPr>
            <w:tcW w:w="12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87,324</w:t>
            </w:r>
          </w:p>
        </w:tc>
      </w:tr>
      <w:tr>
        <w:trPr>
          <w:trHeight w:val="270"/>
        </w:trPr>
        <w:tc>
          <w:tcPr>
            <w:tcW w:w="420" w:type="dxa"/>
            <w:vAlign w:val="bottom"/>
          </w:tcPr>
          <w:p>
            <w:pPr>
              <w:spacing w:after="0"/>
              <w:rPr>
                <w:sz w:val="23"/>
                <w:szCs w:val="23"/>
                <w:color w:val="auto"/>
              </w:rPr>
            </w:pPr>
          </w:p>
        </w:tc>
        <w:tc>
          <w:tcPr>
            <w:tcW w:w="1320" w:type="dxa"/>
            <w:vAlign w:val="bottom"/>
          </w:tcPr>
          <w:p>
            <w:pPr>
              <w:jc w:val="center"/>
              <w:ind w:left="336"/>
              <w:spacing w:after="0"/>
              <w:rPr>
                <w:sz w:val="20"/>
                <w:szCs w:val="20"/>
                <w:color w:val="auto"/>
              </w:rPr>
            </w:pPr>
            <w:r>
              <w:rPr>
                <w:rFonts w:ascii="Arial" w:cs="Arial" w:eastAsia="Arial" w:hAnsi="Arial"/>
                <w:sz w:val="18"/>
                <w:szCs w:val="18"/>
                <w:color w:val="auto"/>
                <w:w w:val="90"/>
              </w:rPr>
              <w:t>(114,306)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(74,969)</w:t>
            </w:r>
          </w:p>
        </w:tc>
      </w:tr>
      <w:tr>
        <w:trPr>
          <w:trHeight w:val="270"/>
        </w:trPr>
        <w:tc>
          <w:tcPr>
            <w:tcW w:w="420" w:type="dxa"/>
            <w:vAlign w:val="bottom"/>
          </w:tcPr>
          <w:p>
            <w:pPr>
              <w:spacing w:after="0"/>
              <w:rPr>
                <w:sz w:val="23"/>
                <w:szCs w:val="23"/>
                <w:color w:val="auto"/>
              </w:rPr>
            </w:pPr>
          </w:p>
        </w:tc>
        <w:tc>
          <w:tcPr>
            <w:tcW w:w="1320" w:type="dxa"/>
            <w:vAlign w:val="bottom"/>
          </w:tcPr>
          <w:p>
            <w:pPr>
              <w:jc w:val="center"/>
              <w:ind w:left="336"/>
              <w:spacing w:after="0"/>
              <w:rPr>
                <w:sz w:val="20"/>
                <w:szCs w:val="20"/>
                <w:color w:val="auto"/>
              </w:rPr>
            </w:pPr>
            <w:r>
              <w:rPr>
                <w:rFonts w:ascii="Arial" w:cs="Arial" w:eastAsia="Arial" w:hAnsi="Arial"/>
                <w:sz w:val="18"/>
                <w:szCs w:val="18"/>
                <w:color w:val="auto"/>
                <w:w w:val="89"/>
              </w:rPr>
              <w:t>461,312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(1,914)</w:t>
            </w:r>
          </w:p>
        </w:tc>
      </w:tr>
      <w:tr>
        <w:trPr>
          <w:trHeight w:val="27"/>
        </w:trPr>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center"/>
              <w:ind w:left="336"/>
              <w:spacing w:after="0"/>
              <w:rPr>
                <w:sz w:val="20"/>
                <w:szCs w:val="20"/>
                <w:color w:val="auto"/>
              </w:rPr>
            </w:pPr>
            <w:r>
              <w:rPr>
                <w:rFonts w:ascii="Arial" w:cs="Arial" w:eastAsia="Arial" w:hAnsi="Arial"/>
                <w:sz w:val="18"/>
                <w:szCs w:val="18"/>
                <w:color w:val="auto"/>
                <w:w w:val="89"/>
              </w:rPr>
              <w:t>474,361</w:t>
            </w:r>
          </w:p>
        </w:tc>
        <w:tc>
          <w:tcPr>
            <w:tcW w:w="1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10,441</w:t>
            </w:r>
          </w:p>
        </w:tc>
      </w:tr>
      <w:tr>
        <w:trPr>
          <w:trHeight w:val="27"/>
        </w:trPr>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-728345</wp:posOffset>
            </wp:positionV>
            <wp:extent cx="706374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-385445</wp:posOffset>
            </wp:positionV>
            <wp:extent cx="706374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700"/>
          </w:cols>
          <w:pgMar w:left="320" w:top="1192" w:right="339" w:bottom="1440" w:gutter="0" w:footer="0" w:header="0"/>
          <w:type w:val="continuous"/>
        </w:sectPr>
      </w:pPr>
    </w:p>
    <w:p>
      <w:pPr>
        <w:spacing w:after="0" w:line="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was $127.4 million for the six months ended June 30, 2020, compared to $87.3 million for the six months ended June 30, 2019. The increase in cash generated from operating activities was primarily driven by growth in premiums written, partially offset by an increase in claims paid.</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investing activities for the periods presented was driven by the purchase of fixed and short-term maturities with cash provided by operating and, as available, financing activities, and the reinvestment of coupon payments, maturities and sale proceeds within our investment portfolio. Cash used in investing activities for the six months ended June 30, 2020, reflects, in part, the investment of net cash proceeds from the common stock and Notes offerings we completed in June 2020.</w:t>
      </w:r>
    </w:p>
    <w:p>
      <w:pPr>
        <w:spacing w:after="0" w:line="1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Cash provided by financing activities was $461.3 million for the six months ended June 30, 2020, compared to cash used in financing activities of $1.9 million for the six months ended June 30, 2019. Cash provided by financing activities for the six months ended June 30, 2020 reflects $220.3 million net cash proceeds raised in our 2020 common stock offering and $245.9 million net cash proceeds raised in our 2020 Notes offering.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88"/>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jc w:val="both"/>
        <w:ind w:firstLine="8"/>
        <w:spacing w:after="0" w:line="253"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 of the interest related to the Notes and 2020 Revolving Credit Facility; (iv) tax payments to the Internal Revenue Service; (v) 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June 30, 2020, NMIH had $75.6 million of cash and investments. NMIH's principal source of net cash is investment income. NMIH also has access to $100 million of undrawn revolving credit capacity under the 2020 Revolving Credit Facility. Our insurance operating subsidiaries also have the capacity, under Wisconsin law, to pay $16.1 million of aggregate ordinary dividends to NMIH during the 12-month period ending December 31, 2020.</w:t>
      </w:r>
    </w:p>
    <w:p>
      <w:pPr>
        <w:spacing w:after="0" w:line="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8, 2020, NMIH completed the sale of 15.9 million shares of common stock, including the exercise of a 15% overallotment option, and raised proceeds of approximately $219.7 million, net of underwriting discounts, commissions and other direct offering expenses. In June 2020, NMIH also completed the sale of the Notes, raising net proceeds of $244.4 million after giving effect to offering expenses and the repayment of principal amount outstanding under our $150 million 2018 Term Loan. In June 2020, NMIH contributed approximately $445.4 million of capital to NMIC following completion of the Notes and equity offerings.</w:t>
      </w:r>
    </w:p>
    <w:p>
      <w:pPr>
        <w:spacing w:after="0" w:line="1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$100 million 2020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8"/>
          <w:szCs w:val="18"/>
          <w:i w:val="1"/>
          <w:iCs w:val="1"/>
          <w:color w:val="auto"/>
        </w:rPr>
        <w:t>i.e.</w:t>
      </w:r>
      <w:r>
        <w:rPr>
          <w:rFonts w:ascii="Arial" w:cs="Arial" w:eastAsia="Arial" w:hAnsi="Arial"/>
          <w:sz w:val="18"/>
          <w:szCs w:val="18"/>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 Since inception, NMIC and Re One have not paid any dividends to NMIH. NMIC and Re One have the capacity to pay $16.1 million of aggregate ordinary dividends to NMIH during the 12-month period ending December 31, 2020.</w:t>
      </w:r>
    </w:p>
    <w:p>
      <w:pPr>
        <w:spacing w:after="0" w:line="1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under PMIERs, NMIC would be subject to additional restrictions on its ability to pay dividends to NMIH if it failed to meet the financial requirements prescribed by PMIERs.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that fail to meet the PMIERs financial requirements are not permitted to pay dividends without prior approval from the GSEs. Through March 31, 2021, even if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has an available assets surplus,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must obtain Fannie Mae's prior written approval before taking any of the following actions: a) pay dividends, make payments of principal or increase payments of interest beyond those commitments made prior to the guidance effective date associated with surplus notes issued by the approved insurer, make any other payments, unless related to expenses incurred in the normal course of business or to commitments made prior to the guidance effective date, or pledge or transfer asset(s) to any affiliate or investor, or b) enter into any new arrangements or alter any existing arrangements under tax sharing and intercompany expense-sharing agreements other than renewals and extensions of agreements in effect prior to the guidance effective date.</w:t>
      </w:r>
    </w:p>
    <w:p>
      <w:pPr>
        <w:spacing w:after="0" w:line="1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minimum state capital requirements (respectively, as defined therein). NMIH may require liquidity to fund the capital needs of its insurance subsidiaries.</w:t>
      </w:r>
    </w:p>
    <w:p>
      <w:pPr>
        <w:spacing w:after="0" w:line="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Notes mature on June 19, 2025 and bear interest at a rate of 7.375%, payable semi-annually on June 1 and December 1. Our $100 million 2020 Revolving Credit Facility matures on February 22, 2023 and accrues interest at a variable rate equal to, at our discretion, (i) a base rate (as defined in the Credit Agreement, subject to a floor of 1.00% per annum) plus a margin of 0.375% to 1.875% per annum or (ii) the Eurodollar Rate (subject to a floor of 0.00% per annum) plus a margin of 1.375% to 2.875% per annum, in each case based on the applicable corporate credit rating at the time. Borrowings under the 2020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Credit Facility may be used for general corporate purposes, including to support the growth of our new business production and operations.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the 2020 Revolving Credit Facility, we are required to pay a quarterly commitment fee on the average daily undrawn amount of 0.175% to 0.525%, based on the applicable corporate credit rating at the time. As of June 30, 2020, the applicable commitment fee was 0.35%.</w:t>
      </w:r>
    </w:p>
    <w:p>
      <w:pPr>
        <w:spacing w:after="0" w:line="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certain covenants under the Notes and 2020 Revolving Credit Facility. Under the Notes (and as defined in the Indenture), we are subject to a maximum debt-to-total capitalization ratio of 35%. Under the 2020 Revolving Credit Facility (as defined in the Credit Agreement), we are subject to a maximum debt-to-total capitalization ratio of 35%, a minimum liquidity requirement, compliance with the PMIERs financial requirements (subject to any GSE-approved waivers), and minimum consolidated net worth and statutory capital requirements (respectively, as defined therein). We were in compliance with all covenants as of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primary objectives of our investment activity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portfolio is comprised entirely of fixed maturity instruments. As of June 30, 2020, the fair value of our investment portfolio was $1.3 billion. We also had an additional $515.5 million of cash and equivalents as of June 30, 2020. Pre-tax book yield on the investment portfolio for the six months ended June 30, 2020 was 2.5%. The book yield is calculated as period-to-date net investment income divided by the average amortized cost of the investment portfolio. Yield on the investment portfolio is likely to change over time based on movements in interest rates, credit spreads, the duration or mix of our portfolio holdings and other factors.</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tables present a breakdown of our investment portfolio and cash and cash equivalents by investment type and credit rating: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 of portfolio's fair value</w:t>
            </w:r>
          </w:p>
        </w:tc>
        <w:tc>
          <w:tcPr>
            <w:tcW w:w="1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r>
      <w:tr>
        <w:trPr>
          <w:trHeight w:val="249"/>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Cash, cash equivalents, and short-term investments</w:t>
            </w: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778"/>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9"/>
                <w:szCs w:val="9"/>
                <w:b w:val="1"/>
                <w:bCs w:val="1"/>
                <w:color w:val="auto"/>
              </w:rPr>
              <w:t>(1)</w:t>
            </w:r>
          </w:p>
        </w:tc>
        <w:tc>
          <w:tcPr>
            <w:tcW w:w="1580" w:type="dxa"/>
            <w:vAlign w:val="bottom"/>
          </w:tcPr>
          <w:p>
            <w:pPr>
              <w:jc w:val="right"/>
              <w:ind w:right="175"/>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5"/>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AAA</w:t>
      </w:r>
    </w:p>
    <w:p>
      <w:pPr>
        <w:ind w:left="20"/>
        <w:spacing w:after="0" w:line="191" w:lineRule="auto"/>
        <w:rPr>
          <w:sz w:val="20"/>
          <w:szCs w:val="20"/>
          <w:color w:val="auto"/>
        </w:rPr>
      </w:pPr>
      <w:r>
        <w:rPr>
          <w:rFonts w:ascii="Arial" w:cs="Arial" w:eastAsia="Arial" w:hAnsi="Arial"/>
          <w:sz w:val="35"/>
          <w:szCs w:val="35"/>
          <w:color w:val="auto"/>
          <w:vertAlign w:val="subscript"/>
        </w:rPr>
        <w:t>AA</w:t>
      </w: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line="181" w:lineRule="auto"/>
        <w:rPr>
          <w:sz w:val="20"/>
          <w:szCs w:val="20"/>
          <w:color w:val="auto"/>
        </w:rPr>
      </w:pPr>
      <w:r>
        <w:rPr>
          <w:rFonts w:ascii="Arial" w:cs="Arial" w:eastAsia="Arial" w:hAnsi="Arial"/>
          <w:sz w:val="31"/>
          <w:szCs w:val="31"/>
          <w:color w:val="auto"/>
          <w:vertAlign w:val="subscript"/>
        </w:rPr>
        <w:t>A</w:t>
      </w:r>
      <w:r>
        <w:rPr>
          <w:rFonts w:ascii="Arial" w:cs="Arial" w:eastAsia="Arial" w:hAnsi="Arial"/>
          <w:sz w:val="11"/>
          <w:szCs w:val="11"/>
          <w:color w:val="auto"/>
        </w:rPr>
        <w:t>(2)</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BBB</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97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5"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8"/>
          <w:szCs w:val="8"/>
          <w:color w:val="auto"/>
        </w:rPr>
      </w:pPr>
      <w:r>
        <w:rPr>
          <w:rFonts w:ascii="Arial" w:cs="Arial" w:eastAsia="Arial" w:hAnsi="Arial"/>
          <w:sz w:val="12"/>
          <w:szCs w:val="12"/>
          <w:color w:val="auto"/>
        </w:rPr>
        <w:t>Excluding certain operating cash accounts.</w:t>
      </w:r>
    </w:p>
    <w:p>
      <w:pPr>
        <w:spacing w:after="0" w:line="36" w:lineRule="exact"/>
        <w:rPr>
          <w:rFonts w:ascii="Arial" w:cs="Arial" w:eastAsia="Arial" w:hAnsi="Arial"/>
          <w:sz w:val="8"/>
          <w:szCs w:val="8"/>
          <w:color w:val="auto"/>
        </w:rPr>
      </w:pPr>
    </w:p>
    <w:p>
      <w:pPr>
        <w:ind w:left="160" w:hanging="152"/>
        <w:spacing w:after="0"/>
        <w:tabs>
          <w:tab w:leader="none" w:pos="160" w:val="left"/>
        </w:tabs>
        <w:numPr>
          <w:ilvl w:val="0"/>
          <w:numId w:val="28"/>
        </w:numPr>
        <w:rPr>
          <w:rFonts w:ascii="Arial" w:cs="Arial" w:eastAsia="Arial" w:hAnsi="Arial"/>
          <w:sz w:val="9"/>
          <w:szCs w:val="9"/>
          <w:color w:val="auto"/>
        </w:rPr>
      </w:pPr>
      <w:r>
        <w:rPr>
          <w:rFonts w:ascii="Arial" w:cs="Arial" w:eastAsia="Arial" w:hAnsi="Arial"/>
          <w:sz w:val="14"/>
          <w:szCs w:val="14"/>
          <w:color w:val="auto"/>
        </w:rPr>
        <w:t>Includes +/– ratings.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340" w:hanging="244"/>
        <w:spacing w:after="0"/>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spacing w:after="0"/>
        <w:tabs>
          <w:tab w:leader="none" w:pos="0" w:val="left"/>
        </w:tabs>
        <w:numPr>
          <w:ilvl w:val="0"/>
          <w:numId w:val="30"/>
        </w:numPr>
        <w:rPr>
          <w:rFonts w:ascii="Arial" w:cs="Arial" w:eastAsia="Arial" w:hAnsi="Arial"/>
          <w:sz w:val="18"/>
          <w:szCs w:val="18"/>
          <w:color w:val="auto"/>
        </w:rPr>
      </w:pPr>
    </w:p>
    <w:p>
      <w:pPr>
        <w:spacing w:after="0" w:line="63" w:lineRule="exact"/>
        <w:rPr>
          <w:rFonts w:ascii="Arial" w:cs="Arial" w:eastAsia="Arial" w:hAnsi="Arial"/>
          <w:sz w:val="18"/>
          <w:szCs w:val="18"/>
          <w:color w:val="auto"/>
        </w:rPr>
      </w:pPr>
    </w:p>
    <w:p>
      <w:pPr>
        <w:spacing w:after="0"/>
        <w:tabs>
          <w:tab w:leader="none" w:pos="0" w:val="left"/>
        </w:tabs>
        <w:numPr>
          <w:ilvl w:val="0"/>
          <w:numId w:val="31"/>
        </w:numPr>
        <w:rPr>
          <w:rFonts w:ascii="Arial" w:cs="Arial" w:eastAsia="Arial" w:hAnsi="Arial"/>
          <w:sz w:val="18"/>
          <w:szCs w:val="18"/>
          <w:color w:val="auto"/>
        </w:rPr>
      </w:pPr>
    </w:p>
    <w:p>
      <w:pPr>
        <w:spacing w:after="0" w:line="63" w:lineRule="exact"/>
        <w:rPr>
          <w:rFonts w:ascii="Arial" w:cs="Arial" w:eastAsia="Arial" w:hAnsi="Arial"/>
          <w:sz w:val="18"/>
          <w:szCs w:val="18"/>
          <w:color w:val="auto"/>
        </w:rPr>
      </w:pPr>
    </w:p>
    <w:p>
      <w:pPr>
        <w:spacing w:after="0"/>
        <w:tabs>
          <w:tab w:leader="none" w:pos="0" w:val="left"/>
        </w:tabs>
        <w:numPr>
          <w:ilvl w:val="0"/>
          <w:numId w:val="32"/>
        </w:numPr>
        <w:rPr>
          <w:rFonts w:ascii="Arial" w:cs="Arial" w:eastAsia="Arial" w:hAnsi="Arial"/>
          <w:sz w:val="18"/>
          <w:szCs w:val="18"/>
          <w:color w:val="auto"/>
        </w:rPr>
      </w:pP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64770</wp:posOffset>
            </wp:positionV>
            <wp:extent cx="11315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340" w:hanging="254"/>
        <w:spacing w:after="0"/>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spacing w:after="0"/>
        <w:tabs>
          <w:tab w:leader="none" w:pos="0" w:val="left"/>
        </w:tabs>
        <w:numPr>
          <w:ilvl w:val="0"/>
          <w:numId w:val="34"/>
        </w:numPr>
        <w:rPr>
          <w:rFonts w:ascii="Arial" w:cs="Arial" w:eastAsia="Arial" w:hAnsi="Arial"/>
          <w:sz w:val="18"/>
          <w:szCs w:val="18"/>
          <w:color w:val="auto"/>
        </w:rPr>
      </w:pPr>
    </w:p>
    <w:p>
      <w:pPr>
        <w:spacing w:after="0" w:line="63" w:lineRule="exact"/>
        <w:rPr>
          <w:rFonts w:ascii="Arial" w:cs="Arial" w:eastAsia="Arial" w:hAnsi="Arial"/>
          <w:sz w:val="18"/>
          <w:szCs w:val="18"/>
          <w:color w:val="auto"/>
        </w:rPr>
      </w:pPr>
    </w:p>
    <w:p>
      <w:pPr>
        <w:spacing w:after="0"/>
        <w:tabs>
          <w:tab w:leader="none" w:pos="0" w:val="left"/>
        </w:tabs>
        <w:numPr>
          <w:ilvl w:val="0"/>
          <w:numId w:val="35"/>
        </w:numPr>
        <w:rPr>
          <w:rFonts w:ascii="Arial" w:cs="Arial" w:eastAsia="Arial" w:hAnsi="Arial"/>
          <w:sz w:val="18"/>
          <w:szCs w:val="18"/>
          <w:color w:val="auto"/>
        </w:rPr>
      </w:pPr>
    </w:p>
    <w:p>
      <w:pPr>
        <w:spacing w:after="0" w:line="63" w:lineRule="exact"/>
        <w:rPr>
          <w:rFonts w:ascii="Arial" w:cs="Arial" w:eastAsia="Arial" w:hAnsi="Arial"/>
          <w:sz w:val="18"/>
          <w:szCs w:val="18"/>
          <w:color w:val="auto"/>
        </w:rPr>
      </w:pPr>
    </w:p>
    <w:p>
      <w:pPr>
        <w:spacing w:after="0"/>
        <w:tabs>
          <w:tab w:leader="none" w:pos="0" w:val="left"/>
        </w:tabs>
        <w:numPr>
          <w:ilvl w:val="0"/>
          <w:numId w:val="36"/>
        </w:numPr>
        <w:rPr>
          <w:rFonts w:ascii="Arial" w:cs="Arial" w:eastAsia="Arial" w:hAnsi="Arial"/>
          <w:sz w:val="18"/>
          <w:szCs w:val="18"/>
          <w:color w:val="auto"/>
        </w:r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72390</wp:posOffset>
            </wp:positionV>
            <wp:extent cx="11315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805" w:lineRule="exact"/>
        <w:rPr>
          <w:sz w:val="20"/>
          <w:szCs w:val="20"/>
          <w:color w:val="auto"/>
        </w:rPr>
      </w:pPr>
    </w:p>
    <w:p>
      <w:pPr>
        <w:sectPr>
          <w:pgSz w:w="11900" w:h="16838" w:orient="portrait"/>
          <w:cols w:equalWidth="0" w:num="3">
            <w:col w:w="8120" w:space="720"/>
            <w:col w:w="1180" w:space="720"/>
            <w:col w:w="500"/>
          </w:cols>
          <w:pgMar w:left="320" w:top="1192" w:right="339" w:bottom="1440" w:gutter="0" w:footer="0" w:header="0"/>
          <w:type w:val="continuous"/>
        </w:sectPr>
      </w:pPr>
    </w:p>
    <w:p>
      <w:pPr>
        <w:spacing w:after="0" w:line="3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Investment Securities - Allowance for credit losses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2020, we did not recognize an allowance for credit loss for any security in our investment portfolio. As of June 30, 2019, we held no other-than-temporarily impaired securities. During the six months ended June 30, 2019, we recognized a $0.4 million loss in earnings related to the planned sale of a security in a loss position that was disposed of in April 2019. We did not recognize any OTTI losses for the three months ended June 30,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no material off-balance sheet arrangements as of June 30, 2020. In connection with the ILN Transactions, we have certain future contractual commitments to the Oaktown Re Vehicles (special purpose variable interest entities that are not consolidated in our financial results). See Item 1, "</w:t>
      </w:r>
      <w:r>
        <w:rPr>
          <w:rFonts w:ascii="Arial" w:cs="Arial" w:eastAsia="Arial" w:hAnsi="Arial"/>
          <w:sz w:val="18"/>
          <w:szCs w:val="18"/>
          <w:i w:val="1"/>
          <w:iCs w:val="1"/>
          <w:color w:val="auto"/>
        </w:rPr>
        <w:t>Financial Statements - Notes to Condensed Consolidated Financial Statements - Note 1. Organization, Basis of Presentation and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Principles.</w:t>
      </w:r>
      <w:r>
        <w:rPr>
          <w:rFonts w:ascii="Arial" w:cs="Arial" w:eastAsia="Arial" w:hAnsi="Arial"/>
          <w:sz w:val="18"/>
          <w:szCs w:val="18"/>
          <w:color w:val="auto"/>
        </w:rPr>
        <w:t>"</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Effective March 31, 2020, we entered into a seven-year IT services agreement with TCS under which we outsource certain IT support and expertise functions. See "- </w:t>
      </w:r>
      <w:r>
        <w:rPr>
          <w:rFonts w:ascii="Arial" w:cs="Arial" w:eastAsia="Arial" w:hAnsi="Arial"/>
          <w:sz w:val="18"/>
          <w:szCs w:val="18"/>
          <w:i w:val="1"/>
          <w:iCs w:val="1"/>
          <w:color w:val="auto"/>
        </w:rPr>
        <w:t>Information Technology</w:t>
      </w:r>
      <w:r>
        <w:rPr>
          <w:rFonts w:ascii="Arial" w:cs="Arial" w:eastAsia="Arial" w:hAnsi="Arial"/>
          <w:sz w:val="18"/>
          <w:szCs w:val="18"/>
          <w:color w:val="auto"/>
        </w:rPr>
        <w:t>" above for more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2019 10-K.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980" w:hanging="324"/>
        <w:spacing w:after="0" w:line="255"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13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116" w:lineRule="exact"/>
        <w:rPr>
          <w:rFonts w:ascii="Arial" w:cs="Arial" w:eastAsia="Arial" w:hAnsi="Arial"/>
          <w:sz w:val="18"/>
          <w:szCs w:val="18"/>
          <w:i w:val="1"/>
          <w:iCs w:val="1"/>
          <w:color w:val="auto"/>
        </w:rPr>
      </w:pPr>
    </w:p>
    <w:p>
      <w:pPr>
        <w:ind w:left="980" w:hanging="324"/>
        <w:spacing w:after="0" w:line="342" w:lineRule="auto"/>
        <w:tabs>
          <w:tab w:leader="none" w:pos="97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Market volatility/changes in the real or perceived credit quality of investments</w:t>
      </w:r>
      <w:r>
        <w:rPr>
          <w:rFonts w:ascii="Arial" w:cs="Arial" w:eastAsia="Arial" w:hAnsi="Arial"/>
          <w:sz w:val="16"/>
          <w:szCs w:val="16"/>
          <w:color w:val="auto"/>
        </w:rPr>
        <w:t>. 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 party (</w:t>
      </w:r>
      <w:r>
        <w:rPr>
          <w:rFonts w:ascii="Arial" w:cs="Arial" w:eastAsia="Arial" w:hAnsi="Arial"/>
          <w:sz w:val="16"/>
          <w:szCs w:val="16"/>
          <w:i w:val="1"/>
          <w:iCs w:val="1"/>
          <w:color w:val="auto"/>
        </w:rPr>
        <w:t>e.g.</w:t>
      </w:r>
      <w:r>
        <w:rPr>
          <w:rFonts w:ascii="Arial" w:cs="Arial" w:eastAsia="Arial" w:hAnsi="Arial"/>
          <w:sz w:val="16"/>
          <w:szCs w:val="16"/>
          <w:color w:val="auto"/>
        </w:rPr>
        <w:t>, rating agency) assessments, will reduce the value and potentially the liquidity of investments.</w:t>
      </w:r>
    </w:p>
    <w:p>
      <w:pPr>
        <w:spacing w:after="0" w:line="69" w:lineRule="exact"/>
        <w:rPr>
          <w:rFonts w:ascii="Arial" w:cs="Arial" w:eastAsia="Arial" w:hAnsi="Arial"/>
          <w:sz w:val="16"/>
          <w:szCs w:val="16"/>
          <w:color w:val="auto"/>
        </w:rPr>
      </w:pPr>
    </w:p>
    <w:p>
      <w:pPr>
        <w:ind w:left="980" w:hanging="324"/>
        <w:spacing w:after="0" w:line="342" w:lineRule="auto"/>
        <w:tabs>
          <w:tab w:leader="none" w:pos="97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Concentration Risk</w:t>
      </w:r>
      <w:r>
        <w:rPr>
          <w:rFonts w:ascii="Arial" w:cs="Arial" w:eastAsia="Arial" w:hAnsi="Arial"/>
          <w:sz w:val="16"/>
          <w:szCs w:val="16"/>
          <w:color w:val="auto"/>
        </w:rPr>
        <w:t>. If the investment portfolio is highly concentrated in one asset, or in multiple assets whose values are highly correlated,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the total portfolio may be greatly affected by the change in value of just one asset or a group of highly correlated assets.</w:t>
      </w:r>
    </w:p>
    <w:p>
      <w:pPr>
        <w:spacing w:after="0" w:line="69"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June 30, 2020 and December 31, 2019 was $1.3 billion and $1.1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June 30, 2020, the duration of our fixed income portfolio, including cash and cash equivalents, was 3.61 years, which means that an instantaneous parallel shift (movement up or down) in the yield curve of 100 basis points would result in a change of 3.61% in fair value of our fixed income portfolio. Excluding cash, our fixed income portfolio duration was 4.68 years, which means that an instantaneous parallel shift (movement up or down) in the yield curve of 100 basis points would result in a change of 4.68% in fair value of our fixed income portfolio.</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subject to market risk related to the Notes and the ILN Transactions. As discussed in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4, Debt</w:t>
      </w:r>
      <w:r>
        <w:rPr>
          <w:rFonts w:ascii="Arial" w:cs="Arial" w:eastAsia="Arial" w:hAnsi="Arial"/>
          <w:sz w:val="18"/>
          <w:szCs w:val="18"/>
          <w:color w:val="auto"/>
        </w:rPr>
        <w:t>" the Notes bear interest at a variable rate and, as a result, increases in market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would generally result in increased interest expense on our outstanding principal.</w:t>
      </w:r>
    </w:p>
    <w:p>
      <w:pPr>
        <w:spacing w:after="0" w:line="13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June 30, 2020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June 30, 2020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2019 10-K. As of the date of this report, other than as included below, we are not aware of any material changes in our risk factors from the risk factors disclosed in our 2019 10-K. You should carefully consider the risks and uncertainties described herein and in our 2019 10-K, which have the potential to affect our business, financial condition, results of operations, cash flows or prospects in a material and adverse manner. The risks described herein and in our 2019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outbreak could materially adversely affect our business, results of operations and financial condition.</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continue to closely monitor developments related to the COVID-19 pandemic to assess its impact on our business. As a result of the COVID-19 pandemic, the U.S. federal government and certain U.S. states have adopted numerous measures to contain the virus, such as travel bans and restrictions, quarantines, shelter-in-place orders, social-distancing measures and business shut-downs. The COVID-19 pandemic and related containment measures have had, and are expected to continue to have, a substantial negative impact on nearly every sector of the U.S. economy and on the financial, capital and credit markets.</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the outbreak of the COVID-19 pandemic, there have been a number of governmental and GSE efforts to implement programs designed to assist individuals and businesses impacted by the virus. On March 27, 2020, the U.S. Congress enacted the CARES Act. The CARES Act provides financial assistance for businesses and individuals and targeted regulatory relief for financial institutions. Among many other things, the CARES Act suspended foreclosures and evictions for at least 60 days from March 18, 2020, on mortgages purchased or securitized by the GSEs, which moratorium has been extended by the GSEs through at least August 31, 2020 and may be further extended. In addition, the CARES Act enacts into law a requirement to provide payment forbearance on mortgages to borrowers experiencing hardship during the COVID-19 emergency. Forbearance under the CARES Act allows for a mortgage payment to be suspended for up to 360 days due to hardship caused by COVID-19. The CARES Act also provides for enhanced unemployment benefits, direct aid to individuals in the form of refundable tax credit rebates and increased flexibility under retirement plans, among other things.</w:t>
      </w:r>
    </w:p>
    <w:p>
      <w:pPr>
        <w:spacing w:after="0" w:line="14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GSEs, the primary purchasers of mortgages we insure, have also adopted certain measures to assist borrowers impacted by COVID-19. Consistent with the CARES Act, the GSEs will provide a forbearance plan to any borrower who requests a forbearance with an attestation of the financial hardship, directly or indirectly caused by the COVID-19 emergency; and no additional documentation other than the borrower's attestation to a financial hardship caused by the COVID-19 emergency is required. Borrowers that avail themselves of forbearance relief will not incur interest or late fees on deferred amounts. In addition, the GSEs have announced that, at the end of a forbearance plan, the affected borrower will not be required to pay back their</w:t>
      </w:r>
    </w:p>
    <w:p>
      <w:pPr>
        <w:sectPr>
          <w:pgSz w:w="11900" w:h="16838" w:orient="portrait"/>
          <w:cols w:equalWidth="0" w:num="1">
            <w:col w:w="11240"/>
          </w:cols>
          <w:pgMar w:left="320" w:top="11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59" w:name="page60"/>
    <w:bookmarkEnd w:id="59"/>
    <w:p>
      <w:pPr>
        <w:spacing w:after="0" w:line="277" w:lineRule="auto"/>
        <w:rPr>
          <w:sz w:val="20"/>
          <w:szCs w:val="20"/>
          <w:color w:val="auto"/>
        </w:rPr>
      </w:pPr>
      <w:r>
        <w:rPr>
          <w:rFonts w:ascii="Arial" w:cs="Arial" w:eastAsia="Arial" w:hAnsi="Arial"/>
          <w:sz w:val="18"/>
          <w:szCs w:val="18"/>
          <w:color w:val="auto"/>
        </w:rPr>
        <w:t>reduced or suspended mortgage payments in one lump sum, but may be eligible for a number of different options offered by their mortgage servicer depending on their financial situation, including:</w:t>
      </w:r>
    </w:p>
    <w:p>
      <w:pPr>
        <w:spacing w:after="0" w:line="116" w:lineRule="exact"/>
        <w:rPr>
          <w:sz w:val="20"/>
          <w:szCs w:val="20"/>
          <w:color w:val="auto"/>
        </w:rPr>
      </w:pPr>
    </w:p>
    <w:p>
      <w:pPr>
        <w:ind w:left="980" w:hanging="324"/>
        <w:spacing w:after="0" w:line="308" w:lineRule="auto"/>
        <w:tabs>
          <w:tab w:leader="none" w:pos="9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borrower is unable to repay their deferred payments all at once and can afford to pay a higher monthly mortgage payment for a period of time, the borrower may be eligible for a repayment plan that allows them to repay past due amounts over a period of time;</w:t>
      </w:r>
    </w:p>
    <w:p>
      <w:pPr>
        <w:spacing w:after="0" w:line="38" w:lineRule="exact"/>
        <w:rPr>
          <w:rFonts w:ascii="Arial" w:cs="Arial" w:eastAsia="Arial" w:hAnsi="Arial"/>
          <w:sz w:val="17"/>
          <w:szCs w:val="17"/>
          <w:color w:val="auto"/>
        </w:rPr>
      </w:pPr>
    </w:p>
    <w:p>
      <w:pPr>
        <w:ind w:left="980" w:hanging="324"/>
        <w:spacing w:after="0" w:line="308" w:lineRule="auto"/>
        <w:tabs>
          <w:tab w:leader="none" w:pos="9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borrower can afford to resume their monthly mortgage payment, they may be eligible for a payment deferral in which missed mortgage payments are due at the sale or refinancing of the home or are moved to the end of the maturity of the loan; and</w:t>
      </w:r>
    </w:p>
    <w:p>
      <w:pPr>
        <w:spacing w:after="0" w:line="38"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borrower has a sustained reduction in income and is unable to afford their regular monthly mortgage payment, they may be eligible for a loan modification that changes the terms of the mortgage loan to enable an affordable payment, including through a change to the maturity and amortization schedule of the mortgage loan.</w:t>
      </w:r>
    </w:p>
    <w:p>
      <w:pPr>
        <w:spacing w:after="0" w:line="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Due to the evolving and highly uncertain nature of this crisis, it is too soon to fully assess or predict the ultimate impact COVID-19 will have on the markets in which we operate and on our business, but we believe it will be material and could adversely affect our business, operations and financial condition. We are currently unable to estimate precisely the magnitude of the impact that the pandemic will ultimately have on our business, operations and financial condition. We believe there are or will be a range of adverse effects on our markets, customers and new business, revenues, loss development and related impacts to our capital needs, employee health and productivity, investment portfolio performance, and ability to access capital and reinsurance markets in the future if we need to. In turn, these impacts may cause changes, which also cannot be precisely determined at this time, to our estimates of future earnings and other guidance we have provided to the markets. In particular, we believe we will experience the following impacts, among others:</w:t>
      </w:r>
    </w:p>
    <w:p>
      <w:pPr>
        <w:spacing w:after="0" w:line="112" w:lineRule="exact"/>
        <w:rPr>
          <w:sz w:val="20"/>
          <w:szCs w:val="20"/>
          <w:color w:val="auto"/>
        </w:rPr>
      </w:pPr>
    </w:p>
    <w:p>
      <w:pPr>
        <w:jc w:val="both"/>
        <w:ind w:left="980" w:hanging="324"/>
        <w:spacing w:after="0" w:line="255"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Containment measures implemented to mitigate the negative effects of the pandemic could adversely impact our ability to continue to conduct our business. Although we have been able to continue operations under our business continuity program, the spread of COVID-19 could negatively impact a significant number of our employees and the availability of key personnel necessary to conduct our business activities. Such a spread or outbreak could also negatively impact the business and operations of our customers and critical third-party service providers. Further, extreme market volatility may leave us unable to react to market events in a manner consistent with our historical practices in dealing with more orderly markets.</w:t>
      </w:r>
    </w:p>
    <w:p>
      <w:pPr>
        <w:spacing w:after="0" w:line="84"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COVID-19 pandemic and related containment measures could also affect the number of new mortgages available for us to insure. Our NIW volume and future revenues are significantly dependent on the volume of high-LTV loan originations. If there is a significant decline in our NIW, our future revenue could be negatively impacted.</w:t>
      </w:r>
    </w:p>
    <w:p>
      <w:pPr>
        <w:spacing w:after="0" w:line="75" w:lineRule="exact"/>
        <w:rPr>
          <w:rFonts w:ascii="Arial" w:cs="Arial" w:eastAsia="Arial" w:hAnsi="Arial"/>
          <w:sz w:val="18"/>
          <w:szCs w:val="18"/>
          <w:color w:val="auto"/>
        </w:rPr>
      </w:pPr>
    </w:p>
    <w:p>
      <w:pPr>
        <w:jc w:val="both"/>
        <w:ind w:left="980" w:hanging="324"/>
        <w:spacing w:after="0" w:line="289" w:lineRule="auto"/>
        <w:tabs>
          <w:tab w:leader="none" w:pos="9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Mortgage delinquencies are typically affected by a variety of factors, including illness, death, unemployment and other life events, among others, many of which are likely exacerbated by the COVID-19 pandemic. While there are efforts underway to combat the spread and severity of COVID-19 and the related economic impacts, these measures may be ineffective in mitigating the spike in defaults we have received, and expect to continue to receive, as a direct result of the COVID-19 pandemic. It is unclear how many borrowers will obtain forbearance plans, the length of assistance borrowers will require, and whether borrowers will be able to resume their mortgage payments thereafter. Increases in unemployment as well as borrowers entering into forbearance plans will result in further increases in the defaults we receive in the near term. In addition, as a result of COVID-19-related relief programs, the defaults related to the pandemic, if not cured, could remain in our default inventory for a protracted period of time, potentially resulting in higher levels of claim severity for those loans that ultimately result in claims. There may be additional, extended or extensive forbearance programs or other changes in regulations or laws which may adversely impact us.</w:t>
      </w:r>
    </w:p>
    <w:p>
      <w:pPr>
        <w:spacing w:after="0" w:line="58" w:lineRule="exact"/>
        <w:rPr>
          <w:rFonts w:ascii="Arial" w:cs="Arial" w:eastAsia="Arial" w:hAnsi="Arial"/>
          <w:sz w:val="16"/>
          <w:szCs w:val="16"/>
          <w:color w:val="auto"/>
        </w:rPr>
      </w:pPr>
    </w:p>
    <w:p>
      <w:pPr>
        <w:jc w:val="both"/>
        <w:ind w:left="980" w:hanging="324"/>
        <w:spacing w:after="0" w:line="289" w:lineRule="auto"/>
        <w:tabs>
          <w:tab w:leader="none" w:pos="9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include a loan in our default population and establish loss reserves on such loan when we have received notice from the servicer that as of a particular payment date, the borrower has missed the preceding two or more consecutive monthly payments. In addition, PMIERs generally requires us to treat such loans as non-performing, which then increases the capital we are required to hold against such loans. Under PMIERs, non-performing loans that have missed two or more payments are generally assessed a significantly higher capital charge than performing loans. The GSEs issued PMIERs guidance, effective June 30, 2020, on the risk-based treatment of loans affected by the COVID-19 crisis (COVID Guidance). The GSEs clarified that for each non-performing loan that: i) has an initial missed payment (as defined in the COVID Guidance) occurring on or after March 1, 2020 and prior to January 1, 2021 (COVID-19 Crisis Period); or ii) is subject to a forbearance plan granted in response to a financial hardship related to COVID-19 (which shall be assumed to be the case for any loan that has an initial missed payment (as defined in the COVID Guidance) occurring during the COVID-19 Crisis Period and is subject to a forbearance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0" w:name="page61"/>
    <w:bookmarkEnd w:id="60"/>
    <w:p>
      <w:pPr>
        <w:jc w:val="both"/>
        <w:ind w:left="980"/>
        <w:spacing w:after="0" w:line="272" w:lineRule="auto"/>
        <w:rPr>
          <w:sz w:val="20"/>
          <w:szCs w:val="20"/>
          <w:color w:val="auto"/>
        </w:rPr>
      </w:pPr>
      <w:r>
        <w:rPr>
          <w:rFonts w:ascii="Arial" w:cs="Arial" w:eastAsia="Arial" w:hAnsi="Arial"/>
          <w:sz w:val="17"/>
          <w:szCs w:val="17"/>
          <w:color w:val="auto"/>
        </w:rPr>
        <w:t>plan), the PMIERs charge on such non-performing loans is adjusted by a 30% multiplier (inversely, a 70% haircut). As such, the PMIERs risk-based required asset charge for all newly delinquent loans nationwide (including those that go delinquent under a forbearance program) are reduced by 70%. Under the COVID Guidance, non-performing loans that are subject to a forbearance program granted in response to a financial hardship related to COVID-19 will benefit from a permanent risk-based required asset haircut for the duration of the forbearance period and subsequent repayment plan or trial modification period. As a result of costs incurred in connection with rising defaults associated with the COVID-19 crisis, the impact to our capital needs and incurred losses could be material and adversely impact our NIW opportunity and our business, results of operations and financial condition.</w:t>
      </w:r>
    </w:p>
    <w:p>
      <w:pPr>
        <w:spacing w:after="0" w:line="69" w:lineRule="exact"/>
        <w:rPr>
          <w:sz w:val="20"/>
          <w:szCs w:val="20"/>
          <w:color w:val="auto"/>
        </w:rPr>
      </w:pPr>
    </w:p>
    <w:p>
      <w:pPr>
        <w:jc w:val="both"/>
        <w:ind w:left="980" w:hanging="324"/>
        <w:spacing w:after="0" w:line="275" w:lineRule="auto"/>
        <w:tabs>
          <w:tab w:leader="none" w:pos="9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Whether delinquencies ultimately result in claims will depend on a variety of factors, including the length of the crisis and ultimate success of forbearance, government stimulus and other initiatives established to assist homeowners with curing their delinquencies. Due to the inherent uncertainty and significant judgment involved in our assumptions when we establish loss estimates for loans in default, they may turn out to be materially inaccurate and we can provide no assurance that actual claims paid by us, if any, with respect to defaults arising from the pandemic will not be substantially more than the reserves we establish for such defaults.</w:t>
      </w:r>
    </w:p>
    <w:p>
      <w:pPr>
        <w:spacing w:after="0" w:line="68" w:lineRule="exact"/>
        <w:rPr>
          <w:rFonts w:ascii="Arial" w:cs="Arial" w:eastAsia="Arial" w:hAnsi="Arial"/>
          <w:sz w:val="17"/>
          <w:szCs w:val="17"/>
          <w:color w:val="auto"/>
        </w:rPr>
      </w:pPr>
    </w:p>
    <w:p>
      <w:pPr>
        <w:jc w:val="both"/>
        <w:ind w:left="980" w:hanging="324"/>
        <w:spacing w:after="0" w:line="290" w:lineRule="auto"/>
        <w:tabs>
          <w:tab w:leader="none" w:pos="975"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master policies require insureds to file a claim no later than 60-days after completion of a foreclosure, and in connection with the claim, the insured is generally entitled to include in the claim amount (i) interest (capped at three years) and (ii) certain advances, each as incurred through the date the claim is filed. Under our master policies, a national foreclosure moratorium of the type currently required will not limit the amount of accrued interest (subject to the three-year limit) or advances that may be included in the claim amount. If the duration of the current foreclosure moratorium mandated by the GSEs is continued beyond August 31, 2020 for an extended period of time, loans in our default inventory, including those with defaults unrelated to the COVID-19 crisis that had not yet gone through foreclosure, may remain in a pre-foreclosure default status for a prolonged period of time, which would delay our receipt of certain claims for loans that do not cure and could increase the severity of claims we may ultimately be required to pay after the moratorium is lifted.</w:t>
      </w:r>
    </w:p>
    <w:p>
      <w:pPr>
        <w:spacing w:after="0" w:line="57" w:lineRule="exact"/>
        <w:rPr>
          <w:rFonts w:ascii="Arial" w:cs="Arial" w:eastAsia="Arial" w:hAnsi="Arial"/>
          <w:sz w:val="16"/>
          <w:szCs w:val="16"/>
          <w:color w:val="auto"/>
        </w:rPr>
      </w:pPr>
    </w:p>
    <w:p>
      <w:pPr>
        <w:jc w:val="both"/>
        <w:ind w:left="980" w:hanging="324"/>
        <w:spacing w:after="0" w:line="259"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Home values could materially decline as a result of a persistent economic downturn arising from the COVID-19 pandemic. Depreciation in the values of properties underpinning our insured loans may increase the likelihood of default and negatively impact borrowers' abilities to sell their properties for amounts sufficient to cover their unpaid principal. In turn, the frequency or severity of losses we may incur would be negatively impacted.</w:t>
      </w:r>
    </w:p>
    <w:p>
      <w:pPr>
        <w:spacing w:after="0" w:line="78" w:lineRule="exact"/>
        <w:rPr>
          <w:rFonts w:ascii="Arial" w:cs="Arial" w:eastAsia="Arial" w:hAnsi="Arial"/>
          <w:sz w:val="18"/>
          <w:szCs w:val="18"/>
          <w:color w:val="auto"/>
        </w:rPr>
      </w:pPr>
    </w:p>
    <w:p>
      <w:pPr>
        <w:jc w:val="both"/>
        <w:ind w:left="980" w:hanging="324"/>
        <w:spacing w:after="0" w:line="271" w:lineRule="auto"/>
        <w:tabs>
          <w:tab w:leader="none" w:pos="9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Servicers of our insured loans could experience liquidity impacts, which may affect their willingness and/or ability to continue to pay premiums to us. Although our master policies do not require payment of premiums after a loan has gone into default, most servicers continue to remit premiums to us to avoid a lapse in coverage if the borrower cures the default; however, in the current environment, it remains uncertain whether servicers will continue to do so. As set forth in the COVID Guidance, during the COVID-19 Crisis Period, if one or more servicers are unable to continue to remit premiums on loans in default, we, and other GSE-approved mortgage insurers, have agreed to notify the relevant GSE and give such GSE the opportunity to pay the premium to keep the coverage in force. Notwithstanding our agreement with the GSEs, if there are wide-spread servicer liquidity issues and the GSEs choose not to remit premiums, we could experience adverse impacts to our liquidity, which could be material.</w:t>
      </w:r>
    </w:p>
    <w:p>
      <w:pPr>
        <w:spacing w:after="0" w:line="70"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investment portfolio (and, specifically, the valuations of investment assets we hold) has been, and may continue to be, adversely affected as a result of market deterioration caused by the COVID-19 pandemic and uncertainty regarding its outcome.</w:t>
      </w:r>
    </w:p>
    <w:p>
      <w:pPr>
        <w:spacing w:after="0" w:line="62" w:lineRule="exact"/>
        <w:rPr>
          <w:rFonts w:ascii="Arial" w:cs="Arial" w:eastAsia="Arial" w:hAnsi="Arial"/>
          <w:sz w:val="18"/>
          <w:szCs w:val="18"/>
          <w:color w:val="auto"/>
        </w:rPr>
      </w:pPr>
    </w:p>
    <w:p>
      <w:pPr>
        <w:jc w:val="both"/>
        <w:ind w:left="980" w:hanging="324"/>
        <w:spacing w:after="0" w:line="254"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COVID-19 pandemic has caused significant volatility and disruption to the financial, capital and reinsurance markets, making access to such markets difficult. To the extent that our current sources of income and capitalization are insufficient to meet GSE and state capital requirements (respectively, as defined therein) or to fund our future operations, we would need to raise additional funds through future financing activities, including through the issuance of additional debt, equity, or a combination of both, reduce our RIF, including through additional reinsurance, or curtail our growth and reduce our expenses. We can give no assurance that any such efforts to raise capital, obtain additional reinsurance or otherwise reduce our RIF would be successful. If we cannot obtain adequate capital, our business, results of operations and financial condition could be adversely affected.</w:t>
      </w:r>
    </w:p>
    <w:p>
      <w:pPr>
        <w:spacing w:after="0" w:line="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reasons described above, it is uncertain at this time what impact the COVID-19 crisis will ultimately have on our revenues, losses, expenses, required assets under PMIERs, statutory and GAAP capital, and liquidity, and that impact may be material and adverse over time. The ultimate significance of COVID-19 on our business will depend on, among other things: the extent and duration of, and severity of illness caused by, the pandemic; the effects on the economy and the time it takes to stabilize; the extent and duration of current and future containment measures implemented by governmental authorities; current and future governmental assistance programs; and the long-term impact on the mortgage origination and mortgage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18"/>
          <w:szCs w:val="18"/>
          <w:color w:val="auto"/>
        </w:rPr>
        <w:t>markets. While at this time we cannot estimate the short or long-term impacts of COVID-19 on our business, the above and other factors, including those set forth under the heading "Risk Factors" contained in our 2019 10-K could have a material adverse effect on our business, liquidity, results of operations and financial condition.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business practices of the GSEs, including a decision to decrease or discontinue the use of private MI, federal legislation that changes their charters or a restructuring of the GSEs could reduce our revenues or increase our losses.</w:t>
      </w:r>
    </w:p>
    <w:p>
      <w:pPr>
        <w:spacing w:after="0" w:line="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requirements and practices of the GSEs impact the operating results and financial performance of approved insurers, including NMIC. Changes in the charters or business practices of Freddie Mac or Fannie Mae could materially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3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With the GSEs in a prolonged conservatorship, there has been ongoing debate over the future role and purpose of the GSEs in the U.S. housing market. The U.S.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with regard to the government's role in the housing market, and more specifically, with regard to the existence of an explicit or implicit government guarantee. Recently, there has been increased focus on and discussion of administrative reform independent of legislative action. On September 5, 2019, the Treasury Department released its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 (iv) providing proper compensation to the United States government for any explicit or implicit support it provides to the GSEs. Additionally, the Director of the FHFA has publicly stated his priority for exiting the GSEs from conservatorship during his five-year term which began April 2019. Between the Director of the FHFA and the Treasury Department, they possess significant capacity to effect administrative GSE reforms. If any GSE reform is adopted, whether through legislation or administrative action, it could impact the current role of private mortgage insurance as credit enhancement, including its reduction or elimination, which would have an adverse effect on our revenue, operating results, prospects or financial condition. As a result of these matters, it is uncertain what role private capital, including MI, will play in the domestic residential housing finance system in the future or the impact of any such changes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significant impact on our business.</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2018, the FHFA issued a proposed rule to establish a new enterprise regulatory capital framework (ECF) for the GSEs, which included provisions governing the capital relief allowed to the GSEs for loans with private MI. On May 20, 2020, the FHFA announced a re-proposal of the ECF rule for comment (2020 Proposal), which includes substantial revision to the 2018 proposed rule. The 2020 Proposal is subject to review and comment by August 30, 2020, and any determination by the FHFA or outcome on a final rule is uncertain. The 2020 version, in respect of the capital relief that would be allowed to the GSEs for loans with private MI, treats private MI more favorably than the 2018 proposal; however, until any final rule is adopted, we cannot predict the impact on us or any future implications for PMIERs.</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 FHFA has set goals for the GSEs to transfer significant portions of the GSEs' mortgage credit risk to the private sector. To date, several credit risk transfer products have been created under the program, including IMAGIN and EPMI and others discussed above in "Our NIW volumes could be adversely affected if lenders and investors select alternatives to private MI." To the extent these credit risk products evolve in a manner that displaces primary MI coverage, the amount of insurance we write may be reduced. It is difficult to predict the impact of alternative credit risk transfer products, if any, that are developed to meet the goals established by the FHFA.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3480" w:type="dxa"/>
            <w:vAlign w:val="bottom"/>
          </w:tcPr>
          <w:p>
            <w:pPr>
              <w:jc w:val="center"/>
              <w:ind w:right="2150"/>
              <w:spacing w:after="0"/>
              <w:rPr>
                <w:sz w:val="20"/>
                <w:szCs w:val="20"/>
                <w:color w:val="auto"/>
              </w:rPr>
            </w:pPr>
            <w:r>
              <w:rPr>
                <w:rFonts w:ascii="Arial" w:cs="Arial" w:eastAsia="Arial" w:hAnsi="Arial"/>
                <w:sz w:val="18"/>
                <w:szCs w:val="18"/>
                <w:b w:val="1"/>
                <w:bCs w:val="1"/>
                <w:color w:val="auto"/>
                <w:w w:val="93"/>
              </w:rPr>
              <w:t>Item 6. Exhibits</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80" w:type="dxa"/>
            <w:vAlign w:val="bottom"/>
          </w:tcPr>
          <w:p>
            <w:pPr>
              <w:jc w:val="center"/>
              <w:ind w:right="2110"/>
              <w:spacing w:after="0"/>
              <w:rPr>
                <w:sz w:val="20"/>
                <w:szCs w:val="20"/>
                <w:color w:val="auto"/>
              </w:rPr>
            </w:pPr>
            <w:r>
              <w:rPr>
                <w:rFonts w:ascii="Arial" w:cs="Arial" w:eastAsia="Arial" w:hAnsi="Arial"/>
                <w:sz w:val="18"/>
                <w:szCs w:val="18"/>
                <w:b w:val="1"/>
                <w:bCs w:val="1"/>
                <w:color w:val="auto"/>
                <w:w w:val="93"/>
              </w:rPr>
              <w:t>Exhibit</w:t>
            </w:r>
          </w:p>
        </w:tc>
        <w:tc>
          <w:tcPr>
            <w:tcW w:w="3140" w:type="dxa"/>
            <w:vAlign w:val="bottom"/>
            <w:vMerge w:val="restart"/>
          </w:tcPr>
          <w:p>
            <w:pPr>
              <w:ind w:left="2260"/>
              <w:spacing w:after="0"/>
              <w:rPr>
                <w:sz w:val="20"/>
                <w:szCs w:val="20"/>
                <w:color w:val="auto"/>
              </w:rPr>
            </w:pPr>
            <w:r>
              <w:rPr>
                <w:rFonts w:ascii="Arial" w:cs="Arial" w:eastAsia="Arial" w:hAnsi="Arial"/>
                <w:sz w:val="18"/>
                <w:szCs w:val="18"/>
                <w:b w:val="1"/>
                <w:bCs w:val="1"/>
                <w:color w:val="auto"/>
                <w:w w:val="86"/>
              </w:rPr>
              <w:t>Description</w:t>
            </w:r>
          </w:p>
        </w:tc>
        <w:tc>
          <w:tcPr>
            <w:tcW w:w="0" w:type="dxa"/>
            <w:vAlign w:val="bottom"/>
          </w:tcPr>
          <w:p>
            <w:pPr>
              <w:spacing w:after="0"/>
              <w:rPr>
                <w:sz w:val="1"/>
                <w:szCs w:val="1"/>
                <w:color w:val="auto"/>
              </w:rPr>
            </w:pPr>
          </w:p>
        </w:tc>
      </w:tr>
      <w:tr>
        <w:trPr>
          <w:trHeight w:val="234"/>
        </w:trPr>
        <w:tc>
          <w:tcPr>
            <w:tcW w:w="3480" w:type="dxa"/>
            <w:vAlign w:val="bottom"/>
          </w:tcPr>
          <w:p>
            <w:pPr>
              <w:jc w:val="center"/>
              <w:ind w:right="2110"/>
              <w:spacing w:after="0"/>
              <w:rPr>
                <w:sz w:val="20"/>
                <w:szCs w:val="20"/>
                <w:color w:val="auto"/>
              </w:rPr>
            </w:pPr>
            <w:r>
              <w:rPr>
                <w:rFonts w:ascii="Arial" w:cs="Arial" w:eastAsia="Arial" w:hAnsi="Arial"/>
                <w:sz w:val="18"/>
                <w:szCs w:val="18"/>
                <w:b w:val="1"/>
                <w:bCs w:val="1"/>
                <w:color w:val="auto"/>
                <w:w w:val="94"/>
              </w:rPr>
              <w:t>Number</w:t>
            </w:r>
          </w:p>
        </w:tc>
        <w:tc>
          <w:tcPr>
            <w:tcW w:w="3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31115</wp:posOffset>
            </wp:positionV>
            <wp:extent cx="6960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ectPr>
          <w:pgSz w:w="11900" w:h="16838" w:orient="portrait"/>
          <w:cols w:equalWidth="0" w:num="1">
            <w:col w:w="11080"/>
          </w:cols>
          <w:pgMar w:left="320" w:top="1188" w:right="499" w:bottom="1440" w:gutter="0" w:footer="0" w:header="0"/>
        </w:sectPr>
      </w:pPr>
    </w:p>
    <w:p>
      <w:pPr>
        <w:spacing w:after="0" w:line="210"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2.1</w:t>
      </w:r>
    </w:p>
    <w:p>
      <w:pPr>
        <w:spacing w:after="0" w:line="233"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2.2</w:t>
      </w:r>
    </w:p>
    <w:p>
      <w:pPr>
        <w:spacing w:after="0" w:line="233"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3.1</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3.2</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4.1</w:t>
      </w:r>
    </w:p>
    <w:p>
      <w:pPr>
        <w:spacing w:after="0" w:line="233"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4.2</w:t>
      </w:r>
    </w:p>
    <w:p>
      <w:pPr>
        <w:spacing w:after="0" w:line="233"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4.3</w:t>
      </w:r>
    </w:p>
    <w:p>
      <w:pPr>
        <w:spacing w:after="0" w:line="233"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0"/>
        <w:spacing w:after="0" w:line="264" w:lineRule="auto"/>
        <w:rPr>
          <w:rFonts w:ascii="Arial" w:cs="Arial" w:eastAsia="Arial" w:hAnsi="Arial"/>
          <w:sz w:val="16"/>
          <w:szCs w:val="16"/>
          <w:color w:val="0000FF"/>
        </w:rPr>
      </w:pPr>
      <w:hyperlink r:id="rId83">
        <w:r>
          <w:rPr>
            <w:rFonts w:ascii="Arial" w:cs="Arial" w:eastAsia="Arial" w:hAnsi="Arial"/>
            <w:sz w:val="16"/>
            <w:szCs w:val="16"/>
            <w:u w:val="single" w:color="auto"/>
            <w:color w:val="0000FF"/>
          </w:rPr>
          <w:t>Stock Purchase Agreement, dated November 30, 2011</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between NMI Holdings, Inc. and MAC Financial Ltd. (incorporated herein by</w:t>
      </w:r>
      <w:r>
        <w:rPr>
          <w:rFonts w:ascii="Arial" w:cs="Arial" w:eastAsia="Arial" w:hAnsi="Arial"/>
          <w:sz w:val="16"/>
          <w:szCs w:val="16"/>
          <w:color w:val="0000FF"/>
        </w:rPr>
        <w:t xml:space="preserve"> </w:t>
      </w:r>
      <w:r>
        <w:rPr>
          <w:rFonts w:ascii="Arial" w:cs="Arial" w:eastAsia="Arial" w:hAnsi="Arial"/>
          <w:sz w:val="16"/>
          <w:szCs w:val="16"/>
          <w:color w:val="000000"/>
        </w:rPr>
        <w:t>reference to Exhibit 2.1 to our Form S-1 Registration Statement (Registration No. 333-191635), filed on October 9, 2013)</w:t>
      </w:r>
    </w:p>
    <w:p>
      <w:pPr>
        <w:spacing w:after="0" w:line="1" w:lineRule="exact"/>
        <w:rPr>
          <w:sz w:val="20"/>
          <w:szCs w:val="20"/>
          <w:color w:val="auto"/>
        </w:rPr>
      </w:pPr>
    </w:p>
    <w:p>
      <w:pPr>
        <w:jc w:val="both"/>
        <w:ind w:right="280"/>
        <w:spacing w:after="0" w:line="264" w:lineRule="auto"/>
        <w:rPr>
          <w:rFonts w:ascii="Arial" w:cs="Arial" w:eastAsia="Arial" w:hAnsi="Arial"/>
          <w:sz w:val="16"/>
          <w:szCs w:val="16"/>
          <w:color w:val="0000FF"/>
        </w:rPr>
      </w:pPr>
      <w:hyperlink r:id="rId84">
        <w:r>
          <w:rPr>
            <w:rFonts w:ascii="Arial" w:cs="Arial" w:eastAsia="Arial" w:hAnsi="Arial"/>
            <w:sz w:val="16"/>
            <w:szCs w:val="16"/>
            <w:u w:val="single" w:color="auto"/>
            <w:color w:val="0000FF"/>
          </w:rPr>
          <w:t>Amendment to Stock Purchase Agreement, dated April 6, 2012</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between NMI Holdings, Inc. and MAC Financial Ltd. (incorporated</w:t>
      </w:r>
      <w:r>
        <w:rPr>
          <w:rFonts w:ascii="Arial" w:cs="Arial" w:eastAsia="Arial" w:hAnsi="Arial"/>
          <w:sz w:val="16"/>
          <w:szCs w:val="16"/>
          <w:color w:val="0000FF"/>
        </w:rPr>
        <w:t xml:space="preserve"> </w:t>
      </w:r>
      <w:r>
        <w:rPr>
          <w:rFonts w:ascii="Arial" w:cs="Arial" w:eastAsia="Arial" w:hAnsi="Arial"/>
          <w:sz w:val="16"/>
          <w:szCs w:val="16"/>
          <w:color w:val="000000"/>
        </w:rPr>
        <w:t>herein by reference to Exhibit 2.2 to our Form S-1 Registration Statement (Registration No. 333-191635), filed on October 9, 2013)</w:t>
      </w:r>
    </w:p>
    <w:p>
      <w:pPr>
        <w:ind w:right="860"/>
        <w:spacing w:after="0" w:line="234" w:lineRule="auto"/>
        <w:rPr>
          <w:rFonts w:ascii="Arial" w:cs="Arial" w:eastAsia="Arial" w:hAnsi="Arial"/>
          <w:sz w:val="18"/>
          <w:szCs w:val="18"/>
          <w:color w:val="0000FF"/>
        </w:rPr>
      </w:pPr>
      <w:hyperlink r:id="rId85">
        <w:r>
          <w:rPr>
            <w:rFonts w:ascii="Arial" w:cs="Arial" w:eastAsia="Arial" w:hAnsi="Arial"/>
            <w:sz w:val="18"/>
            <w:szCs w:val="18"/>
            <w:u w:val="single" w:color="auto"/>
            <w:color w:val="0000FF"/>
          </w:rPr>
          <w:t>Second Amended and Restated Certificate of Incorporation</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Exhibit 3.1 to our Form S-1</w:t>
      </w:r>
      <w:r>
        <w:rPr>
          <w:rFonts w:ascii="Arial" w:cs="Arial" w:eastAsia="Arial" w:hAnsi="Arial"/>
          <w:sz w:val="18"/>
          <w:szCs w:val="18"/>
          <w:color w:val="0000FF"/>
        </w:rPr>
        <w:t xml:space="preserve"> </w:t>
      </w:r>
      <w:r>
        <w:rPr>
          <w:rFonts w:ascii="Arial" w:cs="Arial" w:eastAsia="Arial" w:hAnsi="Arial"/>
          <w:sz w:val="18"/>
          <w:szCs w:val="18"/>
          <w:color w:val="000000"/>
        </w:rPr>
        <w:t>Registration Statement (Registration No. 333-191635), filed on October 9, 2013)</w:t>
      </w:r>
    </w:p>
    <w:p>
      <w:pPr>
        <w:spacing w:after="0" w:line="1" w:lineRule="exact"/>
        <w:rPr>
          <w:sz w:val="20"/>
          <w:szCs w:val="20"/>
          <w:color w:val="auto"/>
        </w:rPr>
      </w:pPr>
    </w:p>
    <w:p>
      <w:pPr>
        <w:spacing w:after="0"/>
        <w:rPr>
          <w:rFonts w:ascii="Arial" w:cs="Arial" w:eastAsia="Arial" w:hAnsi="Arial"/>
          <w:sz w:val="16"/>
          <w:szCs w:val="16"/>
          <w:color w:val="0000FF"/>
        </w:rPr>
      </w:pPr>
      <w:hyperlink r:id="rId86">
        <w:r>
          <w:rPr>
            <w:rFonts w:ascii="Arial" w:cs="Arial" w:eastAsia="Arial" w:hAnsi="Arial"/>
            <w:sz w:val="16"/>
            <w:szCs w:val="16"/>
            <w:u w:val="single" w:color="auto"/>
            <w:color w:val="0000FF"/>
          </w:rPr>
          <w:t>Third Amended and Restated By-Laws</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 by reference to Exhibit 3.1 to our Form 8-K, filed on December 9, 2014)</w:t>
      </w:r>
    </w:p>
    <w:p>
      <w:pPr>
        <w:spacing w:after="0" w:line="85" w:lineRule="exact"/>
        <w:rPr>
          <w:sz w:val="20"/>
          <w:szCs w:val="20"/>
          <w:color w:val="auto"/>
        </w:rPr>
      </w:pPr>
    </w:p>
    <w:p>
      <w:pPr>
        <w:ind w:right="260"/>
        <w:spacing w:after="0" w:line="235" w:lineRule="auto"/>
        <w:rPr>
          <w:rFonts w:ascii="Arial" w:cs="Arial" w:eastAsia="Arial" w:hAnsi="Arial"/>
          <w:sz w:val="18"/>
          <w:szCs w:val="18"/>
          <w:color w:val="0000FF"/>
        </w:rPr>
      </w:pPr>
      <w:hyperlink r:id="rId87">
        <w:r>
          <w:rPr>
            <w:rFonts w:ascii="Arial" w:cs="Arial" w:eastAsia="Arial" w:hAnsi="Arial"/>
            <w:sz w:val="18"/>
            <w:szCs w:val="18"/>
            <w:u w:val="single" w:color="auto"/>
            <w:color w:val="0000FF"/>
          </w:rPr>
          <w:t>Specimen Class A common stock certificate</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Exhibit 4.1 to our Form S-1 Registration Statement</w:t>
      </w:r>
      <w:r>
        <w:rPr>
          <w:rFonts w:ascii="Arial" w:cs="Arial" w:eastAsia="Arial" w:hAnsi="Arial"/>
          <w:sz w:val="18"/>
          <w:szCs w:val="18"/>
          <w:color w:val="0000FF"/>
        </w:rPr>
        <w:t xml:space="preserve"> </w:t>
      </w:r>
      <w:r>
        <w:rPr>
          <w:rFonts w:ascii="Arial" w:cs="Arial" w:eastAsia="Arial" w:hAnsi="Arial"/>
          <w:sz w:val="18"/>
          <w:szCs w:val="18"/>
          <w:color w:val="000000"/>
        </w:rPr>
        <w:t>(Registration No. 333-191635), filed on October 9, 2013)</w:t>
      </w:r>
    </w:p>
    <w:p>
      <w:pPr>
        <w:spacing w:after="0" w:line="248" w:lineRule="auto"/>
        <w:rPr>
          <w:rFonts w:ascii="Arial" w:cs="Arial" w:eastAsia="Arial" w:hAnsi="Arial"/>
          <w:sz w:val="17"/>
          <w:szCs w:val="17"/>
          <w:color w:val="0000FF"/>
        </w:rPr>
      </w:pPr>
      <w:hyperlink r:id="rId88">
        <w:r>
          <w:rPr>
            <w:rFonts w:ascii="Arial" w:cs="Arial" w:eastAsia="Arial" w:hAnsi="Arial"/>
            <w:sz w:val="17"/>
            <w:szCs w:val="17"/>
            <w:u w:val="single" w:color="auto"/>
            <w:color w:val="0000FF"/>
          </w:rPr>
          <w:t>Registration Rights Agreement between NMI Holdings, Inc. and FBR Capital Markets &amp; Co., dated April 24, 2012</w:t>
        </w:r>
        <w:r>
          <w:rPr>
            <w:rFonts w:ascii="Arial" w:cs="Arial" w:eastAsia="Arial" w:hAnsi="Arial"/>
            <w:sz w:val="17"/>
            <w:szCs w:val="17"/>
            <w:color w:val="0000FF"/>
          </w:rPr>
          <w:t xml:space="preserv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herein</w:t>
      </w:r>
      <w:r>
        <w:rPr>
          <w:rFonts w:ascii="Arial" w:cs="Arial" w:eastAsia="Arial" w:hAnsi="Arial"/>
          <w:sz w:val="17"/>
          <w:szCs w:val="17"/>
          <w:color w:val="0000FF"/>
        </w:rPr>
        <w:t xml:space="preserve"> </w:t>
      </w:r>
      <w:r>
        <w:rPr>
          <w:rFonts w:ascii="Arial" w:cs="Arial" w:eastAsia="Arial" w:hAnsi="Arial"/>
          <w:sz w:val="17"/>
          <w:szCs w:val="17"/>
          <w:color w:val="000000"/>
        </w:rPr>
        <w:t>by reference to Exhibit 4.2 to our Form S-1 Registration Statement (Registration No. 333-191635), filed on October 9, 2013)</w:t>
      </w:r>
    </w:p>
    <w:p>
      <w:pPr>
        <w:spacing w:after="0" w:line="1" w:lineRule="exact"/>
        <w:rPr>
          <w:sz w:val="20"/>
          <w:szCs w:val="20"/>
          <w:color w:val="auto"/>
        </w:rPr>
      </w:pPr>
    </w:p>
    <w:p>
      <w:pPr>
        <w:ind w:right="40"/>
        <w:spacing w:after="0" w:line="264" w:lineRule="auto"/>
        <w:rPr>
          <w:rFonts w:ascii="Arial" w:cs="Arial" w:eastAsia="Arial" w:hAnsi="Arial"/>
          <w:sz w:val="16"/>
          <w:szCs w:val="16"/>
          <w:color w:val="0000FF"/>
        </w:rPr>
      </w:pPr>
      <w:hyperlink r:id="rId89">
        <w:r>
          <w:rPr>
            <w:rFonts w:ascii="Arial" w:cs="Arial" w:eastAsia="Arial" w:hAnsi="Arial"/>
            <w:sz w:val="16"/>
            <w:szCs w:val="16"/>
            <w:u w:val="single" w:color="auto"/>
            <w:color w:val="0000FF"/>
          </w:rPr>
          <w:t>Registration Rights Agreement by and between MAC Financial Ltd. and NMI Holdings, Inc., dated April 24, 2012</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w:t>
      </w:r>
      <w:r>
        <w:rPr>
          <w:rFonts w:ascii="Arial" w:cs="Arial" w:eastAsia="Arial" w:hAnsi="Arial"/>
          <w:sz w:val="16"/>
          <w:szCs w:val="16"/>
          <w:color w:val="0000FF"/>
        </w:rPr>
        <w:t xml:space="preserve"> </w:t>
      </w:r>
      <w:r>
        <w:rPr>
          <w:rFonts w:ascii="Arial" w:cs="Arial" w:eastAsia="Arial" w:hAnsi="Arial"/>
          <w:sz w:val="16"/>
          <w:szCs w:val="16"/>
          <w:color w:val="000000"/>
        </w:rPr>
        <w:t>by reference to Exhibit 4.3 to our Form S-1 Registration Statement (Registration No. 333-191635), filed on October 9, 2013)</w:t>
      </w:r>
    </w:p>
    <w:p>
      <w:pPr>
        <w:ind w:right="80"/>
        <w:spacing w:after="0" w:line="224" w:lineRule="auto"/>
        <w:rPr>
          <w:rFonts w:ascii="Arial" w:cs="Arial" w:eastAsia="Arial" w:hAnsi="Arial"/>
          <w:sz w:val="18"/>
          <w:szCs w:val="18"/>
          <w:color w:val="0000FF"/>
        </w:rPr>
      </w:pPr>
      <w:hyperlink r:id="rId90">
        <w:r>
          <w:rPr>
            <w:rFonts w:ascii="Arial" w:cs="Arial" w:eastAsia="Arial" w:hAnsi="Arial"/>
            <w:sz w:val="18"/>
            <w:szCs w:val="18"/>
            <w:u w:val="single" w:color="auto"/>
            <w:color w:val="0000FF"/>
          </w:rPr>
          <w:t>Registration Rights Agreement between FBR &amp; Co., FBR Capital Markets LT, Inc., FBR Capital Markets &amp; Co., FBR Capital Markets</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PT, Inc. and NMI Holdings, Inc., dated April 24, 2012</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4.4 to our Form S-1 Registration</w:t>
        </w:r>
      </w:hyperlink>
      <w:r>
        <w:rPr>
          <w:rFonts w:ascii="Arial" w:cs="Arial" w:eastAsia="Arial" w:hAnsi="Arial"/>
          <w:sz w:val="18"/>
          <w:szCs w:val="18"/>
          <w:color w:val="0000FF"/>
        </w:rPr>
        <w:t xml:space="preserve"> </w:t>
      </w:r>
      <w:r>
        <w:rPr>
          <w:rFonts w:ascii="Arial" w:cs="Arial" w:eastAsia="Arial" w:hAnsi="Arial"/>
          <w:sz w:val="18"/>
          <w:szCs w:val="18"/>
          <w:color w:val="000000"/>
        </w:rPr>
        <w:t>Statement (Registration No. 333-191635), filed on October 9, 2013)</w:t>
      </w:r>
    </w:p>
    <w:p>
      <w:pPr>
        <w:spacing w:after="0" w:line="1" w:lineRule="exact"/>
        <w:rPr>
          <w:sz w:val="20"/>
          <w:szCs w:val="20"/>
          <w:color w:val="auto"/>
        </w:rPr>
      </w:pPr>
    </w:p>
    <w:p>
      <w:pPr>
        <w:sectPr>
          <w:pgSz w:w="11900" w:h="16838" w:orient="portrait"/>
          <w:cols w:equalWidth="0" w:num="2">
            <w:col w:w="760" w:space="500"/>
            <w:col w:w="9820"/>
          </w:cols>
          <w:pgMar w:left="320" w:top="1188" w:right="499" w:bottom="1440" w:gutter="0" w:footer="0" w:header="0"/>
          <w:type w:val="continuous"/>
        </w:sectPr>
      </w:pPr>
    </w:p>
    <w:p>
      <w:pPr>
        <w:ind w:left="1260" w:right="580" w:hanging="737"/>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91">
        <w:r>
          <w:rPr>
            <w:rFonts w:ascii="Arial" w:cs="Arial" w:eastAsia="Arial" w:hAnsi="Arial"/>
            <w:sz w:val="18"/>
            <w:szCs w:val="18"/>
            <w:u w:val="single" w:color="auto"/>
            <w:color w:val="0000FF"/>
          </w:rPr>
          <w:t>Warrant No. 1 to Purchase Common Stock of NMI Holdings, Inc. issued to FBR Capital Markets &amp; Co., dated June 13, 2013</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4.5 to our Form S-1 Registration Statement (Registration No. 333-191635), filed on October 9, 2013)</w:t>
      </w:r>
    </w:p>
    <w:p>
      <w:pPr>
        <w:sectPr>
          <w:pgSz w:w="11900" w:h="16838" w:orient="portrait"/>
          <w:cols w:equalWidth="0" w:num="1">
            <w:col w:w="11080"/>
          </w:cols>
          <w:pgMar w:left="320" w:top="1188" w:right="499" w:bottom="1440" w:gutter="0" w:footer="0" w:header="0"/>
          <w:type w:val="continuous"/>
        </w:sectPr>
      </w:pPr>
    </w:p>
    <w:p>
      <w:pPr>
        <w:spacing w:after="0" w:line="14"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4.6</w:t>
      </w:r>
    </w:p>
    <w:p>
      <w:pPr>
        <w:spacing w:after="0" w:line="233"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br w:type="column"/>
      </w:r>
    </w:p>
    <w:p>
      <w:pPr>
        <w:ind w:right="20"/>
        <w:spacing w:after="0" w:line="264" w:lineRule="auto"/>
        <w:rPr>
          <w:rFonts w:ascii="Arial" w:cs="Arial" w:eastAsia="Arial" w:hAnsi="Arial"/>
          <w:sz w:val="16"/>
          <w:szCs w:val="16"/>
          <w:color w:val="0000FF"/>
        </w:rPr>
      </w:pPr>
      <w:hyperlink r:id="rId92">
        <w:r>
          <w:rPr>
            <w:rFonts w:ascii="Arial" w:cs="Arial" w:eastAsia="Arial" w:hAnsi="Arial"/>
            <w:sz w:val="16"/>
            <w:szCs w:val="16"/>
            <w:u w:val="single" w:color="auto"/>
            <w:color w:val="0000FF"/>
          </w:rPr>
          <w:t>Form of Warrant to Purchase Common Stock of NMI Holdings, Inc. issued to former stockholders of MAC Financial Ltd.</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 by reference to Exhibit 4.6 to our Form S -1 Registration Statement (Registration No. 333-191635), filed on October 9, 2013)</w:t>
      </w:r>
    </w:p>
    <w:p>
      <w:pPr>
        <w:ind w:right="140"/>
        <w:spacing w:after="0" w:line="224" w:lineRule="auto"/>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Indenture, dated as of June 19, 2020, among NMI Holdings, Inc., NMI Services, Inc. as the Initial Guarantor, and the Bank of New</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 xml:space="preserve">York Mellon Trust Company, N.A. as Trustee and Notes Collateral Agent </w:t>
        </w:r>
        <w:r>
          <w:rPr>
            <w:rFonts w:ascii="Arial" w:cs="Arial" w:eastAsia="Arial" w:hAnsi="Arial"/>
            <w:sz w:val="18"/>
            <w:szCs w:val="18"/>
            <w:u w:val="single" w:color="auto"/>
            <w:color w:val="000000"/>
          </w:rPr>
          <w:t xml:space="preserve">(incorporated herein by reference to Exhibit 4.1 to our </w:t>
        </w:r>
      </w:hyperlink>
      <w:r>
        <w:rPr>
          <w:rFonts w:ascii="Arial" w:cs="Arial" w:eastAsia="Arial" w:hAnsi="Arial"/>
          <w:sz w:val="18"/>
          <w:szCs w:val="18"/>
          <w:u w:val="single" w:color="auto"/>
          <w:color w:val="0000FF"/>
        </w:rPr>
        <w:t xml:space="preserve">Form </w:t>
      </w:r>
      <w:r>
        <w:rPr>
          <w:rFonts w:ascii="Arial" w:cs="Arial" w:eastAsia="Arial" w:hAnsi="Arial"/>
          <w:sz w:val="18"/>
          <w:szCs w:val="18"/>
          <w:u w:val="single" w:color="auto"/>
          <w:color w:val="000000"/>
        </w:rPr>
        <w:t>8-K, filed on June 19, 2020)</w:t>
      </w:r>
    </w:p>
    <w:p>
      <w:pPr>
        <w:spacing w:after="0" w:line="1" w:lineRule="exact"/>
        <w:rPr>
          <w:sz w:val="20"/>
          <w:szCs w:val="20"/>
          <w:color w:val="auto"/>
        </w:rPr>
      </w:pPr>
    </w:p>
    <w:p>
      <w:pPr>
        <w:sectPr>
          <w:pgSz w:w="11900" w:h="16838" w:orient="portrait"/>
          <w:cols w:equalWidth="0" w:num="2">
            <w:col w:w="760" w:space="500"/>
            <w:col w:w="9820"/>
          </w:cols>
          <w:pgMar w:left="320" w:top="1188" w:right="499" w:bottom="1440" w:gutter="0" w:footer="0" w:header="0"/>
          <w:type w:val="continuous"/>
        </w:sectPr>
      </w:pPr>
    </w:p>
    <w:p>
      <w:pPr>
        <w:spacing w:after="0" w:line="13"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10.1 ~</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10.2 ~</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10.3 ~</w:t>
      </w:r>
    </w:p>
    <w:p>
      <w:pPr>
        <w:spacing w:after="0" w:line="20" w:lineRule="exact"/>
        <w:rPr>
          <w:sz w:val="20"/>
          <w:szCs w:val="20"/>
          <w:color w:val="auto"/>
        </w:rPr>
      </w:pPr>
      <w:r>
        <w:rPr>
          <w:sz w:val="20"/>
          <w:szCs w:val="20"/>
          <w:color w:val="auto"/>
        </w:rPr>
        <w:br w:type="column"/>
      </w:r>
    </w:p>
    <w:p>
      <w:pPr>
        <w:jc w:val="both"/>
        <w:spacing w:after="0" w:line="234" w:lineRule="auto"/>
        <w:rPr>
          <w:rFonts w:ascii="Arial" w:cs="Arial" w:eastAsia="Arial" w:hAnsi="Arial"/>
          <w:sz w:val="18"/>
          <w:szCs w:val="18"/>
          <w:color w:val="0000FF"/>
        </w:rPr>
      </w:pPr>
      <w:hyperlink r:id="rId94">
        <w:r>
          <w:rPr>
            <w:rFonts w:ascii="Arial" w:cs="Arial" w:eastAsia="Arial" w:hAnsi="Arial"/>
            <w:sz w:val="18"/>
            <w:szCs w:val="18"/>
            <w:u w:val="single" w:color="auto"/>
            <w:color w:val="0000FF"/>
          </w:rPr>
          <w:t>NMI Holdings Inc. 2012 Stock Incentive Plan</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color w:val="0000FF"/>
        </w:rPr>
        <w:t xml:space="preserve"> </w:t>
      </w:r>
      <w:r>
        <w:rPr>
          <w:rFonts w:ascii="Arial" w:cs="Arial" w:eastAsia="Arial" w:hAnsi="Arial"/>
          <w:sz w:val="18"/>
          <w:szCs w:val="18"/>
          <w:color w:val="000000"/>
        </w:rPr>
        <w:t>(registration No. 333-191635), filed on October 9, 2013)</w:t>
      </w:r>
    </w:p>
    <w:p>
      <w:pPr>
        <w:spacing w:after="0" w:line="1" w:lineRule="exact"/>
        <w:rPr>
          <w:sz w:val="20"/>
          <w:szCs w:val="20"/>
          <w:color w:val="auto"/>
        </w:rPr>
      </w:pPr>
    </w:p>
    <w:p>
      <w:pPr>
        <w:jc w:val="both"/>
        <w:spacing w:after="0" w:line="264" w:lineRule="auto"/>
        <w:rPr>
          <w:rFonts w:ascii="Arial" w:cs="Arial" w:eastAsia="Arial" w:hAnsi="Arial"/>
          <w:sz w:val="16"/>
          <w:szCs w:val="16"/>
          <w:color w:val="0000FF"/>
        </w:rPr>
      </w:pPr>
      <w:hyperlink r:id="rId95">
        <w:r>
          <w:rPr>
            <w:rFonts w:ascii="Arial" w:cs="Arial" w:eastAsia="Arial" w:hAnsi="Arial"/>
            <w:sz w:val="16"/>
            <w:szCs w:val="16"/>
            <w:u w:val="single" w:color="auto"/>
            <w:color w:val="0000FF"/>
          </w:rPr>
          <w:t>Form of NMI Holdings, Inc. 2012 Stock Incentive Plan Restricted Stock Unit Award Agreement for Management</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w:t>
      </w:r>
      <w:r>
        <w:rPr>
          <w:rFonts w:ascii="Arial" w:cs="Arial" w:eastAsia="Arial" w:hAnsi="Arial"/>
          <w:sz w:val="16"/>
          <w:szCs w:val="16"/>
          <w:color w:val="0000FF"/>
        </w:rPr>
        <w:t xml:space="preserve"> </w:t>
      </w:r>
      <w:r>
        <w:rPr>
          <w:rFonts w:ascii="Arial" w:cs="Arial" w:eastAsia="Arial" w:hAnsi="Arial"/>
          <w:sz w:val="16"/>
          <w:szCs w:val="16"/>
          <w:color w:val="000000"/>
        </w:rPr>
        <w:t>by reference to Exhibit 10.3 to our Form S-1 Registration Statement (Registration No. 333-191635), filed on October 9, 2013)</w:t>
      </w:r>
    </w:p>
    <w:p>
      <w:pPr>
        <w:jc w:val="both"/>
        <w:spacing w:after="0" w:line="224" w:lineRule="auto"/>
        <w:rPr>
          <w:rFonts w:ascii="Arial" w:cs="Arial" w:eastAsia="Arial" w:hAnsi="Arial"/>
          <w:sz w:val="18"/>
          <w:szCs w:val="18"/>
          <w:color w:val="0000FF"/>
        </w:rPr>
      </w:pPr>
      <w:hyperlink r:id="rId96">
        <w:r>
          <w:rPr>
            <w:rFonts w:ascii="Arial" w:cs="Arial" w:eastAsia="Arial" w:hAnsi="Arial"/>
            <w:sz w:val="18"/>
            <w:szCs w:val="18"/>
            <w:u w:val="single" w:color="auto"/>
            <w:color w:val="0000FF"/>
          </w:rPr>
          <w:t>Form of NMI Holdings, Inc. 2012 Stock Incentive Plan Nonqualified Stock Option Award Agreement for Chief Executive Officer and</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Chief Financial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10.5 to our Form S-1 Registration Statement (Registration No. 333-</w:t>
        </w:r>
      </w:hyperlink>
      <w:r>
        <w:rPr>
          <w:rFonts w:ascii="Arial" w:cs="Arial" w:eastAsia="Arial" w:hAnsi="Arial"/>
          <w:sz w:val="18"/>
          <w:szCs w:val="18"/>
          <w:color w:val="000000"/>
        </w:rPr>
        <w:t>191635), filed on October 9, 2013)</w:t>
      </w:r>
    </w:p>
    <w:p>
      <w:pPr>
        <w:spacing w:after="0" w:line="1" w:lineRule="exact"/>
        <w:rPr>
          <w:sz w:val="20"/>
          <w:szCs w:val="20"/>
          <w:color w:val="auto"/>
        </w:rPr>
      </w:pPr>
    </w:p>
    <w:p>
      <w:pPr>
        <w:sectPr>
          <w:pgSz w:w="11900" w:h="16838" w:orient="portrait"/>
          <w:cols w:equalWidth="0" w:num="2">
            <w:col w:w="880" w:space="380"/>
            <w:col w:w="9820"/>
          </w:cols>
          <w:pgMar w:left="320" w:top="1188" w:right="499" w:bottom="1440" w:gutter="0" w:footer="0" w:header="0"/>
          <w:type w:val="continuous"/>
        </w:sectPr>
      </w:pPr>
    </w:p>
    <w:p>
      <w:pPr>
        <w:spacing w:after="0" w:line="13"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10.4 ~</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10.5 ~</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10.6 ~</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10.7 ~</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10.8 ~</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10.9 ~</w:t>
      </w:r>
    </w:p>
    <w:p>
      <w:pPr>
        <w:spacing w:after="0" w:line="20" w:lineRule="exact"/>
        <w:rPr>
          <w:sz w:val="20"/>
          <w:szCs w:val="20"/>
          <w:color w:val="auto"/>
        </w:rPr>
      </w:pPr>
      <w:r>
        <w:rPr>
          <w:sz w:val="20"/>
          <w:szCs w:val="20"/>
          <w:color w:val="auto"/>
        </w:rPr>
        <w:br w:type="column"/>
      </w:r>
    </w:p>
    <w:p>
      <w:pPr>
        <w:spacing w:after="0" w:line="264" w:lineRule="auto"/>
        <w:rPr>
          <w:rFonts w:ascii="Arial" w:cs="Arial" w:eastAsia="Arial" w:hAnsi="Arial"/>
          <w:sz w:val="16"/>
          <w:szCs w:val="16"/>
          <w:color w:val="0000FF"/>
        </w:rPr>
      </w:pPr>
      <w:hyperlink r:id="rId97">
        <w:r>
          <w:rPr>
            <w:rFonts w:ascii="Arial" w:cs="Arial" w:eastAsia="Arial" w:hAnsi="Arial"/>
            <w:sz w:val="16"/>
            <w:szCs w:val="16"/>
            <w:u w:val="single" w:color="auto"/>
            <w:color w:val="0000FF"/>
          </w:rPr>
          <w:t>Form of NMI Holdings, Inc. 2012 Stock Incentive Plan Nonqualified Stock Option Award Agreement for Management</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 by reference to Exhibit 10.6 to our Form S-1 Registration Statement (Registration No. 333-191635), filed on October 9, 2013)</w:t>
      </w:r>
    </w:p>
    <w:p>
      <w:pPr>
        <w:spacing w:after="0" w:line="264" w:lineRule="auto"/>
        <w:rPr>
          <w:rFonts w:ascii="Arial" w:cs="Arial" w:eastAsia="Arial" w:hAnsi="Arial"/>
          <w:sz w:val="16"/>
          <w:szCs w:val="16"/>
          <w:color w:val="0000FF"/>
        </w:rPr>
      </w:pPr>
      <w:hyperlink r:id="rId98">
        <w:r>
          <w:rPr>
            <w:rFonts w:ascii="Arial" w:cs="Arial" w:eastAsia="Arial" w:hAnsi="Arial"/>
            <w:sz w:val="16"/>
            <w:szCs w:val="16"/>
            <w:u w:val="single" w:color="auto"/>
            <w:color w:val="0000FF"/>
          </w:rPr>
          <w:t>Form of NMI Holdings, Inc. 2012 Stock Incentive Plan Nonqualified Stock Option Award Agreement for Directors</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 by reference to Exhibit 10.7 to our Form S-1 Registration Statement (Registration No. 333-191635), filed on October 9, 2013)</w:t>
      </w:r>
    </w:p>
    <w:p>
      <w:pPr>
        <w:spacing w:after="0" w:line="248" w:lineRule="auto"/>
        <w:rPr>
          <w:rFonts w:ascii="Arial" w:cs="Arial" w:eastAsia="Arial" w:hAnsi="Arial"/>
          <w:sz w:val="17"/>
          <w:szCs w:val="17"/>
          <w:color w:val="0000FF"/>
        </w:rPr>
      </w:pPr>
      <w:hyperlink r:id="rId99">
        <w:r>
          <w:rPr>
            <w:rFonts w:ascii="Arial" w:cs="Arial" w:eastAsia="Arial" w:hAnsi="Arial"/>
            <w:sz w:val="17"/>
            <w:szCs w:val="17"/>
            <w:u w:val="single" w:color="auto"/>
            <w:color w:val="0000FF"/>
          </w:rPr>
          <w:t>Form of NMI Holdings, Inc. 2012 Stock Incentive Plan Nonqualified Stock Option Award Agreement for Chief Executive Officer and</w:t>
        </w:r>
      </w:hyperlink>
      <w:r>
        <w:rPr>
          <w:rFonts w:ascii="Arial" w:cs="Arial" w:eastAsia="Arial" w:hAnsi="Arial"/>
          <w:sz w:val="17"/>
          <w:szCs w:val="17"/>
          <w:u w:val="single" w:color="auto"/>
          <w:color w:val="0000FF"/>
        </w:rPr>
        <w:t xml:space="preserve"> </w:t>
      </w:r>
      <w:hyperlink r:id="rId99">
        <w:r>
          <w:rPr>
            <w:rFonts w:ascii="Arial" w:cs="Arial" w:eastAsia="Arial" w:hAnsi="Arial"/>
            <w:sz w:val="17"/>
            <w:szCs w:val="17"/>
            <w:u w:val="single" w:color="auto"/>
            <w:color w:val="0000FF"/>
          </w:rPr>
          <w:t>Chief Financial Office</w:t>
        </w:r>
        <w:r>
          <w:rPr>
            <w:rFonts w:ascii="Arial" w:cs="Arial" w:eastAsia="Arial" w:hAnsi="Arial"/>
            <w:sz w:val="17"/>
            <w:szCs w:val="17"/>
            <w:color w:val="000000"/>
          </w:rPr>
          <w:t>r (incorporated herein by reference to Exhibit 10.8 to our Form 10-K, filed on February 17, 2017)</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00">
        <w:r>
          <w:rPr>
            <w:rFonts w:ascii="Arial" w:cs="Arial" w:eastAsia="Arial" w:hAnsi="Arial"/>
            <w:sz w:val="18"/>
            <w:szCs w:val="18"/>
            <w:u w:val="single" w:color="auto"/>
            <w:color w:val="0000FF"/>
          </w:rPr>
          <w:t>Form of NMI Holdings, Inc. 2012 Stock Incentive Plan Nonqualified Stock Option Award Agreement for Employees</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Exhibit 10.9 to our Form 10-K, filed on February 17, 2017)</w:t>
      </w:r>
    </w:p>
    <w:p>
      <w:pPr>
        <w:spacing w:after="0" w:line="1" w:lineRule="exact"/>
        <w:rPr>
          <w:sz w:val="20"/>
          <w:szCs w:val="20"/>
          <w:color w:val="auto"/>
        </w:rPr>
      </w:pPr>
    </w:p>
    <w:p>
      <w:pPr>
        <w:spacing w:after="0" w:line="234" w:lineRule="auto"/>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Amended and Restated Employment Agreement by and between NMI Holdings, Inc. and Bradley M. Shuster, dated December 23, 2015</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10.1 to our Form 8-K, filed on December 29, 2015)</w:t>
      </w:r>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02">
        <w:r>
          <w:rPr>
            <w:rFonts w:ascii="Arial" w:cs="Arial" w:eastAsia="Arial" w:hAnsi="Arial"/>
            <w:sz w:val="18"/>
            <w:szCs w:val="18"/>
            <w:u w:val="single" w:color="auto"/>
            <w:color w:val="0000FF"/>
          </w:rPr>
          <w:t>Offer Letter by and between NMI Holdings, Inc. and William Leatherberry, dated July 11, 2014</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color w:val="0000FF"/>
        </w:rPr>
        <w:t xml:space="preserve"> </w:t>
      </w:r>
      <w:r>
        <w:rPr>
          <w:rFonts w:ascii="Arial" w:cs="Arial" w:eastAsia="Arial" w:hAnsi="Arial"/>
          <w:sz w:val="18"/>
          <w:szCs w:val="18"/>
          <w:color w:val="000000"/>
        </w:rPr>
        <w:t>Exhibit 10.10 to our Form 10-Q, filed on April 28, 2016)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80" w:space="380"/>
            <w:col w:w="9820"/>
          </w:cols>
          <w:pgMar w:left="320" w:top="1188" w:right="499" w:bottom="1440" w:gutter="0" w:footer="0" w:header="0"/>
          <w:type w:val="continuous"/>
        </w:sectPr>
      </w:pPr>
    </w:p>
    <w:bookmarkStart w:id="63" w:name="page64"/>
    <w:bookmarkEnd w:id="63"/>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10.10 ~</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10.11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10.12 +</w:t>
      </w:r>
    </w:p>
    <w:p>
      <w:pPr>
        <w:spacing w:after="0" w:line="20" w:lineRule="exact"/>
        <w:rPr>
          <w:sz w:val="20"/>
          <w:szCs w:val="20"/>
          <w:color w:val="auto"/>
        </w:rPr>
      </w:pPr>
      <w:r>
        <w:rPr>
          <w:sz w:val="20"/>
          <w:szCs w:val="20"/>
          <w:color w:val="auto"/>
        </w:rPr>
        <w:br w:type="column"/>
      </w:r>
    </w:p>
    <w:p>
      <w:pPr>
        <w:jc w:val="both"/>
        <w:spacing w:after="0" w:line="235" w:lineRule="auto"/>
        <w:rPr>
          <w:rFonts w:ascii="Arial" w:cs="Arial" w:eastAsia="Arial" w:hAnsi="Arial"/>
          <w:sz w:val="18"/>
          <w:szCs w:val="18"/>
          <w:color w:val="0000FF"/>
        </w:rPr>
      </w:pPr>
      <w:hyperlink r:id="rId104">
        <w:r>
          <w:rPr>
            <w:rFonts w:ascii="Arial" w:cs="Arial" w:eastAsia="Arial" w:hAnsi="Arial"/>
            <w:sz w:val="18"/>
            <w:szCs w:val="18"/>
            <w:u w:val="single" w:color="auto"/>
            <w:color w:val="0000FF"/>
          </w:rPr>
          <w:t>Offer Letter by and between NMI Holdings, Inc. and Adam Pollitzer, dated February 1, 2017</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color w:val="0000FF"/>
        </w:rPr>
        <w:t xml:space="preserve"> </w:t>
      </w:r>
      <w:r>
        <w:rPr>
          <w:rFonts w:ascii="Arial" w:cs="Arial" w:eastAsia="Arial" w:hAnsi="Arial"/>
          <w:sz w:val="18"/>
          <w:szCs w:val="18"/>
          <w:color w:val="000000"/>
        </w:rPr>
        <w:t>Exhibit 10.1 to our Form 8-K, filed on February 3, 2017)</w:t>
      </w:r>
    </w:p>
    <w:p>
      <w:pPr>
        <w:jc w:val="both"/>
        <w:spacing w:after="0" w:line="234" w:lineRule="auto"/>
        <w:rPr>
          <w:rFonts w:ascii="Arial" w:cs="Arial" w:eastAsia="Arial" w:hAnsi="Arial"/>
          <w:sz w:val="18"/>
          <w:szCs w:val="18"/>
          <w:color w:val="0000FF"/>
        </w:rPr>
      </w:pPr>
      <w:hyperlink r:id="rId105">
        <w:r>
          <w:rPr>
            <w:rFonts w:ascii="Arial" w:cs="Arial" w:eastAsia="Arial" w:hAnsi="Arial"/>
            <w:sz w:val="18"/>
            <w:szCs w:val="18"/>
            <w:u w:val="single" w:color="auto"/>
            <w:color w:val="0000FF"/>
          </w:rPr>
          <w:t>Form of Indemnification Agreement between NMI Holdings, Inc. and its directors and certain executive officers</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 to our Form 8-K, filed on November 25, 2014)</w:t>
      </w:r>
    </w:p>
    <w:p>
      <w:pPr>
        <w:spacing w:after="0" w:line="1" w:lineRule="exact"/>
        <w:rPr>
          <w:sz w:val="20"/>
          <w:szCs w:val="20"/>
          <w:color w:val="auto"/>
        </w:rPr>
      </w:pPr>
    </w:p>
    <w:p>
      <w:pPr>
        <w:jc w:val="both"/>
        <w:spacing w:after="0" w:line="219" w:lineRule="auto"/>
        <w:rPr>
          <w:rFonts w:ascii="Arial" w:cs="Arial" w:eastAsia="Arial" w:hAnsi="Arial"/>
          <w:sz w:val="18"/>
          <w:szCs w:val="18"/>
          <w:color w:val="0000FF"/>
        </w:rPr>
      </w:pPr>
      <w:hyperlink r:id="rId106">
        <w:r>
          <w:rPr>
            <w:rFonts w:ascii="Arial" w:cs="Arial" w:eastAsia="Arial" w:hAnsi="Arial"/>
            <w:sz w:val="18"/>
            <w:szCs w:val="18"/>
            <w:u w:val="single" w:color="auto"/>
            <w:color w:val="0000FF"/>
          </w:rPr>
          <w:t>Commitment Letter dated July 12, 2013 for Bulk Fannie Mae-Paid Loss-on-Sale Mortgage Insurance on the Portfolio of approximately</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$5.46 billion Purchased by Fannie Mae and Identified by Fannie Mae as Deal No. 2013 MIRT 01 and by the Company as Policy No. P-</w:t>
        </w:r>
      </w:hyperlink>
      <w:hyperlink r:id="rId106">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w:t>
        </w:r>
      </w:hyperlink>
      <w:r>
        <w:rPr>
          <w:rFonts w:ascii="Arial" w:cs="Arial" w:eastAsia="Arial" w:hAnsi="Arial"/>
          <w:sz w:val="18"/>
          <w:szCs w:val="18"/>
          <w:color w:val="0000FF"/>
        </w:rPr>
        <w:t xml:space="preserve"> </w:t>
      </w:r>
      <w:r>
        <w:rPr>
          <w:rFonts w:ascii="Arial" w:cs="Arial" w:eastAsia="Arial" w:hAnsi="Arial"/>
          <w:sz w:val="18"/>
          <w:szCs w:val="18"/>
          <w:color w:val="000000"/>
        </w:rPr>
        <w:t>filed on October 9, 2013)</w:t>
      </w:r>
    </w:p>
    <w:p>
      <w:pPr>
        <w:spacing w:after="0" w:line="1" w:lineRule="exact"/>
        <w:rPr>
          <w:rFonts w:ascii="Arial" w:cs="Arial" w:eastAsia="Arial" w:hAnsi="Arial"/>
          <w:sz w:val="18"/>
          <w:szCs w:val="18"/>
          <w:u w:val="single" w:color="auto"/>
          <w:color w:val="0000FF"/>
        </w:rPr>
      </w:pPr>
    </w:p>
    <w:p>
      <w:pPr>
        <w:sectPr>
          <w:pgSz w:w="11900" w:h="16838" w:orient="portrait"/>
          <w:cols w:equalWidth="0" w:num="2">
            <w:col w:w="560" w:space="340"/>
            <w:col w:w="9820"/>
          </w:cols>
          <w:pgMar w:left="680" w:top="1232" w:right="499" w:bottom="1440" w:gutter="0" w:footer="0" w:header="0"/>
        </w:sectPr>
      </w:pPr>
    </w:p>
    <w:p>
      <w:pPr>
        <w:spacing w:after="0" w:line="12"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5"/>
          <w:szCs w:val="15"/>
          <w:color w:val="auto"/>
        </w:rPr>
        <w:t>10.13</w:t>
      </w:r>
    </w:p>
    <w:p>
      <w:pPr>
        <w:spacing w:after="0" w:line="233"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5"/>
          <w:szCs w:val="15"/>
          <w:color w:val="auto"/>
        </w:rPr>
        <w:t>10.14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48" w:lineRule="auto"/>
        <w:rPr>
          <w:rFonts w:ascii="Arial" w:cs="Arial" w:eastAsia="Arial" w:hAnsi="Arial"/>
          <w:sz w:val="17"/>
          <w:szCs w:val="17"/>
          <w:color w:val="0000FF"/>
        </w:rPr>
      </w:pPr>
      <w:hyperlink r:id="rId107">
        <w:r>
          <w:rPr>
            <w:rFonts w:ascii="Arial" w:cs="Arial" w:eastAsia="Arial" w:hAnsi="Arial"/>
            <w:sz w:val="17"/>
            <w:szCs w:val="17"/>
            <w:u w:val="single" w:color="auto"/>
            <w:color w:val="0000FF"/>
          </w:rPr>
          <w:t>Credit Agreement, dated November 10, 2015, between NMI Holdings, Inc., the lenders party thereto and JPMorgan Chase Bank, N.A.,</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as 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4.1 to our Form 8-K, filed on November 10, 2015)</w:t>
        </w:r>
      </w:hyperlink>
    </w:p>
    <w:p>
      <w:pPr>
        <w:spacing w:after="0" w:line="1" w:lineRule="exact"/>
        <w:rPr>
          <w:sz w:val="20"/>
          <w:szCs w:val="20"/>
          <w:color w:val="auto"/>
        </w:rPr>
      </w:pPr>
    </w:p>
    <w:p>
      <w:pPr>
        <w:jc w:val="both"/>
        <w:spacing w:after="0" w:line="224" w:lineRule="auto"/>
        <w:rPr>
          <w:rFonts w:ascii="Arial" w:cs="Arial" w:eastAsia="Arial" w:hAnsi="Arial"/>
          <w:sz w:val="18"/>
          <w:szCs w:val="18"/>
          <w:color w:val="0000FF"/>
        </w:rPr>
      </w:pPr>
      <w:hyperlink r:id="rId108">
        <w:r>
          <w:rPr>
            <w:rFonts w:ascii="Arial" w:cs="Arial" w:eastAsia="Arial" w:hAnsi="Arial"/>
            <w:sz w:val="18"/>
            <w:szCs w:val="18"/>
            <w:u w:val="single" w:color="auto"/>
            <w:color w:val="0000FF"/>
          </w:rPr>
          <w:t>Amendment No. 1, dated February 10, 2017, to the Credit Agreement dated November 10, 2015, between NMI Holdings, Inc., the</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w:t>
        </w:r>
      </w:hyperlink>
      <w:r>
        <w:rPr>
          <w:rFonts w:ascii="Arial" w:cs="Arial" w:eastAsia="Arial" w:hAnsi="Arial"/>
          <w:sz w:val="18"/>
          <w:szCs w:val="18"/>
          <w:color w:val="0000FF"/>
        </w:rPr>
        <w:t xml:space="preserve"> </w:t>
      </w:r>
      <w:r>
        <w:rPr>
          <w:rFonts w:ascii="Arial" w:cs="Arial" w:eastAsia="Arial" w:hAnsi="Arial"/>
          <w:sz w:val="18"/>
          <w:szCs w:val="18"/>
          <w:color w:val="000000"/>
        </w:rPr>
        <w:t>Form 8-K, filed on February 10, 2017)</w:t>
      </w:r>
    </w:p>
    <w:p>
      <w:pPr>
        <w:spacing w:after="0" w:line="1" w:lineRule="exact"/>
        <w:rPr>
          <w:sz w:val="20"/>
          <w:szCs w:val="20"/>
          <w:color w:val="auto"/>
        </w:rPr>
      </w:pPr>
    </w:p>
    <w:p>
      <w:pPr>
        <w:sectPr>
          <w:pgSz w:w="11900" w:h="16838" w:orient="portrait"/>
          <w:cols w:equalWidth="0" w:num="2">
            <w:col w:w="480" w:space="420"/>
            <w:col w:w="9820"/>
          </w:cols>
          <w:pgMar w:left="680" w:top="1232" w:right="499" w:bottom="1440" w:gutter="0" w:footer="0" w:header="0"/>
          <w:type w:val="continuous"/>
        </w:sectPr>
      </w:pPr>
    </w:p>
    <w:p>
      <w:pPr>
        <w:jc w:val="both"/>
        <w:ind w:left="900" w:hanging="827"/>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10.15</w:t>
      </w:r>
      <w:r>
        <w:rPr>
          <w:sz w:val="20"/>
          <w:szCs w:val="20"/>
          <w:color w:val="auto"/>
        </w:rPr>
        <w:tab/>
      </w:r>
      <w:hyperlink r:id="rId109">
        <w:r>
          <w:rPr>
            <w:rFonts w:ascii="Arial" w:cs="Arial" w:eastAsia="Arial" w:hAnsi="Arial"/>
            <w:sz w:val="18"/>
            <w:szCs w:val="18"/>
            <w:u w:val="single" w:color="auto"/>
            <w:color w:val="0000FF"/>
          </w:rPr>
          <w:t>Amendment No. 2, dated October 25,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w:t>
        </w:r>
      </w:hyperlink>
      <w:r>
        <w:rPr>
          <w:rFonts w:ascii="Arial" w:cs="Arial" w:eastAsia="Arial" w:hAnsi="Arial"/>
          <w:sz w:val="18"/>
          <w:szCs w:val="18"/>
          <w:color w:val="0000FF"/>
        </w:rPr>
        <w:t xml:space="preserve"> </w:t>
      </w:r>
      <w:r>
        <w:rPr>
          <w:rFonts w:ascii="Arial" w:cs="Arial" w:eastAsia="Arial" w:hAnsi="Arial"/>
          <w:sz w:val="18"/>
          <w:szCs w:val="18"/>
          <w:color w:val="000000"/>
        </w:rPr>
        <w:t>8-K, filed on October 26, 2017)</w:t>
      </w:r>
    </w:p>
    <w:p>
      <w:pPr>
        <w:sectPr>
          <w:pgSz w:w="11900" w:h="16838" w:orient="portrait"/>
          <w:cols w:equalWidth="0" w:num="1">
            <w:col w:w="10720"/>
          </w:cols>
          <w:pgMar w:left="680" w:top="1232" w:right="499"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10.16</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10.17</w:t>
      </w:r>
    </w:p>
    <w:p>
      <w:pPr>
        <w:spacing w:after="0" w:line="20" w:lineRule="exact"/>
        <w:rPr>
          <w:sz w:val="20"/>
          <w:szCs w:val="20"/>
          <w:color w:val="auto"/>
        </w:rPr>
      </w:pPr>
      <w:r>
        <w:rPr>
          <w:sz w:val="20"/>
          <w:szCs w:val="20"/>
          <w:color w:val="auto"/>
        </w:rPr>
        <w:br w:type="column"/>
      </w:r>
    </w:p>
    <w:p>
      <w:pPr>
        <w:spacing w:after="0" w:line="234" w:lineRule="auto"/>
        <w:rPr>
          <w:rFonts w:ascii="Arial" w:cs="Arial" w:eastAsia="Arial" w:hAnsi="Arial"/>
          <w:sz w:val="18"/>
          <w:szCs w:val="18"/>
          <w:color w:val="0000FF"/>
        </w:rPr>
      </w:pPr>
      <w:hyperlink r:id="rId110">
        <w:r>
          <w:rPr>
            <w:rFonts w:ascii="Arial" w:cs="Arial" w:eastAsia="Arial" w:hAnsi="Arial"/>
            <w:sz w:val="18"/>
            <w:szCs w:val="18"/>
            <w:u w:val="single" w:color="auto"/>
            <w:color w:val="0000FF"/>
          </w:rPr>
          <w:t>Credit Agreement, dated May 24, 2018, between NMI Holdings, Inc., the lender party thereto, and JPMorgan Chase Bank, N.A., as</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4.1 to our Form 8-K, filed on May 25, 2018)</w:t>
        </w:r>
      </w:hyperlink>
    </w:p>
    <w:p>
      <w:pPr>
        <w:spacing w:after="0" w:line="1" w:lineRule="exact"/>
        <w:rPr>
          <w:sz w:val="20"/>
          <w:szCs w:val="20"/>
          <w:color w:val="auto"/>
        </w:rPr>
      </w:pPr>
    </w:p>
    <w:p>
      <w:pPr>
        <w:ind w:right="100"/>
        <w:spacing w:after="0" w:line="224" w:lineRule="auto"/>
        <w:rPr>
          <w:rFonts w:ascii="Arial" w:cs="Arial" w:eastAsia="Arial" w:hAnsi="Arial"/>
          <w:sz w:val="18"/>
          <w:szCs w:val="18"/>
          <w:color w:val="0000FF"/>
        </w:rPr>
      </w:pPr>
      <w:hyperlink r:id="rId111">
        <w:r>
          <w:rPr>
            <w:rFonts w:ascii="Arial" w:cs="Arial" w:eastAsia="Arial" w:hAnsi="Arial"/>
            <w:sz w:val="18"/>
            <w:szCs w:val="18"/>
            <w:u w:val="single" w:color="auto"/>
            <w:color w:val="0000FF"/>
          </w:rPr>
          <w:t>Extension Amendment, dated as of March 20, 2020, to the Company’s Credit Agreement, dated as of May 24, 2018, by and among the</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Company, the 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w:t>
        </w:r>
      </w:hyperlink>
      <w:r>
        <w:rPr>
          <w:rFonts w:ascii="Arial" w:cs="Arial" w:eastAsia="Arial" w:hAnsi="Arial"/>
          <w:sz w:val="18"/>
          <w:szCs w:val="18"/>
          <w:color w:val="0000FF"/>
        </w:rPr>
        <w:t xml:space="preserve"> </w:t>
      </w:r>
      <w:r>
        <w:rPr>
          <w:rFonts w:ascii="Arial" w:cs="Arial" w:eastAsia="Arial" w:hAnsi="Arial"/>
          <w:sz w:val="18"/>
          <w:szCs w:val="18"/>
          <w:color w:val="000000"/>
        </w:rPr>
        <w:t>Exhibit 10.1 to our Form 8-K filed on March 20, 2020)</w:t>
      </w:r>
    </w:p>
    <w:p>
      <w:pPr>
        <w:spacing w:after="0" w:line="1" w:lineRule="exact"/>
        <w:rPr>
          <w:sz w:val="20"/>
          <w:szCs w:val="20"/>
          <w:color w:val="auto"/>
        </w:rPr>
      </w:pPr>
    </w:p>
    <w:p>
      <w:pPr>
        <w:sectPr>
          <w:pgSz w:w="11900" w:h="16838" w:orient="portrait"/>
          <w:cols w:equalWidth="0" w:num="2">
            <w:col w:w="480" w:space="420"/>
            <w:col w:w="9820"/>
          </w:cols>
          <w:pgMar w:left="680" w:top="1232" w:right="499" w:bottom="1440" w:gutter="0" w:footer="0" w:header="0"/>
          <w:type w:val="continuous"/>
        </w:sectPr>
      </w:pPr>
    </w:p>
    <w:p>
      <w:pPr>
        <w:ind w:left="900" w:right="40" w:hanging="827"/>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10.18</w:t>
      </w:r>
      <w:r>
        <w:rPr>
          <w:sz w:val="20"/>
          <w:szCs w:val="20"/>
          <w:color w:val="auto"/>
        </w:rPr>
        <w:tab/>
      </w:r>
      <w:hyperlink r:id="rId112">
        <w:r>
          <w:rPr>
            <w:rFonts w:ascii="Arial" w:cs="Arial" w:eastAsia="Arial" w:hAnsi="Arial"/>
            <w:sz w:val="18"/>
            <w:szCs w:val="18"/>
            <w:u w:val="single" w:color="auto"/>
            <w:color w:val="0000FF"/>
          </w:rPr>
          <w:t>Joinder Agreement, dated as of March 20, 2020, to the Company’s Credit Agreement, dated as of May 24, 2018, by and among the</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Company, JPMorgan Chase Bank, N.A. as administrative agent, and Citibank, N.A.</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herein by reference to Exhibit </w:t>
        </w:r>
      </w:hyperlink>
      <w:r>
        <w:rPr>
          <w:rFonts w:ascii="Arial" w:cs="Arial" w:eastAsia="Arial" w:hAnsi="Arial"/>
          <w:sz w:val="18"/>
          <w:szCs w:val="18"/>
          <w:color w:val="0000FF"/>
        </w:rPr>
        <w:t xml:space="preserve">10.2 </w:t>
      </w:r>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our Form 8-K, filed on March 20, 2020)</w:t>
      </w:r>
    </w:p>
    <w:p>
      <w:pPr>
        <w:spacing w:after="0" w:line="1" w:lineRule="exact"/>
        <w:rPr>
          <w:sz w:val="20"/>
          <w:szCs w:val="20"/>
          <w:color w:val="auto"/>
        </w:rPr>
      </w:pPr>
    </w:p>
    <w:p>
      <w:pPr>
        <w:ind w:left="900" w:right="480" w:hanging="827"/>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10.19</w:t>
      </w:r>
      <w:r>
        <w:rPr>
          <w:sz w:val="20"/>
          <w:szCs w:val="20"/>
          <w:color w:val="auto"/>
        </w:rPr>
        <w:tab/>
      </w:r>
      <w:hyperlink r:id="rId113">
        <w:r>
          <w:rPr>
            <w:rFonts w:ascii="Arial" w:cs="Arial" w:eastAsia="Arial" w:hAnsi="Arial"/>
            <w:sz w:val="18"/>
            <w:szCs w:val="18"/>
            <w:u w:val="single" w:color="auto"/>
            <w:color w:val="0000FF"/>
          </w:rPr>
          <w:t>Amendment No. 1, dated as of May 6, 2020, to the Company's Credit Agreement, dated as of May 24, 2018, by and among the</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Company, the 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herein by reference </w:t>
        </w:r>
      </w:hyperlink>
      <w:r>
        <w:rPr>
          <w:rFonts w:ascii="Arial" w:cs="Arial" w:eastAsia="Arial" w:hAnsi="Arial"/>
          <w:sz w:val="18"/>
          <w:szCs w:val="18"/>
          <w:color w:val="0000FF"/>
        </w:rPr>
        <w:t xml:space="preserve">to </w:t>
      </w:r>
      <w:r>
        <w:rPr>
          <w:rFonts w:ascii="Arial" w:cs="Arial" w:eastAsia="Arial" w:hAnsi="Arial"/>
          <w:sz w:val="18"/>
          <w:szCs w:val="18"/>
          <w:color w:val="000000"/>
        </w:rPr>
        <w:t>Exhibit 10.1 to our Form 8-K filed on May 6, 2020)</w:t>
      </w:r>
    </w:p>
    <w:p>
      <w:pPr>
        <w:sectPr>
          <w:pgSz w:w="11900" w:h="16838" w:orient="portrait"/>
          <w:cols w:equalWidth="0" w:num="1">
            <w:col w:w="10720"/>
          </w:cols>
          <w:pgMar w:left="680" w:top="1232" w:right="49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10.20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10.21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10.22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10.23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10.24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10.25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10.26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10.27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10.28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10.29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10.30 ~</w:t>
      </w:r>
    </w:p>
    <w:p>
      <w:pPr>
        <w:spacing w:after="0" w:line="20" w:lineRule="exact"/>
        <w:rPr>
          <w:sz w:val="20"/>
          <w:szCs w:val="20"/>
          <w:color w:val="auto"/>
        </w:rPr>
      </w:pPr>
      <w:r>
        <w:rPr>
          <w:sz w:val="20"/>
          <w:szCs w:val="20"/>
          <w:color w:val="auto"/>
        </w:rPr>
        <w:br w:type="column"/>
      </w:r>
    </w:p>
    <w:p>
      <w:pPr>
        <w:spacing w:after="0" w:line="234" w:lineRule="auto"/>
        <w:rPr>
          <w:rFonts w:ascii="Arial" w:cs="Arial" w:eastAsia="Arial" w:hAnsi="Arial"/>
          <w:sz w:val="18"/>
          <w:szCs w:val="18"/>
          <w:color w:val="0000FF"/>
        </w:rPr>
      </w:pPr>
      <w:hyperlink r:id="rId114">
        <w:r>
          <w:rPr>
            <w:rFonts w:ascii="Arial" w:cs="Arial" w:eastAsia="Arial" w:hAnsi="Arial"/>
            <w:sz w:val="18"/>
            <w:szCs w:val="18"/>
            <w:u w:val="single" w:color="auto"/>
            <w:color w:val="0000FF"/>
          </w:rPr>
          <w:t>NMI Holdings, Inc. Amended and Restated 2014 Omnibus Incentive Plan</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Appendix A to our 2017</w:t>
      </w:r>
      <w:r>
        <w:rPr>
          <w:rFonts w:ascii="Arial" w:cs="Arial" w:eastAsia="Arial" w:hAnsi="Arial"/>
          <w:sz w:val="18"/>
          <w:szCs w:val="18"/>
          <w:color w:val="0000FF"/>
        </w:rPr>
        <w:t xml:space="preserve"> </w:t>
      </w:r>
      <w:r>
        <w:rPr>
          <w:rFonts w:ascii="Arial" w:cs="Arial" w:eastAsia="Arial" w:hAnsi="Arial"/>
          <w:sz w:val="18"/>
          <w:szCs w:val="18"/>
          <w:color w:val="000000"/>
        </w:rPr>
        <w:t>Annual Proxy Statement, filed on March 30, 2017)</w:t>
      </w:r>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15">
        <w:r>
          <w:rPr>
            <w:rFonts w:ascii="Arial" w:cs="Arial" w:eastAsia="Arial" w:hAnsi="Arial"/>
            <w:sz w:val="18"/>
            <w:szCs w:val="18"/>
            <w:u w:val="single" w:color="auto"/>
            <w:color w:val="0000FF"/>
          </w:rPr>
          <w:t>Form of NMI Holdings, Inc. Amended and Restated 2014 Omnibus Incentive Plan Restricted Stock Unit Award Agreement for Chief</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16">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Executive Officers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17">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10.21 to our Form 10-Q filed on August 1, 2017)</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18">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1" w:lineRule="exact"/>
        <w:rPr>
          <w:sz w:val="20"/>
          <w:szCs w:val="20"/>
          <w:color w:val="auto"/>
        </w:rPr>
      </w:pPr>
    </w:p>
    <w:p>
      <w:pPr>
        <w:spacing w:after="0" w:line="248" w:lineRule="auto"/>
        <w:rPr>
          <w:rFonts w:ascii="Arial" w:cs="Arial" w:eastAsia="Arial" w:hAnsi="Arial"/>
          <w:sz w:val="17"/>
          <w:szCs w:val="17"/>
          <w:color w:val="0000FF"/>
        </w:rPr>
      </w:pPr>
      <w:hyperlink r:id="rId119">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119">
        <w:r>
          <w:rPr>
            <w:rFonts w:ascii="Arial" w:cs="Arial" w:eastAsia="Arial" w:hAnsi="Arial"/>
            <w:sz w:val="17"/>
            <w:szCs w:val="17"/>
            <w:u w:val="single" w:color="auto"/>
            <w:color w:val="0000FF"/>
          </w:rPr>
          <w:t>Chief 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1" w:lineRule="exact"/>
        <w:rPr>
          <w:sz w:val="20"/>
          <w:szCs w:val="20"/>
          <w:color w:val="auto"/>
        </w:rPr>
      </w:pPr>
    </w:p>
    <w:p>
      <w:pPr>
        <w:spacing w:after="0" w:line="248" w:lineRule="auto"/>
        <w:rPr>
          <w:rFonts w:ascii="Arial" w:cs="Arial" w:eastAsia="Arial" w:hAnsi="Arial"/>
          <w:sz w:val="17"/>
          <w:szCs w:val="17"/>
          <w:color w:val="0000FF"/>
        </w:rPr>
      </w:pPr>
      <w:hyperlink r:id="rId120">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Executive Officers and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21">
        <w:r>
          <w:rPr>
            <w:rFonts w:ascii="Arial" w:cs="Arial" w:eastAsia="Arial" w:hAnsi="Arial"/>
            <w:sz w:val="18"/>
            <w:szCs w:val="18"/>
            <w:u w:val="single" w:color="auto"/>
            <w:color w:val="0000FF"/>
          </w:rPr>
          <w:t>Form of NMI Holdings, Inc. 2014 Omnibus Incentive Plan Performance Based Restricted Stock Unit Award Agreement for Chief</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22">
        <w:r>
          <w:rPr>
            <w:rFonts w:ascii="Arial" w:cs="Arial" w:eastAsia="Arial" w:hAnsi="Arial"/>
            <w:sz w:val="18"/>
            <w:szCs w:val="18"/>
            <w:u w:val="single" w:color="auto"/>
            <w:color w:val="0000FF"/>
          </w:rPr>
          <w:t>NMI Holdings, Inc. Severance Benefit Plan</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Exhibit 10.1 to our Form 8-K, filed on February 17,</w:t>
      </w:r>
      <w:r>
        <w:rPr>
          <w:rFonts w:ascii="Arial" w:cs="Arial" w:eastAsia="Arial" w:hAnsi="Arial"/>
          <w:sz w:val="18"/>
          <w:szCs w:val="18"/>
          <w:color w:val="0000FF"/>
        </w:rPr>
        <w:t xml:space="preserve"> </w:t>
      </w:r>
      <w:r>
        <w:rPr>
          <w:rFonts w:ascii="Arial" w:cs="Arial" w:eastAsia="Arial" w:hAnsi="Arial"/>
          <w:sz w:val="18"/>
          <w:szCs w:val="18"/>
          <w:color w:val="000000"/>
        </w:rPr>
        <w:t>2016)</w:t>
      </w:r>
    </w:p>
    <w:p>
      <w:pPr>
        <w:spacing w:after="0" w:line="1" w:lineRule="exact"/>
        <w:rPr>
          <w:sz w:val="20"/>
          <w:szCs w:val="20"/>
          <w:color w:val="auto"/>
        </w:rPr>
      </w:pPr>
    </w:p>
    <w:p>
      <w:pPr>
        <w:spacing w:after="0" w:line="234"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NMI Holdings, Inc. Amended and Restated Change in Control Severance Benefit Plan (incorporated herein by reference to Exhibit</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10.30 to our Form 10-Q, filed on October 30, 2018)</w:t>
        </w:r>
      </w:hyperlink>
    </w:p>
    <w:p>
      <w:pPr>
        <w:spacing w:after="0" w:line="1" w:lineRule="exact"/>
        <w:rPr>
          <w:sz w:val="20"/>
          <w:szCs w:val="20"/>
          <w:color w:val="auto"/>
        </w:rPr>
      </w:pPr>
    </w:p>
    <w:p>
      <w:pPr>
        <w:spacing w:after="0"/>
        <w:rPr>
          <w:rFonts w:ascii="Arial" w:cs="Arial" w:eastAsia="Arial" w:hAnsi="Arial"/>
          <w:sz w:val="17"/>
          <w:szCs w:val="17"/>
          <w:color w:val="0000FF"/>
        </w:rPr>
      </w:pPr>
      <w:hyperlink r:id="rId124">
        <w:r>
          <w:rPr>
            <w:rFonts w:ascii="Arial" w:cs="Arial" w:eastAsia="Arial" w:hAnsi="Arial"/>
            <w:sz w:val="17"/>
            <w:szCs w:val="17"/>
            <w:u w:val="single" w:color="auto"/>
            <w:color w:val="0000FF"/>
          </w:rPr>
          <w:t>NMI Holdings, Inc. Clawback Policy</w:t>
        </w:r>
        <w:r>
          <w:rPr>
            <w:rFonts w:ascii="Arial" w:cs="Arial" w:eastAsia="Arial" w:hAnsi="Arial"/>
            <w:sz w:val="17"/>
            <w:szCs w:val="17"/>
            <w:color w:val="0000FF"/>
          </w:rPr>
          <w:t xml:space="preserv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herein by reference to Exhibit 10.2 to our Form 8-K, filed on February 23, 2017)</w:t>
      </w:r>
    </w:p>
    <w:p>
      <w:pPr>
        <w:spacing w:after="0" w:line="201" w:lineRule="exact"/>
        <w:rPr>
          <w:sz w:val="20"/>
          <w:szCs w:val="20"/>
          <w:color w:val="auto"/>
        </w:rPr>
      </w:pPr>
    </w:p>
    <w:p>
      <w:pPr>
        <w:sectPr>
          <w:pgSz w:w="11900" w:h="16838" w:orient="portrait"/>
          <w:cols w:equalWidth="0" w:num="2">
            <w:col w:w="560" w:space="340"/>
            <w:col w:w="9820"/>
          </w:cols>
          <w:pgMar w:left="680" w:top="1232"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680" w:top="1232" w:right="499" w:bottom="1440" w:gutter="0" w:footer="0" w:header="0"/>
          <w:type w:val="continuous"/>
        </w:sectPr>
      </w:pPr>
    </w:p>
    <w:bookmarkStart w:id="64" w:name="page65"/>
    <w:bookmarkEnd w:id="64"/>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10.31 ~</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10.32 ~</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10.33~</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10.34~</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10.35~</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10.36~</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10.37~</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10.38~</w:t>
      </w:r>
    </w:p>
    <w:p>
      <w:pPr>
        <w:spacing w:after="0" w:line="221"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10.39~</w:t>
      </w:r>
    </w:p>
    <w:p>
      <w:pPr>
        <w:spacing w:after="0" w:line="198"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31.2</w:t>
      </w:r>
    </w:p>
    <w:p>
      <w:pPr>
        <w:spacing w:after="0" w:line="63"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32.1 #</w:t>
      </w:r>
    </w:p>
    <w:p>
      <w:pPr>
        <w:spacing w:after="0" w:line="20" w:lineRule="exact"/>
        <w:rPr>
          <w:sz w:val="20"/>
          <w:szCs w:val="20"/>
          <w:color w:val="auto"/>
        </w:rPr>
      </w:pPr>
      <w:r>
        <w:rPr>
          <w:sz w:val="20"/>
          <w:szCs w:val="20"/>
          <w:color w:val="auto"/>
        </w:rPr>
        <w:br w:type="column"/>
      </w:r>
    </w:p>
    <w:p>
      <w:pPr>
        <w:spacing w:after="0" w:line="235" w:lineRule="auto"/>
        <w:rPr>
          <w:rFonts w:ascii="Arial" w:cs="Arial" w:eastAsia="Arial" w:hAnsi="Arial"/>
          <w:sz w:val="18"/>
          <w:szCs w:val="18"/>
          <w:color w:val="0000FF"/>
        </w:rPr>
      </w:pPr>
      <w:hyperlink r:id="rId126">
        <w:r>
          <w:rPr>
            <w:rFonts w:ascii="Arial" w:cs="Arial" w:eastAsia="Arial" w:hAnsi="Arial"/>
            <w:sz w:val="18"/>
            <w:szCs w:val="18"/>
            <w:u w:val="single" w:color="auto"/>
            <w:color w:val="0000FF"/>
          </w:rPr>
          <w:t>Employment Letter by and between NMI Holdings, Inc. and Bradley M. Shuster, effective as of January 1, 2019</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10.1 to our Form 8-K, filed on December 28, 2018)</w:t>
      </w:r>
    </w:p>
    <w:p>
      <w:pPr>
        <w:spacing w:after="0" w:line="234" w:lineRule="auto"/>
        <w:rPr>
          <w:rFonts w:ascii="Arial" w:cs="Arial" w:eastAsia="Arial" w:hAnsi="Arial"/>
          <w:sz w:val="18"/>
          <w:szCs w:val="18"/>
          <w:color w:val="0000FF"/>
        </w:rPr>
      </w:pPr>
      <w:hyperlink r:id="rId127">
        <w:r>
          <w:rPr>
            <w:rFonts w:ascii="Arial" w:cs="Arial" w:eastAsia="Arial" w:hAnsi="Arial"/>
            <w:sz w:val="18"/>
            <w:szCs w:val="18"/>
            <w:u w:val="single" w:color="auto"/>
            <w:color w:val="0000FF"/>
          </w:rPr>
          <w:t>Employment Letter by and between NMI Holdings, Inc. and Claudia J. Merkle, effective as of January 1, 2019</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10.2 to our Form 8-K, filed on December 28, 2018)</w:t>
      </w:r>
    </w:p>
    <w:p>
      <w:pPr>
        <w:spacing w:after="0" w:line="1" w:lineRule="exact"/>
        <w:rPr>
          <w:sz w:val="20"/>
          <w:szCs w:val="20"/>
          <w:color w:val="auto"/>
        </w:rPr>
      </w:pPr>
    </w:p>
    <w:p>
      <w:pPr>
        <w:spacing w:after="0" w:line="234" w:lineRule="auto"/>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Form of NMI Holdings, Inc. 2012 Stock Incentive Plan Restricted Stock Unit Award Agreement for Independent Directors</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10.30 to our Form 10-Q, filed on May 2, 2019)</w:t>
      </w:r>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29">
        <w:r>
          <w:rPr>
            <w:rFonts w:ascii="Arial" w:cs="Arial" w:eastAsia="Arial" w:hAnsi="Arial"/>
            <w:sz w:val="18"/>
            <w:szCs w:val="18"/>
            <w:u w:val="single" w:color="auto"/>
            <w:color w:val="0000FF"/>
          </w:rPr>
          <w:t>Form of NMI Holdings, Inc. 2012 Stock Incentive Plan Restricted Stock Unit Award Agreement for Employees</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10.31 to our Form 10-Q, filed on May 2, 2019)</w:t>
      </w:r>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30">
        <w:r>
          <w:rPr>
            <w:rFonts w:ascii="Arial" w:cs="Arial" w:eastAsia="Arial" w:hAnsi="Arial"/>
            <w:sz w:val="18"/>
            <w:szCs w:val="18"/>
            <w:u w:val="single" w:color="auto"/>
            <w:color w:val="0000FF"/>
          </w:rPr>
          <w:t>Form of NMI Holdings, Inc. 2012 Stock Incentive Plan Nonqualified Stock Option Agreement for Employees</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10.32 to our Form 10-Q, filed on May 2, 2019)</w:t>
      </w:r>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31">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10.33 to our Form 10-Q, filed on May 2, 2019)</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32">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10.34 to our Form 10-Q, filed on May 2, 2019)</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33">
        <w:r>
          <w:rPr>
            <w:rFonts w:ascii="Arial" w:cs="Arial" w:eastAsia="Arial" w:hAnsi="Arial"/>
            <w:sz w:val="18"/>
            <w:szCs w:val="18"/>
            <w:u w:val="single" w:color="auto"/>
            <w:color w:val="0000FF"/>
          </w:rPr>
          <w:t>Form of NMI Holdings, Inc. Amended and Restated 2014 Omnibus Incentive Plan Nonqualified Stock Option Agreement for</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10.35 to our Form 10-Q, filed on May 2, 2019)</w:t>
        </w:r>
      </w:hyperlink>
    </w:p>
    <w:p>
      <w:pPr>
        <w:spacing w:after="0" w:line="1" w:lineRule="exact"/>
        <w:rPr>
          <w:sz w:val="20"/>
          <w:szCs w:val="20"/>
          <w:color w:val="auto"/>
        </w:rPr>
      </w:pPr>
    </w:p>
    <w:p>
      <w:pPr>
        <w:ind w:right="900"/>
        <w:spacing w:after="0" w:line="264" w:lineRule="auto"/>
        <w:rPr>
          <w:rFonts w:ascii="Arial" w:cs="Arial" w:eastAsia="Arial" w:hAnsi="Arial"/>
          <w:sz w:val="16"/>
          <w:szCs w:val="16"/>
          <w:color w:val="0000FF"/>
        </w:rPr>
      </w:pPr>
      <w:hyperlink r:id="rId134">
        <w:r>
          <w:rPr>
            <w:rFonts w:ascii="Arial" w:cs="Arial" w:eastAsia="Arial" w:hAnsi="Arial"/>
            <w:sz w:val="16"/>
            <w:szCs w:val="16"/>
            <w:u w:val="single" w:color="auto"/>
            <w:color w:val="0000FF"/>
          </w:rPr>
          <w:t>Form of NMI Holdings, Inc. Amended and Restated 2014 Omnibus Incentive Plan Restricted Stock Unit Award Agreement</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(Performance Based)</w:t>
        </w:r>
        <w:r>
          <w:rPr>
            <w:rFonts w:ascii="Arial" w:cs="Arial" w:eastAsia="Arial" w:hAnsi="Arial"/>
            <w:sz w:val="16"/>
            <w:szCs w:val="16"/>
            <w:color w:val="0000FF"/>
          </w:rPr>
          <w:t xml:space="preserve"> </w:t>
        </w:r>
        <w:r>
          <w:rPr>
            <w:rFonts w:ascii="Arial" w:cs="Arial" w:eastAsia="Arial" w:hAnsi="Arial"/>
            <w:sz w:val="16"/>
            <w:szCs w:val="16"/>
            <w:color w:val="000000"/>
          </w:rPr>
          <w:t>(incorporated herein by reference to Exhibit 10.38 to our Form 10-Q, filed on May 7, 2020)</w:t>
        </w:r>
      </w:hyperlink>
    </w:p>
    <w:p>
      <w:pPr>
        <w:spacing w:after="0"/>
        <w:rPr>
          <w:rFonts w:ascii="Arial" w:cs="Arial" w:eastAsia="Arial" w:hAnsi="Arial"/>
          <w:sz w:val="17"/>
          <w:szCs w:val="17"/>
          <w:color w:val="0000FF"/>
        </w:rPr>
      </w:pPr>
      <w:hyperlink r:id="rId135">
        <w:r>
          <w:rPr>
            <w:rFonts w:ascii="Arial" w:cs="Arial" w:eastAsia="Arial" w:hAnsi="Arial"/>
            <w:sz w:val="17"/>
            <w:szCs w:val="17"/>
            <w:u w:val="single" w:color="auto"/>
            <w:color w:val="0000FF"/>
          </w:rPr>
          <w:t>Subsidiaries of NMI Holdings, Inc</w:t>
        </w:r>
        <w:r>
          <w:rPr>
            <w:rFonts w:ascii="Arial" w:cs="Arial" w:eastAsia="Arial" w:hAnsi="Arial"/>
            <w:sz w:val="17"/>
            <w:szCs w:val="17"/>
            <w:color w:val="0000FF"/>
          </w:rPr>
          <w:t xml:space="preserv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herein by reference to Exhibit 21.1 to our Form 10-Q, filed on October 30, 2015)</w:t>
      </w:r>
    </w:p>
    <w:p>
      <w:pPr>
        <w:spacing w:after="0" w:line="74" w:lineRule="exact"/>
        <w:rPr>
          <w:sz w:val="20"/>
          <w:szCs w:val="20"/>
          <w:color w:val="auto"/>
        </w:rPr>
      </w:pPr>
    </w:p>
    <w:p>
      <w:pPr>
        <w:ind w:right="2460"/>
        <w:spacing w:after="0" w:line="352" w:lineRule="auto"/>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Principal Executive Officer's Certification Pursuant to Section 302 of the Sarbanes-Oxley Act of 2002</w:t>
        </w:r>
      </w:hyperlink>
      <w:r>
        <w:rPr>
          <w:rFonts w:ascii="Arial" w:cs="Arial" w:eastAsia="Arial" w:hAnsi="Arial"/>
          <w:sz w:val="16"/>
          <w:szCs w:val="16"/>
          <w:u w:val="single" w:color="auto"/>
          <w:color w:val="0000FF"/>
        </w:rPr>
        <w:t xml:space="preserve"> </w:t>
      </w:r>
      <w:hyperlink w:anchor="page68">
        <w:r>
          <w:rPr>
            <w:rFonts w:ascii="Arial" w:cs="Arial" w:eastAsia="Arial" w:hAnsi="Arial"/>
            <w:sz w:val="16"/>
            <w:szCs w:val="16"/>
            <w:u w:val="single" w:color="auto"/>
            <w:color w:val="0000FF"/>
          </w:rPr>
          <w:t>Principal Financial Officer's Certification Pursuant to Section 302 of the Sarbanes-Oxley Act of 2002</w:t>
        </w:r>
      </w:hyperlink>
    </w:p>
    <w:p>
      <w:pPr>
        <w:spacing w:after="0" w:line="235" w:lineRule="auto"/>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Certifications of CEO and CFO Pursuant to 18 U.S.C. Section 1350, as Adopted Pursuant to Section 906 of the Sarbanes-Oxley Act of</w:t>
        </w:r>
      </w:hyperlink>
      <w:r>
        <w:rPr>
          <w:rFonts w:ascii="Arial" w:cs="Arial" w:eastAsia="Arial" w:hAnsi="Arial"/>
          <w:sz w:val="18"/>
          <w:szCs w:val="18"/>
          <w:u w:val="single" w:color="auto"/>
          <w:color w:val="0000FF"/>
        </w:rPr>
        <w:t xml:space="preserve"> </w:t>
      </w:r>
      <w:hyperlink w:anchor="page69">
        <w:r>
          <w:rPr>
            <w:rFonts w:ascii="Arial" w:cs="Arial" w:eastAsia="Arial" w:hAnsi="Arial"/>
            <w:sz w:val="18"/>
            <w:szCs w:val="18"/>
            <w:u w:val="single" w:color="auto"/>
            <w:color w:val="0000FF"/>
          </w:rPr>
          <w:t>2002</w:t>
        </w:r>
      </w:hyperlink>
    </w:p>
    <w:p>
      <w:pPr>
        <w:spacing w:after="0" w:line="13" w:lineRule="exact"/>
        <w:rPr>
          <w:sz w:val="20"/>
          <w:szCs w:val="20"/>
          <w:color w:val="auto"/>
        </w:rPr>
      </w:pPr>
    </w:p>
    <w:p>
      <w:pPr>
        <w:sectPr>
          <w:pgSz w:w="11900" w:h="16838" w:orient="portrait"/>
          <w:cols w:equalWidth="0" w:num="2">
            <w:col w:w="580" w:space="340"/>
            <w:col w:w="9820"/>
          </w:cols>
          <w:pgMar w:left="660" w:top="1232" w:right="499" w:bottom="1440" w:gutter="0" w:footer="0" w:header="0"/>
        </w:sectPr>
      </w:pPr>
    </w:p>
    <w:p>
      <w:pPr>
        <w:ind w:left="920" w:right="320" w:hanging="753"/>
        <w:spacing w:after="0" w:line="277" w:lineRule="auto"/>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Quarterly Report on Form 10-Q for the quarter ended June 30, 2020 formatted in XBRL (eXtensible Business Reporting Language):</w:t>
      </w:r>
    </w:p>
    <w:p>
      <w:pPr>
        <w:spacing w:after="0" w:line="8" w:lineRule="exact"/>
        <w:rPr>
          <w:rFonts w:ascii="Arial" w:cs="Arial" w:eastAsia="Arial" w:hAnsi="Arial"/>
          <w:sz w:val="18"/>
          <w:szCs w:val="18"/>
          <w:color w:val="auto"/>
        </w:rPr>
      </w:pPr>
    </w:p>
    <w:p>
      <w:pPr>
        <w:ind w:left="1140" w:hanging="212"/>
        <w:spacing w:after="0"/>
        <w:tabs>
          <w:tab w:leader="none" w:pos="11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Condensed Consolidated Balance Sheets as of June 30, 2020 and December 31, 2019;</w:t>
      </w:r>
    </w:p>
    <w:p>
      <w:pPr>
        <w:spacing w:after="0" w:line="63" w:lineRule="exact"/>
        <w:rPr>
          <w:rFonts w:ascii="Arial" w:cs="Arial" w:eastAsia="Arial" w:hAnsi="Arial"/>
          <w:sz w:val="18"/>
          <w:szCs w:val="18"/>
          <w:color w:val="auto"/>
        </w:rPr>
      </w:pPr>
    </w:p>
    <w:p>
      <w:pPr>
        <w:ind w:left="920" w:right="140" w:firstLine="8"/>
        <w:spacing w:after="0" w:line="277" w:lineRule="auto"/>
        <w:tabs>
          <w:tab w:leader="none" w:pos="1185" w:val="left"/>
        </w:tabs>
        <w:numPr>
          <w:ilvl w:val="2"/>
          <w:numId w:val="41"/>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(Loss) for the three and six months ended June 30, 2020 and 2019;</w:t>
      </w:r>
    </w:p>
    <w:p>
      <w:pPr>
        <w:spacing w:after="0" w:line="8" w:lineRule="exact"/>
        <w:rPr>
          <w:rFonts w:ascii="Arial" w:cs="Arial" w:eastAsia="Arial" w:hAnsi="Arial"/>
          <w:sz w:val="18"/>
          <w:szCs w:val="18"/>
          <w:color w:val="auto"/>
        </w:rPr>
      </w:pPr>
    </w:p>
    <w:p>
      <w:pPr>
        <w:ind w:left="1240" w:hanging="312"/>
        <w:spacing w:after="0"/>
        <w:tabs>
          <w:tab w:leader="none" w:pos="1240" w:val="left"/>
        </w:tabs>
        <w:numPr>
          <w:ilvl w:val="2"/>
          <w:numId w:val="41"/>
        </w:numPr>
        <w:rPr>
          <w:rFonts w:ascii="Arial" w:cs="Arial" w:eastAsia="Arial" w:hAnsi="Arial"/>
          <w:sz w:val="17"/>
          <w:szCs w:val="17"/>
          <w:color w:val="auto"/>
        </w:rPr>
      </w:pPr>
      <w:r>
        <w:rPr>
          <w:rFonts w:ascii="Arial" w:cs="Arial" w:eastAsia="Arial" w:hAnsi="Arial"/>
          <w:sz w:val="17"/>
          <w:szCs w:val="17"/>
          <w:color w:val="auto"/>
        </w:rPr>
        <w:t>Condensed Consolidated Statements of Changes in Shareholders' Equity for the six months ended June 30, 2020 and 2019;</w:t>
      </w:r>
    </w:p>
    <w:p>
      <w:pPr>
        <w:spacing w:after="0" w:line="74" w:lineRule="exact"/>
        <w:rPr>
          <w:rFonts w:ascii="Arial" w:cs="Arial" w:eastAsia="Arial" w:hAnsi="Arial"/>
          <w:sz w:val="17"/>
          <w:szCs w:val="17"/>
          <w:color w:val="auto"/>
        </w:rPr>
      </w:pPr>
    </w:p>
    <w:p>
      <w:pPr>
        <w:ind w:left="1240" w:hanging="312"/>
        <w:spacing w:after="0"/>
        <w:tabs>
          <w:tab w:leader="none" w:pos="12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2020 and 2019; and</w:t>
      </w:r>
    </w:p>
    <w:p>
      <w:pPr>
        <w:spacing w:after="0" w:line="63" w:lineRule="exact"/>
        <w:rPr>
          <w:rFonts w:ascii="Arial" w:cs="Arial" w:eastAsia="Arial" w:hAnsi="Arial"/>
          <w:sz w:val="18"/>
          <w:szCs w:val="18"/>
          <w:color w:val="auto"/>
        </w:rPr>
      </w:pPr>
    </w:p>
    <w:p>
      <w:pPr>
        <w:ind w:left="920" w:right="40" w:firstLine="8"/>
        <w:spacing w:after="0" w:line="277" w:lineRule="auto"/>
        <w:tabs>
          <w:tab w:leader="none" w:pos="1175" w:val="left"/>
        </w:tabs>
        <w:numPr>
          <w:ilvl w:val="2"/>
          <w:numId w:val="41"/>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The instance document does not appear in the Interactive Data File because XBRL tags are embedded within the Inline XBRL document.</w:t>
      </w:r>
    </w:p>
    <w:p>
      <w:pPr>
        <w:spacing w:after="0" w:line="390" w:lineRule="exact"/>
        <w:rPr>
          <w:rFonts w:ascii="Arial" w:cs="Arial" w:eastAsia="Arial" w:hAnsi="Arial"/>
          <w:sz w:val="18"/>
          <w:szCs w:val="18"/>
          <w:color w:val="auto"/>
        </w:rPr>
      </w:pPr>
    </w:p>
    <w:p>
      <w:pPr>
        <w:ind w:left="280" w:hanging="277"/>
        <w:spacing w:after="0"/>
        <w:tabs>
          <w:tab w:leader="none" w:pos="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73" w:lineRule="exact"/>
        <w:rPr>
          <w:sz w:val="20"/>
          <w:szCs w:val="20"/>
          <w:color w:val="auto"/>
        </w:rPr>
      </w:pPr>
    </w:p>
    <w:p>
      <w:pPr>
        <w:ind w:left="280" w:hanging="277"/>
        <w:spacing w:after="0"/>
        <w:tabs>
          <w:tab w:leader="none" w:pos="2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Confidential treatment granted as to certain portions, which portions have been filed separately with the SEC.</w:t>
      </w:r>
    </w:p>
    <w:p>
      <w:pPr>
        <w:spacing w:after="0" w:line="73" w:lineRule="exact"/>
        <w:rPr>
          <w:sz w:val="20"/>
          <w:szCs w:val="20"/>
          <w:color w:val="auto"/>
        </w:rPr>
      </w:pPr>
    </w:p>
    <w:p>
      <w:pPr>
        <w:ind w:left="280" w:right="200" w:hanging="277"/>
        <w:spacing w:after="0" w:line="305" w:lineRule="auto"/>
        <w:tabs>
          <w:tab w:leader="none" w:pos="2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660" w:top="1232" w:right="49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NMI HOLDINGS, INC.</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August 5, 2020</w:t>
      </w:r>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2813050</wp:posOffset>
            </wp:positionH>
            <wp:positionV relativeFrom="paragraph">
              <wp:posOffset>-10160</wp:posOffset>
            </wp:positionV>
            <wp:extent cx="14376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7">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4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 Adam S. Pollitzer</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42"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Claudia J. Merkle, certify that:</w:t>
      </w:r>
    </w:p>
    <w:p>
      <w:pPr>
        <w:spacing w:after="0" w:line="11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40"/>
        <w:spacing w:after="0"/>
        <w:tabs>
          <w:tab w:leader="none" w:pos="4760" w:val="left"/>
        </w:tabs>
        <w:rPr>
          <w:sz w:val="20"/>
          <w:szCs w:val="20"/>
          <w:color w:val="auto"/>
        </w:rPr>
      </w:pPr>
      <w:r>
        <w:rPr>
          <w:rFonts w:ascii="Arial" w:cs="Arial" w:eastAsia="Arial" w:hAnsi="Arial"/>
          <w:sz w:val="18"/>
          <w:szCs w:val="18"/>
          <w:u w:val="single" w:color="auto"/>
          <w:color w:val="auto"/>
        </w:rPr>
        <w:t>August 5, 2020</w:t>
      </w:r>
      <w:r>
        <w:rPr>
          <w:sz w:val="20"/>
          <w:szCs w:val="20"/>
          <w:color w:val="auto"/>
        </w:rPr>
        <w:tab/>
      </w:r>
      <w:r>
        <w:rPr>
          <w:rFonts w:ascii="Arial" w:cs="Arial" w:eastAsia="Arial" w:hAnsi="Arial"/>
          <w:sz w:val="16"/>
          <w:szCs w:val="16"/>
          <w:color w:val="auto"/>
        </w:rPr>
        <w:t>/s/ Claudia J. Merkle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-10160</wp:posOffset>
            </wp:positionV>
            <wp:extent cx="17805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8">
                      <a:extLst>
                        <a:ext uri="{28A0092B-C50C-407E-A947-70E740481C1C}"/>
                      </a:extLst>
                    </a:blip>
                    <a:srcRect/>
                    <a:stretch>
                      <a:fillRect/>
                    </a:stretch>
                  </pic:blipFill>
                  <pic:spPr bwMode="auto">
                    <a:xfrm>
                      <a:off x="0" y="0"/>
                      <a:ext cx="1780540" cy="8255"/>
                    </a:xfrm>
                    <a:prstGeom prst="rect">
                      <a:avLst/>
                    </a:prstGeom>
                    <a:noFill/>
                  </pic:spPr>
                </pic:pic>
              </a:graphicData>
            </a:graphic>
          </wp:anchor>
        </w:drawing>
      </w:r>
    </w:p>
    <w:p>
      <w:pPr>
        <w:spacing w:after="0" w:line="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Claudia J. Merkle</w:t>
      </w:r>
    </w:p>
    <w:p>
      <w:pPr>
        <w:spacing w:after="0" w:line="6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7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5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820" w:hanging="326"/>
        <w:spacing w:after="0" w:line="263" w:lineRule="auto"/>
        <w:tabs>
          <w:tab w:leader="none" w:pos="81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820" w:hanging="326"/>
        <w:spacing w:after="0" w:line="308" w:lineRule="auto"/>
        <w:tabs>
          <w:tab w:leader="none" w:pos="811"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820" w:hanging="326"/>
        <w:spacing w:after="0" w:line="263" w:lineRule="auto"/>
        <w:tabs>
          <w:tab w:leader="none" w:pos="8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820" w:hanging="326"/>
        <w:spacing w:after="0" w:line="277" w:lineRule="auto"/>
        <w:tabs>
          <w:tab w:leader="none" w:pos="81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326"/>
        <w:spacing w:after="0" w:line="277" w:lineRule="auto"/>
        <w:tabs>
          <w:tab w:leader="none" w:pos="8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40"/>
        <w:spacing w:after="0"/>
        <w:tabs>
          <w:tab w:leader="none" w:pos="4540" w:val="left"/>
        </w:tabs>
        <w:rPr>
          <w:sz w:val="20"/>
          <w:szCs w:val="20"/>
          <w:color w:val="auto"/>
        </w:rPr>
      </w:pPr>
      <w:r>
        <w:rPr>
          <w:rFonts w:ascii="Arial" w:cs="Arial" w:eastAsia="Arial" w:hAnsi="Arial"/>
          <w:sz w:val="18"/>
          <w:szCs w:val="18"/>
          <w:u w:val="single" w:color="auto"/>
          <w:color w:val="auto"/>
        </w:rPr>
        <w:t>August 5, 2020</w:t>
      </w:r>
      <w:r>
        <w:rPr>
          <w:sz w:val="20"/>
          <w:szCs w:val="20"/>
          <w:color w:val="auto"/>
        </w:rPr>
        <w:tab/>
      </w:r>
      <w:r>
        <w:rPr>
          <w:rFonts w:ascii="Arial" w:cs="Arial" w:eastAsia="Arial" w:hAnsi="Arial"/>
          <w:sz w:val="16"/>
          <w:szCs w:val="16"/>
          <w:color w:val="auto"/>
        </w:rPr>
        <w:t>/s/ Adam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-10160</wp:posOffset>
            </wp:positionV>
            <wp:extent cx="18313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7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June 30, 2020,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August 5, 2020</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 Claudia J. Merkle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Claudia Merkle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August 5, 2020</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 Adam S. Pollitzer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1"/>
    </w:lvl>
  </w:abstractNum>
  <w:abstractNum w:abstractNumId="14">
    <w:nsid w:val="8138641"/>
    <w:multiLevelType w:val="hybridMultilevel"/>
    <w:lvl w:ilvl="0">
      <w:lvlJc w:val="left"/>
      <w:lvlText w:val="(%1)"/>
      <w:numFmt w:val="lowerRoman"/>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lvl w:ilvl="1">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lowerRoman"/>
      <w:start w:val="3"/>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32"/>
    </w:lvl>
  </w:abstractNum>
  <w:abstractNum w:abstractNumId="29">
    <w:nsid w:val="7724C67E"/>
    <w:multiLevelType w:val="hybridMultilevel"/>
    <w:lvl w:ilvl="0">
      <w:lvlJc w:val="left"/>
      <w:lvlText w:val="%1"/>
      <w:numFmt w:val="decimal"/>
      <w:start w:val="13"/>
    </w:lvl>
  </w:abstractNum>
  <w:abstractNum w:abstractNumId="30">
    <w:nsid w:val="5C482A97"/>
    <w:multiLevelType w:val="hybridMultilevel"/>
    <w:lvl w:ilvl="0">
      <w:lvlJc w:val="left"/>
      <w:lvlText w:val="%1"/>
      <w:numFmt w:val="decimal"/>
      <w:start w:val="40"/>
    </w:lvl>
  </w:abstractNum>
  <w:abstractNum w:abstractNumId="31">
    <w:nsid w:val="2463B9EA"/>
    <w:multiLevelType w:val="hybridMultilevel"/>
    <w:lvl w:ilvl="0">
      <w:lvlJc w:val="left"/>
      <w:lvlText w:val="%1"/>
      <w:numFmt w:val="decimal"/>
      <w:start w:val="15"/>
    </w:lvl>
  </w:abstractNum>
  <w:abstractNum w:abstractNumId="32">
    <w:nsid w:val="5E884ADC"/>
    <w:multiLevelType w:val="hybridMultilevel"/>
    <w:lvl w:ilvl="0">
      <w:lvlJc w:val="left"/>
      <w:lvlText w:val="%1"/>
      <w:numFmt w:val="decimal"/>
      <w:start w:val="20"/>
    </w:lvl>
  </w:abstractNum>
  <w:abstractNum w:abstractNumId="33">
    <w:nsid w:val="51EAD36B"/>
    <w:multiLevelType w:val="hybridMultilevel"/>
    <w:lvl w:ilvl="0">
      <w:lvlJc w:val="left"/>
      <w:lvlText w:val="%1"/>
      <w:numFmt w:val="decimal"/>
      <w:start w:val="19"/>
    </w:lvl>
  </w:abstractNum>
  <w:abstractNum w:abstractNumId="34">
    <w:nsid w:val="2D517796"/>
    <w:multiLevelType w:val="hybridMultilevel"/>
    <w:lvl w:ilvl="0">
      <w:lvlJc w:val="left"/>
      <w:lvlText w:val="%1"/>
      <w:numFmt w:val="decimal"/>
      <w:start w:val="47"/>
    </w:lvl>
  </w:abstractNum>
  <w:abstractNum w:abstractNumId="35">
    <w:nsid w:val="580BD78F"/>
    <w:multiLevelType w:val="hybridMultilevel"/>
    <w:lvl w:ilvl="0">
      <w:lvlJc w:val="left"/>
      <w:lvlText w:val="%1"/>
      <w:numFmt w:val="decimal"/>
      <w:start w:val="14"/>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03" Type="http://schemas.openxmlformats.org/officeDocument/2006/relationships/image" Target="media/image76.png"/><Relationship Id="rId125" Type="http://schemas.openxmlformats.org/officeDocument/2006/relationships/image" Target="media/image77.png"/><Relationship Id="rId136" Type="http://schemas.openxmlformats.org/officeDocument/2006/relationships/image" Target="media/image78.png"/><Relationship Id="rId137" Type="http://schemas.openxmlformats.org/officeDocument/2006/relationships/image" Target="media/image79.png"/><Relationship Id="rId138" Type="http://schemas.openxmlformats.org/officeDocument/2006/relationships/image" Target="media/image80.png"/><Relationship Id="rId139" Type="http://schemas.openxmlformats.org/officeDocument/2006/relationships/image" Target="media/image81.png"/><Relationship Id="rId83" Type="http://schemas.openxmlformats.org/officeDocument/2006/relationships/hyperlink" Target="http://www.sec.gov/Archives/edgar/data/1547903/000154790313000020/a21macstockpurchaseagreeme.htm" TargetMode="External"/><Relationship Id="rId84" Type="http://schemas.openxmlformats.org/officeDocument/2006/relationships/hyperlink" Target="http://www.sec.gov/Archives/edgar/data/1547903/000154790313000020/a22amendmenttomacpurhcasea.htm" TargetMode="External"/><Relationship Id="rId85" Type="http://schemas.openxmlformats.org/officeDocument/2006/relationships/hyperlink" Target="http://www.sec.gov/Archives/edgar/data/1547903/000154790313000020/a31secondamendedandrestate.htm" TargetMode="External"/><Relationship Id="rId86" Type="http://schemas.openxmlformats.org/officeDocument/2006/relationships/hyperlink" Target="http://www.sec.gov/Archives/edgar/data/1547903/000154790314000152/exhibit31december92014.htm" TargetMode="External"/><Relationship Id="rId87" Type="http://schemas.openxmlformats.org/officeDocument/2006/relationships/hyperlink" Target="http://www.sec.gov/Archives/edgar/data/1547903/000154790313000020/a41specimenclassacommonsto.htm" TargetMode="External"/><Relationship Id="rId88" Type="http://schemas.openxmlformats.org/officeDocument/2006/relationships/hyperlink" Target="http://www.sec.gov/Archives/edgar/data/1547903/000154790313000020/a42registrationrightsagree.htm" TargetMode="External"/><Relationship Id="rId89" Type="http://schemas.openxmlformats.org/officeDocument/2006/relationships/hyperlink" Target="http://www.sec.gov/Archives/edgar/data/1547903/000154790313000020/a43registrationrightsagree.htm" TargetMode="External"/><Relationship Id="rId90" Type="http://schemas.openxmlformats.org/officeDocument/2006/relationships/hyperlink" Target="http://www.sec.gov/Archives/edgar/data/1547903/000154790313000020/a44registrationrightsagree.htm" TargetMode="External"/><Relationship Id="rId91" Type="http://schemas.openxmlformats.org/officeDocument/2006/relationships/hyperlink" Target="http://www.sec.gov/Archives/edgar/data/1547903/000154790313000020/a45warrantno1fbrcapitalmar.htm" TargetMode="External"/><Relationship Id="rId92" Type="http://schemas.openxmlformats.org/officeDocument/2006/relationships/hyperlink" Target="http://www.sec.gov/Archives/edgar/data/1547903/000154790313000020/a46warrantno2macfinancial4.htm" TargetMode="External"/><Relationship Id="rId93" Type="http://schemas.openxmlformats.org/officeDocument/2006/relationships/hyperlink" Target="https://www.sec.gov/Archives/edgar/data/1547903/000119312520174237/d949308dex41.htm" TargetMode="External"/><Relationship Id="rId94" Type="http://schemas.openxmlformats.org/officeDocument/2006/relationships/hyperlink" Target="http://www.sec.gov/Archives/edgar/data/1547903/000154790313000020/a101nmiholdingsinc2012stoc.htm" TargetMode="External"/><Relationship Id="rId95" Type="http://schemas.openxmlformats.org/officeDocument/2006/relationships/hyperlink" Target="http://www.sec.gov/Archives/edgar/data/1547903/000154790313000020/a103formofnmiholdingsinc20.htm" TargetMode="External"/><Relationship Id="rId96" Type="http://schemas.openxmlformats.org/officeDocument/2006/relationships/hyperlink" Target="http://www.sec.gov/Archives/edgar/data/1547903/000154790313000020/a105formofnonqualifiedstoc.htm" TargetMode="External"/><Relationship Id="rId97" Type="http://schemas.openxmlformats.org/officeDocument/2006/relationships/hyperlink" Target="http://www.sec.gov/Archives/edgar/data/1547903/000154790313000020/a106formofnonqualifiedstoc.htm" TargetMode="External"/><Relationship Id="rId98" Type="http://schemas.openxmlformats.org/officeDocument/2006/relationships/hyperlink" Target="http://www.sec.gov/Archives/edgar/data/1547903/000154790313000020/a107formofnonqualifiedstoc.htm" TargetMode="External"/><Relationship Id="rId99" Type="http://schemas.openxmlformats.org/officeDocument/2006/relationships/hyperlink" Target="http://www.sec.gov/Archives/edgar/data/1547903/000154790317000032/exhibit108-2012stockincent.htm" TargetMode="External"/><Relationship Id="rId100" Type="http://schemas.openxmlformats.org/officeDocument/2006/relationships/hyperlink" Target="http://www.sec.gov/Archives/edgar/data/1547903/000154790317000032/exhibit109-2012stockincent.htm" TargetMode="External"/><Relationship Id="rId101" Type="http://schemas.openxmlformats.org/officeDocument/2006/relationships/hyperlink" Target="http://www.sec.gov/Archives/edgar/data/1547903/000154790315000172/a20151223shusteremployment.htm" TargetMode="External"/><Relationship Id="rId102" Type="http://schemas.openxmlformats.org/officeDocument/2006/relationships/hyperlink" Target="http://www.sec.gov/Archives/edgar/data/1547903/000154790316000230/exhibit1010leatherberrybil.htm" TargetMode="External"/><Relationship Id="rId104" Type="http://schemas.openxmlformats.org/officeDocument/2006/relationships/hyperlink" Target="http://www.sec.gov/Archives/edgar/data/1547903/000154790317000003/exhibit101offerletterdated.htm" TargetMode="External"/><Relationship Id="rId105" Type="http://schemas.openxmlformats.org/officeDocument/2006/relationships/hyperlink" Target="http://www.sec.gov/Archives/edgar/data/1547903/000154790314000146/exhibit101november252014.htm" TargetMode="External"/><Relationship Id="rId106" Type="http://schemas.openxmlformats.org/officeDocument/2006/relationships/hyperlink" Target="http://www.sec.gov/Archives/edgar/data/1547903/000154790313000020/a1014commitmentletterforbu.htm" TargetMode="External"/><Relationship Id="rId107" Type="http://schemas.openxmlformats.org/officeDocument/2006/relationships/hyperlink" Target="http://www.sec.gov/Archives/edgar/data/1547903/000154790315000142/nmihexhibit41tlb.htm" TargetMode="External"/><Relationship Id="rId108" Type="http://schemas.openxmlformats.org/officeDocument/2006/relationships/hyperlink" Target="http://www.sec.gov/Archives/edgar/data/1547903/000154790317000005/exhibit101tlaandannex.htm" TargetMode="External"/><Relationship Id="rId109" Type="http://schemas.openxmlformats.org/officeDocument/2006/relationships/hyperlink" Target="http://www.sec.gov/Archives/edgar/data/1547903/000154790317000115/exhibit101amendmentno2.htm" TargetMode="External"/><Relationship Id="rId110" Type="http://schemas.openxmlformats.org/officeDocument/2006/relationships/hyperlink" Target="http://www.sec.gov/Archives/edgar/data/1547903/000154790318000088/exhibit41-creditagreement.htm" TargetMode="External"/><Relationship Id="rId111" Type="http://schemas.openxmlformats.org/officeDocument/2006/relationships/hyperlink" Target="https://www.sec.gov/Archives/edgar/data/1547903/000154790320000032/exhibit101-extensionam.htm" TargetMode="External"/><Relationship Id="rId112" Type="http://schemas.openxmlformats.org/officeDocument/2006/relationships/hyperlink" Target="https://www.sec.gov/Archives/edgar/data/1547903/000154790320000032/exhibit102joinderagree.htm" TargetMode="External"/><Relationship Id="rId113" Type="http://schemas.openxmlformats.org/officeDocument/2006/relationships/hyperlink" Target="https://www.sec.gov/Archives/edgar/data/1547903/000154790320000043/exhibit101-amendmentto.htm" TargetMode="External"/><Relationship Id="rId114" Type="http://schemas.openxmlformats.org/officeDocument/2006/relationships/hyperlink" Target="http://www.sec.gov/Archives/edgar/data/1547903/000154790317000043/nmihproxy2017.htm" TargetMode="External"/><Relationship Id="rId115" Type="http://schemas.openxmlformats.org/officeDocument/2006/relationships/hyperlink" Target="http://www.sec.gov/Archives/edgar/data/1547903/000154790317000100/ex1019rsuceo.htm" TargetMode="External"/><Relationship Id="rId116" Type="http://schemas.openxmlformats.org/officeDocument/2006/relationships/hyperlink" Target="http://www.sec.gov/Archives/edgar/data/1547903/000154790317000100/ex1020rsueo.htm" TargetMode="External"/><Relationship Id="rId117" Type="http://schemas.openxmlformats.org/officeDocument/2006/relationships/hyperlink" Target="http://www.sec.gov/Archives/edgar/data/1547903/000154790317000100/ex1021rsuee.htm" TargetMode="External"/><Relationship Id="rId118" Type="http://schemas.openxmlformats.org/officeDocument/2006/relationships/hyperlink" Target="http://www.sec.gov/Archives/edgar/data/1547903/000154790317000100/ex1022rsuindependentdirect.htm" TargetMode="External"/><Relationship Id="rId119" Type="http://schemas.openxmlformats.org/officeDocument/2006/relationships/hyperlink" Target="http://www.sec.gov/Archives/edgar/data/1547903/000154790317000100/ex1023nqsceo.htm" TargetMode="External"/><Relationship Id="rId120" Type="http://schemas.openxmlformats.org/officeDocument/2006/relationships/hyperlink" Target="http://www.sec.gov/Archives/edgar/data/1547903/000154790317000100/ex1024nqseoee.htm" TargetMode="External"/><Relationship Id="rId121" Type="http://schemas.openxmlformats.org/officeDocument/2006/relationships/hyperlink" Target="http://www.sec.gov/Archives/edgar/data/1547903/000154790317000032/exhibit1026-2014omnibusinc.htm" TargetMode="External"/><Relationship Id="rId122" Type="http://schemas.openxmlformats.org/officeDocument/2006/relationships/hyperlink" Target="http://www.sec.gov/Archives/edgar/data/1547903/000154790316000185/ex101severancebenefitplan.htm" TargetMode="External"/><Relationship Id="rId123" Type="http://schemas.openxmlformats.org/officeDocument/2006/relationships/hyperlink" Target="http://www.sec.gov/Archives/edgar/data/1547903/000154790318000133/exhibit1030arcicsbp.htm" TargetMode="External"/><Relationship Id="rId124" Type="http://schemas.openxmlformats.org/officeDocument/2006/relationships/hyperlink" Target="http://www.sec.gov/Archives/edgar/data/1547903/000154790317000035/exhibit102.htm" TargetMode="External"/><Relationship Id="rId126" Type="http://schemas.openxmlformats.org/officeDocument/2006/relationships/hyperlink" Target="http://www.sec.gov/Archives/edgar/data/1547903/000154790318000137/exhibit101shuster.htm" TargetMode="External"/><Relationship Id="rId127" Type="http://schemas.openxmlformats.org/officeDocument/2006/relationships/hyperlink" Target="http://www.sec.gov/Archives/edgar/data/1547903/000154790318000137/exhibit102merkle.htm" TargetMode="External"/><Relationship Id="rId128" Type="http://schemas.openxmlformats.org/officeDocument/2006/relationships/hyperlink" Target="http://www.sec.gov/Archives/edgar/data/1547903/000154790319000064/exhibit1030.htm" TargetMode="External"/><Relationship Id="rId129" Type="http://schemas.openxmlformats.org/officeDocument/2006/relationships/hyperlink" Target="http://www.sec.gov/Archives/edgar/data/1547903/000154790319000064/exhibit1031.htm" TargetMode="External"/><Relationship Id="rId130" Type="http://schemas.openxmlformats.org/officeDocument/2006/relationships/hyperlink" Target="http://www.sec.gov/Archives/edgar/data/1547903/000154790319000064/exhibit1032.htm" TargetMode="External"/><Relationship Id="rId131" Type="http://schemas.openxmlformats.org/officeDocument/2006/relationships/hyperlink" Target="http://www.sec.gov/Archives/edgar/data/1547903/000154790319000064/exhibit1033.htm" TargetMode="External"/><Relationship Id="rId132" Type="http://schemas.openxmlformats.org/officeDocument/2006/relationships/hyperlink" Target="http://www.sec.gov/Archives/edgar/data/1547903/000154790319000064/exhibit1034.htm" TargetMode="External"/><Relationship Id="rId133" Type="http://schemas.openxmlformats.org/officeDocument/2006/relationships/hyperlink" Target="http://www.sec.gov/Archives/edgar/data/1547903/000154790319000064/exhibit1035.htm" TargetMode="External"/><Relationship Id="rId134" Type="http://schemas.openxmlformats.org/officeDocument/2006/relationships/hyperlink" Target="https://www.sec.gov/Archives/edgar/data/1547903/000154790320000045/ex1038202010q.htm" TargetMode="External"/><Relationship Id="rId135"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2020-08-06T05:27:00Z</dcterms:created>
  <dcterms:modified xsi:type="dcterms:W3CDTF">2020-08-06T05:27:00Z</dcterms:modified>
</cp:coreProperties>
</file>