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(Mark One)</w:t>
      </w:r>
    </w:p>
    <w:p>
      <w:pPr>
        <w:spacing w:after="0" w:line="52" w:lineRule="exact"/>
        <w:rPr>
          <w:sz w:val="24"/>
          <w:szCs w:val="24"/>
          <w:color w:val="auto"/>
        </w:rPr>
      </w:pPr>
    </w:p>
    <w:p>
      <w:pPr>
        <w:ind w:left="680" w:hanging="646"/>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320" w:type="dxa"/>
            <w:vAlign w:val="bottom"/>
          </w:tcPr>
          <w:p>
            <w:pPr>
              <w:spacing w:after="0"/>
              <w:rPr>
                <w:sz w:val="15"/>
                <w:szCs w:val="15"/>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rPr>
              <w:t>OR</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10300" w:type="dxa"/>
            <w:vAlign w:val="bottom"/>
            <w:gridSpan w:val="9"/>
          </w:tcPr>
          <w:p>
            <w:pPr>
              <w:ind w:left="320"/>
              <w:spacing w:after="0"/>
              <w:rPr>
                <w:sz w:val="20"/>
                <w:szCs w:val="20"/>
                <w:color w:val="auto"/>
              </w:rPr>
            </w:pPr>
            <w:r>
              <w:rPr>
                <w:rFonts w:ascii="Times New Roman" w:cs="Times New Roman" w:eastAsia="Times New Roman" w:hAnsi="Times New Roman"/>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07"/>
        </w:trPr>
        <w:tc>
          <w:tcPr>
            <w:tcW w:w="320" w:type="dxa"/>
            <w:vAlign w:val="bottom"/>
            <w:vMerge w:val="continue"/>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9"/>
              </w:rPr>
              <w:t>For the transition period from</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w w:val="98"/>
              </w:rPr>
              <w:t xml:space="preserve">Commission file number </w:t>
            </w:r>
            <w:r>
              <w:rPr>
                <w:rFonts w:ascii="Times New Roman" w:cs="Times New Roman" w:eastAsia="Times New Roman" w:hAnsi="Times New Roman"/>
                <w:sz w:val="14"/>
                <w:szCs w:val="14"/>
                <w:b w:val="1"/>
                <w:bCs w:val="1"/>
                <w:color w:val="auto"/>
                <w:w w:val="98"/>
              </w:rPr>
              <w:t>001-36174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4"/>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31"/>
                <w:szCs w:val="31"/>
                <w:b w:val="1"/>
                <w:bCs w:val="1"/>
                <w:color w:val="auto"/>
                <w:w w:val="99"/>
              </w:rPr>
              <w:t>NMI Holdings, Inc.</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60" w:type="dxa"/>
            <w:vAlign w:val="bottom"/>
            <w:gridSpan w:val="3"/>
          </w:tcPr>
          <w:p>
            <w:pPr>
              <w:jc w:val="right"/>
              <w:ind w:right="2131"/>
              <w:spacing w:after="0"/>
              <w:rPr>
                <w:sz w:val="20"/>
                <w:szCs w:val="20"/>
                <w:color w:val="auto"/>
              </w:rPr>
            </w:pPr>
            <w:r>
              <w:rPr>
                <w:rFonts w:ascii="Times New Roman" w:cs="Times New Roman" w:eastAsia="Times New Roman" w:hAnsi="Times New Roman"/>
                <w:sz w:val="14"/>
                <w:szCs w:val="14"/>
                <w:b w:val="1"/>
                <w:bCs w:val="1"/>
                <w:color w:val="auto"/>
              </w:rPr>
              <w:t>45-4914248</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20" w:type="dxa"/>
            <w:vAlign w:val="bottom"/>
            <w:gridSpan w:val="5"/>
          </w:tcPr>
          <w:p>
            <w:pPr>
              <w:jc w:val="center"/>
              <w:ind w:right="2041"/>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3560" w:type="dxa"/>
            <w:vAlign w:val="bottom"/>
            <w:gridSpan w:val="3"/>
          </w:tcPr>
          <w:p>
            <w:pPr>
              <w:jc w:val="center"/>
              <w:ind w:right="1431"/>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2100 Powell Street ,</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Emeryville ,  CA</w:t>
            </w:r>
          </w:p>
        </w:tc>
        <w:tc>
          <w:tcPr>
            <w:tcW w:w="3560" w:type="dxa"/>
            <w:vAlign w:val="bottom"/>
            <w:gridSpan w:val="3"/>
          </w:tcPr>
          <w:p>
            <w:pPr>
              <w:jc w:val="right"/>
              <w:ind w:right="2291"/>
              <w:spacing w:after="0"/>
              <w:rPr>
                <w:sz w:val="20"/>
                <w:szCs w:val="20"/>
                <w:color w:val="auto"/>
              </w:rPr>
            </w:pPr>
            <w:r>
              <w:rPr>
                <w:rFonts w:ascii="Times New Roman" w:cs="Times New Roman" w:eastAsia="Times New Roman" w:hAnsi="Times New Roman"/>
                <w:sz w:val="14"/>
                <w:szCs w:val="14"/>
                <w:b w:val="1"/>
                <w:bCs w:val="1"/>
                <w:color w:val="auto"/>
              </w:rPr>
              <w:t>94608</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20" w:type="dxa"/>
            <w:vAlign w:val="bottom"/>
            <w:gridSpan w:val="5"/>
          </w:tcPr>
          <w:p>
            <w:pPr>
              <w:jc w:val="center"/>
              <w:ind w:right="204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60" w:type="dxa"/>
            <w:vAlign w:val="bottom"/>
          </w:tcPr>
          <w:p>
            <w:pPr>
              <w:spacing w:after="0"/>
              <w:rPr>
                <w:sz w:val="15"/>
                <w:szCs w:val="15"/>
                <w:color w:val="auto"/>
              </w:rPr>
            </w:pPr>
          </w:p>
        </w:tc>
        <w:tc>
          <w:tcPr>
            <w:tcW w:w="3400" w:type="dxa"/>
            <w:vAlign w:val="bottom"/>
            <w:gridSpan w:val="2"/>
          </w:tcPr>
          <w:p>
            <w:pPr>
              <w:jc w:val="center"/>
              <w:ind w:right="1611"/>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474"/>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left="471"/>
              <w:spacing w:after="0"/>
              <w:rPr>
                <w:sz w:val="20"/>
                <w:szCs w:val="20"/>
                <w:color w:val="auto"/>
              </w:rPr>
            </w:pPr>
            <w:r>
              <w:rPr>
                <w:rFonts w:ascii="Times New Roman" w:cs="Times New Roman" w:eastAsia="Times New Roman" w:hAnsi="Times New Roman"/>
                <w:sz w:val="14"/>
                <w:szCs w:val="14"/>
                <w:b w:val="1"/>
                <w:bCs w:val="1"/>
                <w:color w:val="auto"/>
                <w:w w:val="98"/>
              </w:rPr>
              <w:t>(855) 530-6642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0" w:type="dxa"/>
            <w:vAlign w:val="bottom"/>
            <w:gridSpan w:val="5"/>
          </w:tcPr>
          <w:p>
            <w:pPr>
              <w:jc w:val="center"/>
              <w:ind w:right="297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30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color w:val="auto"/>
                <w:w w:val="98"/>
              </w:rPr>
              <w:t>Class A Common Stock, $.01 par value per share</w:t>
            </w:r>
          </w:p>
        </w:tc>
        <w:tc>
          <w:tcPr>
            <w:tcW w:w="400" w:type="dxa"/>
            <w:vAlign w:val="bottom"/>
          </w:tcPr>
          <w:p>
            <w:pPr>
              <w:spacing w:after="0"/>
              <w:rPr>
                <w:sz w:val="17"/>
                <w:szCs w:val="17"/>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w w:val="96"/>
              </w:rPr>
              <w:t>NMIH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86" w:lineRule="exact"/>
        <w:rPr>
          <w:sz w:val="24"/>
          <w:szCs w:val="24"/>
          <w:color w:val="auto"/>
        </w:rPr>
      </w:pPr>
    </w:p>
    <w:p>
      <w:pPr>
        <w:ind w:right="3960"/>
        <w:spacing w:after="0" w:line="26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156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of June 30, 2022, the last business day of the registrant's most recently completed second fiscal quarter, the calculated aggregate market value of common stock held by non-affiliates was 1,166,991,024.</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$0.01 par value per share, of the registrant outstanding on February 10, 2023 was 83,656,173 shares.</w:t>
      </w:r>
    </w:p>
    <w:p>
      <w:pPr>
        <w:spacing w:after="0" w:line="10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2023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449580</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7"/>
          </w:tcPr>
          <w:p>
            <w:pPr>
              <w:ind w:left="4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8780" w:type="dxa"/>
            <w:vAlign w:val="bottom"/>
            <w:gridSpan w:val="21"/>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tc>
        <w:tc>
          <w:tcPr>
            <w:tcW w:w="2360" w:type="dxa"/>
            <w:vAlign w:val="bottom"/>
            <w:gridSpan w:val="3"/>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3</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0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5</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w:t>
            </w:r>
          </w:p>
        </w:tc>
        <w:tc>
          <w:tcPr>
            <w:tcW w:w="7720" w:type="dxa"/>
            <w:vAlign w:val="bottom"/>
            <w:gridSpan w:val="1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Business</w:t>
            </w:r>
          </w:p>
        </w:tc>
        <w:tc>
          <w:tcPr>
            <w:tcW w:w="2360" w:type="dxa"/>
            <w:vAlign w:val="bottom"/>
            <w:gridSpan w:val="3"/>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1A.</w:t>
            </w:r>
          </w:p>
        </w:tc>
        <w:tc>
          <w:tcPr>
            <w:tcW w:w="77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Risk Factors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1B.</w:t>
            </w:r>
          </w:p>
        </w:tc>
        <w:tc>
          <w:tcPr>
            <w:tcW w:w="1960" w:type="dxa"/>
            <w:vAlign w:val="bottom"/>
            <w:gridSpan w:val="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Unresolved Staff Comments</w:t>
            </w:r>
          </w:p>
        </w:tc>
        <w:tc>
          <w:tcPr>
            <w:tcW w:w="5760" w:type="dxa"/>
            <w:vAlign w:val="bottom"/>
            <w:gridSpan w:val="10"/>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7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5"/>
              </w:rPr>
              <w:t>Properties</w:t>
            </w:r>
          </w:p>
        </w:tc>
        <w:tc>
          <w:tcPr>
            <w:tcW w:w="1260" w:type="dxa"/>
            <w:vAlign w:val="bottom"/>
            <w:gridSpan w:val="6"/>
          </w:tcPr>
          <w:p>
            <w:pPr>
              <w:spacing w:after="0"/>
              <w:rPr>
                <w:sz w:val="15"/>
                <w:szCs w:val="15"/>
                <w:color w:val="auto"/>
              </w:rPr>
            </w:pPr>
          </w:p>
        </w:tc>
        <w:tc>
          <w:tcPr>
            <w:tcW w:w="5760" w:type="dxa"/>
            <w:vAlign w:val="bottom"/>
            <w:gridSpan w:val="10"/>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55</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1280" w:type="dxa"/>
            <w:vAlign w:val="bottom"/>
            <w:tcBorders>
              <w:right w:val="single" w:sz="8" w:color="CCEE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Legal Proceedings</w:t>
            </w:r>
          </w:p>
        </w:tc>
        <w:tc>
          <w:tcPr>
            <w:tcW w:w="6440" w:type="dxa"/>
            <w:vAlign w:val="bottom"/>
            <w:gridSpan w:val="14"/>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77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55</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060" w:type="dxa"/>
            <w:vAlign w:val="bottom"/>
            <w:gridSpan w:val="3"/>
            <w:shd w:val="clear" w:color="auto" w:fill="CCEEFF"/>
          </w:tcPr>
          <w:p>
            <w:pPr>
              <w:ind w:left="20"/>
              <w:spacing w:after="0" w:line="180" w:lineRule="exact"/>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FF"/>
                <w:w w:val="82"/>
                <w:shd w:val="clear" w:color="auto" w:fill="CCEEFF"/>
              </w:rPr>
              <w:t>56</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77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56</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70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88"/>
              </w:rPr>
              <w:t>[Reserved]</w:t>
            </w:r>
          </w:p>
        </w:tc>
        <w:tc>
          <w:tcPr>
            <w:tcW w:w="7020" w:type="dxa"/>
            <w:vAlign w:val="bottom"/>
            <w:tcBorders>
              <w:left w:val="single" w:sz="8" w:color="CCEEFF"/>
            </w:tcBorders>
            <w:gridSpan w:val="16"/>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57</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7.</w:t>
            </w:r>
          </w:p>
        </w:tc>
        <w:tc>
          <w:tcPr>
            <w:tcW w:w="77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58</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7A.</w:t>
            </w:r>
          </w:p>
        </w:tc>
        <w:tc>
          <w:tcPr>
            <w:tcW w:w="418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gridSpan w:val="3"/>
            <w:shd w:val="clear" w:color="auto" w:fill="CCEEFF"/>
          </w:tcPr>
          <w:p>
            <w:pPr>
              <w:spacing w:after="0"/>
              <w:rPr>
                <w:sz w:val="16"/>
                <w:szCs w:val="16"/>
                <w:color w:val="auto"/>
              </w:rPr>
            </w:pPr>
          </w:p>
        </w:tc>
        <w:tc>
          <w:tcPr>
            <w:tcW w:w="1560" w:type="dxa"/>
            <w:vAlign w:val="bottom"/>
            <w:tcBorders>
              <w:left w:val="single" w:sz="8" w:color="CCEEFF"/>
            </w:tcBorders>
            <w:gridSpan w:val="2"/>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89</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8.</w:t>
            </w:r>
          </w:p>
        </w:tc>
        <w:tc>
          <w:tcPr>
            <w:tcW w:w="418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3540" w:type="dxa"/>
            <w:vAlign w:val="bottom"/>
            <w:gridSpan w:val="5"/>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90</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auto"/>
              </w:rPr>
              <w:t>Item 9.</w:t>
            </w:r>
          </w:p>
        </w:tc>
        <w:tc>
          <w:tcPr>
            <w:tcW w:w="6160" w:type="dxa"/>
            <w:vAlign w:val="bottom"/>
            <w:gridSpan w:val="16"/>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FF"/>
                <w:shd w:val="clear" w:color="auto" w:fill="CCEEFF"/>
              </w:rPr>
              <w:t>Changes in and Disagreements with Accountants on Accounting and Financial Disclosure</w:t>
            </w:r>
          </w:p>
        </w:tc>
        <w:tc>
          <w:tcPr>
            <w:tcW w:w="82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FF"/>
                <w:w w:val="93"/>
                <w:shd w:val="clear" w:color="auto" w:fill="CCEEFF"/>
              </w:rPr>
              <w:t>128</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9A.</w:t>
            </w:r>
          </w:p>
        </w:tc>
        <w:tc>
          <w:tcPr>
            <w:tcW w:w="616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1560" w:type="dxa"/>
            <w:vAlign w:val="bottom"/>
            <w:gridSpan w:val="2"/>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128</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auto"/>
              </w:rPr>
              <w:t>Item 9B.</w:t>
            </w:r>
          </w:p>
        </w:tc>
        <w:tc>
          <w:tcPr>
            <w:tcW w:w="1280" w:type="dxa"/>
            <w:vAlign w:val="bottom"/>
            <w:tcBorders>
              <w:right w:val="single" w:sz="8" w:color="CCEEFF"/>
            </w:tcBorders>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FF"/>
                <w:w w:val="99"/>
                <w:shd w:val="clear" w:color="auto" w:fill="CCEEFF"/>
              </w:rPr>
              <w:t>Other Information</w:t>
            </w:r>
          </w:p>
        </w:tc>
        <w:tc>
          <w:tcPr>
            <w:tcW w:w="2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15"/>
                <w:szCs w:val="15"/>
                <w:color w:val="auto"/>
              </w:rPr>
            </w:pPr>
          </w:p>
        </w:tc>
        <w:tc>
          <w:tcPr>
            <w:tcW w:w="820" w:type="dxa"/>
            <w:vAlign w:val="bottom"/>
            <w:gridSpan w:val="2"/>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FF"/>
                <w:w w:val="93"/>
                <w:shd w:val="clear" w:color="auto" w:fill="CCEEFF"/>
              </w:rPr>
              <w:t>130</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9C.</w:t>
            </w:r>
          </w:p>
        </w:tc>
        <w:tc>
          <w:tcPr>
            <w:tcW w:w="47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2980" w:type="dxa"/>
            <w:vAlign w:val="bottom"/>
            <w:gridSpan w:val="4"/>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130</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b w:val="1"/>
                <w:bCs w:val="1"/>
                <w:color w:val="auto"/>
              </w:rPr>
              <w:t>PART III</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131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10.</w:t>
            </w:r>
          </w:p>
        </w:tc>
        <w:tc>
          <w:tcPr>
            <w:tcW w:w="392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3800" w:type="dxa"/>
            <w:vAlign w:val="bottom"/>
            <w:gridSpan w:val="6"/>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131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11.</w:t>
            </w:r>
          </w:p>
        </w:tc>
        <w:tc>
          <w:tcPr>
            <w:tcW w:w="3920" w:type="dxa"/>
            <w:vAlign w:val="bottom"/>
            <w:gridSpan w:val="1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Executive Compensation</w:t>
            </w:r>
          </w:p>
        </w:tc>
        <w:tc>
          <w:tcPr>
            <w:tcW w:w="3800" w:type="dxa"/>
            <w:vAlign w:val="bottom"/>
            <w:gridSpan w:val="6"/>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131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12.</w:t>
            </w:r>
          </w:p>
        </w:tc>
        <w:tc>
          <w:tcPr>
            <w:tcW w:w="77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131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13.</w:t>
            </w:r>
          </w:p>
        </w:tc>
        <w:tc>
          <w:tcPr>
            <w:tcW w:w="522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60" w:type="dxa"/>
            <w:vAlign w:val="bottom"/>
            <w:gridSpan w:val="2"/>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131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14.</w:t>
            </w:r>
          </w:p>
        </w:tc>
        <w:tc>
          <w:tcPr>
            <w:tcW w:w="27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Principal Accountant Fees and Services</w:t>
            </w:r>
          </w:p>
        </w:tc>
        <w:tc>
          <w:tcPr>
            <w:tcW w:w="2480" w:type="dxa"/>
            <w:vAlign w:val="bottom"/>
            <w:gridSpan w:val="6"/>
          </w:tcPr>
          <w:p>
            <w:pPr>
              <w:spacing w:after="0"/>
              <w:rPr>
                <w:sz w:val="15"/>
                <w:szCs w:val="15"/>
                <w:color w:val="auto"/>
              </w:rPr>
            </w:pPr>
          </w:p>
        </w:tc>
        <w:tc>
          <w:tcPr>
            <w:tcW w:w="2500" w:type="dxa"/>
            <w:vAlign w:val="bottom"/>
            <w:gridSpan w:val="3"/>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131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b w:val="1"/>
                <w:bCs w:val="1"/>
                <w:color w:val="auto"/>
              </w:rPr>
              <w:t>PART IV</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132</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15.</w:t>
            </w:r>
          </w:p>
        </w:tc>
        <w:tc>
          <w:tcPr>
            <w:tcW w:w="772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132</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16.</w:t>
            </w:r>
          </w:p>
        </w:tc>
        <w:tc>
          <w:tcPr>
            <w:tcW w:w="148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9"/>
              </w:rPr>
              <w:t>Form 10-K Summary</w:t>
            </w:r>
          </w:p>
        </w:tc>
        <w:tc>
          <w:tcPr>
            <w:tcW w:w="1540" w:type="dxa"/>
            <w:vAlign w:val="bottom"/>
            <w:gridSpan w:val="5"/>
            <w:shd w:val="clear" w:color="auto" w:fill="CCEEFF"/>
          </w:tcPr>
          <w:p>
            <w:pPr>
              <w:spacing w:after="0"/>
              <w:rPr>
                <w:sz w:val="16"/>
                <w:szCs w:val="16"/>
                <w:color w:val="auto"/>
              </w:rPr>
            </w:pPr>
          </w:p>
        </w:tc>
        <w:tc>
          <w:tcPr>
            <w:tcW w:w="4700" w:type="dxa"/>
            <w:vAlign w:val="bottom"/>
            <w:gridSpan w:val="8"/>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93"/>
              </w:rPr>
              <w:t>135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93"/>
              </w:rPr>
              <w:t>136</w:t>
            </w:r>
          </w:p>
        </w:tc>
      </w:tr>
      <w:tr>
        <w:trPr>
          <w:trHeight w:val="29"/>
        </w:trPr>
        <w:tc>
          <w:tcPr>
            <w:tcW w:w="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8760" w:type="dxa"/>
            <w:vAlign w:val="bottom"/>
            <w:gridSpan w:val="20"/>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Index to Financial Statement Schedules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137</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82" w:lineRule="exact"/>
        <w:rPr>
          <w:sz w:val="20"/>
          <w:szCs w:val="20"/>
          <w:color w:val="auto"/>
        </w:rPr>
      </w:pPr>
    </w:p>
    <w:p>
      <w:pPr>
        <w:jc w:val="both"/>
        <w:ind w:firstLine="187"/>
        <w:spacing w:after="0" w:line="25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25" w:lineRule="exact"/>
        <w:rPr>
          <w:sz w:val="20"/>
          <w:szCs w:val="20"/>
          <w:color w:val="auto"/>
        </w:rPr>
      </w:pPr>
    </w:p>
    <w:p>
      <w:pPr>
        <w:jc w:val="both"/>
        <w:ind w:left="1100" w:hanging="320"/>
        <w:spacing w:after="0" w:line="266" w:lineRule="auto"/>
        <w:tabs>
          <w:tab w:leader="none" w:pos="1096"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general economic, market and political conditions and policies (including rising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63" w:lineRule="exact"/>
        <w:rPr>
          <w:rFonts w:ascii="Arial" w:cs="Arial" w:eastAsia="Arial" w:hAnsi="Arial"/>
          <w:sz w:val="17"/>
          <w:szCs w:val="17"/>
          <w:color w:val="auto"/>
        </w:rPr>
      </w:pPr>
    </w:p>
    <w:p>
      <w:pPr>
        <w:jc w:val="both"/>
        <w:ind w:left="1100" w:hanging="320"/>
        <w:spacing w:after="0" w:line="263"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67"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our existing certificates of authority in each state and the District of Columbia (D.C.) and our ability to remain a mortgage insurer in good standing in each state and D.C.;</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liquidity and capital resources;</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tax reform and other potential changes in tax law and their impact on us and our operations;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relating to the coronavirus (COVID-19) virus and its variants or the measures taken by governmental authorities and other third-parties to contain the spread of COVID-19, including their impact on the global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 w:name="page4"/>
    <w:bookmarkEnd w:id="3"/>
    <w:p>
      <w:pPr>
        <w:ind w:left="1100"/>
        <w:spacing w:after="0"/>
        <w:rPr>
          <w:sz w:val="20"/>
          <w:szCs w:val="20"/>
          <w:color w:val="auto"/>
        </w:rPr>
      </w:pPr>
      <w:r>
        <w:rPr>
          <w:rFonts w:ascii="Times New Roman" w:cs="Times New Roman" w:eastAsia="Times New Roman" w:hAnsi="Times New Roman"/>
          <w:sz w:val="17"/>
          <w:szCs w:val="17"/>
          <w:color w:val="auto"/>
        </w:rPr>
        <w:t>economy, the U.S. housing, real estate, housing finance and mortgage insurance markets, and our business, operations and personnel;</w:t>
      </w:r>
    </w:p>
    <w:p>
      <w:pPr>
        <w:spacing w:after="0" w:line="115" w:lineRule="exact"/>
        <w:rPr>
          <w:sz w:val="20"/>
          <w:szCs w:val="20"/>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the GSEs, or other market participants seeking alternatives to private mortgage insurance;</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a diverse customer base, including the largest mortgage originators;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risk management or pricing or investment strategies;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length of time our insurance policies are in force;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emergence of unexpected claim and coverage issues, including claims exceeding our reserves or amounts we had expected to experience;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risk and efforts to manage or regulate climate risk by government agencies could affect our business and operations;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the occurrence of any man-made disasters or public health emergencies, including pandemics;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counter-parties, including third-party reinsurers, to meet their obligations to us;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improve and continue to develop necessary information technology (IT) systems or the failure of technology providers to perform;</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confidential information); and</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recruit, train and retain key personnel.</w:t>
      </w:r>
    </w:p>
    <w:p>
      <w:pPr>
        <w:spacing w:after="0" w:line="113"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For more information regarding these risks and uncertainties as well as certain additional risks that we face, you should refer to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described in this report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Part II, Item 7, "</w:t>
      </w:r>
      <w:r>
        <w:rPr>
          <w:rFonts w:ascii="Times New Roman" w:cs="Times New Roman" w:eastAsia="Times New Roman" w:hAnsi="Times New Roman"/>
          <w:sz w:val="17"/>
          <w:szCs w:val="17"/>
          <w:i w:val="1"/>
          <w:iCs w:val="1"/>
          <w:color w:val="auto"/>
        </w:rPr>
        <w:t>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and elsewhere in this report, including the exhibits hereto.</w:t>
      </w:r>
    </w:p>
    <w:p>
      <w:pPr>
        <w:spacing w:after="0" w:line="12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provide mortgage insurance (referred to as mortgage insurance or MI) through our wholly-owned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Our subsidiary, NMI Services, Inc.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2022, we had issued master policies with 1,875 customers, including national and regional mortgage banks, money center banks, credit unions, community banks, builder-owned mortgage lenders, internet-sourced lenders and other non-bank lenders. As of December 31, 2022, we had $185.0 billion of total insurance-in-force (IIF), including primary IIF of $184.0 billion, and $47.7 billion of gross risk-in-force (RIF), including primary RIF of $47.6 billion. For the year ended December 31, 2022, we generated new insurance written (NIW) of $58.7 billion. As of December 31, 2022, we had 242 full-time and part-time employees.</w:t>
      </w:r>
    </w:p>
    <w:p>
      <w:pPr>
        <w:spacing w:after="0" w:line="122" w:lineRule="exact"/>
        <w:rPr>
          <w:sz w:val="20"/>
          <w:szCs w:val="20"/>
          <w:color w:val="auto"/>
        </w:rPr>
      </w:pPr>
    </w:p>
    <w:p>
      <w:pPr>
        <w:jc w:val="both"/>
        <w:ind w:firstLine="621"/>
        <w:spacing w:after="0" w:line="245"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our mortgage origination customers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utilize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trades on the Nasdaq under the symbol "NMIH".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Residential Mortgage Finance and the Role of the Private MI Industry in the Current Operating Environment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U.S. Residential Mortgage Market</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According to statistics published by the U.S. Federal Reserve, the U.S. residential mortgage market is one of the largest in the world, with approximately $13 trillion of mortgage debt outstanding as of December 31, 2022,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 w:name="page6"/>
    <w:bookmarkEnd w:id="5"/>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 institutions, credit unions, real estate investment trusts and other financial institutions. Government participants include government agencies such as the government MIs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FHA, USDA and VA) and Ginnie Mae, as well as government-sponsored enterprises, such as Fannie Mae and Freddie Mac.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GSEs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Times New Roman" w:cs="Times New Roman" w:eastAsia="Times New Roman" w:hAnsi="Times New Roman"/>
          <w:sz w:val="17"/>
          <w:szCs w:val="17"/>
          <w:i w:val="1"/>
          <w:iCs w:val="1"/>
          <w:color w:val="auto"/>
        </w:rPr>
        <w:t>Business - U.S. Mortgage Insurance Regulation - GSE Oversight</w:t>
      </w:r>
      <w:r>
        <w:rPr>
          <w:rFonts w:ascii="Times New Roman" w:cs="Times New Roman" w:eastAsia="Times New Roman" w:hAnsi="Times New Roman"/>
          <w:sz w:val="17"/>
          <w:szCs w:val="17"/>
          <w:color w:val="auto"/>
        </w:rPr>
        <w:t>," below.</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9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private MI industry is highly competitive and currently consists of six active participants, including us, Arch Capital Group Ltd., Essent Group Ltd. (Essent), Enact Holdings,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and other private mortgage insurers also compete directly with the government MI companies, who significantly increased their share in the MI market following the 2008 financial crisis. Prior to the financial crisis, private mortgage insurers accounted for the majority of the insured mortgage origination market. During the financial crisis, the government MIs captured an increasing share of the high-LTV MI market as incumbent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52% in 2022. Previous rate actions and product introductions continue to impact the government mortgage insurers' market share and by extension the private MI market. Although there continues to be broad policy consensus toward the need for continued and consistent private capital participation in the U.S. housing finance system, it remains difficult to predict whether the combined market share of government MIs will recede to pre-2008 levels. A range of factors influence a lender's decision to choose private over government MI, including among others, GSE demand, policies and loan delivery pricing, mortgage insurance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Products and Services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 Products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two principal types of MI coverage, primary and pool.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Primary Mortgage Insurance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Primary MI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16"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Times New Roman" w:cs="Times New Roman" w:eastAsia="Times New Roman" w:hAnsi="Times New Roman"/>
          <w:sz w:val="17"/>
          <w:szCs w:val="17"/>
          <w:i w:val="1"/>
          <w:iCs w:val="1"/>
          <w:color w:val="auto"/>
        </w:rPr>
        <w:t>Business - Defaults and Claims; Loss Mitigation - Defaults and Claims</w:t>
      </w:r>
      <w:r>
        <w:rPr>
          <w:rFonts w:ascii="Times New Roman" w:cs="Times New Roman" w:eastAsia="Times New Roman" w:hAnsi="Times New Roman"/>
          <w:sz w:val="17"/>
          <w:szCs w:val="17"/>
          <w:color w:val="auto"/>
        </w:rPr>
        <w:t>," below for a description of our claim settlement processes.</w:t>
      </w:r>
    </w:p>
    <w:p>
      <w:pPr>
        <w:spacing w:after="0" w:line="330"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a new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Rescission Relief Principles (RRPs).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w:t>
      </w:r>
    </w:p>
    <w:p>
      <w:pPr>
        <w:spacing w:after="0" w:line="114" w:lineRule="exact"/>
        <w:rPr>
          <w:sz w:val="20"/>
          <w:szCs w:val="20"/>
          <w:color w:val="auto"/>
        </w:rPr>
      </w:pPr>
    </w:p>
    <w:p>
      <w:pPr>
        <w:jc w:val="both"/>
        <w:ind w:firstLine="621"/>
        <w:spacing w:after="0" w:line="239" w:lineRule="auto"/>
        <w:rPr>
          <w:sz w:val="20"/>
          <w:szCs w:val="20"/>
          <w:color w:val="auto"/>
        </w:rPr>
      </w:pPr>
      <w:r>
        <w:rPr>
          <w:rFonts w:ascii="Times New Roman" w:cs="Times New Roman" w:eastAsia="Times New Roman" w:hAnsi="Times New Roman"/>
          <w:sz w:val="17"/>
          <w:szCs w:val="17"/>
          <w:color w:val="auto"/>
        </w:rPr>
        <w:t>Upon receipt of an insurable loan, we issue a certificate of insurance that extends coverage for such loan under the applicable Master Policy. See "</w:t>
      </w:r>
      <w:r>
        <w:rPr>
          <w:rFonts w:ascii="Times New Roman" w:cs="Times New Roman" w:eastAsia="Times New Roman" w:hAnsi="Times New Roman"/>
          <w:sz w:val="17"/>
          <w:szCs w:val="17"/>
          <w:i w:val="1"/>
          <w:iCs w:val="1"/>
          <w:color w:val="auto"/>
        </w:rPr>
        <w:t>Business - Underwriting</w:t>
      </w:r>
      <w:r>
        <w:rPr>
          <w:rFonts w:ascii="Times New Roman" w:cs="Times New Roman" w:eastAsia="Times New Roman" w:hAnsi="Times New Roman"/>
          <w:sz w:val="17"/>
          <w:szCs w:val="17"/>
          <w:color w:val="auto"/>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 paid mortgage insurance (BPMI) and those with premium payments made by the lender are referred to as lender paid mortgage insurance (LPMI). Lenders may structure loans to recover LPMI premiums from borrowers, including through increases in mortgage note rates or higher origination fees.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 w:name="page8"/>
    <w:bookmarkEnd w:id="7"/>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and credit score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general, premiums are calculated as a percentage of the original principal balance of an insured loan. We have four premium plans:</w:t>
      </w:r>
    </w:p>
    <w:p>
      <w:pPr>
        <w:spacing w:after="0" w:line="167" w:lineRule="exact"/>
        <w:rPr>
          <w:sz w:val="20"/>
          <w:szCs w:val="20"/>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 entire premium is paid upfront at the time the coverage is placed;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 premiums are paid in advance for a subsequent twelve-month period over the life of a policy;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 premiums are paid in advance on a monthly basis over the life of the policy; and</w:t>
      </w:r>
    </w:p>
    <w:p>
      <w:pPr>
        <w:spacing w:after="0" w:line="112" w:lineRule="exact"/>
        <w:rPr>
          <w:rFonts w:ascii="Times New Roman" w:cs="Times New Roman" w:eastAsia="Times New Roman" w:hAnsi="Times New Roman"/>
          <w:sz w:val="17"/>
          <w:szCs w:val="17"/>
          <w:color w:val="auto"/>
        </w:rPr>
      </w:pPr>
    </w:p>
    <w:p>
      <w:pPr>
        <w:ind w:left="1100" w:hanging="320"/>
        <w:spacing w:after="0" w:line="233"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Advantage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premiums are billed upon our receipt of notice of a mortgage close and then paid in arrears on a monthly basis over the life of the policy.</w:t>
      </w:r>
    </w:p>
    <w:p>
      <w:pPr>
        <w:spacing w:after="0" w:line="85"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general, we may not terminate MI coverage except when an insured fails to pay premium as due or for certain material violations of our Master Policies; although, as discussed below in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Underwriting - Independent Validation and Rescission Relief</w:t>
      </w:r>
      <w:r>
        <w:rPr>
          <w:rFonts w:ascii="Times New Roman" w:cs="Times New Roman" w:eastAsia="Times New Roman" w:hAnsi="Times New Roman"/>
          <w:sz w:val="17"/>
          <w:szCs w:val="17"/>
          <w:color w:val="auto"/>
        </w:rPr>
        <w:t>," the terms of our Master Policies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Pool 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100% of this pool risk is reinsured under the Company's September 2016 quota-share reinsurance transaction (2016 QSR Transaction), discussed below at "</w:t>
      </w:r>
      <w:r>
        <w:rPr>
          <w:rFonts w:ascii="Times New Roman" w:cs="Times New Roman" w:eastAsia="Times New Roman" w:hAnsi="Times New Roman"/>
          <w:sz w:val="17"/>
          <w:szCs w:val="17"/>
          <w:i w:val="1"/>
          <w:iCs w:val="1"/>
          <w:color w:val="auto"/>
        </w:rPr>
        <w:t>Business - Reinsurance - Third-Party Reinsurance - Quota Share Reinsurance</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ind w:left="320" w:right="820" w:firstLine="310"/>
        <w:spacing w:after="0" w:line="444" w:lineRule="auto"/>
        <w:rPr>
          <w:sz w:val="20"/>
          <w:szCs w:val="20"/>
          <w:color w:val="auto"/>
        </w:rPr>
      </w:pPr>
      <w:r>
        <w:rPr>
          <w:rFonts w:ascii="Times New Roman" w:cs="Times New Roman" w:eastAsia="Times New Roman" w:hAnsi="Times New Roman"/>
          <w:sz w:val="17"/>
          <w:szCs w:val="17"/>
          <w:color w:val="auto"/>
        </w:rPr>
        <w:t xml:space="preserve">We did not write any pool insurance in 2022 and at present do not expect to write any meaningful amount of pool insurance in the near future. </w:t>
      </w:r>
      <w:r>
        <w:rPr>
          <w:rFonts w:ascii="Times New Roman" w:cs="Times New Roman" w:eastAsia="Times New Roman" w:hAnsi="Times New Roman"/>
          <w:sz w:val="17"/>
          <w:szCs w:val="17"/>
          <w:b w:val="1"/>
          <w:bCs w:val="1"/>
          <w:i w:val="1"/>
          <w:iCs w:val="1"/>
          <w:color w:val="auto"/>
        </w:rPr>
        <w:t>Loan Review Services</w:t>
      </w:r>
    </w:p>
    <w:p>
      <w:pPr>
        <w:spacing w:after="0" w:line="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offer outsourced loan review services to mortgage originators through NMIS. 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reviews. NMIS third parties have represented and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jc w:val="both"/>
        <w:spacing w:after="0" w:line="291" w:lineRule="auto"/>
        <w:rPr>
          <w:sz w:val="20"/>
          <w:szCs w:val="20"/>
          <w:color w:val="auto"/>
        </w:rPr>
      </w:pPr>
      <w:r>
        <w:rPr>
          <w:rFonts w:ascii="Times New Roman" w:cs="Times New Roman" w:eastAsia="Times New Roman" w:hAnsi="Times New Roman"/>
          <w:sz w:val="17"/>
          <w:szCs w:val="17"/>
          <w:color w:val="auto"/>
        </w:rPr>
        <w:t>warranted to NMIS that they comply with the requirements of the federal Secure and Fair Enforcement for Mortgage Licensing Act (SAFE Act) in all applicable jurisdictions. See "</w:t>
      </w:r>
      <w:r>
        <w:rPr>
          <w:rFonts w:ascii="Times New Roman" w:cs="Times New Roman" w:eastAsia="Times New Roman" w:hAnsi="Times New Roman"/>
          <w:sz w:val="17"/>
          <w:szCs w:val="17"/>
          <w:i w:val="1"/>
          <w:iCs w:val="1"/>
          <w:color w:val="auto"/>
        </w:rPr>
        <w:t>Business - U.S. Mortgage Insurance Regulation - Other U.S. Regulation - SAFE Act</w:t>
      </w:r>
      <w:r>
        <w:rPr>
          <w:rFonts w:ascii="Times New Roman" w:cs="Times New Roman" w:eastAsia="Times New Roman" w:hAnsi="Times New Roman"/>
          <w:sz w:val="17"/>
          <w:szCs w:val="17"/>
          <w:color w:val="auto"/>
        </w:rPr>
        <w:t>," below.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Since our inception, we have sought to establish customer relationships with a broad group of mortgage lenders. As of December 31, 2022, we had issued Master Policies with 1,875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2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GSEs, as major purchasers of conventional mortgage loans in the U.S., are the primary beneficiaries of our mortgage insurance coverage. Revenues from our customers have been generated in the U.S. only.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Customers exceeding 10% of consolidated revenues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individual customer accounted for greater than 10% of our consolidated revenues in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w:t>
      </w:r>
    </w:p>
    <w:p>
      <w:pPr>
        <w:spacing w:after="0" w:line="12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color w:val="auto"/>
        </w:rPr>
        <w:t>We evaluate loans and issue policies through two underwriting platforms:</w:t>
      </w:r>
    </w:p>
    <w:p>
      <w:pPr>
        <w:spacing w:after="0" w:line="165" w:lineRule="exact"/>
        <w:rPr>
          <w:sz w:val="20"/>
          <w:szCs w:val="20"/>
          <w:color w:val="auto"/>
        </w:rPr>
      </w:pPr>
    </w:p>
    <w:p>
      <w:pPr>
        <w:jc w:val="both"/>
        <w:ind w:left="1100" w:hanging="320"/>
        <w:spacing w:after="0" w:line="273" w:lineRule="auto"/>
        <w:tabs>
          <w:tab w:leader="none" w:pos="109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Non-Delegated</w:t>
      </w:r>
      <w:r>
        <w:rPr>
          <w:rFonts w:ascii="Times New Roman" w:cs="Times New Roman" w:eastAsia="Times New Roman" w:hAnsi="Times New Roman"/>
          <w:sz w:val="17"/>
          <w:szCs w:val="17"/>
          <w:color w:val="auto"/>
        </w:rPr>
        <w:t>: Customers submit loan information and documentation to us so that we may individually underwrite each application to reach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 as to whether we will insure a loan. On receipt of a non-delegated submission, we review the information, documentation and data provided by the lender to underwrite the MI application.</w:t>
      </w:r>
    </w:p>
    <w:p>
      <w:pPr>
        <w:spacing w:after="0" w:line="57" w:lineRule="exact"/>
        <w:rPr>
          <w:rFonts w:ascii="Times New Roman" w:cs="Times New Roman" w:eastAsia="Times New Roman" w:hAnsi="Times New Roman"/>
          <w:sz w:val="17"/>
          <w:szCs w:val="17"/>
          <w:i w:val="1"/>
          <w:iCs w:val="1"/>
          <w:color w:val="auto"/>
        </w:rPr>
      </w:pPr>
    </w:p>
    <w:p>
      <w:pPr>
        <w:jc w:val="both"/>
        <w:ind w:left="1100" w:hanging="320"/>
        <w:spacing w:after="0" w:line="260" w:lineRule="auto"/>
        <w:tabs>
          <w:tab w:leader="none" w:pos="10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Delegated</w:t>
      </w:r>
      <w:r>
        <w:rPr>
          <w:rFonts w:ascii="Times New Roman" w:cs="Times New Roman" w:eastAsia="Times New Roman" w:hAnsi="Times New Roman"/>
          <w:sz w:val="17"/>
          <w:szCs w:val="17"/>
          <w:color w:val="auto"/>
        </w:rPr>
        <w:t>: We provide eligible customers who have been vetted and approved, and comply with a defined set of delegated underwriting program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with the ability to directly underwrite our policies and bind our coverage based on pre-established eligibility rules, approved underwriting guidelines and according to the terms of our Master Policies.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7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employ a team of experienced underwriters who review and evaluate our non-delegated loan submissions. Our underwriters are located remotely, facilitating our ability to service our customers nationwide across the different time zones. We also engage third-party underwriting service providers (USPs) who provide us with incremental underwriting capacity. We train and require our USPs to follow the same processes and underwriting guidelines that our own employees follow when rendering insurance decisions.</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business has been subject to modest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Fluctuations in refinancing volume (driven by changes in prevailing mortgage rates) may serve to mute or magnify the seasonal effect of home purchase patterns on mortgage insurance NIW.</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Independent Validation and Rescission Relief</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offer post-close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September 2018, the GSEs issued revised RRPs that outline the rescission relief provisions that are generally required to be included in the master policies of GSE-approved mortgage insurers. Under our 2014 Master Policy, a loan may be eligible for early rescission relief if the borrower has made the first 12 mortgage payments on time and we have satisfactorily completed our independent validation. Under the 2020 Master Policy, which incorporates the RRPs, a loan may be eligible for early rescission relief following our satisfactory completion of an independent validation, with no set requirement for a minimum number of timely mortgage payments by the borrower.</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Insured loans that do not qualify for early rescission relief may still achieve rescission relief based on a borrower's payment history at the 36th or 60th month, provided the conditions in the applicable Master Policy are satisfied. Under the Master Policies, if a lender has elected not to pursue independent validation and early rescission relief, a loan is still eligible for rescission relief if it is current after 36 months and the borrower has had no more than two 30-day delinquencies and no 60-day or greater delinquencies during such 36-month period. The 2020 Master Policy further provides for a sunset of our rescission rights at the 60-month anniversary of the inception of coverage of an insured loan, provided such loan is then current or subsequently cures and all payments due on the loan have been made with a borrower's own funds.</w:t>
      </w:r>
    </w:p>
    <w:p>
      <w:pPr>
        <w:spacing w:after="0" w:line="109" w:lineRule="exact"/>
        <w:rPr>
          <w:sz w:val="20"/>
          <w:szCs w:val="20"/>
          <w:color w:val="auto"/>
        </w:rPr>
      </w:pPr>
    </w:p>
    <w:p>
      <w:pPr>
        <w:jc w:val="both"/>
        <w:ind w:firstLine="621"/>
        <w:spacing w:after="0" w:line="244" w:lineRule="auto"/>
        <w:rPr>
          <w:sz w:val="20"/>
          <w:szCs w:val="20"/>
          <w:color w:val="auto"/>
        </w:rPr>
      </w:pPr>
      <w:r>
        <w:rPr>
          <w:rFonts w:ascii="Times New Roman" w:cs="Times New Roman" w:eastAsia="Times New Roman" w:hAnsi="Times New Roman"/>
          <w:sz w:val="17"/>
          <w:szCs w:val="17"/>
          <w:color w:val="auto"/>
        </w:rPr>
        <w:t>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post-close that allows us to independently validate such loans, including a loan's closing disclosures, note, executed mortgage, borrower authorization form and title insurance commitment. Our 2020 Master Policy provides for a "closing document exception," which permits eligible non-delegated lenders to obtain early rescission relief without post-close independent validations of qualifying loans, if the borrower makes the first 12 mortgage payments from their own funds in a timely manner.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w:t>
      </w:r>
    </w:p>
    <w:p>
      <w:pPr>
        <w:spacing w:after="0" w:line="20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post-close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do not pursue or submit the documentation necessary for us to complete our DAR process remain eligible for 36 or 60-month rescission relief in accordance with the terms of the applicable Master Policy.</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All loans, whether included in our post-close validation processes or not, are eligible for review under our quality control (QC) process, and such QC reviews qualify as independent validations for such loans, making them eligible for early rescission relief.</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engage USPs to perform the majority of our delegated and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Pricing</w:t>
      </w:r>
    </w:p>
    <w:p>
      <w:pPr>
        <w:spacing w:after="0" w:line="162" w:lineRule="exact"/>
        <w:rPr>
          <w:sz w:val="20"/>
          <w:szCs w:val="20"/>
          <w:color w:val="auto"/>
        </w:rPr>
      </w:pPr>
    </w:p>
    <w:p>
      <w:pPr>
        <w:jc w:val="both"/>
        <w:ind w:firstLine="621"/>
        <w:spacing w:after="0" w:line="268" w:lineRule="auto"/>
        <w:rPr>
          <w:sz w:val="20"/>
          <w:szCs w:val="20"/>
          <w:color w:val="auto"/>
        </w:rPr>
      </w:pPr>
      <w:r>
        <w:rPr>
          <w:rFonts w:ascii="Times New Roman" w:cs="Times New Roman" w:eastAsia="Times New Roman" w:hAnsi="Times New Roman"/>
          <w:sz w:val="17"/>
          <w:szCs w:val="17"/>
          <w:color w:val="auto"/>
        </w:rPr>
        <w:t>We utilize a proprietary risk-based pricing platform, which we refer to as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to establish individualized premium rates for most new loans that we insure based on our modeled view of the relative risk and anticipated performance of each loan.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108" w:lineRule="exact"/>
        <w:rPr>
          <w:sz w:val="20"/>
          <w:szCs w:val="20"/>
          <w:color w:val="auto"/>
        </w:rPr>
      </w:pPr>
    </w:p>
    <w:p>
      <w:pPr>
        <w:jc w:val="both"/>
        <w:ind w:firstLine="621"/>
        <w:spacing w:after="0" w:line="285" w:lineRule="auto"/>
        <w:rPr>
          <w:sz w:val="20"/>
          <w:szCs w:val="20"/>
          <w:color w:val="auto"/>
        </w:rPr>
      </w:pPr>
      <w:r>
        <w:rPr>
          <w:rFonts w:ascii="Times New Roman" w:cs="Times New Roman" w:eastAsia="Times New Roman" w:hAnsi="Times New Roman"/>
          <w:sz w:val="17"/>
          <w:szCs w:val="17"/>
          <w:color w:val="auto"/>
        </w:rPr>
        <w:t>We introduced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we continue to offer a rate card pricing option to a limited number of lender customers who require a rate card for business process reasons.</w:t>
      </w:r>
    </w:p>
    <w:p>
      <w:pPr>
        <w:spacing w:after="0" w:line="89"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Our pricing approach targets through-the-cycle returns that exceed our cost of capital. We believe that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it enhances our ability to continue building a high-quality mortgage insurance portfolio and delivering attractive risk-adjusted returns.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Policy Servicing</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Policy Servicing Department is responsible for various servicing activities related to our Master Policies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and Claims; Loss Mitigation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Defaults and Claims</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MI claim cycle begins with the receipt of a default notice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our Master Policies, our insureds are generally required to file claims within 60 days of the transfer of the title to a property securing an insured loan (typically through foreclosure).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Such timelines have been further extended in connection with legislation and GSE action following the onset of the COVID pandemic to aid distressed borrowers. On March 27, 2020, the U.S. Congress enacted the Coronavirus Aid, Relief, and Economic Security Act (CARES Act). Among many other things, the CARES Act suspended foreclosures and evictions for at least 60 days from March 18, 2020 on mortgages purchased or securitized by the GSEs, with the moratorium later extended by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2" w:name="page13"/>
    <w:bookmarkEnd w:id="12"/>
    <w:p>
      <w:pPr>
        <w:jc w:val="both"/>
        <w:spacing w:after="0" w:line="263" w:lineRule="auto"/>
        <w:rPr>
          <w:sz w:val="20"/>
          <w:szCs w:val="20"/>
          <w:color w:val="auto"/>
        </w:rPr>
      </w:pPr>
      <w:r>
        <w:rPr>
          <w:rFonts w:ascii="Times New Roman" w:cs="Times New Roman" w:eastAsia="Times New Roman" w:hAnsi="Times New Roman"/>
          <w:sz w:val="17"/>
          <w:szCs w:val="17"/>
          <w:color w:val="auto"/>
        </w:rPr>
        <w:t>GSEs through September 30, 2021. In addition, the CARES Act provides for payment forbearance to borrowers facing hardship caused by COVID-19 for up to 360 days. Consistent with the CARES Act, the GSEs permit payment forbearance for borrowers facing financial hardship from COVID-19 for a cumulative twelve-month term, and for certain borrowers, if their hardships have not been resolved at the end of the twelve-month term, they may extend their forbearance terms for up to six additional months. We have rights under our Master Policies to deny a claim under certain conditions, such as when a loan servicer does not produce documents necessary to perfect a claim or when the reason for the underlying loss associated with a claim is not covered by our Master Policies.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(iii) the loss an insured is reasonably expected to experience upon a future sale of the property to a third-party, or (iv) the insured's claim amount (as calculated in the applicable Master Policy) in exchange for the insured's conveyance of good and marketable title to the property to us. If we elect to receive title to a property, we will market and sell the acquired property and retain all proceeds.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Loss Mitigation</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Internal Reinsurance</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repealed this requirement for future periods beginning January 10, 2019. Several other states previously imposed the same or similar coverage restrictions and repealed these measures prior to 2018. NMIC and Re One had a reinsurance agreement in place under which Re One provided reinsurance to NMIC on certain insured loans with coverage levels in excess of 25%, after giving effect to third-party reinsurance. The reinsurance coverage provided by Re One to NMIC was commuted following the repeal of Ohio's state coverage limit and Re One does not currently have any active reinsurance exposure.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Third-Party Reinsurance</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excess of loss and quota share reinsurance agreements in place.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a party to reinsurance agreements with Oaktown Re II Ltd., Oaktown Re III Ltd., Oaktown Re V Ltd., Oaktown Re VI Ltd., and Oaktown Re VII Ltd. (special purpose reinsurance entities collectively referred to as the Oaktown Re Vehicles) effective July 25, 2018,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9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 year maturity). We refer to NMIC's reinsurance agreements with and the insurance-linked note issuances by Oaktown Re Vehicles individually as the 2018 ILN Transaction, 2019 ILN Transaction, 2020-2 ILN Transaction, 2021-1 ILN Transaction and 2021-2 ILN Transaction, and collectively as the ILN Transactions.</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December 31, 2022, the 2018 ILN Transaction was deemed to be in Lock Out due to the default experience of its underlying reference pool and the 2021-2 ILN Transaction was deemed to be in Lock Out in connection with the initial build of its target credit enhancement level. As such, the amortization of reinsurance coverage, and distribution of collateral assets and amortization of insurance-linked notes was suspended for both ILN Transactions. The amortization of reinsurance coverage, distribution of collateral assets and amortization of insurance-linked notes issued in connection with the 2018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Effective March 25, 2022 and April 25, 2022, NMIC exercised its optional clean-up call to terminate and commute its previously outstanding excess of loss reinsurance agreements with Oaktown Re Ltd. and Oaktown Re IV Ltd., respectively. In connection with the termination and commutation of each respective agreement, the insurance-linked notes issued by Oaktown Re Ltd. and Oaktown Re IV Ltd. were redeemed in full with a distribution of remaining collateral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4" w:name="page15"/>
    <w:bookmarkEnd w:id="14"/>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 First Layer</w:t>
            </w:r>
          </w:p>
        </w:tc>
        <w:tc>
          <w:tcPr>
            <w:tcW w:w="0" w:type="dxa"/>
            <w:vAlign w:val="bottom"/>
          </w:tcPr>
          <w:p>
            <w:pPr>
              <w:spacing w:after="0"/>
              <w:rPr>
                <w:sz w:val="1"/>
                <w:szCs w:val="1"/>
                <w:color w:val="auto"/>
              </w:rPr>
            </w:pPr>
          </w:p>
        </w:tc>
      </w:tr>
      <w:tr>
        <w:trPr>
          <w:trHeight w:val="142"/>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2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gridSpan w:val="2"/>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Retained Loss </w:t>
            </w:r>
            <w:r>
              <w:rPr>
                <w:rFonts w:ascii="Times New Roman" w:cs="Times New Roman" w:eastAsia="Times New Roman" w:hAnsi="Times New Roman"/>
                <w:sz w:val="8"/>
                <w:szCs w:val="8"/>
                <w:b w:val="1"/>
                <w:bCs w:val="1"/>
                <w:color w:val="auto"/>
                <w:w w:val="98"/>
              </w:rPr>
              <w:t>(1)</w:t>
            </w:r>
          </w:p>
        </w:tc>
        <w:tc>
          <w:tcPr>
            <w:tcW w:w="0" w:type="dxa"/>
            <w:vAlign w:val="bottom"/>
          </w:tcPr>
          <w:p>
            <w:pPr>
              <w:spacing w:after="0"/>
              <w:rPr>
                <w:sz w:val="1"/>
                <w:szCs w:val="1"/>
                <w:color w:val="auto"/>
              </w:rPr>
            </w:pPr>
          </w:p>
        </w:tc>
      </w:tr>
      <w:tr>
        <w:trPr>
          <w:trHeight w:val="21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2018 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July 25, 2018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1/1/2017 - 5/31/2018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$264,545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$158,489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$125,312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$122,202</w:t>
            </w:r>
          </w:p>
        </w:tc>
        <w:tc>
          <w:tcPr>
            <w:tcW w:w="0" w:type="dxa"/>
            <w:vAlign w:val="bottom"/>
          </w:tcPr>
          <w:p>
            <w:pPr>
              <w:spacing w:after="0"/>
              <w:rPr>
                <w:sz w:val="1"/>
                <w:szCs w:val="1"/>
                <w:color w:val="auto"/>
              </w:rPr>
            </w:pPr>
          </w:p>
        </w:tc>
      </w:tr>
      <w:tr>
        <w:trPr>
          <w:trHeight w:val="22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2019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July 30, 2019</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6/1/2018 - 6/30/2019</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326,905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204,127</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123,424</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122,257</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2020-2</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2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242,351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95,729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121,777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121,177</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2021-1</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22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7"/>
              </w:rPr>
              <w:t xml:space="preserve">10/1/2020 - 3/31/2021 </w:t>
            </w:r>
            <w:r>
              <w:rPr>
                <w:rFonts w:ascii="Times New Roman" w:cs="Times New Roman" w:eastAsia="Times New Roman" w:hAnsi="Times New Roman"/>
                <w:sz w:val="22"/>
                <w:szCs w:val="22"/>
                <w:color w:val="auto"/>
                <w:w w:val="97"/>
                <w:vertAlign w:val="superscript"/>
              </w:rPr>
              <w:t>(3)</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367,238</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305,139</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163,708</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163,665</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2021-2</w:t>
            </w:r>
          </w:p>
        </w:tc>
        <w:tc>
          <w:tcPr>
            <w:tcW w:w="19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ILN Transaction </w:t>
            </w:r>
            <w:r>
              <w:rPr>
                <w:rFonts w:ascii="Times New Roman" w:cs="Times New Roman" w:eastAsia="Times New Roman" w:hAnsi="Times New Roman"/>
                <w:sz w:val="22"/>
                <w:szCs w:val="22"/>
                <w:color w:val="auto"/>
                <w:vertAlign w:val="superscript"/>
              </w:rPr>
              <w:t>(5)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2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146,229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146,204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7"/>
        <w:spacing w:after="0" w:line="258" w:lineRule="auto"/>
        <w:tabs>
          <w:tab w:leader="none" w:pos="281"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260" w:hanging="257"/>
        <w:spacing w:after="0" w:line="183" w:lineRule="auto"/>
        <w:tabs>
          <w:tab w:leader="none" w:pos="26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200" w:hanging="197"/>
        <w:spacing w:after="0" w:line="190" w:lineRule="auto"/>
        <w:tabs>
          <w:tab w:leader="none" w:pos="20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Approximately 1% of the production covered by the 2021-1 ILN Transaction has coverage reporting dates between July 1, 2019 and September 30, 2020.</w:t>
      </w:r>
    </w:p>
    <w:p>
      <w:pPr>
        <w:ind w:left="200" w:hanging="197"/>
        <w:spacing w:after="0"/>
        <w:tabs>
          <w:tab w:leader="none" w:pos="20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3" w:lineRule="exact"/>
        <w:rPr>
          <w:rFonts w:ascii="Times New Roman" w:cs="Times New Roman" w:eastAsia="Times New Roman" w:hAnsi="Times New Roman"/>
          <w:sz w:val="9"/>
          <w:szCs w:val="9"/>
          <w:color w:val="auto"/>
        </w:rPr>
      </w:pPr>
    </w:p>
    <w:p>
      <w:pPr>
        <w:ind w:left="320" w:hanging="317"/>
        <w:spacing w:after="0" w:line="210" w:lineRule="auto"/>
        <w:tabs>
          <w:tab w:leader="none" w:pos="255"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2022, the current reinsurance coverage amount on the 2021-2 ILN Transaction is equal to the initial reinsurance coverage amount, as the reinsurance coverage provided by Oaktown Re VII Ltd. will not begin to amortize until its target credit enhancement level is reached.</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is a party to three excess-of-loss reinsurance agreements with broad panels of third-party reinsurers – the 2022-1 XOL Transaction, effective April 1, 2022, the 2022-2 XOL Transaction, effective July 1, 2022, and the 2022-3 XOL Transaction, effective October 1, 2022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Standard &amp; Poor’s Rating Service (S&amp;P), A.M. Best Company Inc. (A.M. Best) or both.</w:t>
      </w:r>
    </w:p>
    <w:p>
      <w:pPr>
        <w:spacing w:after="0" w:line="173"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6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 First Layer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Current First</w:t>
            </w:r>
          </w:p>
        </w:tc>
        <w:tc>
          <w:tcPr>
            <w:tcW w:w="0" w:type="dxa"/>
            <w:vAlign w:val="bottom"/>
          </w:tcPr>
          <w:p>
            <w:pPr>
              <w:spacing w:after="0"/>
              <w:rPr>
                <w:sz w:val="1"/>
                <w:szCs w:val="1"/>
                <w:color w:val="auto"/>
              </w:rPr>
            </w:pPr>
          </w:p>
        </w:tc>
      </w:tr>
      <w:tr>
        <w:trPr>
          <w:trHeight w:val="141"/>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3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60" w:type="dxa"/>
            <w:vAlign w:val="bottom"/>
          </w:tcPr>
          <w:p>
            <w:pPr>
              <w:jc w:val="center"/>
              <w:ind w:left="22"/>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360" w:type="dxa"/>
            <w:vAlign w:val="bottom"/>
            <w:vMerge w:val="continue"/>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0" w:type="dxa"/>
            <w:vAlign w:val="bottom"/>
          </w:tcPr>
          <w:p>
            <w:pPr>
              <w:spacing w:after="0"/>
              <w:rPr>
                <w:sz w:val="1"/>
                <w:szCs w:val="1"/>
                <w:color w:val="auto"/>
              </w:rPr>
            </w:pPr>
          </w:p>
        </w:tc>
      </w:tr>
      <w:tr>
        <w:trPr>
          <w:trHeight w:val="194"/>
        </w:trPr>
        <w:tc>
          <w:tcPr>
            <w:tcW w:w="228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Retained Loss</w:t>
            </w:r>
          </w:p>
        </w:tc>
        <w:tc>
          <w:tcPr>
            <w:tcW w:w="11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5"/>
              </w:rPr>
              <w:t xml:space="preserve">Loss </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00" w:type="dxa"/>
            <w:vAlign w:val="bottom"/>
            <w:shd w:val="clear" w:color="auto" w:fill="CCEEFF"/>
          </w:tcPr>
          <w:p>
            <w:pPr>
              <w:jc w:val="center"/>
              <w:spacing w:after="0" w:line="212" w:lineRule="exact"/>
              <w:rPr>
                <w:sz w:val="20"/>
                <w:szCs w:val="20"/>
                <w:color w:val="auto"/>
              </w:rPr>
            </w:pPr>
            <w:r>
              <w:rPr>
                <w:rFonts w:ascii="Times New Roman" w:cs="Times New Roman" w:eastAsia="Times New Roman" w:hAnsi="Times New Roman"/>
                <w:sz w:val="17"/>
                <w:szCs w:val="17"/>
                <w:color w:val="auto"/>
                <w:w w:val="97"/>
              </w:rPr>
              <w:t xml:space="preserve">10/1/2021 - 3/31/2022 </w:t>
            </w:r>
            <w:r>
              <w:rPr>
                <w:rFonts w:ascii="Times New Roman" w:cs="Times New Roman" w:eastAsia="Times New Roman" w:hAnsi="Times New Roman"/>
                <w:sz w:val="22"/>
                <w:szCs w:val="22"/>
                <w:color w:val="auto"/>
                <w:w w:val="97"/>
                <w:vertAlign w:val="superscript"/>
              </w:rPr>
              <w:t>(2)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116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7"/>
                <w:szCs w:val="17"/>
                <w:color w:val="auto"/>
              </w:rPr>
              <w:t>$282,906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0" w:type="dxa"/>
            <w:vAlign w:val="bottom"/>
          </w:tcPr>
          <w:p>
            <w:pPr>
              <w:spacing w:after="0"/>
              <w:rPr>
                <w:sz w:val="1"/>
                <w:szCs w:val="1"/>
                <w:color w:val="auto"/>
              </w:rPr>
            </w:pPr>
          </w:p>
        </w:tc>
      </w:tr>
      <w:tr>
        <w:trPr>
          <w:trHeight w:val="220"/>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30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116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auto"/>
              </w:rPr>
              <w:t>151,013</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78,906</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78,906</w:t>
            </w: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7/1/2022 - 9/30/2022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96,779</w:t>
            </w:r>
          </w:p>
        </w:tc>
        <w:tc>
          <w:tcPr>
            <w:tcW w:w="116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7"/>
                <w:szCs w:val="17"/>
                <w:color w:val="auto"/>
              </w:rPr>
              <w:t>95,825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7"/>
        <w:spacing w:after="0" w:line="226" w:lineRule="auto"/>
        <w:tabs>
          <w:tab w:leader="none" w:pos="273"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ind w:left="260" w:hanging="257"/>
        <w:spacing w:after="0"/>
        <w:tabs>
          <w:tab w:leader="none" w:pos="2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ind w:left="260" w:hanging="257"/>
        <w:spacing w:after="0"/>
        <w:tabs>
          <w:tab w:leader="none" w:pos="2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a party to seven active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99" w:lineRule="exact"/>
        <w:rPr>
          <w:sz w:val="20"/>
          <w:szCs w:val="20"/>
          <w:color w:val="auto"/>
        </w:rPr>
      </w:pPr>
    </w:p>
    <w:p>
      <w:pPr>
        <w:jc w:val="both"/>
        <w:ind w:firstLine="621"/>
        <w:spacing w:after="0" w:line="248"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in 2021 (subject to an aggregate risk written limit which was exhausted on October 31, 2021), in exchange for reimbursement of ceded claims and claim expenses on covered policies, a 20% ceding commission, and a profit commission of up to 57.5% that varies directly and inversely with ceded claims.</w:t>
      </w:r>
    </w:p>
    <w:p>
      <w:pPr>
        <w:spacing w:after="0" w:line="20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primarily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between January 1, 2023 and December 31, 2023, in exchange for reimbursement of ceded claims and claim expenses on covered policies, a 20% ceding commission, and a profit commission of up to 62% that varies directly and inversely with ceded claims.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April 1, 2019, NMIC elected to terminate its engagement with one reinsurer under the 2016 QSR Transaction on a cut-off basis. In connection with the termination, ceded premiums written under the 2016 QSR Transaction decreased from 25% to 20.5% on eligible policies. The termination had no effect on the cession of pool risk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6" w:name="page17"/>
    <w:bookmarkEnd w:id="16"/>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For further discussion of the effect of reinsurance on our business, see Part II, Item 7, "</w:t>
      </w:r>
      <w:r>
        <w:rPr>
          <w:rFonts w:ascii="Times New Roman" w:cs="Times New Roman" w:eastAsia="Times New Roman" w:hAnsi="Times New Roman"/>
          <w:sz w:val="17"/>
          <w:szCs w:val="17"/>
          <w:i w:val="1"/>
          <w:iCs w:val="1"/>
          <w:color w:val="auto"/>
        </w:rPr>
        <w:t>Management's Discussion and Analysis of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Results of Operations - Key Factors Affecting Our Results - Effect of reinsurance on our results.</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Enterprise Risk Management</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have established enterprise wide policies, procedures and processes to allow us to identify, assess, monitor and manage credit market and operational risks in our business, as well as other risks discussed below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Credit Market Risk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implemented a complementary range of strategies to actively monitor and manage the credit performance of our insured portfolio, including:</w:t>
      </w:r>
    </w:p>
    <w:p>
      <w:pPr>
        <w:spacing w:after="0" w:line="167" w:lineRule="exact"/>
        <w:rPr>
          <w:sz w:val="20"/>
          <w:szCs w:val="20"/>
          <w:color w:val="auto"/>
        </w:rPr>
      </w:pPr>
    </w:p>
    <w:p>
      <w:pPr>
        <w:jc w:val="both"/>
        <w:ind w:left="1100" w:hanging="320"/>
        <w:spacing w:after="0" w:line="272"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66"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spacing w:after="0" w:line="64" w:lineRule="exact"/>
        <w:rPr>
          <w:rFonts w:ascii="Times New Roman" w:cs="Times New Roman" w:eastAsia="Times New Roman" w:hAnsi="Times New Roman"/>
          <w:sz w:val="17"/>
          <w:szCs w:val="17"/>
          <w:color w:val="auto"/>
        </w:rPr>
      </w:pPr>
    </w:p>
    <w:p>
      <w:pPr>
        <w:jc w:val="both"/>
        <w:ind w:left="1100" w:hanging="320"/>
        <w:spacing w:after="0" w:line="266"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6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individually underwriting the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53" w:lineRule="exact"/>
        <w:rPr>
          <w:rFonts w:ascii="Times New Roman" w:cs="Times New Roman" w:eastAsia="Times New Roman" w:hAnsi="Times New Roman"/>
          <w:sz w:val="17"/>
          <w:szCs w:val="17"/>
          <w:color w:val="auto"/>
        </w:rPr>
      </w:pPr>
    </w:p>
    <w:p>
      <w:pPr>
        <w:jc w:val="both"/>
        <w:ind w:left="1100" w:hanging="320"/>
        <w:spacing w:after="0" w:line="275"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developing and deploying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50" w:lineRule="exact"/>
        <w:rPr>
          <w:rFonts w:ascii="Times New Roman" w:cs="Times New Roman" w:eastAsia="Times New Roman" w:hAnsi="Times New Roman"/>
          <w:sz w:val="17"/>
          <w:szCs w:val="17"/>
          <w:color w:val="auto"/>
        </w:rPr>
      </w:pPr>
    </w:p>
    <w:p>
      <w:pPr>
        <w:ind w:left="1100" w:hanging="320"/>
        <w:spacing w:after="0" w:line="285"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utilizing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to actively manage the flow of business into our portfolio and target loans with higher quality risk characteristics that typically experience lower volatility and loss across market cycles; and</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43"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Operational Risk</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Technology Systems and Intellectual Property</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 the initial development of AXIS, we have continued to upgrade and enhance our systems and technical capabilities, including:</w:t>
      </w:r>
    </w:p>
    <w:p>
      <w:pPr>
        <w:spacing w:after="0" w:line="167" w:lineRule="exact"/>
        <w:rPr>
          <w:sz w:val="20"/>
          <w:szCs w:val="20"/>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technology that enables our customers to transact business faster and easier, whether via a secure internet connection or through a secure system-to-system interface;</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our platform with third-party technology providers used by our customers in their loan origination process to price and order our MI and in their servicing processes for servicing and maintaining their MI policies;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advanced document and business process management software that focuses on improving our underwriting productivity and that may also be used to improve our quality assurance and loss management functions;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36" w:lineRule="exact"/>
        <w:rPr>
          <w:rFonts w:ascii="Times New Roman" w:cs="Times New Roman" w:eastAsia="Times New Roman" w:hAnsi="Times New Roman"/>
          <w:sz w:val="17"/>
          <w:szCs w:val="17"/>
          <w:color w:val="auto"/>
        </w:rPr>
      </w:pPr>
    </w:p>
    <w:p>
      <w:pPr>
        <w:jc w:val="both"/>
        <w:ind w:left="1100" w:hanging="320"/>
        <w:spacing w:after="0" w:line="280"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developing and deploying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27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utilize and develop technology that enhances our current operating capabilities and supports future growth, while allowing us to realize current efficiencies. Effective March 31, 2020, we entered into an agreement with Tata Consultancy Services (TCS), under which TCS provides IT services over a seven year period across such functions as application development and support, infrastructure support and information security. Our engagement with TCS has enhanced our ability to provide innovative IT solutions for our internal and external constituents, while allowing us to realize cost efficiencies by leveraging TCS's global platform. In connection with the agreement, a majority of our IT employees at that time transitioned to TCS.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Portfolio</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2022, our investment portfolio was comprised entirely of investment grade fixed maturity securities, including U.S. Treasury securities and obligations of U.S. government agencies, municipal debt securities, corporate debt securities, and asset-backed securities. We also held short-term investments, such as commercial paper.</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8" w:name="page19"/>
    <w:bookmarkEnd w:id="18"/>
    <w:p>
      <w:pPr>
        <w:jc w:val="both"/>
        <w:spacing w:after="0" w:line="291" w:lineRule="auto"/>
        <w:rPr>
          <w:sz w:val="20"/>
          <w:szCs w:val="20"/>
          <w:color w:val="auto"/>
        </w:rPr>
      </w:pPr>
      <w:r>
        <w:rPr>
          <w:rFonts w:ascii="Times New Roman" w:cs="Times New Roman" w:eastAsia="Times New Roman" w:hAnsi="Times New Roman"/>
          <w:sz w:val="17"/>
          <w:szCs w:val="17"/>
          <w:color w:val="auto"/>
        </w:rPr>
        <w:t>and strategies are subject to change depending upon regulatory, economic and market conditions, and our existing or anticipated financial condition and operating requirements.</w:t>
      </w:r>
    </w:p>
    <w:p>
      <w:pPr>
        <w:spacing w:after="0" w:line="82" w:lineRule="exact"/>
        <w:rPr>
          <w:sz w:val="20"/>
          <w:szCs w:val="20"/>
          <w:color w:val="auto"/>
        </w:rPr>
      </w:pPr>
    </w:p>
    <w:p>
      <w:pPr>
        <w:ind w:right="700" w:firstLine="621"/>
        <w:spacing w:after="0" w:line="275" w:lineRule="auto"/>
        <w:rPr>
          <w:sz w:val="20"/>
          <w:szCs w:val="20"/>
          <w:color w:val="auto"/>
        </w:rPr>
      </w:pPr>
      <w:r>
        <w:rPr>
          <w:rFonts w:ascii="Times New Roman" w:cs="Times New Roman" w:eastAsia="Times New Roman" w:hAnsi="Times New Roman"/>
          <w:sz w:val="17"/>
          <w:szCs w:val="17"/>
          <w:color w:val="auto"/>
        </w:rPr>
        <w:t>We engage a third-party investment manager Allspring Global Investments, formerly Wells Capital Management, Inc., to assist with day-to-day management of our portfolio and implementation of our investment policy.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2022, we had 242 full-time and part-time employees, and engaged third-party vendors to provide additional IT, underwriting and other support services.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prioritize our employees with the goal of attracting, retaining and developing a high-quality, diverse talent base and aim to foster an employee-driven, collaborative and productive work environment that emphasizes balance between organizational, community and personal goals. We offer competitive salaries and a comprehensive benefits package that includes annual cash bonuses and equity grants, life, health and supplemental insurance coverage, paid time off, paid caregiver leave, emergency backup child and elder care, a 401(k) Savings Plan with employer matching contributions, and programs to support employee mental, physical and financial well-being. We grant equity to every one of our employees annually and offer mortgage assistance to support our employees who are first-time homebuyers. We encourage our employees to continue their educational and professional development, and support those who do with tuition reimbursement and student loan payback programs, as well as ongoing firm wide training initiatives and access to third-party course materials.</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value diversity as a company and believe that diverse perspectives promote innovation and are crucial to the long-term success of our business. We are committed to supporting diversity, equity and inclusion in our workplace, and have aimed to create an environment that welcomes and supports differences and encourages input and ideas from all. As of December 31, 2022, 74% of our employee population identified as members of a diverse group, including 58% as women and 33% as racial/ethnic minorities. In 2022 we continued to focus on taking action to: (i) enhance cultural awareness throughout the organization by creating substantive learning opportunities for all employees; (ii) broaden our leadership pipeline by creating and supporting programs and policies that foster leadership development; (iii) seek and support diverse backgrounds on our Board of Directors and amongst our management team; (iv) address potential bias during our hiring, evaluation and promotion processes; (v) support an inclusive corporate culture; and (vi) engage in initiatives that foster economic mobility, community development and financial education. We require our third-party recruiting firms to seek and source diverse candidates and have established an employee inclusion committee to further diversity, equity and inclusion initiatives across our company. Inclusion committee members reflect a cross-functional and diverse employee mix by gender, ethnicity, race, age and tenure, and work to address diversity topics in areas such as employee and leadership composition, employee education and cultural community outreach.</w:t>
      </w:r>
    </w:p>
    <w:p>
      <w:pPr>
        <w:spacing w:after="0" w:line="126" w:lineRule="exact"/>
        <w:rPr>
          <w:sz w:val="20"/>
          <w:szCs w:val="20"/>
          <w:color w:val="auto"/>
        </w:rPr>
      </w:pPr>
    </w:p>
    <w:p>
      <w:pPr>
        <w:jc w:val="both"/>
        <w:ind w:firstLine="621"/>
        <w:spacing w:after="0" w:line="233" w:lineRule="auto"/>
        <w:rPr>
          <w:sz w:val="20"/>
          <w:szCs w:val="20"/>
          <w:color w:val="auto"/>
        </w:rPr>
      </w:pPr>
      <w:r>
        <w:rPr>
          <w:rFonts w:ascii="Times New Roman" w:cs="Times New Roman" w:eastAsia="Times New Roman" w:hAnsi="Times New Roman"/>
          <w:sz w:val="17"/>
          <w:szCs w:val="17"/>
          <w:color w:val="auto"/>
        </w:rPr>
        <w:t>In 2022, we were recognized as a Great Place to 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seventh consecutive year. Great Place to 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global authority on workplace culture, employee experience and leadership, and partners with FORTUNE magazine to produce the annual FORTUNE "100 Best Companies to Work For” list.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and can be viewed at sec.gov. In addition, a written copy of the Company's Business Conduct and Ethics Policy, containing our code of ethics that is applicable to all of our directors, officers, employees and third-party vendor contractors, is available on our website. Information contained or referenced on our website is not incorporated by reference into, and does not form a part of, this report.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U.S. MORTGAGE INSURANCE REGULATION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16" w:lineRule="exact"/>
        <w:rPr>
          <w:sz w:val="20"/>
          <w:szCs w:val="20"/>
          <w:color w:val="auto"/>
        </w:rPr>
      </w:pPr>
    </w:p>
    <w:p>
      <w:pPr>
        <w:jc w:val="both"/>
        <w:ind w:firstLine="621"/>
        <w:spacing w:after="0" w:line="248" w:lineRule="auto"/>
        <w:rPr>
          <w:sz w:val="20"/>
          <w:szCs w:val="20"/>
          <w:color w:val="auto"/>
        </w:rPr>
      </w:pPr>
      <w:r>
        <w:rPr>
          <w:rFonts w:ascii="Times New Roman" w:cs="Times New Roman" w:eastAsia="Times New Roman" w:hAnsi="Times New Roman"/>
          <w:sz w:val="17"/>
          <w:szCs w:val="17"/>
          <w:color w:val="auto"/>
        </w:rPr>
        <w:t>We believe that a strong, viable private MI market is a critical component of the U.S. housing finance system. We routinely meet with regulatory agencies, including our state insurance regulators and the FHFA, the GSEs, our customers and other industry participants to promote the role and value of private MI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 organization formed to promote the use of private MI as a credit risk mitigant in the U.S. residential mortgage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GSE Oversight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GSEs are the principal purchasers of mortgages insured by private mortgage insurers. As a result, the nature of the private MI industry in the U.S. is driven in large part by the requirements and practices of the GSEs, which include, among others:</w:t>
      </w:r>
    </w:p>
    <w:p>
      <w:pPr>
        <w:spacing w:after="0" w:line="95" w:lineRule="exact"/>
        <w:rPr>
          <w:sz w:val="20"/>
          <w:szCs w:val="20"/>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PMIERs, including operational, business and remedial requirements and minimum capital levels applicable to GSE-qualified MI providers;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that the GSEs require to be included in MI policies for loans that they purchase, including terms governing rescission relief;</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standards and loan amount limits that determine what loans are eligible for purchase by the GSEs, which affect the quality of the risk insured by the mortgage insurer and the availability of mortgage loans;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MI coverage, subject to the requirements of the GSEs' charters, when MI is used as the required credit enhancement on high-LTV mortgages;</w:t>
      </w:r>
    </w:p>
    <w:p>
      <w:pPr>
        <w:spacing w:after="0" w:line="43" w:lineRule="exact"/>
        <w:rPr>
          <w:rFonts w:ascii="Times New Roman" w:cs="Times New Roman" w:eastAsia="Times New Roman" w:hAnsi="Times New Roman"/>
          <w:sz w:val="17"/>
          <w:szCs w:val="17"/>
          <w:color w:val="auto"/>
        </w:rPr>
      </w:pPr>
    </w:p>
    <w:p>
      <w:pPr>
        <w:ind w:left="1100" w:hanging="320"/>
        <w:spacing w:after="0" w:line="265"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in which MI coverage can be canceled before reaching the cancellation thresholds established by law, including under the HOPA;</w:t>
      </w:r>
    </w:p>
    <w:p>
      <w:pPr>
        <w:spacing w:after="0" w:line="301"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59"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data provided by the GSE and the consequences for any unintended disclosure of such information;</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mitigation programs established by the GSEs that impact insured mortgages and the circumstances under which servicers must implement such programs; and</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scope of different loan purchase programs, including first time home buyer and affordable lending initiatives, from the GSEs that allow different levels of MI coverage.</w:t>
      </w:r>
    </w:p>
    <w:p>
      <w:pPr>
        <w:spacing w:after="0" w:line="4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 xml:space="preserve">In January 2013, the GSEs approved NMIC as a qualified mortgage insurer (as defined in the PMIERs,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NMIC is subject to ongoing compliance with the PMIERs.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and are updated from time to time by the GSEs. The GSEs have significant discretion under the PMIERs as well as a broad range of consent rights and notice requirements with respect to various actions of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current vs. delinquent), LTV and other risk features. An asset charge is calculated for each insured loan based on its risk profile. In general, higher quality loans carry lower charges.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0" w:name="page21"/>
    <w:bookmarkEnd w:id="20"/>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to gross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8"/>
          <w:szCs w:val="18"/>
          <w:color w:val="auto"/>
        </w:rPr>
        <w:t>RIF,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then adjusted on an aggregate basis for reinsurance transactions approved by the GSEs, such as with respect to our ILN Transactions and QSR Transactions. The </w:t>
      </w:r>
      <w:r>
        <w:rPr>
          <w:rFonts w:ascii="Times New Roman" w:cs="Times New Roman" w:eastAsia="Times New Roman" w:hAnsi="Times New Roman"/>
          <w:sz w:val="17"/>
          <w:szCs w:val="17"/>
          <w:i w:val="1"/>
          <w:iCs w:val="1"/>
          <w:color w:val="auto"/>
        </w:rPr>
        <w:t xml:space="preserve">risk-based required asset amount </w:t>
      </w:r>
      <w:r>
        <w:rPr>
          <w:rFonts w:ascii="Times New Roman" w:cs="Times New Roman" w:eastAsia="Times New Roman" w:hAnsi="Times New Roman"/>
          <w:sz w:val="17"/>
          <w:szCs w:val="17"/>
          <w:color w:val="auto"/>
        </w:rPr>
        <w:t>for performing, primary insurance is subject to a floor of 5.6% of</w:t>
      </w:r>
      <w:r>
        <w:rPr>
          <w:rFonts w:ascii="Times New Roman" w:cs="Times New Roman" w:eastAsia="Times New Roman" w:hAnsi="Times New Roman"/>
          <w:sz w:val="17"/>
          <w:szCs w:val="17"/>
          <w:i w:val="1"/>
          <w:iCs w:val="1"/>
          <w:color w:val="auto"/>
        </w:rPr>
        <w:t xml:space="preserve"> performing primary adjusted RIF</w:t>
      </w:r>
      <w:r>
        <w:rPr>
          <w:rFonts w:ascii="Times New Roman" w:cs="Times New Roman" w:eastAsia="Times New Roman" w:hAnsi="Times New Roman"/>
          <w:sz w:val="17"/>
          <w:szCs w:val="17"/>
          <w:color w:val="auto"/>
        </w:rPr>
        <w:t>, and the</w:t>
      </w:r>
      <w:r>
        <w:rPr>
          <w:rFonts w:ascii="Times New Roman" w:cs="Times New Roman" w:eastAsia="Times New Roman" w:hAnsi="Times New Roman"/>
          <w:sz w:val="17"/>
          <w:szCs w:val="17"/>
          <w:i w:val="1"/>
          <w:iCs w:val="1"/>
          <w:color w:val="auto"/>
        </w:rPr>
        <w:t xml:space="preserve"> risk-based required asset amount </w:t>
      </w:r>
      <w:r>
        <w:rPr>
          <w:rFonts w:ascii="Times New Roman" w:cs="Times New Roman" w:eastAsia="Times New Roman" w:hAnsi="Times New Roman"/>
          <w:sz w:val="17"/>
          <w:szCs w:val="17"/>
          <w:color w:val="auto"/>
        </w:rPr>
        <w:t>for pool insurance considers both factors in the PMIERs tables and the</w:t>
      </w:r>
      <w:r>
        <w:rPr>
          <w:rFonts w:ascii="Times New Roman" w:cs="Times New Roman" w:eastAsia="Times New Roman" w:hAnsi="Times New Roman"/>
          <w:sz w:val="17"/>
          <w:szCs w:val="17"/>
          <w:i w:val="1"/>
          <w:iCs w:val="1"/>
          <w:color w:val="auto"/>
        </w:rPr>
        <w:t xml:space="preserve"> net remaining stop loss </w:t>
      </w:r>
      <w:r>
        <w:rPr>
          <w:rFonts w:ascii="Times New Roman" w:cs="Times New Roman" w:eastAsia="Times New Roman" w:hAnsi="Times New Roman"/>
          <w:sz w:val="17"/>
          <w:szCs w:val="17"/>
          <w:color w:val="auto"/>
        </w:rPr>
        <w:t>for each pool insurance policy. The PMIERs include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comprehensive reinsurance counter-party grading framework, which includes a modest haircut (based on the credit rating of the </w:t>
      </w:r>
      <w:r>
        <w:rPr>
          <w:rFonts w:ascii="Times New Roman" w:cs="Times New Roman" w:eastAsia="Times New Roman" w:hAnsi="Times New Roman"/>
          <w:sz w:val="17"/>
          <w:szCs w:val="17"/>
          <w:i w:val="1"/>
          <w:iCs w:val="1"/>
          <w:color w:val="auto"/>
        </w:rPr>
        <w:t>reinsurer</w:t>
      </w:r>
      <w:r>
        <w:rPr>
          <w:rFonts w:ascii="Times New Roman" w:cs="Times New Roman" w:eastAsia="Times New Roman" w:hAnsi="Times New Roman"/>
          <w:sz w:val="17"/>
          <w:szCs w:val="17"/>
          <w:color w:val="auto"/>
        </w:rPr>
        <w:t xml:space="preserve">) to the capital credit available to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for any un-collateralized reinsurance coverage.</w:t>
      </w:r>
    </w:p>
    <w:p>
      <w:pPr>
        <w:spacing w:after="0" w:line="11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 xml:space="preserve">On June 30, 2021, the GSEs issued PMIERs Guidance 2021-01 (2021 PMIERs Guidance), which supersedes and replaces the PMIERs Guidance 2020-01 - Amended and Restated that was issued on December 4, 2020. Among other things, the 2021 PMIERs Guidance: (i) temporarily amended PMIERs, effective as of June 30, 2021, to recognize the COVID-19 pandemic as a nationwide major disaster and to reduce the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factor under PMIERS for certain COVID-19 defaulted loans (the COVID Guidance) and (ii) permanently amended PMIERs, effective December 31, 2021, to clarify delinquency reporting requirements for non-performing loans under PMIERs. In the COVID Guidance, the GSEs clarified that for each non-performing loan that:</w:t>
      </w:r>
    </w:p>
    <w:p>
      <w:pPr>
        <w:spacing w:after="0" w:line="3" w:lineRule="exact"/>
        <w:rPr>
          <w:sz w:val="20"/>
          <w:szCs w:val="20"/>
          <w:color w:val="auto"/>
        </w:rPr>
      </w:pPr>
    </w:p>
    <w:p>
      <w:pPr>
        <w:jc w:val="both"/>
        <w:ind w:firstLine="3"/>
        <w:spacing w:after="0" w:line="256" w:lineRule="auto"/>
        <w:tabs>
          <w:tab w:leader="none" w:pos="21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has an initial missed payment (as defined in the COVID Guidance) occurring on or after March 1, 2020 and prior to April 1, 2021 (COVID-19 Crisis Period); or (ii) is subject to a forbearance plan granted in response to a financial hardship related to COVID-19 (which shall be assumed to be the case for any loan that has an initial missed payment (as defined in the COVID Guidance) occurring during the COVID-19 Crisis Period and is subject to a forbearance plan), the PMIERs charge on such non-performing loans is adjusted by a 30% multiplier (inversely, a 70% haircut). As such, the PMIERs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for all newly delinquent loans nationwide (including those that go delinquent under a forbearance program) are reduced by 70%. Under the COVID Guidance, non-performing loans that are subject to a forbearance program granted in response to a financial hardship related to COVID-19 will benefit from the </w:t>
      </w:r>
      <w:r>
        <w:rPr>
          <w:rFonts w:ascii="Times New Roman" w:cs="Times New Roman" w:eastAsia="Times New Roman" w:hAnsi="Times New Roman"/>
          <w:sz w:val="17"/>
          <w:szCs w:val="17"/>
          <w:i w:val="1"/>
          <w:iCs w:val="1"/>
          <w:color w:val="auto"/>
        </w:rPr>
        <w:t>risk-based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required asset </w:t>
      </w:r>
      <w:r>
        <w:rPr>
          <w:rFonts w:ascii="Times New Roman" w:cs="Times New Roman" w:eastAsia="Times New Roman" w:hAnsi="Times New Roman"/>
          <w:sz w:val="17"/>
          <w:szCs w:val="17"/>
          <w:color w:val="auto"/>
        </w:rPr>
        <w:t>haircut for the duration of the forbearance period and subsequent repayment plan or trial modification period.</w:t>
      </w:r>
    </w:p>
    <w:p>
      <w:pPr>
        <w:spacing w:after="0" w:line="126"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By April 15th of each year, NMIC must certify that it met all PMIERs requirements as of December 31st of the prior year. We certified to the GSEs by April 15, 2022 that NMIC was in full compliance with the PMIERs as of December 31, 2021. NMIC also has an ongoing obligation to immediately notify the GSEs in writing upon discovery of a failure to meet one or more of the PMIERs requirements. We continuously monitor NMIC's compliance with the PMIERs.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 Mortgage Insurance Regulation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Certificates of Authority</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NMIC holds a certificate of authority, or insurance license, in all 50 states and D.C. As a licensed insurer in these jurisdictions, NMIC is subject to ongoing financial reporting, examination and disclosure requirements relating to its business, operations, management and affiliate arrangements.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State Insurance Laws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their insurance business.</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general, state insurance regulation of our business relates to:</w:t>
      </w:r>
    </w:p>
    <w:p>
      <w:pPr>
        <w:spacing w:after="0" w:line="167" w:lineRule="exact"/>
        <w:rPr>
          <w:sz w:val="20"/>
          <w:szCs w:val="20"/>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to transact business;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producer licensing</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policy forms;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1" w:name="page22"/>
    <w:bookmarkEnd w:id="21"/>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insurable loans;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and quarterly financial reports prepared in accordance with statutory accounting principles;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loss, unearned premium and contingency reserves;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capital levels and adequacy ratios;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transactions;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reinsurance transactions and related requirements;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types of investment instruments which may be held in an investment portfolio;</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risks and limits on coverage of individual risks which may be insured;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deposits of securities;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dividends;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policy sales practices;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cybersecurity;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risk management;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compliance;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transactions that have the effect of inducing lenders to place business with NMIC;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handling.</w:t>
      </w:r>
    </w:p>
    <w:p>
      <w:pPr>
        <w:spacing w:after="0" w:line="115"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affiliate transactions must be filed with the Wisconsin OCI at least 30 days before the transaction is entered into and that these transactions may be disapproved by the Wisconsin OCI within that period.</w:t>
      </w:r>
    </w:p>
    <w:p>
      <w:pPr>
        <w:spacing w:after="0" w:line="12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11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of the date filed.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19" w:lineRule="exact"/>
        <w:rPr>
          <w:sz w:val="20"/>
          <w:szCs w:val="20"/>
          <w:color w:val="auto"/>
        </w:rPr>
      </w:pPr>
    </w:p>
    <w:p>
      <w:pPr>
        <w:ind w:left="1100" w:hanging="320"/>
        <w:spacing w:after="0" w:line="291" w:lineRule="auto"/>
        <w:tabs>
          <w:tab w:leader="none" w:pos="109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income of the insurer for the calendar year preceding the date of the dividend or distribution, minus realized capital gains for that calendar year; or</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1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amounts in excess of ordinary dividends) only with the prior approval of the Wisconsin OCI.</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addition to Wisconsin, other states may limit or restrict our insurance subsidiaries' ability to pay stockholder dividends. For example, in California and New York, mortgage insurers licensed in such states are prohibited from declaring dividends except from undivided profits remaining above the aggregate of their paid-in capital, paid-in surplus and contingency reserves. In addition, Florida requires mortgage insurers to hold surplus of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Wisconsin has adopted the Risk Management and Own Risk and Solvency Assessment Act, which requires, among other things, that we conduct an Own Risk and Solvency Assessment at least annually to assess the material risks associated with our business and our current and estimated projected future solvency position, and maintain a risk management framework to assess, monitor, manage, and report on material risks. Additionally, Wisconsin has also adopted the annual enterprise risk reporting and “Corporate Governance Annual Disclosure” requirements of the National Association of Insurance Commissioners' (NAIC) model laws.</w:t>
      </w:r>
    </w:p>
    <w:p>
      <w:pPr>
        <w:spacing w:after="0" w:line="19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Wisconsin has adopted the NAIC’s amendments to the model holding company act that implement the filing requirement for the group capital calculation (GCC). The GCC uses a risk-based capital aggregation methodology for all entities in an insurance holding company system. It is a tool that provides insurance regulators with a method to aggregate the available capital and the minimum capital of each entity in a group in a way that applies to all companies regardless of their structure. Under Wisconsin law, the ultimate controlling person of our insurance subsidiaries must file the GCC annually with the Wisconsin OCI.</w:t>
      </w:r>
    </w:p>
    <w:p>
      <w:pPr>
        <w:spacing w:after="0" w:line="19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and incurred loss expenses for a calendar quarter exceed the greater of either (i) 35% of net premiums earned in a calendar year or (ii) 70% of the annual amount contributed to the contingency loss reserve.</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compute the RTC ratio for NMIC.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jc w:val="both"/>
        <w:spacing w:after="0" w:line="272" w:lineRule="auto"/>
        <w:rPr>
          <w:sz w:val="20"/>
          <w:szCs w:val="20"/>
          <w:color w:val="auto"/>
        </w:rPr>
      </w:pPr>
      <w:r>
        <w:rPr>
          <w:rFonts w:ascii="Times New Roman" w:cs="Times New Roman" w:eastAsia="Times New Roman" w:hAnsi="Times New Roman"/>
          <w:sz w:val="17"/>
          <w:szCs w:val="17"/>
          <w:color w:val="auto"/>
        </w:rPr>
        <w:t>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State insurance regulators also have the authority to make changes to current regulations governing mortgage insurance, including, among other things, capital requirements, underwriting standards, claims practices and market conduct regulation. The NAIC has formed a working group within its Financial Condition (E) Committee, the Mortgage Guaranty Insurance Working Group (the Working Group), to discuss, develop and recommend changes to the solvency and market practices regulation of mortgage insurers, including changes to the Mortgage Guaranty Insurers Model Act (Model Act). We, along with other mortgage insurers, have provided feedback to the Working Group since early 2013, including comments on proposed amendments to the Model Act which are still under development at the NAIC.</w:t>
      </w:r>
    </w:p>
    <w:p>
      <w:pPr>
        <w:spacing w:after="0" w:line="35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U.S. Regulation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Housing Finance Reform</w:t>
      </w:r>
    </w:p>
    <w:p>
      <w:pPr>
        <w:spacing w:after="0" w:line="169"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The federal government currently plays a dominant role in the U.S. housing finance system through the GSEs and government MIs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FHA, USDA and VA) and Ginnie Mae. There is broad policy consensus toward the need for continued and consistent private capital participation in the U.S. housing finance system.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Preferred Stock Purchase Agreements, as amended, with the Treasury Department (PSPAs).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At the direction of the FHFA, the GSEs have expanded their credit and mortgage risk transfer programs with no public notice or opportunity to comment.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In particular, in 2018, each GSE began piloting a new credit risk transfer program under which the GSE purchases high-LTV loans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LTVs above 80%) without MI and subsequently places mortgage insurance with a captive insurer controlled by one of our competitors, which captive in turn cedes 100% of the risk to a panel of offshore reinsurers. In 2018, Freddie Mac launched the IMAGIN program and Fannie Mae launched the Enterprise-Paid Mortgage Insurance or EPMI program, both of which were suspended in 2021 but could be relaunched in their prior form or in a modified form in the future Any success of the relaunched or similar programs in the future or even the perception that some of these risk-sharing structures have beneficial features in comparison to private MI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lower costs, reduced counter-party risk due to collateral requirements or more diversified insurance exposures) may create increased competition for private MI on loans traditionally sold to the GSEs with private MI.</w:t>
      </w:r>
    </w:p>
    <w:p>
      <w:pPr>
        <w:spacing w:after="0" w:line="12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October 19, 2020, the FHFA announced that it was seeking comments on a notice of proposed rulemaking that requires the GSEs to provide advance notice to the FHFA of new activities and obtain prior approval before launching new products. Additionally, the proposed rule establishes revised criteria for determining whether new activity requires notice to the FHFA and for determining if that activity is a new product that merits public notice and comment. The proposed rule's requirements would also outline the process for the FHFA's review of any new activity and the timelines for approving a new product, including issuing a public notice and requesting public comment about a new product. The new enterprise products and activities final rule was announced on December 20, 2022 and will be effective on February 27, 2023. The final rule retains the key concepts from the proposed rule but, among other changes, provided certain additional clarifications and requires FHFA to report on determinations made on new activity and new product submissions.</w:t>
      </w:r>
    </w:p>
    <w:p>
      <w:pPr>
        <w:spacing w:after="0" w:line="12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w:t>
      </w:r>
    </w:p>
    <w:p>
      <w:pPr>
        <w:spacing w:after="0" w:line="32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Trump administration, there was increased focus on the possibility of administrative reform that the White House and Treasury Department, in collaboration with the previous Director of the FHFA, may pursue independent of any legislative action. In September 2019, the Treasury Department released a Housing Reform Plan that included a compilation of legislative and administrative recommendations for reforms to achieve various goals, including the goals of ending the conservatorships of the GSEs and setting regulations for the GSEs that provide for their safety and soundness. Additionally, the previous Director of the FHFA had also publicly stated as his priority to exit the GSEs from conservatorship. In December 2020, the FHFA finalized a rule establishing a new regulatory capital framework for the GSEs, noting that the rule was another step toward ending the conservatorships of the GSEs.</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 These amendments provide the most direct path for the GSEs to exit conservatorship established to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June 23, 2021, the U.S. Supreme Court ruled that the President could remove the FHFA Director other than for cause. Subsequently, President Biden removed the previous FHFA Director and appointed a new Director to lead the FHFA. The FHFA leadership change has added uncertainty to what role the GSEs, FHA and private capital, including private mortgage insurance, will play in the residential housing finance system in the future. On September 14, 2021, the FHFA together with the Treasury Department announced the suspension of certain portions of the 2021 PSPA amendments, specifically those limiting certain GSE lending activities, and that would, among other things, reduce the amount of capital the GSEs are required to hold. On March 16, 2022, the FHFA adopted the final rule (effective May 16, 2022) (2022 ERCF amendment) that amended the enterprise regulatory capital framework by refining the prescribed leverage buffer amount and credit risk transfer (CRT) securitization framework for the GSEs, which reduced the amount of capital the GSEs are required to hold, including by increasing the capital credit the GSEs receive for the credit risk that they distribute.</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current leadership of the FHFA may exercise their oversight authority over the GSEs differently than previous Directors and/or have different objectives with regard to the GSEs' operations. Any such changes in how the FHFA engages with and influences the GSEs could have a significant impact on our business.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FHA Reform</w:t>
      </w:r>
    </w:p>
    <w:p>
      <w:pPr>
        <w:spacing w:after="0" w:line="171"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In recent years, the FHA has not reduced its mortgage insurance rates; however, we believe the current Presidential administration is more likely to support an FHA rate reduction than the prior administration.</w:t>
      </w:r>
    </w:p>
    <w:p>
      <w:pPr>
        <w:spacing w:after="0" w:line="330"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FHA's role in the mortgage insurance industry is significantly dependent upon regulatory developments. Since 2012, there have been several legislative proposals intended to reform the FHA; however, no legislation has been enacted to date. The prospect for future unilateral FHA action on premium rates, which may be more likely under the current administration, or the passage of FHA reform legislation in either the House or Senate, and how differences in proposed reforms between the House and Senate might be resolved in any final legislation, remain uncertain.</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Dodd-Frank Act</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time-to-time.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Ability-to-Repay and Qualified Mortgage Rules</w:t>
      </w:r>
    </w:p>
    <w:p>
      <w:pPr>
        <w:spacing w:after="0" w:line="16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In January 2014, the CFPB implemented the Dodd-Frank Act Ability to Repay mortgage provisions (ATR), which govern the obligation of lenders to determine a borrower's ability to pay when originating a mortgage loan covered by ATR. A subset of mortgages falling under the ATR that has certain low-risk characteristics are known as "qualified mortgages" (QMs). QMs that are deemed to have the lowest risk profiles are entitled to a safe-harbor presumption of compliance with the ability-to-pay requirements. The original ATR/QM rule (Original QM Definition) established two different categories of QMs, one referred to as the "General QM" category and a second temporary QM category, typically referred to as the "QM Patch". General QMs are generally defined as loans without certain risky features, including borrowers with DTI ratios in excess of 43% and terms exceeding 30 years. Loans may qualify as QMs under the QM Patch so long as they (i) satisfy the general product feature requirements of QMs (other than borrower DTI) and (ii) meet the underwriting requirements of the GSEs. The QM Patch was scheduled to phase out upon the earlier to occur of the end of conservatorship or receivership of the GSEs or January 10, 2021. QMs under the rule benefit from a statutory presumption of compliance with the ATR rule, thus potentially mitigating the risk of the liability of the creditor and assignees of the loan under TILA.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October 20, 2020, the CFPB released a final rule that replaced the January 10, 2021 sunset date for the QM Patch with a provision stating that the GSE Patch will be available only for covered transactions for which the creditor receives the consumer's application before July 1, 2021, the mandatory compliance date of the CFPB's final General QM and new "Seasoned QM" rules. Following its October rulemaking, on December 10, 2020, the CFPB released two additional final rules amending the definition of a General QM (New QM Definition) by replacing the current 43% DTI ratio limit with price-based thresholds, among other changes, and defining and providing for a Seasoned QM category of mortgage.</w:t>
      </w:r>
    </w:p>
    <w:p>
      <w:pPr>
        <w:spacing w:after="0" w:line="11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New QM Definition and its safe-harbor statutory compliance protection will apply, under the final rule, to a covered transaction with the following characteristics:</w:t>
      </w:r>
    </w:p>
    <w:p>
      <w:pPr>
        <w:spacing w:after="0" w:line="95" w:lineRule="exact"/>
        <w:rPr>
          <w:sz w:val="20"/>
          <w:szCs w:val="20"/>
          <w:color w:val="auto"/>
        </w:rPr>
      </w:pPr>
    </w:p>
    <w:p>
      <w:pPr>
        <w:ind w:left="1240" w:hanging="305"/>
        <w:spacing w:after="0" w:line="291" w:lineRule="auto"/>
        <w:tabs>
          <w:tab w:leader="none" w:pos="12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has an annual percentage rate that does not exceed the average prime offer rate for comparable transactions by 2.25 or more percentage points;</w:t>
      </w:r>
    </w:p>
    <w:p>
      <w:pPr>
        <w:spacing w:after="0" w:line="43"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meets the existing QM product feature and underwriting requirements and limits on points and fees; and</w:t>
      </w:r>
    </w:p>
    <w:p>
      <w:pPr>
        <w:spacing w:after="0" w:line="114" w:lineRule="exact"/>
        <w:rPr>
          <w:rFonts w:ascii="Times New Roman" w:cs="Times New Roman" w:eastAsia="Times New Roman" w:hAnsi="Times New Roman"/>
          <w:sz w:val="17"/>
          <w:szCs w:val="17"/>
          <w:color w:val="auto"/>
        </w:rPr>
      </w:pPr>
    </w:p>
    <w:p>
      <w:pPr>
        <w:ind w:left="1240" w:hanging="305"/>
        <w:spacing w:after="0" w:line="291" w:lineRule="auto"/>
        <w:tabs>
          <w:tab w:leader="none" w:pos="12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creditor has considered and verified the prospective borrower's current or reasonably expected income or assets, debt obligations, alimony, child support, and DTI ratio or residual income.</w:t>
      </w:r>
    </w:p>
    <w:p>
      <w:pPr>
        <w:spacing w:after="0" w:line="30" w:lineRule="exact"/>
        <w:rPr>
          <w:sz w:val="20"/>
          <w:szCs w:val="20"/>
          <w:color w:val="auto"/>
        </w:rPr>
      </w:pPr>
    </w:p>
    <w:p>
      <w:pPr>
        <w:jc w:val="both"/>
        <w:ind w:firstLine="621"/>
        <w:spacing w:after="0"/>
        <w:rPr>
          <w:sz w:val="20"/>
          <w:szCs w:val="20"/>
          <w:color w:val="auto"/>
        </w:rPr>
      </w:pPr>
      <w:r>
        <w:rPr>
          <w:rFonts w:ascii="Times New Roman" w:cs="Times New Roman" w:eastAsia="Times New Roman" w:hAnsi="Times New Roman"/>
          <w:sz w:val="17"/>
          <w:szCs w:val="17"/>
          <w:color w:val="auto"/>
        </w:rPr>
        <w:t>The General QM final rule does not prescribe particular underwriting standards for meeting the rule's "consider and verify" requirements, other than to require that such standards be reasonable. The General QM final rule clarifies that to meet the "consider" requirement and thus preserve General QM status, a creditor must maintain written policies and procedures governing the creditor's treatment of income, assets and debt obligations, among others, and retain documentation showing its application of such policies and procedures at the individual loan level. In addition, to satisfy the General QM final rule's "verify" requirement, the rule provides for a safe harbor if the creditor follows specific verification standards, including the single-family underwriting manuals of Fannie Mae and Freddie Mac. The General QM final rule was effective on March 1, 2021 and originally had a mandatory compliance date of July 1, 2021, after which the Original QM Definition and QM Patch would no longer apply. The mandatory compliance date for the New QM Definition (and therefore, the preservation of the Original QM Definition and QM Patch) was extended to October 1, 2022. However, the GSEs announced on April 8, 2021 that, for loan applications received on or after July 1, 2021, they will only purchase loans satisfying the New QM Definition. Given the mandatory compliance date and the GSE announcement, we expect creditors may opt to use the new, price-based General QM definition.</w:t>
      </w:r>
    </w:p>
    <w:p>
      <w:pPr>
        <w:spacing w:after="0" w:line="218"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Under the Seasoned QM final rule, subject to certain exceptions, first-lien, fixed-rate covered loans with terms of 30 years or less, which (i) satisfy certain timely payment requirements, (ii) are not "high-cost mortgages" and (iii) are held in portfolio by the originating creditor for 36 months, will receive QM safe harbor status as "Seasoned QMs." During the 36-month seasoning period, a loan must have no more than two delinquencies (as defined in the rule) of 30 or more days and no delinquencies of 60 or more days. The rule allows payment deficiencies of $50 or less during the seasoning period, provided there are no more than three such deficiencies. Payment accommodations that meet certain requirements and are extended in connection with a disaster or pandemic-related national emergency do not disqualify the loan from achieving Seasoned QM status; however, time spent in such accommodations also does not count toward the 36-month seasoning period requirement. The Seasoned QM final rule includes the points and fees limit and consider and verify standards set forth in the General QM final rule. The final rule was effective on March 1, 2021, with loans for which creditors receive applications on or after the effective date would be eligible to qualify for Seasoned QM status.</w:t>
      </w:r>
    </w:p>
    <w:p>
      <w:pPr>
        <w:spacing w:after="0" w:line="12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Dodd-Frank Act also gave statutory authority to HUD, the VA, and the USDA to develop their own definitions of QM. The General QM Final Rule does not affect the QM definitions adopted by these agencies. To the extent lenders find that these agencies' definitions of QM are more favorable to certain segments of their borrowers, they may choose government MI products over private MI products.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It is still too early to determine whether the revised General QM rule or the new Seasoned QM category will have a beneficial or negative impact on the long-term access to mortgage credit or the size of the mortgage market.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Basel Committee Capital Adequacy Requirements</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The Basel Committee on Banking Supervision (Basel Committee), consists of a group of central banks and banking regulators including the United States, developed </w:t>
      </w:r>
      <w:r>
        <w:rPr>
          <w:rFonts w:ascii="Arial" w:cs="Arial" w:eastAsia="Arial" w:hAnsi="Arial"/>
          <w:sz w:val="15"/>
          <w:szCs w:val="15"/>
          <w:color w:val="auto"/>
        </w:rPr>
        <w:t>t</w:t>
      </w:r>
      <w:r>
        <w:rPr>
          <w:rFonts w:ascii="Times New Roman" w:cs="Times New Roman" w:eastAsia="Times New Roman" w:hAnsi="Times New Roman"/>
          <w:sz w:val="17"/>
          <w:szCs w:val="17"/>
          <w:color w:val="auto"/>
        </w:rPr>
        <w:t>he Basel Capital Accord in 1988 to set out international benchmarks for assessing banks' capital adequacy requirements.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w:t>
      </w:r>
    </w:p>
    <w:p>
      <w:pPr>
        <w:spacing w:after="0" w:line="119"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December 2017, the Basel Committee published final revisions to Basel III (informally known as "Basel IV") with target implementation by each participating country by January 1, 2022, later extended to January 1, 2023 due to the Covid-19 pandemic. Implementation of Basel IV reforms requires national legislation and, therefore, the final rules and the timetable for their implementation in each participating country may be subject to some level of national variation. As an example, the United Kingdom (UK) and the European Union (EU) have each separately targeted an effective date of January 1, 2025 for their rules implementing the Basel IV reforms to enter into force, but there is some divergence between the content of the UK and EU legislative proposals for implementation.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spacing w:after="0" w:line="33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Basel Committee previously proposed rules that would further reduce the benefit of private MI by not taking into consideration any credit enhancement, including private MI; however, those revisions were not implemented, retaining the treatment of mortgage insurance. On September 9, 2022, the U.S. banking regulators announced their intent to revise U.S. regulatory capital requirements to align them with Basel IV. The U.S. implementation of Basel IV’s revised standards may mean mortgage insurance would not lower the LTV ratio of residential loans for capital purposes, and therefore may decrease the demand for mortgage insurance. The announcement that U.S. federal banking regulators intend to revise U.S. regulatory capital rules to align with Basel IV confirms speculation but does not provide clarity on when we can expect a proposal or how much time will be provided for banking organizations to implement a final rule.</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Servicing Rules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Homeowners Protection Act of 1998 (HOPA)</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8" w:name="page29"/>
    <w:bookmarkEnd w:id="28"/>
    <w:p>
      <w:pPr>
        <w:jc w:val="both"/>
        <w:spacing w:after="0" w:line="260" w:lineRule="auto"/>
        <w:rPr>
          <w:sz w:val="20"/>
          <w:szCs w:val="20"/>
          <w:color w:val="auto"/>
        </w:rPr>
      </w:pPr>
      <w:r>
        <w:rPr>
          <w:rFonts w:ascii="Times New Roman" w:cs="Times New Roman" w:eastAsia="Times New Roman" w:hAnsi="Times New Roman"/>
          <w:sz w:val="17"/>
          <w:szCs w:val="17"/>
          <w:color w:val="auto"/>
        </w:rPr>
        <w:t>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Section 8 of RESPA</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The CFPB's interpretation and enforcement of Section 8 of RESPA presents regulatory risk for many providers of "settlement services," including private mortgage insurers.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 Tax Deduction</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2006, Congress enacted a private mortgage insurance tax deduction on a temporary basis through the end of 2011. Upon expiration in 2011, Congress temporarily extended the deduction for each tax year from 2012 through 2021. Congress has not extended the deduction to the 2022 tax year.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could have the effect of reducing demand for private MI products.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SAFE Act</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Privacy and Information Security</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many states have enacted privacy and data security laws which impose compliance obligations beyond GLBA. These state laws obligate us to protect social security numbers, maintain a comprehensive information security program, submit annual compliance certifications regarding such programs (or an exemption thereto) and notify insurance regulators if a security breach results in a reasonable belief that unauthorized persons may have obtained access to consumer non-public personal information. For example, New York’s cybersecurity regulation establishes requirements for insurance entities under the New York Department of Financial Services’ jurisdiction, such as NMIC. The NAIC adopted the Insurance Data Security Model Law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jc w:val="both"/>
        <w:spacing w:after="0" w:line="263" w:lineRule="auto"/>
        <w:rPr>
          <w:sz w:val="20"/>
          <w:szCs w:val="20"/>
          <w:color w:val="auto"/>
        </w:rPr>
      </w:pPr>
      <w:r>
        <w:rPr>
          <w:rFonts w:ascii="Times New Roman" w:cs="Times New Roman" w:eastAsia="Times New Roman" w:hAnsi="Times New Roman"/>
          <w:sz w:val="17"/>
          <w:szCs w:val="17"/>
          <w:color w:val="auto"/>
        </w:rPr>
        <w:t>(Cybersecurity Model Law) for entities licensed under the relevant state’s insurance laws. The Cybersecurity Model Law requires such entities to develop and maintain a risk-based information security program, among other requirements. Several states, including Wisconsin, have adopted the Cybersecurity Model Law. State consumer privacy protection laws have also created new rights for their residents regarding certain personal information an organization collects and/or uses about them. We have adopted certain policies and procedures, and risk management and security practices designed to facilitate our compliance with these federal and state privacy and information security laws.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Fair Credit Reporting Act</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FCRA imposes restrictions on the permissible use of credit report information. The CFPB and FTC each have authority to enforce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Anti-Discrimination Laws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7"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13"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This report contains forward-looking statements that involve risks and uncertainties. See "Cautionary Note Regarding Forward-Looking Statements" on page </w:t>
      </w:r>
      <w:r>
        <w:rPr>
          <w:rFonts w:ascii="Times New Roman" w:cs="Times New Roman" w:eastAsia="Times New Roman" w:hAnsi="Times New Roman"/>
          <w:sz w:val="17"/>
          <w:szCs w:val="17"/>
          <w:i w:val="1"/>
          <w:iCs w:val="1"/>
          <w:u w:val="single" w:color="auto"/>
          <w:color w:val="0000FF"/>
        </w:rPr>
        <w:t>3</w:t>
      </w:r>
      <w:r>
        <w:rPr>
          <w:rFonts w:ascii="Times New Roman" w:cs="Times New Roman" w:eastAsia="Times New Roman" w:hAnsi="Times New Roman"/>
          <w:sz w:val="17"/>
          <w:szCs w:val="17"/>
          <w:i w:val="1"/>
          <w:iCs w:val="1"/>
          <w:color w:val="auto"/>
        </w:rPr>
        <w:t xml:space="preserve"> 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is a summary of the principal risks that could materially adversely affect our business operations, industry, and financial results. You should read this summary together with the more detailed description of each risk factor that immediately follows this summary.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Business Operations</w:t>
      </w:r>
    </w:p>
    <w:p>
      <w:pPr>
        <w:spacing w:after="0" w:line="167" w:lineRule="exact"/>
        <w:rPr>
          <w:sz w:val="20"/>
          <w:szCs w:val="20"/>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NIW volumes could be adversely affected if lenders and investors select alternatives to private MI.</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are unable to continue to attract and retain the most significant mortgage originators as customers, our ability to achieve our business goals could be negatively impacted.</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the volume of high-LTV loan originations declines, our NIW volume could decline, which would reduce our revenues.</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underwriting and credit risk management policies and practices may not anticipate all risks and/or the magnitude of potential for loss as the result of unforeseen risks.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premiums we charge may be insufficient to cover claim payments and our operating costs.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factors that impact the length of time that our policies remain in force may adversely affect our future revenues and claims experience.</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Increases in inflation, interest rates and mortgage interest rates may have adverse impact on our business, future revenue, and financial condition.</w:t>
      </w:r>
    </w:p>
    <w:p>
      <w:pPr>
        <w:spacing w:after="0" w:line="114"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outsource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57"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57"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mix of business we write affects our revenue stream and the likelihood of losses occurring.</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expect our claims to increase as our insured loan portfolio grows and matures.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depends, in part, on effective and reliable loan servicing.</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1" w:name="page32"/>
    <w:bookmarkEnd w:id="31"/>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COVID-19 virus may continue to impact our financial results and may also continue to affect our business, liquidity and financial condition.</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occurrence of natural or man-made disasters or pandemics could adversely affect our business, financial condition and operating results.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Climate change and efforts to manage or regulate climate risk by government agencies could affect our business and operations.</w:t>
      </w:r>
    </w:p>
    <w:p>
      <w:pPr>
        <w:spacing w:after="0" w:line="114"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57"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exposed to operational risk from fraud, malfeasance or error by borrowers, employees and third-party service providers, and any such fraud, malfeasance or error could materially and adversely affect us.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not be able to prevent the unauthorized disclosure or misuse of confidential, personal or proprietary information.</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Adverse investment performance may affect our financial results and ability to conduct business.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face regulatory and litigation risks associated with offering loan review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Regulation of the Mortgage Insurance Industry</w:t>
      </w:r>
    </w:p>
    <w:p>
      <w:pPr>
        <w:spacing w:after="0" w:line="167" w:lineRule="exact"/>
        <w:rPr>
          <w:sz w:val="20"/>
          <w:szCs w:val="20"/>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40"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the business practices of the GSEs, including a decision to decrease or discontinue the use of private MI, or changes in the terms on which mortgage insurance coverage may be cancelled, federal legislation that changes their charters or a restructuring of the GSEs or changes in loan delivery pricing imposed by the GSEs could reduce the private MI market opportunity, reduce our revenues or increase our losses.</w:t>
      </w:r>
    </w:p>
    <w:p>
      <w:pPr>
        <w:spacing w:after="0" w:line="57" w:lineRule="exact"/>
        <w:rPr>
          <w:rFonts w:ascii="Times New Roman" w:cs="Times New Roman" w:eastAsia="Times New Roman" w:hAnsi="Times New Roman"/>
          <w:sz w:val="17"/>
          <w:szCs w:val="17"/>
          <w:i w:val="1"/>
          <w:iCs w:val="1"/>
          <w:color w:val="auto"/>
        </w:rPr>
      </w:pPr>
    </w:p>
    <w:p>
      <w:pPr>
        <w:ind w:left="320" w:hanging="317"/>
        <w:spacing w:after="0" w:line="266"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subject to comprehensive state insurance regulations and capital adequacy requirements, which we must satisfy to continue to operate our MI business.</w:t>
      </w:r>
    </w:p>
    <w:p>
      <w:pPr>
        <w:spacing w:after="0" w:line="30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private MI industry is, and as a participant we are, subject to litigation and regulatory enforcement risk generally.</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27"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Company may be adversely impacted by the phasing out of London Interbank Offered Rate (LIBOR).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Holding Company and Capital Structure</w:t>
      </w:r>
    </w:p>
    <w:p>
      <w:pPr>
        <w:spacing w:after="0" w:line="167" w:lineRule="exact"/>
        <w:rPr>
          <w:sz w:val="20"/>
          <w:szCs w:val="20"/>
          <w:color w:val="auto"/>
        </w:rPr>
      </w:pPr>
    </w:p>
    <w:p>
      <w:pPr>
        <w:ind w:left="320" w:hanging="317"/>
        <w:spacing w:after="0" w:line="293" w:lineRule="auto"/>
        <w:tabs>
          <w:tab w:leader="none" w:pos="31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holding company structure and certain regulatory and other constraints could affect our ability to satisfy our obligations and potentially require us to raise more capital.</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substantial indebtedness could adversely affect our financial condition.</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existing, and any future, variable rate indebtedness subjects us to interest rate risk, which could cause our annual debt service obligations to increase significantly.</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Despite our substantial level of debt, we may incur more debt, which could exacerbate any or all of the risks described above.</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Risks Related to Ownership of Our Common Stock</w:t>
      </w:r>
    </w:p>
    <w:p>
      <w:pPr>
        <w:spacing w:after="0" w:line="167"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do not currently pay any dividends on our common stock and may not do so in the future, and payment of any declared dividends may be delayed.</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363" w:lineRule="exact"/>
        <w:rPr>
          <w:rFonts w:ascii="Times New Roman" w:cs="Times New Roman" w:eastAsia="Times New Roman" w:hAnsi="Times New Roman"/>
          <w:sz w:val="17"/>
          <w:szCs w:val="17"/>
          <w:i w:val="1"/>
          <w:iCs w:val="1"/>
          <w:color w:val="auto"/>
        </w:rPr>
      </w:pPr>
    </w:p>
    <w:p>
      <w:pPr>
        <w:ind w:left="55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2" w:name="page33"/>
    <w:bookmarkEnd w:id="32"/>
    <w:p>
      <w:pPr>
        <w:ind w:left="300" w:hanging="297"/>
        <w:spacing w:after="0"/>
        <w:tabs>
          <w:tab w:leader="none" w:pos="300"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market price of our common stock may be volatile, which could cause the value of an investment in our common stock to decline.</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Future issuance of debt or preferred stock, which would rank senior to our Class A common stock upon our liquidation, may adversely affect the market value of our common stock.</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9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One or more of our competitors may seek to capture increased market share from the government MIs or from other private mortgage insurers. They may do that by reducing prices, offering alternative coverage and product options, including offerings for loans not intended to be sold to the GSEs, loosening their underwriting guidelines or relaxing risk management policies. Such behavior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customers, our revenue may be adversely impacted, which could adversely impact our growth and profitability.</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Certain of our competitors are subsidiaries of larger and more diversified corporations that may have access to greater amounts of capital and financial resources, or a lower cost of capital than we do. Some may have better financial strength ratings than we have. As a result, they may be better positioned to compete in and outside of the traditional MI market, including when the GSEs pursue alternative forms of credit enhancement or credit risk transfer other than private MI, such as their IMAGIN and EPMI programs that were suspended in 2021, but could be relaunched in the same or alternative form in the future.</w:t>
      </w:r>
    </w:p>
    <w:p>
      <w:pPr>
        <w:spacing w:after="0" w:line="1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Our financial strength ratings are important for our customers to maintain confidence in our products and our competitive position. PMIERs require all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except newly-approved insurers, to maintain at least one rating with a rating agency acceptable to the GSEs. A downgrade in NMIC's ratings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ratings outlook, or our failure to maintain a rating acceptable to one or both of the GSEs, could have an adverse effect on our business, including (i) potentially impacting our eligibility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(ii) increased scrutiny of our financial condition by our customers, resulting in potential reduction in our NIW, or</w:t>
      </w:r>
    </w:p>
    <w:p>
      <w:pPr>
        <w:spacing w:after="0" w:line="3" w:lineRule="exact"/>
        <w:rPr>
          <w:sz w:val="20"/>
          <w:szCs w:val="20"/>
          <w:color w:val="auto"/>
        </w:rPr>
      </w:pPr>
    </w:p>
    <w:p>
      <w:pPr>
        <w:ind w:firstLine="3"/>
        <w:spacing w:after="0" w:line="268" w:lineRule="auto"/>
        <w:tabs>
          <w:tab w:leader="none" w:pos="30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to our ability to conduct business in the non-GSE mortgage market, where financial strength ratings may be a more important counter-party consideration for lenders.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NIW volumes could be adversely affected if lenders and investors select alternatives to private MI.</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If lenders and investors select alternatives to private MI on high-LTV loans, our business could be adversely affected. Among others, alternatives to private MI include, but are not limited to:</w:t>
      </w:r>
    </w:p>
    <w:p>
      <w:pPr>
        <w:spacing w:after="0" w:line="95" w:lineRule="exact"/>
        <w:rPr>
          <w:sz w:val="20"/>
          <w:szCs w:val="20"/>
          <w:color w:val="auto"/>
        </w:rPr>
      </w:pPr>
    </w:p>
    <w:p>
      <w:pPr>
        <w:ind w:left="1100" w:hanging="320"/>
        <w:spacing w:after="0" w:line="291"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using government mortgage insurance programs, including those of the FHA, USDA and VA, and state-supported mortgage insurance funds in several states, including Massachusetts and California;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3" w:name="page34"/>
    <w:bookmarkEnd w:id="33"/>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and other investors holding mortgages in their portfolios and self-insuring;</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GSEs and other investors using credit enhancements other than MI (including alternative forms of credit risk transfer such as the suspended IMAGIN and EPMI programs that could be relaunched in the future), using other credit enhancements in conjunction with reduced levels of MI coverage, or accepting credit risk without credit enhancement;</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 retention program;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paying cash or making large down payments versus securing mortgage financing.</w:t>
      </w:r>
    </w:p>
    <w:p>
      <w:pPr>
        <w:spacing w:after="0" w:line="11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Any of these alternatives to private MI could reduce or eliminate the need for our products, cause us to lose existing business and/or limit our ability to attract the new business that we may prefer to insure.</w:t>
      </w:r>
    </w:p>
    <w:p>
      <w:pPr>
        <w:spacing w:after="0" w:line="9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Further, at the direction of the FHFA, the GSEs have expanded their credit and mortgage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lower costs, reduced counter-party risk due to collateral requirements or more diversified insurance exposures) may create increased competition for private MI on loans traditionally sold to the GSEs with private MI.</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Therefore, the government MIs generally have greater financial flexibility in setting their pricing, guidelines, policy terms and capacity. That may put us at a competitive disadvantage. Although there has been broad policy consensus toward the need for private capital to play a continued and consistent role in the U.S. housing finance system, it remains difficult to predict whether the combined market share of the government MIs will recede to pre-2008 levels. Government MIs may continue to maintain a strong combined market position and could increase their market share in the future.</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If the government MIs maintain or increase their share of the mortgage insurance market, our business and industry could be negatively affected. Factors that could cause government MIs to remain significant include, among others:</w:t>
      </w:r>
    </w:p>
    <w:p>
      <w:pPr>
        <w:spacing w:after="0" w:line="95" w:lineRule="exact"/>
        <w:rPr>
          <w:sz w:val="20"/>
          <w:szCs w:val="20"/>
          <w:color w:val="auto"/>
        </w:rPr>
      </w:pPr>
    </w:p>
    <w:p>
      <w:pPr>
        <w:ind w:left="1100" w:hanging="320"/>
        <w:spacing w:after="0" w:line="291"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to federal housing policy and/or priorities, including government MIs reducing their premiums, which may be more likely under the current Presidential administration, or loosening their underwriting guidelines;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premium rates or tightening of underwriting guidelines by private mortgage insurers;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constraints in the private MI industry;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capital requirements imposed on private mortgage insurers by the GSEs or states;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continuation of increases to or imposition of new GSE loan delivery fees on loans that require MI, which may result in higher borrower costs for MI loans compared to loans insured by government MIs;</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 in the spread between GSE mortgage-backed securities and Ginnie Mae mortgage-backed securities;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government MIs' loan limits above GSE loan limits;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GSEs' demand to participate in the high-LTV or first-time homebuyer origination market;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operational ease of using insurance from government MIs compared to private MI.</w:t>
      </w:r>
    </w:p>
    <w:p>
      <w:pPr>
        <w:spacing w:after="0" w:line="11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degree to which lenders or borrowers may select these alternatives now, or in the future, is difficult to predict. As one or more of the alternatives described above, or new alternatives that may enter the market, are chosen over MI, our revenues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jc w:val="both"/>
        <w:spacing w:after="0" w:line="291" w:lineRule="auto"/>
        <w:rPr>
          <w:sz w:val="20"/>
          <w:szCs w:val="20"/>
          <w:color w:val="auto"/>
        </w:rPr>
      </w:pPr>
      <w:r>
        <w:rPr>
          <w:rFonts w:ascii="Times New Roman" w:cs="Times New Roman" w:eastAsia="Times New Roman" w:hAnsi="Times New Roman"/>
          <w:sz w:val="17"/>
          <w:szCs w:val="17"/>
          <w:color w:val="auto"/>
        </w:rPr>
        <w:t>could be adversely impacted. The loss of business in general or the specific loss of more profitable business could have a material adverse effect on our financial position and operating results.</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continue to attract and retain the most significant mortgage originators as customers, our ability to achieve our business goals could be negatively impacted.</w:t>
      </w:r>
    </w:p>
    <w:p>
      <w:pPr>
        <w:spacing w:after="0" w:line="9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business relationship with us. If we are unable to maintain our approved status with one or more of these mortgage lenders, our business, financial condition and operating results could be adversely impacted.</w:t>
      </w:r>
    </w:p>
    <w:p>
      <w:pPr>
        <w:spacing w:after="0" w:line="33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cannot be certain that any loss of business from one or more of our lender customers would be offset or replaced by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Policies do not require our customers to do business with us. Loss of business from significant customers, if not offset or replaced by additional business from other customers, could have an adverse effect on the amount of new business we are able to write, and consequently, our financial condition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volume of high-LTV loan originations declines, our NIW volume could decline, which would reduce our revenues.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NIW volume and revenues, in part, depend on the volume of high-LTV loan originations and may be negatively affected if the volume of high-LTV loan origination declines. The factors that affect the volume of high-LTV loan originations include, among others:</w:t>
      </w:r>
    </w:p>
    <w:p>
      <w:pPr>
        <w:spacing w:after="0" w:line="95" w:lineRule="exact"/>
        <w:rPr>
          <w:sz w:val="20"/>
          <w:szCs w:val="20"/>
          <w:color w:val="auto"/>
        </w:rPr>
      </w:pPr>
    </w:p>
    <w:p>
      <w:pPr>
        <w:ind w:left="1100" w:hanging="320"/>
        <w:spacing w:after="0" w:line="291" w:lineRule="auto"/>
        <w:tabs>
          <w:tab w:leader="none" w:pos="10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loan interest rates. Higher interest rates may increase the potential housing costs for consumers hoping to purchase homes, which may have the effect of reducing the pool of potential borrowers available to purchase homes;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mortgage credit due to more stringent underwriting standards, more restrictive regulatory and capital requirements and lender liquidity issues;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of the real estate industry and the national economy and conditions in regional and local economies, which may be impacted by inflation and the related Federal Reserve measures which may cause potential economic downturn;</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housing affordability;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housing supply;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population trends, including the rate of household formation, preferences of potential mortgage borrowers and cultural shifts;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anticipated path of home price appreciation, which in times of heavy refinancing can affect whether refinance loans have LTVs that require MI;</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deductibility of mortgage interest or other changes in tax policy, including the TCJA of 2017, which may have an effect on the residential housing market;</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housing policy encouraging loans to first-time homebuyers;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GSEs' demand to participate in the high-LTV or first-time homebuyer origination market;</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GSEs' guaranty and other fees, credit underwriting guidelines and other business terms affect lenders' willingness to extend credit for high-LTV mortgages; and</w:t>
      </w:r>
    </w:p>
    <w:p>
      <w:pPr>
        <w:spacing w:after="0" w:line="95"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COVID-19 and any related imposed containment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 decline in the volume of high-LTV loan originations could decrease demand for MI, decrease our NIW and therefore reduce our revenues and have a material adverse effect on our operating results.</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underwriting and credit risk management policies and practices may not anticipate all risks and/or the magnitude of potential for loss as the result of unforeseen risks.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established underwriting and credit risk management policies and practices that seek to mitigate our exposure to borrower default risk in our insured loan portfolio by anticipating future risks and their magnitude. Our underwriting and credit risk management guidelines are based on what we believe to be the major factors that influence the performance of mortgage credit. These factors include, among others, borrower and loan-level risk characteristics, lender origination practices and macroeconomic variables that influence the housing market. The presence of multiple higher-risk characteristics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layered risk) in a loan materially increases the likelihood of a default on such a loan unless, and to the extent, there are other characteristics to mitigate the layered risk.</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frequency and severity of claims we incur is uncertain and depends largely on general economic conditions, including unemployment rate, interest rates, inflation and the effect of the Federal Reserve's action to control inflation (which could lead to potential economic downturn), and trends in home prices. These may also be continue to be impacted by developments relating to the COVID-19 virus. To the extent that certain risks are unforeseen, or if we have underestimated the frequency and/or severity of loss of certain risks, our underwriting and credit risk management policies and practices may not be sufficient to mitigate the effects of these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9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losses result from events that reduce a borrower's ability or willingness to continue to make mortgage payments. These events include borrower-specific factors, such as job loss, illness, death, divorce, and existing federal supported forbearance programs. These events also include macroeconomic factors, such as rising unemployment, market deterioration, rising interest rates and home price depreciation. Borrowers with high-LTV mortgages often have more difficulty (compared to borrowers with lower LTV mortgages) weathering personal financial hardships caused by unforeseen events, because they may not have sufficient personal savings or available credit to structure viable workout solutions. Rising unemployment rates and deterioration in economic conditions for extended periods of time, including as a result of any potential economic downturn and developments relating to the COVID-19 virus and its variants, across the</w:t>
      </w:r>
    </w:p>
    <w:p>
      <w:pPr>
        <w:spacing w:after="0" w:line="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U.S. or in specific regional economies (such as the wave of layoffs in the technology sector in the recent past), generally increases the likelihood of borrower defaults.</w:t>
      </w:r>
    </w:p>
    <w:p>
      <w:pPr>
        <w:spacing w:after="0" w:line="95"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As inflation has lowered housing affordability, the use of adjustable-rate mortgages (ARMs) and interest rate buydown transactions have become more common. Interest rate buydown happens when the builder or seller, to increase the chances of selling a home, contributes funds that subsidizes the buyer's mortgage loan interest rate during a certain period of time, resulting in a lower monthly payment on the mortgage for the buyer. However, once the buydown rate ends, the buyer’s monthly payment increases. Increasing interest rates typically also lead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The ending of any widely embraced forbearance programs such as those provided under the CARES Act may also increase the realization of losses related to borrower defaults. If our default and loss projections are materially inaccurate, our actual losses could materially exceed our expectations and adversely affect our financial condition and operating results.</w:t>
      </w:r>
    </w:p>
    <w:p>
      <w:pPr>
        <w:spacing w:after="0" w:line="12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jc w:val="both"/>
        <w:spacing w:after="0" w:line="291" w:lineRule="auto"/>
        <w:rPr>
          <w:sz w:val="20"/>
          <w:szCs w:val="20"/>
          <w:color w:val="auto"/>
        </w:rPr>
      </w:pPr>
      <w:r>
        <w:rPr>
          <w:rFonts w:ascii="Times New Roman" w:cs="Times New Roman" w:eastAsia="Times New Roman" w:hAnsi="Times New Roman"/>
          <w:sz w:val="17"/>
          <w:szCs w:val="17"/>
          <w:color w:val="auto"/>
        </w:rPr>
        <w:t>on their insured loans may increase the likelihood and severity of our losses, which could have a material adverse effect on our financial condition and operating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premiums we charge may be insufficient to cover claim payments and our operating costs.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Our mortgage insurance premiums may not be adequate to cover our future claim payments. We set premiums at the time a policy is issued based on our expectations regarding likely performance over the term of the policy. Our premium rates are developed based on certain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when facing higher than anticipated claims, we generally will not be able to offset it by increasing premiums on policies in force, or mitigate it by not renewing or cancelling any coverage. While we believe our capital, premiums and investment earnings will provide a pool of resources sufficient to cover expected loss payments and we have made estimates regarding loss payments and potential claims, we cannot predict with certainty the ultimate number and magnitude of claims we experience. Therefore,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factors that impact the length of time that our policies remain in force may adversely affect our future revenues and claims experience.</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set premiums at the time our policies are issued based on a broad range of variables, including property, loan, borrower, lender and market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w:t>
      </w:r>
    </w:p>
    <w:p>
      <w:pPr>
        <w:spacing w:after="0" w:line="12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 lower level of persistency could reduce our future revenues from our monthly-paid premium products, which constituted about 89% of our primary IIF at year-end 2022.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remain in force longer than was estimated when the policies were written.</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factors affecting persistency may include, among others, the following:</w:t>
      </w:r>
    </w:p>
    <w:p>
      <w:pPr>
        <w:spacing w:after="0" w:line="167" w:lineRule="exact"/>
        <w:rPr>
          <w:sz w:val="20"/>
          <w:szCs w:val="20"/>
          <w:color w:val="auto"/>
        </w:rPr>
      </w:pPr>
    </w:p>
    <w:p>
      <w:pPr>
        <w:ind w:left="1100" w:hanging="320"/>
        <w:spacing w:after="0" w:line="291" w:lineRule="auto"/>
        <w:tabs>
          <w:tab w:leader="none" w:pos="10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guidelines and other policies of the GSEs and other mortgage investors determining the timing and rationale for cancelling mortgage insurance;</w:t>
      </w:r>
    </w:p>
    <w:p>
      <w:pPr>
        <w:spacing w:after="0" w:line="41"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current mortgage interest rates compared to the mortgage rates on the IIF, which affects the sensitivity of the IIF to refinancings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lower current interest rates make it more attractive for borrowers to refinance and receive a lower interest rate);</w:t>
      </w:r>
    </w:p>
    <w:p>
      <w:pPr>
        <w:spacing w:after="0" w:line="42"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equity in a home, as homeowners with more equity in their homes can more readily move to a new residence or refinance their existing mortgage;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rates of home price appreciation or depreciation;</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that affect a borrower's decision to pay-off a mortgage earlier than required;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credit policies, which may make it more difficult for borrowers to refinance their loans;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of lenders to solicit borrower refinancing; and</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BPMI mandated by the HOPA, with the time-frames for HOPA required cancellations generally accelerating in a lower interest rate environment relative to a higher interest rate environment.</w:t>
      </w:r>
    </w:p>
    <w:p>
      <w:pPr>
        <w:spacing w:after="0" w:line="82"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Mortgage interest rates tend to follow the 10-year Treasury yield, which rises and falls based on expectations for the benchmark rate set by the Federal Reserve. In the years leading up to 2022, mortgage interest rates had been at historical lows, primarily as a result of monetary policy by the Federal Reserve which kept the federal funds rate at historical lows. In 2022, in an attempt to curb rising inflation, the Federal Reserve repeatedly and rapidly increased the federal funds rate which hit its highest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jc w:val="both"/>
        <w:spacing w:after="0" w:line="250" w:lineRule="auto"/>
        <w:rPr>
          <w:sz w:val="20"/>
          <w:szCs w:val="20"/>
          <w:color w:val="auto"/>
        </w:rPr>
      </w:pPr>
      <w:r>
        <w:rPr>
          <w:rFonts w:ascii="Times New Roman" w:cs="Times New Roman" w:eastAsia="Times New Roman" w:hAnsi="Times New Roman"/>
          <w:sz w:val="17"/>
          <w:szCs w:val="17"/>
          <w:color w:val="auto"/>
        </w:rPr>
        <w:t>levels in 15 years in December 2022, and led to rising interest rates and mortgage interest rates. Mortgage interest rates also recorded their largest increase in any calendar year in 2022 and the average rate on a 30-year, fixed-rate mortgage increased to the highest in 20 years. As a result of the higher mortgage interest rates in 2022, we observed lower refinancing activities in the mortgage market compared to what we had observed in recent years prior to 2022, and therefore decreased turnover in our IIF.</w:t>
      </w:r>
    </w:p>
    <w:p>
      <w:pPr>
        <w:spacing w:after="0" w:line="194" w:lineRule="exact"/>
        <w:rPr>
          <w:sz w:val="20"/>
          <w:szCs w:val="20"/>
          <w:color w:val="auto"/>
        </w:rPr>
      </w:pPr>
    </w:p>
    <w:p>
      <w:pPr>
        <w:jc w:val="both"/>
        <w:ind w:firstLine="621"/>
        <w:spacing w:after="0"/>
        <w:rPr>
          <w:sz w:val="20"/>
          <w:szCs w:val="20"/>
          <w:color w:val="auto"/>
        </w:rPr>
      </w:pPr>
      <w:r>
        <w:rPr>
          <w:rFonts w:ascii="Times New Roman" w:cs="Times New Roman" w:eastAsia="Times New Roman" w:hAnsi="Times New Roman"/>
          <w:sz w:val="17"/>
          <w:szCs w:val="17"/>
          <w:color w:val="auto"/>
        </w:rPr>
        <w:t>However, if in the future inflation lowers and the Federal Reserve subsequently loosens its monetary policy, mortgage interest rates would likely decline. As in the years leading up to 2022, if we experience a lower interest rate environment in the future, we expect that to drive higher levels of refinancing in the mortgage market, including with respect to loans we insure which may have interest rates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such as those written in 2022 in a higher interest rate environment) that are higher than the future prevailing rates. A lower interest environment could subsequently lead to an increased turnover in our IIF,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 In addition, the GSEs and other mortgage investors who hold the mortgages on which we write mortgage insurance largely control the decision on whether to maintain mortgage insurance. If the GSEs and other mortgage investors change their view on the timing of cancellation of mortgage insurance due to house price appreciation, policy goals, other risk appetite decisions or otherwise, we could experience increased and unexpected turnover in our IIF, which could negatively impact our future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inflation, interest rates and mortgage interest rates may have an adverse impact on our business, future revenue, and financial condition.</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Since 2021, inflation has increased dramatically. Rising inflation may negatively impact our expense base by increasing the costs (including for services) we have to pay contractors, employees, service providers and vendors. Higher inflation also puts a strain on consumer spending. As general costs for goods and services increase for consumers, their housing and mortgage affordability decrease. Inflation's adverse impact on housing and mortgage affordability may therefore lower overall housing demand, result in lower NIW volume and negatively impact our business, future revenue and financial condition.</w:t>
      </w:r>
    </w:p>
    <w:p>
      <w:pPr>
        <w:spacing w:after="0" w:line="194"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In an attempt to curb rising inflation, the Federal Reserve repeatedly and rapidly increased the federal funds rate in 2022 which led to rising interest rates and mortgage interest rates. Higher interest rates and mortgage rates may have an adverse impact on the refinancing origination market and purchase origination market. Higher rates have an adverse impact on the refinancing origination market because higher mortgage interest rates lower the opportunity to refinance an existing loan at a lower mortgage interest rate. Higher rates also have an adverse impact on the purchase origination market because higher mortgage interest rates lower housing and mortgage affordability, and thus consumers' demand for homes. Affordability issues and increases in mortgage rates may also put downward pressure on home prices as buyers' demand for homes decreases. Falling housing demand may result in fewer mortgage originations and a lower price per transaction, reducing the overall size of the MI market. Falling home prices may also result in an increase in our default losses as borrowers' equity in their homes declines and thus decreases our future revenues and returns.</w:t>
      </w:r>
    </w:p>
    <w:p>
      <w:pPr>
        <w:spacing w:after="0" w:line="20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if the Federal Reserve decides to continue its interest rate hikes, there can be no guarantee the Fed will raise rates at a gradual pace, nor can there be any assurance that markets will not adversely react to rate increases and that the rate hikes would not trigger an economic downturn. Downturns in the domestic economy may result in more homeowners defaulting and our losses increasing, with a corresponding decrease in our returns. Therefore, the ultimate impact that higher inflation rates will have on the mortgage origination and mortgage insurance markets, and our loan delinquencies is unknown, and increases in inflation, interest rates and mortgage interest rates may have an adverse impact on our business, future revenue and financial condition.</w:t>
      </w:r>
    </w:p>
    <w:p>
      <w:pPr>
        <w:spacing w:after="0" w:line="1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outsource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08"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also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Policies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8" w:name="page39"/>
    <w:bookmarkEnd w:id="38"/>
    <w:p>
      <w:pPr>
        <w:jc w:val="both"/>
        <w:spacing w:after="0" w:line="291" w:lineRule="auto"/>
        <w:rPr>
          <w:sz w:val="20"/>
          <w:szCs w:val="20"/>
          <w:color w:val="auto"/>
        </w:rPr>
      </w:pPr>
      <w:r>
        <w:rPr>
          <w:rFonts w:ascii="Times New Roman" w:cs="Times New Roman" w:eastAsia="Times New Roman" w:hAnsi="Times New Roman"/>
          <w:sz w:val="17"/>
          <w:szCs w:val="17"/>
          <w:color w:val="auto"/>
        </w:rPr>
        <w:t>underwritten by them and our customer relationships could be negatively impacted, which would have an adverse impact on our business, financial condition and operating results.</w:t>
      </w:r>
    </w:p>
    <w:p>
      <w:pPr>
        <w:spacing w:after="0" w:line="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108"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rights of rescission for material underwriting defects and certain misrepresentations (including borrower fraud) made in connection with the origination of the insured loan and placement of our mortgage insurance. In addition, after a loan attains rescission relief, our rights to conduct investigations of potential fraud or misrepresentation are significantly curtailed and the evidentiary standards we must meet to pursue rescission for fraud are more stringent. See Item 1, "</w:t>
      </w:r>
      <w:r>
        <w:rPr>
          <w:rFonts w:ascii="Times New Roman" w:cs="Times New Roman" w:eastAsia="Times New Roman" w:hAnsi="Times New Roman"/>
          <w:sz w:val="17"/>
          <w:szCs w:val="17"/>
          <w:i w:val="1"/>
          <w:iCs w:val="1"/>
          <w:color w:val="auto"/>
        </w:rPr>
        <w:t>Business - Underwriting - Independent Validation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Rescission Relief.</w:t>
      </w:r>
      <w:r>
        <w:rPr>
          <w:rFonts w:ascii="Times New Roman" w:cs="Times New Roman" w:eastAsia="Times New Roman" w:hAnsi="Times New Roman"/>
          <w:sz w:val="17"/>
          <w:szCs w:val="17"/>
          <w:color w:val="auto"/>
        </w:rPr>
        <w:t>" With these provisions in our Master Policies, we may be obligated to pay claims on certain loans with unacceptable risk characteristics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failed to meet our underwriting guidelines at the time of origination. As a result, we could suffer unexpected losses, which could adversely impact our business, financial condition and operating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our claims to increase as our insured loan portfolio grows and matures.</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our claims experience is affected by macroeconomic factors such as housing prices, inflation, interest rates, mortgage rates, unemployment rates and other events, such as natural disasters or global pandemics (including the ultimate future consequences of COVID-19), and any federal, state or local governmental response thereto. See Part II, Item 7, "</w:t>
      </w:r>
      <w:r>
        <w:rPr>
          <w:rFonts w:ascii="Times New Roman" w:cs="Times New Roman" w:eastAsia="Times New Roman" w:hAnsi="Times New Roman"/>
          <w:sz w:val="17"/>
          <w:szCs w:val="17"/>
          <w:i w:val="1"/>
          <w:iCs w:val="1"/>
          <w:color w:val="auto"/>
        </w:rPr>
        <w:t>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Operations - Insurance Claims and Claim Expenses." </w:t>
      </w:r>
      <w:r>
        <w:rPr>
          <w:rFonts w:ascii="Times New Roman" w:cs="Times New Roman" w:eastAsia="Times New Roman" w:hAnsi="Times New Roman"/>
          <w:sz w:val="17"/>
          <w:szCs w:val="17"/>
          <w:color w:val="auto"/>
        </w:rPr>
        <w:t>Incurred losses and claims may exceed our expectations in the event of general economic weakness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decreases in housing values. An increase in the number or size of claims, compared to what we anticipate, could adversely affect our operating results and financial condition.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in part, on effective and reliable loan servicing.</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depend on reliable, consistent third-party servicing of the loans that we insure. Among other things, our Master Policies require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timelines and practices, which are generally set by the GSEs. Servicers are required to comply with a multitude of legal, regulatory and GSE requirements, procedures and standards for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jc w:val="both"/>
        <w:spacing w:after="0" w:line="291" w:lineRule="auto"/>
        <w:rPr>
          <w:sz w:val="20"/>
          <w:szCs w:val="20"/>
          <w:color w:val="auto"/>
        </w:rPr>
      </w:pPr>
      <w:r>
        <w:rPr>
          <w:rFonts w:ascii="Times New Roman" w:cs="Times New Roman" w:eastAsia="Times New Roman" w:hAnsi="Times New Roman"/>
          <w:sz w:val="17"/>
          <w:szCs w:val="17"/>
          <w:color w:val="auto"/>
        </w:rPr>
        <w:t>servicing residential mortgage loans. If servicers of our insured loans fail to adhere to applicable requirements, procedures and standards, our losses may unexpectedly increase.</w:t>
      </w:r>
    </w:p>
    <w:p>
      <w:pPr>
        <w:spacing w:after="0" w:line="9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have delegated the authority to implement certain loss mitigation options on loans we insure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33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COVID-19 pandemic demonstrated that government actions in response to a national pandemic could create strains on servicers in connection with the remittance of premiums. The COVID-19 virus, and the continuing spread and rise of new variants, remains a threat and we cannot estimate how the rise of new variants and government actions in response to them could affect our servicers in the future. If one or more of our large servicers were to experience adverse effects to its business,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spacing w:after="0" w:line="32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as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referred to as claim frequency, and the amount of the claim payment expected to be paid on each such loan in default, referred to as claim severity. Claim frequency and severity estimates are established based on historical observed experience regarding certain loan factors, such as age of the default, cure rates, size of the loan and estimated change in property value.</w:t>
      </w:r>
    </w:p>
    <w:p>
      <w:pPr>
        <w:spacing w:after="0" w:line="11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spacing w:after="0" w:line="33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The COVID-19 virus may continue to impact our financial results and may also continue to affect our business, liquidity and financial condition.</w:t>
      </w:r>
    </w:p>
    <w:p>
      <w:pPr>
        <w:spacing w:after="0" w:line="15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COVID-19 virus has had and may continue to have negative impacts on the economy and on the financial, equity and credit markets, both globally and within the U.S. While the initial impact of COVID-19 on our business has moderated, the COVID-19 virus, with the rise of new variants (including those with greater transmissibility and/or mortality rates), has continued to pose a global risk and affect communities across the U.S.</w:t>
      </w:r>
    </w:p>
    <w:p>
      <w:pPr>
        <w:spacing w:after="0" w:line="11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During the pandemic, there were a number of governmental and GSE efforts to implement programs designed to assist individuals and businesses impacted by the COVID-19 virus, including the CARES Act, the Consolidated Appropriations Act, 2021 (2021 Appropriations Act), the American Rescue Plan Act (the American Rescue Plan). These programs provide financial assistance for businesses and individuals, and targeted regulatory relief for financial institutions. Among other things, the CARES Act suspended foreclosures and evictions and remains in effect today. The GSEs, the primary purchasers of mortgages we insure, have also adopted certain measures during the pandemic to assist borrowers impacted by COVID-19. Consistent with the CARES Act, the GSEs have provided a forbearance plan to certain borrowers. At the end of a forbearance plan, the affected borrower will not be required to pay back their reduced or suspended mortgage payments in one lump sum, but may be eligible for a number of different options offered by their mortgage servicer depending on their financial situation, including repayment plans, resuming normal payments or lowering the monthly loan payment through a modification. Notwithstanding the GSEs' efforts and other programs, there can be no assurance that borrowers will be able to remain current on their mortgages after a forbearance period ends, and a significant percentage could remain in default and result in mortgage insurance claims.</w:t>
      </w:r>
    </w:p>
    <w:p>
      <w:pPr>
        <w:spacing w:after="0" w:line="123"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Given the continuing spread and mutation of COVID-19 virus and the rise of new variants both within and outside of the U.S., the extent to which the COVID-19 virus and its current and future variants may materially impact our future financial results, business, liquidity and/or financial condition is uncertain and cannot be predicted. There were and there may continue to be impacts on our markets, customers, new business, revenues, loss development and related impacts to our capital needs, employee health and productivity, investment portfolio performance, and ability to access capital and reinsurance markets in the future (if we need to). The magnitude of any future impact of the COVID-19 virus and its variants on our business will depend on, among other things: the spread of the virus and its variants (including those with greater transmissibility and/or mortality rates); the extent and duration of any future containment measures implemented by governmental authorities to manage the spread of the virus and its variants; the extent and effectiveness of medical treatments and vaccination efforts for the virus and its variants; the extent and duration of COVID-19's effects on the economy, unemployment, governmental assistance programs, consumer confidence and consumer and business spending; and the virus and its variants' long-term impact on the mortgage origination and mortgage insurance markets. Because the COVID-19 virus and its variants has continued to pose a global risk and affect communities across the U.S., COVID-19 may continue to have an impact and effect on our business, liquidity, results of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occurrence of natural or man-made disasters or pandemics could adversely affect our business, financial condition and operating results.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are exposed to various risks arising out of natural disasters, including pandemics, earthquakes, wildfires, hurricanes, floods, tornadoes and other events that could be related to and could be worsened by changing climatic conditions. We are also exposed to various risks arising out of man-made disasters, including acts of terrorism, and military actions. For example, a natural disaster event could lead to unexpected changes in persistency rates as policyholders and borrowers who are affected by the disaster may be unable to meet their contractual obligations, such as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 addition, the value of the assets in our investment portfolio could be adversely affected if such an event affects companies' ability to pay us principal or interest on their securities.</w:t>
      </w:r>
    </w:p>
    <w:p>
      <w:pPr>
        <w:spacing w:after="0" w:line="33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insure mortgages for homes in areas that have been impacted by natural disasters, including from hurricanes and wildfires.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7"/>
          <w:szCs w:val="17"/>
          <w:color w:val="auto"/>
        </w:rPr>
        <w:t>unaffected areas. We have observed that loans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and efforts to manage climate risk by government agencies could affect our business and operations.</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do not directly insure climate-related risks. Our insurance policies also generally exclude losses resulting from physical damage to the properties securing the loans we insure. While climate related risks such as flood, wildfire, wind, and earthquake do not directly cause losses to our business, we are indirectly exposed to risks of climate change. A natural disaster event could be triggered by climate change and could lead to unexpected changes in persistency rates as policyholders and borrowers who are affected by the disaster may be unable to meet their contractual obligations, such as mortgage payments on loans we insure. A natural disaster triggered by climate change could also trigger an economic downturn in the areas directly or indirectly affected by the natural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normal business operations.</w:t>
      </w:r>
    </w:p>
    <w:p>
      <w:pPr>
        <w:spacing w:after="0" w:line="123"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Since 2020, the FHFA has been increasingly vocal about climate and natural disasters and their impact on the GSEs and the Federal Home Loan Banks (together, the regulated entities) and the national housing market, and has designated climate change as a priority concern and instructed the GSEs to actively consider its effects in their decision making. In January 2021, the FHFA issued a Request for Input (RFI) regarding Climate and Natural Disaster Risk Management on the regulated entities and hosted a public listening session. The RFI asked for information on data, FHFA’s supervisory and regulatory responsibilities, financial disclosures, affordability, and fairness and equity. In December 2021, the FHFA's current director (and then acting director) Sandra Thompson issued a statement that instructed FHFA's regulated entities to designate climate change as a priority concern and actively consider its effects in their decision making. To that end, the FHFA announced a new Conservatorship Scorecard which would hold the GSEs accountable for ensuring resiliency to climate risks, and also enhanced its monitoring and supervision of climate change issues. It is possible that efforts to manage climate risk by the FHFA, GSEs (including through GSE guideline or mortgage insurance policy changes) or others could materially impact the volume and characteristics of our NIW (including its policy terms), home prices in certain areas and defaults by borrowers in certain areas, as well as increase the costs to us of providing mortgage insurance in certain areas, and therefore may impact our business and operations.</w:t>
      </w: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08"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use third-party reinsurance, including the QSR Transactions, the ILN Transactions and XOL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and XOL Transactions (which are not fully collateralized like the ILN Transactions) not performing their obligations, the GSEs or the Wisconsin OCI not continuing to give us full capital credit as anticipated for the duration of the contracts, or if one or more reinsurers under any of the QSR Transactions or XOL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12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Reinsurance does not relieve us of our direct liability to our insureds to pay claims, even when there are reinsurance recoverables available to us under the QSR Transactions or XOL Transactions. Accordingly, we bear credit risk with respect to such reinsurers. To mitigate this risk, there are certain contractual protections that establish sources from which we may directly obtain our reinsurance recoverables under the QSR Transactions or XOL Transactions. The ILN Transactions are fully collateralized with funds deposited into trust accounts to secure the obligations of the reinsurers to NMIC under the respective reinsurance agreement. See Part II,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 Reinsurance</w:t>
      </w:r>
      <w:r>
        <w:rPr>
          <w:rFonts w:ascii="Times New Roman" w:cs="Times New Roman" w:eastAsia="Times New Roman" w:hAnsi="Times New Roman"/>
          <w:sz w:val="17"/>
          <w:szCs w:val="17"/>
          <w:color w:val="auto"/>
        </w:rPr>
        <w:t>," below. To the extent the amounts in the QSR Transaction or XOL Transaction trust accounts are insufficient to cover loss recoveries and other amounts to which we are entitled under the QSR Transactions or XOL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If any reinsurer under the QSR Transactions or XOL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and XOL Transactions generally also give us the right to terminate the agreements in certain other circumstances, including, among other reasons, if a reinsurer becomes insolvent, has its license revoked or reinsures its entire liability under the relevant QSR Transaction or XOL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addition, the GSEs and the Wisconsin OCI have the right periodically to review performance under our third-party reinsurance transactions, including the reinsurers' financial strength and other factors (which may be unknown to us) the GSEs and Wisconsin OCI may believe are important to an evaluation of the transactions.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9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mortgage insurance business has been rapidly growing since 2013.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1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are exposed to operational risk from fraud, malfeasance or error by borrowers, employees and third-party service providers, and any such fraud, malfeasance or error could materially and adversely affect us.</w:t>
      </w:r>
    </w:p>
    <w:p>
      <w:pPr>
        <w:spacing w:after="0" w:line="9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are exposed to many types of operational risk, including the risk of fraud or malfeasance by borrowers,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whom we do business also could be sources of operational risk to us, including breakdowns or failures of such parties' own systems or employees. Given our hybrid and remote work arrangements of our employees and staff,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3" w:name="page44"/>
    <w:bookmarkEnd w:id="43"/>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9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To enhance our ability to provide innovative IT solutions for our internal and external constituents, we are party to an agreement with TCS, whereby TCS provides services across such functions as application development and support, infrastructure support (service desk, end user computing and engineering services) and information security functions. We underwrite and service our MI portfolio within a proprietary insurance management platform which has deployed technology that enables our customers to transact business in a secure manner. Our lender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spacing w:after="0" w:line="127"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success of our business depends on our ability to timely and effectively resolve any significant issues that may arise with the operation of our technology platform. While we anticipate that our engagement with TCS will enhance our ability to 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platforms fail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prevent the unauthorized disclosure or misuse of confidential, personal or proprietary information.</w:t>
      </w:r>
    </w:p>
    <w:p>
      <w:pPr>
        <w:spacing w:after="0" w:line="158"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17"/>
          <w:szCs w:val="17"/>
          <w:color w:val="auto"/>
        </w:rPr>
        <w:t>Our IT systems process, transmit, store and protect large amounts of personal information of borrowers whose mortgages we insure, in addition to the confidential, proprietary, financial and other information that are critical to our business. Our IT systems and networks, including those functions that we may outsource, are vulnerable to unauthorized access, interruptions or failures due to events that are often beyond our control, including cyber-attacks, natural disasters, theft, terrorist attacks and general technology failures. We may, from time to time, upgrade certain of our information systems, and transform and automate certain of our business processes. We also have outsourced certain technology and business functions to third parties, and may continue to do so in the</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future. If we fail to timely and successfully implement and integrate new technology systems or if the systems and/or transformed and automated business processes do not operate as expected, this may expose us to increased risk related to data and information security and unexpected service disruptions, which could result in monetary and reputational damage or harm to our competitive position. Our remote and hybrid working arrangements may also increase the risk of cyber-security attacks or data security incidents. In particular, in the current remote and hybrid working arrangements environment, our employees and vendors rely on the use of portable computers and mobile devices, which can be stolen, lost or misused, making information accessible through such devices more vulnerable to unauthorized access, including by employee malfeasance. We have adopted information security procedures and controls to safeguard our systems and the information that we process, transmit and store, including multi-factor authentication and a new biometrics solution to authenticate employee login. Despite these efforts, we may not be able to anticipate or implement effective preventive measures against all cyber threats, or detect and contain a breach in a timely manner, including because employees or contractors may not follow the controls we have implemented, the invasive techniques used change frequently or are not recognized until launched, and because security attacks can originate from a wide variety of sources and methods. Our remote or hybrid working arrangements may exacerbate these risks. Our employees, contractors, customers or other users of our systems are from time-to-time subject to fraudulent inducements by parties attempting to gain access to our data or that of our customers. Although we believe that we have appropriate information security policies and systems in place,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further compromise, damages, harm our reputation, subject us to regulatory scrutiny and/or expose us to civil litigation or regulatory action. If any of these were to occur, our business, financial condition and operating results could be materially adversely affected. Further, the technology errors and omissions, and insurance coverage we maintain may be unavailable or inadequate to fully cover claims and/or costs associated with incidents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Much of our investment portfolio has been established at a time of historically low interest rates. If market interest rates rise above the rates on our fixed income securities, it would increase unrealized losses on these securities and decrease the market value of our investment portfolio. If it was necessary to sell these securities while they are in an unrealized loss position, it would adversely impact our financial condition.</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may be required or find it advisable to change our investments or investment policies depending upon regulatory, economic, social and market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regulatory and litigation risks associated with offering loan review services.</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Times New Roman" w:cs="Times New Roman" w:eastAsia="Times New Roman" w:hAnsi="Times New Roman"/>
          <w:sz w:val="17"/>
          <w:szCs w:val="17"/>
          <w:i w:val="1"/>
          <w:iCs w:val="1"/>
          <w:color w:val="auto"/>
        </w:rPr>
        <w:t>The private MI industry is, and as a participant we 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subject to litigation and regulatory enforcement risk generally</w:t>
      </w:r>
      <w:r>
        <w:rPr>
          <w:rFonts w:ascii="Times New Roman" w:cs="Times New Roman" w:eastAsia="Times New Roman" w:hAnsi="Times New Roman"/>
          <w:sz w:val="17"/>
          <w:szCs w:val="17"/>
          <w:color w:val="auto"/>
        </w:rPr>
        <w:t>,"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of the Mortgage Insurance Industry</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8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is a GSE-</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and the significant majority of insurance we write is on loans sold to the GSEs. The GSEs set their own counter-party standards for private mortgage insurers, known as PMIERs.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a result, our compliance with the PMIERs is necessary to maintain NMIC's status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2022 that NMIC was in full compliance with the PMIERs as of December 31, 2021.</w:t>
      </w:r>
    </w:p>
    <w:p>
      <w:pPr>
        <w:spacing w:after="0" w:line="12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There is no assurance NMIC will remain 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5" w:name="page46"/>
    <w:bookmarkEnd w:id="45"/>
    <w:p>
      <w:pPr>
        <w:jc w:val="both"/>
        <w:spacing w:after="0" w:line="269" w:lineRule="auto"/>
        <w:rPr>
          <w:sz w:val="20"/>
          <w:szCs w:val="20"/>
          <w:color w:val="auto"/>
        </w:rPr>
      </w:pPr>
      <w:r>
        <w:rPr>
          <w:rFonts w:ascii="Times New Roman" w:cs="Times New Roman" w:eastAsia="Times New Roman" w:hAnsi="Times New Roman"/>
          <w:sz w:val="17"/>
          <w:szCs w:val="17"/>
          <w:color w:val="auto"/>
        </w:rPr>
        <w:t>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32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Compliance with PMIERs requires us to seek the GSEs' prior approval before taking many actions, including implementing new products or services or entering into inter-company agreements among other actions. In addition, for an approved insurer to receive a reduction in its risk-based required asset 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 position and operating results. For example, we and other approved insurers were required to implement new master policies to, among other things, include terms that conform to the GSEs' RRP.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spacing w:after="0" w:line="12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Changes in the business practices of the GSEs, including a decision to decrease or discontinue the use of private MI, or changes in the terms on which mortgage insurance coverage may be cancelled, federal legislation that changes their charters or a restructuring of the GSEs or changes in loan delivery pricing imposed by the GSEs could reduce the private MI market opportunity, reduce our revenues or increase our losses.</w:t>
      </w:r>
    </w:p>
    <w:p>
      <w:pPr>
        <w:spacing w:after="0" w:line="10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requirements and practices of the GSEs impact the operating results and financial performance of approved insurers, including NMIC. Changes in the charters or business practices of the GSEs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1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The former director of FHFA leadership was more focused on preparing the GSEs to exit from conservatorship by increasing the GSEs’ overall capital levels and reducing their credit risk profile. In December 2020, the FHFA published a final rule (2020 ERCF rule) establishing a new enterprise regulatory capital framework (ERCF) for the GSEs, which included provisions governing the capital relief allowed to the GSEs for loans with private MI. The 2020 ERCF rule established that loans with private MI as opposed to loans without private MI, provide more favorable capital relief to the GSEs.</w:t>
      </w:r>
    </w:p>
    <w:p>
      <w:pPr>
        <w:spacing w:after="0" w:line="123"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Leadership at the FHFA changes from time-to-time. Given that the Director of the FHFA is removable by the President at will, the agency's agenda, policies and actions likely will be significantly influenced by the then current administration. Accordingly, it is difficult to predict whether or how the FHFA might seek to implement GSE oversight beyond the current administration's term. In 2021, President Biden removed the former director of FHFA and appointed a new director to lead the FHFA. Unlike the prior Director's focus to exit the GSEs from conservatorship, Director Thompson's actions are more focused on balancing the dual mandate of the GSEs, including safety and soundness of the housing finance system and on increasing the accessibility and affordability of mortgage credit, especially to low-and-moderate income borrowers and underserved communities. Between Director Thompson and the Treasury Department, they possess significant capacity to effect administrative GSE reforms. In September 2021, the FHFA under Director Thompson, together with the Treasury Department, proposed amendments to the 2020 ERCF rule. On March 16, 2022, the FHFA adopted the final rule (effective May 16, 2022) (2022 ERCF amendment) that amended the ERCF by refining the prescribed leverage buffer amount and the CRT securitization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7"/>
          <w:szCs w:val="17"/>
          <w:color w:val="auto"/>
        </w:rPr>
        <w:t>framework for the GSEs, which reduced the amount of capital the GSEs are required to hold, including by increasing the capital credit the GSEs receive for the credit risk that they distribute. While the 2022 ERCF amendment made positive modifications to the ERCF, the total capital required to be held by the GSEs upon implementation of the final rule remains significant. An increase in the capital required to be held by us under PMIERs could make our products more expensive and could have a material adverse impact on our financial condition and future business prospects.</w:t>
      </w:r>
    </w:p>
    <w:p>
      <w:pPr>
        <w:spacing w:after="0" w:line="104"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Other potential GSE reforms, whether through legislation or administrative action,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spacing w:after="0" w:line="202" w:lineRule="exact"/>
        <w:rPr>
          <w:sz w:val="20"/>
          <w:szCs w:val="20"/>
          <w:color w:val="auto"/>
        </w:rPr>
      </w:pP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or requirements that may result in a reduction in the number of mortgages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national conforming loan limit for mortgages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mortgage insurance required;</w:t>
      </w:r>
    </w:p>
    <w:p>
      <w:pPr>
        <w:spacing w:after="0" w:line="114"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mortgage insurance coverage may be canceled, including GSE requirements and programs that permit cancellation prior to reaching the cancellation thresholds and conditions established by law;</w:t>
      </w:r>
    </w:p>
    <w:p>
      <w:pPr>
        <w:spacing w:after="0" w:line="4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required to be included in master policies for the mortgage insurance policies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loan level price adjustments or guarantee fees that the GSEs charge on loans that require mortgage insurance; and</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influence that the GSEs have over a mortgage lender’s selection of the mortgage insurer providing coverage.</w:t>
      </w:r>
    </w:p>
    <w:p>
      <w:pPr>
        <w:spacing w:after="0" w:line="34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recent years, the FHFA has set goals for the GSEs to transfer significant portions of the GSEs' mortgage credit risk to the private sector. Several credit risk transfer products had been created to transfer mortgage credit risk to the private sector, including the now suspended IMAGIN and EPMI and others discussed above in "</w:t>
      </w:r>
      <w:r>
        <w:rPr>
          <w:rFonts w:ascii="Times New Roman" w:cs="Times New Roman" w:eastAsia="Times New Roman" w:hAnsi="Times New Roman"/>
          <w:sz w:val="17"/>
          <w:szCs w:val="17"/>
          <w:i w:val="1"/>
          <w:iCs w:val="1"/>
          <w:color w:val="auto"/>
        </w:rPr>
        <w:t>Our NIW volumes could be adversely affected if lenders and investors select alternatives to private MI.</w:t>
      </w:r>
      <w:r>
        <w:rPr>
          <w:rFonts w:ascii="Times New Roman" w:cs="Times New Roman" w:eastAsia="Times New Roman" w:hAnsi="Times New Roman"/>
          <w:sz w:val="17"/>
          <w:szCs w:val="17"/>
          <w:color w:val="auto"/>
        </w:rPr>
        <w:t>" To the extent these and any other current or potential credit risk products that may evolve in a manner that displace primary MI coverage, the amount of insurance we write may be reduced. It is difficult to predict the impact of any other current or potential alternative credit risk transfer products, if any, that are developed to meet the goals established by the FHFA.</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comprehensive state insurance regulations and capital adequacy requirements, which we must satisfy to continue to operate our MI business.</w:t>
      </w:r>
    </w:p>
    <w:p>
      <w:pPr>
        <w:spacing w:after="0" w:line="32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applicable regulations could lead to enforcement or disciplinary action, including the imposition of penalties and the revocation of our authorization to operate.</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our RIF grows faster than expected) or is less profitable than expected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our revenues do not generate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7" w:name="page48"/>
    <w:bookmarkEnd w:id="47"/>
    <w:p>
      <w:pPr>
        <w:jc w:val="both"/>
        <w:spacing w:after="0" w:line="263" w:lineRule="auto"/>
        <w:rPr>
          <w:sz w:val="20"/>
          <w:szCs w:val="20"/>
          <w:color w:val="auto"/>
        </w:rPr>
      </w:pPr>
      <w:r>
        <w:rPr>
          <w:rFonts w:ascii="Times New Roman" w:cs="Times New Roman" w:eastAsia="Times New Roman" w:hAnsi="Times New Roman"/>
          <w:sz w:val="17"/>
          <w:szCs w:val="17"/>
          <w:color w:val="auto"/>
        </w:rPr>
        <w:t>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NAIC has formed the Working Group to discuss and recommend changes to the solvency and market practices regulation of mortgage insurers, including changes to the Model Act. We, along with other mortgage insurers, have provided feedback to the Working Group since early 2013, including comments on proposed amendments to the Model Act which is still pending.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private MI industry is, and as a participant we are, subject to litigation and regulatory enforcement risk generally.</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 private MI industry, including NMIC, may be affected by changes in the laws and regulations to which we are subject or the way they are interpreted or applied. See "</w:t>
      </w:r>
      <w:r>
        <w:rPr>
          <w:rFonts w:ascii="Times New Roman" w:cs="Times New Roman" w:eastAsia="Times New Roman" w:hAnsi="Times New Roman"/>
          <w:sz w:val="17"/>
          <w:szCs w:val="17"/>
          <w:i w:val="1"/>
          <w:iCs w:val="1"/>
          <w:color w:val="auto"/>
        </w:rPr>
        <w:t>Item 1 - Business - U.S. Mortgage Insurance Regulation</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the past, other mortgage insurers (not including us)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2008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Leadership change at the CFPB or the White House may also have an impact on future CFPB enforcement activity. The CFPB's interpretation and enforcement of Section 8 of RESPA presents regulatory risk for many providers of "settlement services," including mortgage insurers.</w:t>
      </w:r>
    </w:p>
    <w:p>
      <w:pPr>
        <w:spacing w:after="0" w:line="129"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330"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From time-to-time,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spacing w:after="0" w:line="10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January 2014, the CFPB implemented the Dodd-Frank Act ATR mortgage provisions (ATR), which govern the obligation of lenders to determine a borrower's ability to pay when originating a mortgage loan covered by ATR. A subset of mortgages falling under the ATR that has certain low-risk characteristics are known as QMs. QMs that are deemed to have the lowest risk profiles are entitled to a safe-harbor presumption of compliance with the ability-to-pay requirements. In the fourth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7"/>
          <w:szCs w:val="17"/>
          <w:color w:val="auto"/>
        </w:rPr>
        <w:t>quarter of 2020, the CFPB released a series of final rules to (i) eliminate the QM Patch, (ii) amend the definition of a General QM, and (iii) provide for a new, Seasoned QM category. The General QM final rule was effective on March 1, 2021 with an extended mandatory compliance date of October 1, 2022. However, the GSEs announced on April 8, 2021 that, for loan applications received on or after July 1, 2021, they will only purchase loans satisfying the New General QM Definition. See "Item 1, "Business - U.S. Mortgage Insurance Regulation - Other U.S. Regulation - Housing Finance Reform" above for a summary of the GSEs final rules related to QMs. The long-term effects of the expiration of the QM Patch and implementation of the General QM and Seasoned QM final rules could affect the residential mortgage market and demand for private mortgage insurance.</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adversely impacted by the phasing out of London Interbank Offered Rate (LIBOR).</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Certain financial contracts around the world specify rates that are based on LIBOR which is produced daily by averaging the rates for inter-bank lending reported by a number of banks. As previously announced by the United Kingdom’s Financial Conduct Authority in 2017, most maturities and currencies of LIBOR were phased out at the end of 2021, with the remaining ones to be phased out on June 30, 2023. Efforts to identify and transition to a set of alternative U.S. dollar reference rates have been underway, including proposals by the Alternative Reference Rates Committee of the Federal Reserve (ARRC). In 2017, the ARRC recommended an alternative reference rate referred to as the Secured Overnight Financing Rate (SOFR), a combination of certain overnight repo rates, to replace USD LIBOR, and the Federal Reserve Bank of New York began publishing SOFR in 2018.</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have exposure to LIBOR-indexed financial instruments, including our credit instruments and ILN Transactions. As of December 31, 2022, we held $21.9 million of floating-rate securities in our investment portfolio that yield interest based on an index rate, predominantly LIBOR, plus a margin (the LIBOR-indexed securities).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continue to analyze potential risks associated with the LIBOR transition, including financial, operational, legal and market risks. We have reviewed and identified our LIBOR-indexed financial instructions. We have created an enterprise plan for our LIBOR-based contracts to transition to an alternative reference rate at the discontinuance of LIBOR. We continue to review and monitor our exposure to LIBOR, along with the market adoption of alternative reference rates and industry-standard contractual fall-back provisions.</w:t>
      </w:r>
    </w:p>
    <w:p>
      <w:pPr>
        <w:spacing w:after="0" w:line="1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Each of our LIBOR-indexed financial instruments and we believe most of our LIBOR-indexed securities provides for determining an alternative reference rate if LIBOR is discontinued. LIBOR-indexed ARMs typically provide lenders with the option to choose a comparable rate if LIBOR ceases to exist. However, there is considerable uncertainty as to how the financial services industry will address the discontinuance of LIBOR in these financial instruments. Alternative reference rates that replace LIBOR may not yield the same or similar economic results over the lives of these financial instruments. In addition, while the ARRC was created to ensure a successful transition from LIBOR, there can be no assurance that the ARRC will endorse practices that create a smooth transition and minimize value transfers between market participants, or that its endorsed practices will be broadly adopted by market participants. In addition, we cannot anticipate how long it will take to develop the systems and processes necessary to adopt SOFR or other benchmark replacements, which may delay and contribute to uncertainty and volatility surrounding the LIBOR transition.</w:t>
      </w:r>
    </w:p>
    <w:p>
      <w:pPr>
        <w:spacing w:after="0" w:line="123"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Accordingly, a change or transition away from LIBOR as a common reference rate in the financial market could have a range of adverse effects on our business. In particular any such transition could:</w:t>
      </w:r>
    </w:p>
    <w:p>
      <w:pPr>
        <w:spacing w:after="0" w:line="95" w:lineRule="exact"/>
        <w:rPr>
          <w:sz w:val="20"/>
          <w:szCs w:val="20"/>
          <w:color w:val="auto"/>
        </w:rPr>
      </w:pPr>
    </w:p>
    <w:p>
      <w:pPr>
        <w:ind w:left="620" w:hanging="306"/>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the interest rates we pay on our LIBOR-indexed financial instruments;</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volatility in the yield of our LIBOR-indexed securities and investment income;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9" w:name="page50"/>
    <w:bookmarkEnd w:id="49"/>
    <w:p>
      <w:pPr>
        <w:ind w:left="620" w:hanging="306"/>
        <w:spacing w:after="0" w:line="291"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 additional inquiries or other actions from regulators in respect of our preparation and readiness for the replacement of LIBOR with an alternative reference rate;</w:t>
      </w:r>
    </w:p>
    <w:p>
      <w:pPr>
        <w:spacing w:after="0" w:line="43"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disputes, litigation or other actions with our counterparties regarding the interpretation and enforceability of certain fall-back language in LIBOR-based instruments and securities we hold; and</w:t>
      </w:r>
    </w:p>
    <w:p>
      <w:pPr>
        <w:spacing w:after="0" w:line="43"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 the residential mortgage market, including with respect to ARMs, if replacement indices unilaterally chosen by lenders negatively impact borrowers, which could give rise to higher than expected rates of default on such loans and increased litigation.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Holding Company and Capital Structure</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holding company structure and certain regulatory and other constraints could affect our ability to satisfy our obligations and potentially require us to raise more capital.</w:t>
      </w:r>
    </w:p>
    <w:p>
      <w:pPr>
        <w:spacing w:after="0" w:line="9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NMIH serves as the holding company for our operating subsidiaries and does not have any significant operations of its own. NMIH's principal source of operating cash is investment income, and could in the future include dividends from NMIC and Re One, which currently does not have active insurance exposure. NMIC has the capacity to pay aggregate ordinary dividends of $98.0 million to NMIH during the twelve-month period ending December 31, 2023, without prior approval from the Wisconsin OCI. NMIH also has access to $250 million of undrawn revolving credit capacity under the senior secured credit facilities. In addition, NMIH currently receives cash from our insurance subsidiaries, consisting of payments made under our tax and expense-sharing arrangements. Among such agreements, the Wisconsin OCI has approved the allocation of interest expense on our $400 million aggregate principal amount of senior secured notes that mature on June 1, 2025 (the Notes) and senior secured credit facilities to NMIC to the extent proceeds from the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33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w:t>
      </w:r>
    </w:p>
    <w:p>
      <w:pPr>
        <w:spacing w:after="0" w:line="33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substantial indebtedness could adversely affect our financial condition.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currently have and will continue to have a substantial amount of indebtedness. As of December 31, 2022 our debt totaled approximately $396.1 million.</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indebtedness could have significant negative consequences for our business, financial condition and operating results,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0" w:name="page51"/>
    <w:bookmarkEnd w:id="50"/>
    <w:p>
      <w:pPr>
        <w:ind w:left="620" w:hanging="306"/>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107" w:lineRule="exact"/>
        <w:rPr>
          <w:rFonts w:ascii="Arial" w:cs="Arial" w:eastAsia="Arial" w:hAnsi="Arial"/>
          <w:sz w:val="21"/>
          <w:szCs w:val="21"/>
          <w:color w:val="auto"/>
        </w:rPr>
      </w:pPr>
    </w:p>
    <w:p>
      <w:pPr>
        <w:ind w:left="620" w:hanging="306"/>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ability to obtain additional financing;</w:t>
      </w:r>
    </w:p>
    <w:p>
      <w:pPr>
        <w:spacing w:after="0" w:line="123" w:lineRule="exact"/>
        <w:rPr>
          <w:rFonts w:ascii="Arial" w:cs="Arial" w:eastAsia="Arial" w:hAnsi="Arial"/>
          <w:sz w:val="21"/>
          <w:szCs w:val="21"/>
          <w:color w:val="auto"/>
        </w:rPr>
      </w:pPr>
    </w:p>
    <w:p>
      <w:pPr>
        <w:ind w:left="620" w:hanging="306"/>
        <w:spacing w:after="0" w:line="250" w:lineRule="auto"/>
        <w:tabs>
          <w:tab w:leader="none" w:pos="61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requiring the dedication of a substantial portion of the cash flow from our subsidiaries' operations to service our indebtedness, thereby reducing the amount of cash flow available for other purposes;</w:t>
      </w:r>
    </w:p>
    <w:p>
      <w:pPr>
        <w:spacing w:after="0" w:line="98" w:lineRule="exact"/>
        <w:rPr>
          <w:rFonts w:ascii="Arial" w:cs="Arial" w:eastAsia="Arial" w:hAnsi="Arial"/>
          <w:sz w:val="21"/>
          <w:szCs w:val="21"/>
          <w:color w:val="auto"/>
        </w:rPr>
      </w:pPr>
    </w:p>
    <w:p>
      <w:pPr>
        <w:ind w:left="620" w:hanging="306"/>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for us to retain our existing ratings or to obtain investment-grade credit ratings in the future;</w:t>
      </w:r>
    </w:p>
    <w:p>
      <w:pPr>
        <w:spacing w:after="0" w:line="123" w:lineRule="exact"/>
        <w:rPr>
          <w:rFonts w:ascii="Arial" w:cs="Arial" w:eastAsia="Arial" w:hAnsi="Arial"/>
          <w:sz w:val="21"/>
          <w:szCs w:val="21"/>
          <w:color w:val="auto"/>
        </w:rPr>
      </w:pPr>
    </w:p>
    <w:p>
      <w:pPr>
        <w:ind w:left="620" w:hanging="306"/>
        <w:spacing w:after="0" w:line="237" w:lineRule="auto"/>
        <w:tabs>
          <w:tab w:leader="none" w:pos="61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to conduct our business successfully or to grow our business, or limiting our flexibility in planning for, or reacting to, changes in our business; and</w:t>
      </w:r>
    </w:p>
    <w:p>
      <w:pPr>
        <w:spacing w:after="0" w:line="108" w:lineRule="exact"/>
        <w:rPr>
          <w:rFonts w:ascii="Arial" w:cs="Arial" w:eastAsia="Arial" w:hAnsi="Arial"/>
          <w:sz w:val="21"/>
          <w:szCs w:val="21"/>
          <w:color w:val="auto"/>
        </w:rPr>
      </w:pPr>
    </w:p>
    <w:p>
      <w:pPr>
        <w:ind w:left="620" w:hanging="306"/>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placing us at a possible competitive disadvantage with less leveraged competitors and competitors that may have better access to capital resources.</w:t>
      </w:r>
    </w:p>
    <w:p>
      <w:pPr>
        <w:spacing w:after="0" w:line="8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our senior secured credit facilities and the indenture governing our senior secured notes contain certain restrictive covenants that, among other things, limit our ability to incur additional indebtedness, make investments, incur liens, transfer or dispose of assets, merge with or acquire other companies and pay dividends. Our senior secured credit facilities require us to comply with certain financial and other maintenance covenants. A failure to comply with covenants or the other terms of our senior secured credit facilities and the indenture governing our senior secured notes could result in an event of default under such indebtedness, which, if not remedied, may trigger an event of default under certain other indebtedness.</w:t>
      </w:r>
    </w:p>
    <w:p>
      <w:pPr>
        <w:spacing w:after="0" w:line="19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If the lenders under our senior secured credit facilities terminate their commitments or we are unable to satisfy certain covenants or representations, we may not have access to funding in a timely manner, or at all, when we require it. If funding is not available under the senior secured credit facilities when we require it, our ability to continue our business practices or pursue our current strategy could be limited. If any indebtedness under the senior secured credit facilities or our senior notes is accelerated, we cannot assure you that our assets would be sufficient to repay such amounts in full, and the lenders and/or noteholders could foreclose on the collateral securing the obligations under the senior secured credit facilities and the senior notes, including, subject to regulatory approval, the stock of NMIC and Re One. Any of these actions could have a material adverse effect on our business, financial condition and operating results.</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existing, and any future, variable rate indebtedness subjects us to interest rate risk, which could cause our annual debt service obligations to increase significantly.</w:t>
      </w:r>
    </w:p>
    <w:p>
      <w:pPr>
        <w:spacing w:after="0" w:line="9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Any indebtedness we may incur under our senior 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may incur substantial additional debt in the future, including up to $250 million in borrowings we may choose to make under our 2021 Revolving Credit Facility. Although the credit agreement governing our 2021 Revolving Credit Facility and the indenture governing our senior 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our 2021 Revolving Credit Facility and indenture does 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Ownership of Our Common Stock</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pay any dividends on our common stock and may not pay any dividends on our common stock in the future, and payment of any declared dividends may be delayed.</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not declared or paid dividends in the past, and we may not pay dividends in the future. As a result, until we otherwise declare and pay dividends on our common stock,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which could cause the value of an investment in our common stock to decline.</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11" w:lineRule="exact"/>
        <w:rPr>
          <w:sz w:val="20"/>
          <w:szCs w:val="20"/>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including price levels and volume and changes in interest rates and rising inflation;</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regional and local economic or business conditions;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trade, tax, monetary and fiscal policies, including the interest rate policies of the Federal Reserve;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housing and housing finance policy, including changes to the GSEs and the role of government MIs;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projected financial condition, liquidity, operating results, cash flows and capital levels;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failure to meet, our publicly disclosed expectations as to our future financial and operating performance;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valuations, as well as the financial and operating performance and prospects, of similar companies;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issuances or sales, or anticipated issuances or sales, of our common stock or other securities convertible into or exchangeable or exercisable for our common stock;</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indebtedness we may incur in the future;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changes in our stock price, such as changes in the value of the liability reflected on our financial statements associated with outstanding warrants;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failure to establish and maintain effective internal controls over financial reporting;</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 and management;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satisfy the continued listing requirements of the Nasdaq;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the Sarbanes-Oxley Act of 2002.</w:t>
      </w:r>
    </w:p>
    <w:p>
      <w:pPr>
        <w:spacing w:after="0" w:line="1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2" w:name="page53"/>
    <w:bookmarkEnd w:id="52"/>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9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December 31, 2022, we had 86,472,742 shares of our common stock issued and 83,549,879 shares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Amended and Restated 2014 Omnibus Incentive Plan (2014 Plan) has a total of 8,250,000 shares authorize for issuance. Any shares issued under our 2014 Plan, including as a result of the exercise of stock options, would dilute the percentage ownership held by investors who purchase our shares prior to such issuance.</w:t>
      </w:r>
    </w:p>
    <w:p>
      <w:pPr>
        <w:spacing w:after="0" w:line="99"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incentive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20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Future issuance of debt or preferred stock, which would rank senior to our Class A common stock upon our liquidation, may adversely affect the market value of our common stock.</w:t>
      </w:r>
    </w:p>
    <w:p>
      <w:pPr>
        <w:spacing w:after="0" w:line="9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2021 Revolving Credit Facility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9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certificate of incorporation and bylaws and Delaware law contain provisions that could have the effect of rendering more difficult or discouraging an acquisition deemed undesirable by our Board. Our corporate governance documents include, among others, provisions that:</w:t>
      </w:r>
    </w:p>
    <w:p>
      <w:pPr>
        <w:spacing w:after="0" w:line="95" w:lineRule="exact"/>
        <w:rPr>
          <w:sz w:val="20"/>
          <w:szCs w:val="20"/>
          <w:color w:val="auto"/>
        </w:rPr>
      </w:pPr>
    </w:p>
    <w:p>
      <w:pPr>
        <w:ind w:left="1100" w:hanging="320"/>
        <w:spacing w:after="0" w:line="291" w:lineRule="auto"/>
        <w:tabs>
          <w:tab w:leader="none" w:pos="10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special meetings of our stockholders generally can only be called by the chairman of the Board, the Chief Executive Officer or by resolution of the Board;</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the ability to issue common stock and warrants within the amount of authorized capital;</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first anniversary of the previous year's annual meeting.</w:t>
      </w:r>
    </w:p>
    <w:p>
      <w:pPr>
        <w:spacing w:after="0" w:line="60"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These provisions, alone or together, could delay hostile takeovers and changes of control of the Company or changes in our management. Additionally, cumulative voting in the election of our directors in not allowed.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53" w:name="page54"/>
    <w:bookmarkEnd w:id="53"/>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w:t>
      </w:r>
    </w:p>
    <w:p>
      <w:pPr>
        <w:spacing w:after="0" w:line="3" w:lineRule="exact"/>
        <w:rPr>
          <w:sz w:val="20"/>
          <w:szCs w:val="20"/>
          <w:color w:val="auto"/>
        </w:rPr>
      </w:pPr>
    </w:p>
    <w:p>
      <w:pPr>
        <w:jc w:val="both"/>
        <w:ind w:firstLine="3"/>
        <w:spacing w:after="0" w:line="256" w:lineRule="auto"/>
        <w:tabs>
          <w:tab w:leader="none" w:pos="25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lease approximately 36,983 square feet of office space in Emeryville, California pursuant to an office facility lease that we initially entered into in 2012 (as amended, the Lease). The term of the Lease extends through March 2030.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have been named as a defendant in one litigation case that involves refunds of mortgage insurance premiums under the Homeowners Protection Act. We currently are unable to assess the outcome of this litigation nor whether this litigation may become material over time.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20"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5" w:name="page56"/>
    <w:bookmarkEnd w:id="55"/>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common stock is listed on the Nasdaq stock exchange under the symbol "NMIH." On February 10, 2023, there were 83,656,173 shares of our Class A common stock outstanding and approximately thirteen holders of record. There are no shares of our Class B common stock outstanding. The closing price of our common stock on Nasdaq on February 10, 2023 was $22.95.</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 dividends on our common stock have previously been declared or paid, and we may not declare or pay dividends in the future. For information on our ability to pay dividends, see Item 7, "</w:t>
      </w:r>
      <w:r>
        <w:rPr>
          <w:rFonts w:ascii="Times New Roman" w:cs="Times New Roman" w:eastAsia="Times New Roman" w:hAnsi="Times New Roman"/>
          <w:sz w:val="17"/>
          <w:szCs w:val="17"/>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7"/>
          <w:szCs w:val="17"/>
          <w:color w:val="auto"/>
        </w:rPr>
        <w:t>" and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16, Regulatory Information - Dividend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Restrictions.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NMI Holdings, Inc. common stock by us during the three months ended December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960" w:type="dxa"/>
            <w:vAlign w:val="bottom"/>
            <w:gridSpan w:val="2"/>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Repurchased as Part of</w:t>
            </w:r>
          </w:p>
        </w:tc>
        <w:tc>
          <w:tcPr>
            <w:tcW w:w="260" w:type="dxa"/>
            <w:vAlign w:val="bottom"/>
          </w:tcPr>
          <w:p>
            <w:pPr>
              <w:spacing w:after="0"/>
              <w:rPr>
                <w:sz w:val="12"/>
                <w:szCs w:val="12"/>
                <w:color w:val="auto"/>
              </w:rPr>
            </w:pPr>
          </w:p>
        </w:tc>
        <w:tc>
          <w:tcPr>
            <w:tcW w:w="1700" w:type="dxa"/>
            <w:vAlign w:val="bottom"/>
          </w:tcPr>
          <w:p>
            <w:pPr>
              <w:jc w:val="center"/>
              <w:ind w:right="81"/>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That May Yet Be</w:t>
            </w:r>
          </w:p>
        </w:tc>
        <w:tc>
          <w:tcPr>
            <w:tcW w:w="0" w:type="dxa"/>
            <w:vAlign w:val="bottom"/>
          </w:tcPr>
          <w:p>
            <w:pPr>
              <w:spacing w:after="0"/>
              <w:rPr>
                <w:sz w:val="1"/>
                <w:szCs w:val="1"/>
                <w:color w:val="auto"/>
              </w:rPr>
            </w:pPr>
          </w:p>
        </w:tc>
      </w:tr>
      <w:tr>
        <w:trPr>
          <w:trHeight w:val="14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960" w:type="dxa"/>
            <w:vAlign w:val="bottom"/>
            <w:gridSpan w:val="2"/>
            <w:vMerge w:val="continue"/>
          </w:tcPr>
          <w:p>
            <w:pPr>
              <w:spacing w:after="0"/>
              <w:rPr>
                <w:sz w:val="12"/>
                <w:szCs w:val="12"/>
                <w:color w:val="auto"/>
              </w:rPr>
            </w:pPr>
          </w:p>
        </w:tc>
        <w:tc>
          <w:tcPr>
            <w:tcW w:w="1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Publicly Announced Plans or</w:t>
            </w:r>
          </w:p>
        </w:tc>
        <w:tc>
          <w:tcPr>
            <w:tcW w:w="1960" w:type="dxa"/>
            <w:vAlign w:val="bottom"/>
            <w:gridSpan w:val="2"/>
          </w:tcPr>
          <w:p>
            <w:pPr>
              <w:jc w:val="center"/>
              <w:ind w:left="5"/>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Repurchased Under the Plans</w:t>
            </w:r>
          </w:p>
        </w:tc>
        <w:tc>
          <w:tcPr>
            <w:tcW w:w="0" w:type="dxa"/>
            <w:vAlign w:val="bottom"/>
          </w:tcPr>
          <w:p>
            <w:pPr>
              <w:spacing w:after="0"/>
              <w:rPr>
                <w:sz w:val="1"/>
                <w:szCs w:val="1"/>
                <w:color w:val="auto"/>
              </w:rPr>
            </w:pPr>
          </w:p>
        </w:tc>
      </w:tr>
      <w:tr>
        <w:trPr>
          <w:trHeight w:val="194"/>
        </w:trPr>
        <w:tc>
          <w:tcPr>
            <w:tcW w:w="350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1960" w:type="dxa"/>
            <w:vAlign w:val="bottom"/>
            <w:tcBorders>
              <w:bottom w:val="single" w:sz="8" w:color="auto"/>
            </w:tcBorders>
            <w:gridSpan w:val="3"/>
            <w:vMerge w:val="continue"/>
          </w:tcPr>
          <w:p>
            <w:pPr>
              <w:spacing w:after="0"/>
              <w:rPr>
                <w:sz w:val="16"/>
                <w:szCs w:val="16"/>
                <w:color w:val="auto"/>
              </w:rPr>
            </w:pPr>
          </w:p>
        </w:tc>
        <w:tc>
          <w:tcPr>
            <w:tcW w:w="18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Programs </w:t>
            </w:r>
            <w:r>
              <w:rPr>
                <w:rFonts w:ascii="Times New Roman" w:cs="Times New Roman" w:eastAsia="Times New Roman" w:hAnsi="Times New Roman"/>
                <w:sz w:val="17"/>
                <w:szCs w:val="17"/>
                <w:b w:val="1"/>
                <w:bCs w:val="1"/>
                <w:color w:val="auto"/>
                <w:w w:val="94"/>
                <w:vertAlign w:val="superscript"/>
              </w:rPr>
              <w:t>(1)</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81"/>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or Program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10/1/2022 to 10/31/2022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223,377</w:t>
            </w:r>
          </w:p>
        </w:tc>
        <w:tc>
          <w:tcPr>
            <w:tcW w:w="80" w:type="dxa"/>
            <w:vAlign w:val="bottom"/>
          </w:tcPr>
          <w:p>
            <w:pPr>
              <w:spacing w:after="0"/>
              <w:rPr>
                <w:sz w:val="19"/>
                <w:szCs w:val="19"/>
                <w:color w:val="auto"/>
              </w:rPr>
            </w:pP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tcPr>
          <w:p>
            <w:pPr>
              <w:spacing w:after="0"/>
              <w:rPr>
                <w:sz w:val="19"/>
                <w:szCs w:val="19"/>
                <w:color w:val="auto"/>
              </w:rPr>
            </w:pPr>
          </w:p>
        </w:tc>
        <w:tc>
          <w:tcPr>
            <w:tcW w:w="18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223,377</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68,457</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11/1/2022 to 11/30/2022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31,925</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68,425</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12/1/2022 to 12/31/2022</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68,425</w:t>
            </w:r>
          </w:p>
        </w:tc>
        <w:tc>
          <w:tcPr>
            <w:tcW w:w="0" w:type="dxa"/>
            <w:vAlign w:val="bottom"/>
          </w:tcPr>
          <w:p>
            <w:pPr>
              <w:spacing w:after="0"/>
              <w:rPr>
                <w:sz w:val="1"/>
                <w:szCs w:val="1"/>
                <w:color w:val="auto"/>
              </w:rPr>
            </w:pPr>
          </w:p>
        </w:tc>
      </w:tr>
      <w:tr>
        <w:trPr>
          <w:trHeight w:val="23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255,302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255,302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20" w:hanging="317"/>
        <w:spacing w:after="0" w:line="227" w:lineRule="auto"/>
        <w:tabs>
          <w:tab w:leader="none" w:pos="307"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February 10, 2022, our Board of Directors approved a $125 million share repurchase program effective through December 31, 2023. As of December 31, 2022, $68.4 million of repurchase authority remained available under the program. See Item 8, "</w:t>
      </w:r>
      <w:r>
        <w:rPr>
          <w:rFonts w:ascii="Times New Roman" w:cs="Times New Roman" w:eastAsia="Times New Roman" w:hAnsi="Times New Roman"/>
          <w:sz w:val="14"/>
          <w:szCs w:val="14"/>
          <w:i w:val="1"/>
          <w:iCs w:val="1"/>
          <w:color w:val="auto"/>
        </w:rPr>
        <w:t>Financial Statements and Supplementary Data - Notes to Consolidated Financial Statements - Note 15, Common Stock,</w:t>
      </w:r>
      <w:r>
        <w:rPr>
          <w:rFonts w:ascii="Times New Roman" w:cs="Times New Roman" w:eastAsia="Times New Roman" w:hAnsi="Times New Roman"/>
          <w:sz w:val="14"/>
          <w:szCs w:val="14"/>
          <w:color w:val="auto"/>
        </w:rPr>
        <w:t>" for additional information.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Common Stock Performance Graph</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on our Class A common stock from December 31, 2017 until December 31, 2022,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5683885" cy="2283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3885" cy="228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20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8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20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20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8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12/31/2022</w:t>
            </w:r>
          </w:p>
        </w:tc>
      </w:tr>
      <w:tr>
        <w:trPr>
          <w:trHeight w:val="23"/>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7"/>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NMI Holdings,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Russell 2000 Index</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Small Cap 600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2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Peer Index (ESNT, MTG, RDN)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bl>
    <w:p>
      <w:pPr>
        <w:spacing w:after="0" w:line="2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67" w:lineRule="exact"/>
        <w:rPr>
          <w:sz w:val="20"/>
          <w:szCs w:val="20"/>
          <w:color w:val="auto"/>
        </w:rPr>
      </w:pPr>
    </w:p>
    <w:p>
      <w:pPr>
        <w:jc w:val="both"/>
        <w:ind w:firstLine="1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2022, we had issued master policies with 1,875 customers, including national and regional mortgage banks, money center banks, credit unions, community banks, builder-owned mortgage lenders, internet-sourced lenders and other non-bank lenders. As of December 31, 2022, we had $184.0 billion of primary IIF and $47.6 billion of primary RIF.</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1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Our common stock trades on the Nasdaq under the symbol "NMIH." Our headquarters is located in Emeryville, California. As of December 31, 2022, we had 242 employees. Our corporate website is located at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Our website and the information contained on or accessible through our website are not incorporated by reference into this report.</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Conditions and Trends Affecting Our Business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COVID-19 and Other Developments</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January 30, 2020, the World Health Organization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It is also possible that emerging macroeconomic factors, including persistent inflation, increasing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Development</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2022, we activated 120 lenders, compared to 122 and 101 for the years ended December 31, 2021 and December 31, 2020, respectively. We also continued to expand our business with existing customers, deepening our existing relationships and capturing what we believe to be an increasing portion of their annual MI volume. At December 31, 2022, we had issued 1,875 Master Policies and established 1,434 active customer relationships, compared to 1,732 and 1,316, respectively, as of December 31, 2021 and 1,570 and 1,195, respectively, as of December 31, 2020.</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New Insurance Written, Insurance-In-Force and Risk-In-Force</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9" w:name="page60"/>
    <w:bookmarkEnd w:id="59"/>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 and Net Premiums Earned</w:t>
      </w:r>
    </w:p>
    <w:p>
      <w:pPr>
        <w:spacing w:after="0" w:line="171"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we also continue to offer a rate card pricing option to a limited number of lender customers who require a rate card for operational reasons. We believe the introduction and utilization of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3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11" w:lineRule="exact"/>
        <w:rPr>
          <w:sz w:val="20"/>
          <w:szCs w:val="20"/>
          <w:color w:val="auto"/>
        </w:rPr>
      </w:pPr>
    </w:p>
    <w:p>
      <w:pPr>
        <w:ind w:left="620" w:hanging="30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 and the mix of premium payment type, which are either single, monthly or annual premiums, as described below;</w:t>
      </w:r>
    </w:p>
    <w:p>
      <w:pPr>
        <w:spacing w:after="0" w:line="114" w:lineRule="exact"/>
        <w:rPr>
          <w:rFonts w:ascii="Times New Roman" w:cs="Times New Roman" w:eastAsia="Times New Roman" w:hAnsi="Times New Roman"/>
          <w:sz w:val="17"/>
          <w:szCs w:val="17"/>
          <w:color w:val="auto"/>
        </w:rPr>
      </w:pPr>
    </w:p>
    <w:p>
      <w:pPr>
        <w:jc w:val="both"/>
        <w:ind w:left="620" w:hanging="306"/>
        <w:spacing w:after="0" w:line="283"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2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cession of premiums under third-party reinsurance arrangements.</w:t>
      </w:r>
    </w:p>
    <w:p>
      <w:pPr>
        <w:spacing w:after="0" w:line="16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2022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Effect of reinsurance on our results</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0" w:name="page61"/>
    <w:bookmarkEnd w:id="60"/>
    <w:p>
      <w:pPr>
        <w:jc w:val="both"/>
        <w:spacing w:after="0" w:line="291" w:lineRule="auto"/>
        <w:rPr>
          <w:sz w:val="20"/>
          <w:szCs w:val="20"/>
          <w:color w:val="auto"/>
        </w:rPr>
      </w:pPr>
      <w:r>
        <w:rPr>
          <w:rFonts w:ascii="Times New Roman" w:cs="Times New Roman" w:eastAsia="Times New Roman" w:hAnsi="Times New Roman"/>
          <w:sz w:val="17"/>
          <w:szCs w:val="17"/>
          <w:color w:val="auto"/>
        </w:rPr>
        <w:t>for losses up to an agreed-upon threshold and the reinsurer then provides coverage in excess of such threshold up to a maximum agreed-upon limit. We expect to continue to evaluate reinsurance opportunities in the normal course of business.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December 31, 2022, the 2018 ILN Transaction was deemed to be in Lock Out due to the default experience of its underlying reference pool and the 2021-2 ILN Transaction was deemed to be in</w:t>
      </w:r>
    </w:p>
    <w:p>
      <w:pPr>
        <w:spacing w:after="0" w:line="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Lock Out in connection with the initial build of its target credit enhancement level. As such, the amortization of reinsurance coverage, and distribution of collateral assets and amortization of insurance-linked notes was suspended for both ILN Transactions. The amortization of reinsurance coverage, distribution of collateral assets and amortization of insurance-linked notes issued in connection with the 2018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 Effective August 31, 2022, a Lock-Out Event for the 2019 ILN Transaction was deemed to have cleared and amortization of the associated reinsurance coverage, and distribution of collateral assets and amortization of the associated insurance-linked notes resumed.</w:t>
      </w:r>
    </w:p>
    <w:p>
      <w:pPr>
        <w:spacing w:after="0" w:line="33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Effective March 25, 2022 and April 25, 2022, NMIC exercised its optional clean-up call to terminate and commute its previously outstanding excess of loss reinsurance agreements with Oaktown Re Ltd. and Oaktown Re IV Ltd., respectively. In connection with the termination and commutation of each respective agreement, the insurance-linked notes issued by Oaktown Re Ltd. and Oaktown Re IV Ltd. were redeemed in full with a distribution of remaining collateral assets.</w:t>
      </w:r>
    </w:p>
    <w:p>
      <w:pPr>
        <w:spacing w:after="0" w:line="32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current reinsurance coverage amount, current first layer retained aggregate loss and detail on the level of overcollateralization under each outstanding ILN Transaction. Current amounts are presented as of December 31,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1" w:name="page62"/>
    <w:bookmarkEnd w:id="61"/>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30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2018 ILN Transaction 2019 ILN Transaction</w:t>
            </w:r>
          </w:p>
        </w:tc>
        <w:tc>
          <w:tcPr>
            <w:tcW w:w="100" w:type="dxa"/>
            <w:vAlign w:val="bottom"/>
          </w:tcPr>
          <w:p>
            <w:pPr>
              <w:spacing w:after="0"/>
              <w:rPr>
                <w:sz w:val="16"/>
                <w:szCs w:val="16"/>
                <w:color w:val="auto"/>
              </w:rPr>
            </w:pPr>
          </w:p>
        </w:tc>
        <w:tc>
          <w:tcPr>
            <w:tcW w:w="138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2020-2 ILN</w:t>
            </w:r>
          </w:p>
        </w:tc>
        <w:tc>
          <w:tcPr>
            <w:tcW w:w="220" w:type="dxa"/>
            <w:vAlign w:val="bottom"/>
          </w:tcPr>
          <w:p>
            <w:pPr>
              <w:spacing w:after="0"/>
              <w:rPr>
                <w:sz w:val="16"/>
                <w:szCs w:val="16"/>
                <w:color w:val="auto"/>
              </w:rPr>
            </w:pPr>
          </w:p>
        </w:tc>
        <w:tc>
          <w:tcPr>
            <w:tcW w:w="128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2021-1 ILN</w:t>
            </w:r>
          </w:p>
        </w:tc>
        <w:tc>
          <w:tcPr>
            <w:tcW w:w="180" w:type="dxa"/>
            <w:vAlign w:val="bottom"/>
          </w:tcPr>
          <w:p>
            <w:pPr>
              <w:spacing w:after="0"/>
              <w:rPr>
                <w:sz w:val="16"/>
                <w:szCs w:val="16"/>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2021-2 ILN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values in thousands)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4"/>
              </w:rPr>
              <w:t>Transaction</w:t>
            </w:r>
          </w:p>
        </w:tc>
        <w:tc>
          <w:tcPr>
            <w:tcW w:w="220" w:type="dxa"/>
            <w:vAlign w:val="bottom"/>
          </w:tcPr>
          <w:p>
            <w:pPr>
              <w:spacing w:after="0"/>
              <w:rPr>
                <w:sz w:val="18"/>
                <w:szCs w:val="18"/>
                <w:color w:val="auto"/>
              </w:rPr>
            </w:pPr>
          </w:p>
        </w:tc>
        <w:tc>
          <w:tcPr>
            <w:tcW w:w="128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4"/>
              </w:rPr>
              <w:t>Transaction</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Inception date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July 25, 2018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July 30, 2019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right="4"/>
              <w:spacing w:after="0"/>
              <w:rPr>
                <w:sz w:val="20"/>
                <w:szCs w:val="20"/>
                <w:color w:val="auto"/>
              </w:rPr>
            </w:pPr>
            <w:r>
              <w:rPr>
                <w:rFonts w:ascii="Times New Roman" w:cs="Times New Roman" w:eastAsia="Times New Roman" w:hAnsi="Times New Roman"/>
                <w:sz w:val="16"/>
                <w:szCs w:val="16"/>
                <w:color w:val="auto"/>
                <w:w w:val="98"/>
              </w:rPr>
              <w:t>October 29, 2020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05"/>
              <w:spacing w:after="0"/>
              <w:rPr>
                <w:sz w:val="20"/>
                <w:szCs w:val="20"/>
                <w:color w:val="auto"/>
              </w:rPr>
            </w:pPr>
            <w:r>
              <w:rPr>
                <w:rFonts w:ascii="Times New Roman" w:cs="Times New Roman" w:eastAsia="Times New Roman" w:hAnsi="Times New Roman"/>
                <w:sz w:val="16"/>
                <w:szCs w:val="16"/>
                <w:color w:val="auto"/>
                <w:w w:val="95"/>
              </w:rPr>
              <w:t>April 27, 2021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26, 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Covered production</w:t>
            </w:r>
          </w:p>
        </w:tc>
        <w:tc>
          <w:tcPr>
            <w:tcW w:w="100" w:type="dxa"/>
            <w:vAlign w:val="bottom"/>
          </w:tcPr>
          <w:p>
            <w:pPr>
              <w:spacing w:after="0"/>
              <w:rPr>
                <w:sz w:val="13"/>
                <w:szCs w:val="13"/>
                <w:color w:val="auto"/>
              </w:rPr>
            </w:pPr>
          </w:p>
        </w:tc>
        <w:tc>
          <w:tcPr>
            <w:tcW w:w="13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4"/>
              </w:rPr>
              <w:t>1/1/2017 - 5/31/2018</w:t>
            </w:r>
          </w:p>
        </w:tc>
        <w:tc>
          <w:tcPr>
            <w:tcW w:w="120" w:type="dxa"/>
            <w:vAlign w:val="bottom"/>
          </w:tcPr>
          <w:p>
            <w:pPr>
              <w:spacing w:after="0"/>
              <w:rPr>
                <w:sz w:val="13"/>
                <w:szCs w:val="13"/>
                <w:color w:val="auto"/>
              </w:rPr>
            </w:pPr>
          </w:p>
        </w:tc>
        <w:tc>
          <w:tcPr>
            <w:tcW w:w="14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4"/>
              </w:rPr>
              <w:t>6/1/2018 - 6/30/2019</w:t>
            </w:r>
          </w:p>
        </w:tc>
        <w:tc>
          <w:tcPr>
            <w:tcW w:w="100" w:type="dxa"/>
            <w:vAlign w:val="bottom"/>
          </w:tcPr>
          <w:p>
            <w:pPr>
              <w:spacing w:after="0"/>
              <w:rPr>
                <w:sz w:val="13"/>
                <w:szCs w:val="13"/>
                <w:color w:val="auto"/>
              </w:rPr>
            </w:pPr>
          </w:p>
        </w:tc>
        <w:tc>
          <w:tcPr>
            <w:tcW w:w="28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6"/>
                <w:szCs w:val="16"/>
                <w:color w:val="auto"/>
                <w:w w:val="98"/>
              </w:rPr>
              <w:t>4/1/2020 - 9/30/2020  10/1/2020 - 3/31/2021</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97"/>
              </w:rPr>
              <w:t>4/1/2021 - 9/30/2021</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30"/>
        </w:trPr>
        <w:tc>
          <w:tcPr>
            <w:tcW w:w="3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4"/>
              <w:spacing w:after="0"/>
              <w:rPr>
                <w:sz w:val="20"/>
                <w:szCs w:val="20"/>
                <w:color w:val="auto"/>
              </w:rPr>
            </w:pPr>
            <w:r>
              <w:rPr>
                <w:rFonts w:ascii="Times New Roman" w:cs="Times New Roman" w:eastAsia="Times New Roman" w:hAnsi="Times New Roman"/>
                <w:sz w:val="10"/>
                <w:szCs w:val="10"/>
                <w:color w:val="auto"/>
                <w:w w:val="85"/>
              </w:rPr>
              <w:t>(1)</w:t>
            </w:r>
          </w:p>
        </w:tc>
        <w:tc>
          <w:tcPr>
            <w:tcW w:w="220" w:type="dxa"/>
            <w:vAlign w:val="bottom"/>
          </w:tcPr>
          <w:p>
            <w:pPr>
              <w:spacing w:after="0"/>
              <w:rPr>
                <w:sz w:val="11"/>
                <w:szCs w:val="11"/>
                <w:color w:val="auto"/>
              </w:rPr>
            </w:pPr>
          </w:p>
        </w:tc>
        <w:tc>
          <w:tcPr>
            <w:tcW w:w="1280" w:type="dxa"/>
            <w:vAlign w:val="bottom"/>
          </w:tcPr>
          <w:p>
            <w:pPr>
              <w:jc w:val="center"/>
              <w:ind w:right="85"/>
              <w:spacing w:after="0"/>
              <w:rPr>
                <w:sz w:val="20"/>
                <w:szCs w:val="20"/>
                <w:color w:val="auto"/>
              </w:rPr>
            </w:pPr>
            <w:r>
              <w:rPr>
                <w:rFonts w:ascii="Times New Roman" w:cs="Times New Roman" w:eastAsia="Times New Roman" w:hAnsi="Times New Roman"/>
                <w:sz w:val="10"/>
                <w:szCs w:val="10"/>
                <w:color w:val="auto"/>
              </w:rPr>
              <w:t>(2)</w:t>
            </w:r>
          </w:p>
        </w:tc>
        <w:tc>
          <w:tcPr>
            <w:tcW w:w="13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Ceded RIF</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968,433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3,404,929</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6,924,354</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6,989,626</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First Layer Retained Loss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122,202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121,177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163,665</w:t>
            </w:r>
          </w:p>
        </w:tc>
        <w:tc>
          <w:tcPr>
            <w:tcW w:w="180" w:type="dxa"/>
            <w:vAlign w:val="bottom"/>
          </w:tcPr>
          <w:p>
            <w:pPr>
              <w:spacing w:after="0"/>
              <w:rPr>
                <w:sz w:val="19"/>
                <w:szCs w:val="19"/>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146,204</w:t>
            </w:r>
          </w:p>
        </w:tc>
        <w:tc>
          <w:tcPr>
            <w:tcW w:w="0" w:type="dxa"/>
            <w:vAlign w:val="bottom"/>
          </w:tcPr>
          <w:p>
            <w:pPr>
              <w:spacing w:after="0"/>
              <w:rPr>
                <w:sz w:val="1"/>
                <w:szCs w:val="1"/>
                <w:color w:val="auto"/>
              </w:rPr>
            </w:pPr>
          </w:p>
        </w:tc>
      </w:tr>
      <w:tr>
        <w:trPr>
          <w:trHeight w:val="24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Reinsurance Coverage</w:t>
            </w: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158,489</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204,127</w:t>
            </w: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95,729</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305,139</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6"/>
                <w:szCs w:val="16"/>
                <w:color w:val="auto"/>
              </w:rPr>
              <w:t>363,596</w:t>
            </w:r>
          </w:p>
        </w:tc>
        <w:tc>
          <w:tcPr>
            <w:tcW w:w="0" w:type="dxa"/>
            <w:vAlign w:val="bottom"/>
          </w:tcPr>
          <w:p>
            <w:pPr>
              <w:spacing w:after="0"/>
              <w:rPr>
                <w:sz w:val="1"/>
                <w:szCs w:val="1"/>
                <w:color w:val="auto"/>
              </w:rPr>
            </w:pPr>
          </w:p>
        </w:tc>
      </w:tr>
      <w:tr>
        <w:trPr>
          <w:trHeight w:val="195"/>
        </w:trPr>
        <w:tc>
          <w:tcPr>
            <w:tcW w:w="36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Eligible Coverage</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216,906</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468,804</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509,800</w:t>
            </w:r>
          </w:p>
        </w:tc>
        <w:tc>
          <w:tcPr>
            <w:tcW w:w="0" w:type="dxa"/>
            <w:vAlign w:val="bottom"/>
          </w:tcPr>
          <w:p>
            <w:pPr>
              <w:spacing w:after="0"/>
              <w:rPr>
                <w:sz w:val="1"/>
                <w:szCs w:val="1"/>
                <w:color w:val="auto"/>
              </w:rPr>
            </w:pPr>
          </w:p>
        </w:tc>
      </w:tr>
      <w:tr>
        <w:trPr>
          <w:trHeight w:val="31"/>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Subordinated coverage </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32.83%</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6.75%</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PMIERs charge on ceded RIF</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4.98%</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6.01%</w:t>
            </w: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Overcollateralization </w:t>
            </w:r>
            <w:r>
              <w:rPr>
                <w:rFonts w:ascii="Times New Roman" w:cs="Times New Roman" w:eastAsia="Times New Roman" w:hAnsi="Times New Roman"/>
                <w:sz w:val="20"/>
                <w:szCs w:val="20"/>
                <w:color w:val="auto"/>
                <w:vertAlign w:val="superscript"/>
              </w:rPr>
              <w:t>(5) (6)</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47,484</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52,921</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39,881</w:t>
            </w:r>
          </w:p>
        </w:tc>
        <w:tc>
          <w:tcPr>
            <w:tcW w:w="0" w:type="dxa"/>
            <w:vAlign w:val="bottom"/>
          </w:tcPr>
          <w:p>
            <w:pPr>
              <w:spacing w:after="0"/>
              <w:rPr>
                <w:sz w:val="1"/>
                <w:szCs w:val="1"/>
                <w:color w:val="auto"/>
              </w:rPr>
            </w:pPr>
          </w:p>
        </w:tc>
      </w:tr>
      <w:tr>
        <w:trPr>
          <w:trHeight w:val="155"/>
        </w:trPr>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Delinquency Trigger </w:t>
            </w:r>
            <w:r>
              <w:rPr>
                <w:rFonts w:ascii="Times New Roman" w:cs="Times New Roman" w:eastAsia="Times New Roman" w:hAnsi="Times New Roman"/>
                <w:sz w:val="20"/>
                <w:szCs w:val="20"/>
                <w:color w:val="auto"/>
                <w:vertAlign w:val="superscript"/>
              </w:rPr>
              <w:t>(7)</w:t>
            </w:r>
          </w:p>
        </w:tc>
        <w:tc>
          <w:tcPr>
            <w:tcW w:w="100" w:type="dxa"/>
            <w:vAlign w:val="bottom"/>
          </w:tcPr>
          <w:p>
            <w:pPr>
              <w:spacing w:after="0"/>
              <w:rPr>
                <w:sz w:val="23"/>
                <w:szCs w:val="23"/>
                <w:color w:val="auto"/>
              </w:rPr>
            </w:pPr>
          </w:p>
        </w:tc>
        <w:tc>
          <w:tcPr>
            <w:tcW w:w="13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3"/>
                <w:szCs w:val="23"/>
                <w:color w:val="auto"/>
              </w:rPr>
            </w:pPr>
          </w:p>
        </w:tc>
        <w:tc>
          <w:tcPr>
            <w:tcW w:w="14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3"/>
                <w:szCs w:val="23"/>
                <w:color w:val="auto"/>
              </w:rPr>
            </w:pPr>
          </w:p>
        </w:tc>
        <w:tc>
          <w:tcPr>
            <w:tcW w:w="13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23"/>
                <w:szCs w:val="23"/>
                <w:color w:val="auto"/>
              </w:rPr>
            </w:pPr>
          </w:p>
        </w:tc>
        <w:tc>
          <w:tcPr>
            <w:tcW w:w="128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0" w:hanging="257"/>
        <w:spacing w:after="0"/>
        <w:tabs>
          <w:tab w:leader="none" w:pos="26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200" w:hanging="197"/>
        <w:spacing w:after="0" w:line="191" w:lineRule="auto"/>
        <w:tabs>
          <w:tab w:leader="none" w:pos="20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3" w:lineRule="exact"/>
        <w:rPr>
          <w:rFonts w:ascii="Times New Roman" w:cs="Times New Roman" w:eastAsia="Times New Roman" w:hAnsi="Times New Roman"/>
          <w:sz w:val="18"/>
          <w:szCs w:val="18"/>
          <w:color w:val="auto"/>
          <w:vertAlign w:val="superscript"/>
        </w:rPr>
      </w:pPr>
    </w:p>
    <w:p>
      <w:pPr>
        <w:ind w:left="200" w:hanging="197"/>
        <w:spacing w:after="0" w:line="191" w:lineRule="auto"/>
        <w:tabs>
          <w:tab w:leader="none" w:pos="20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3" w:lineRule="exact"/>
        <w:rPr>
          <w:rFonts w:ascii="Times New Roman" w:cs="Times New Roman" w:eastAsia="Times New Roman" w:hAnsi="Times New Roman"/>
          <w:sz w:val="18"/>
          <w:szCs w:val="18"/>
          <w:color w:val="auto"/>
          <w:vertAlign w:val="superscript"/>
        </w:rPr>
      </w:pPr>
    </w:p>
    <w:p>
      <w:pPr>
        <w:ind w:left="140" w:hanging="137"/>
        <w:spacing w:after="0" w:line="190" w:lineRule="auto"/>
        <w:tabs>
          <w:tab w:leader="none" w:pos="140"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Absent a delinquency trigger, the subordinated coverage is capped at 7.5%, 6.25%, 6.75% and 7.45% for the 2019, 2020-2, 2021-1 and 2021-2 ILN Transactions, respectively.</w:t>
      </w:r>
    </w:p>
    <w:p>
      <w:pPr>
        <w:ind w:left="240" w:hanging="237"/>
        <w:spacing w:after="0"/>
        <w:tabs>
          <w:tab w:leader="none" w:pos="2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Overcollateralization for each of the 2018 and 2019 ILN Transactions is equal to their current reinsurance coverage as the PMIERs required asset amount on RIF ceded under each transaction is</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currently below its remaining first layer retained loss.</w:t>
      </w:r>
    </w:p>
    <w:p>
      <w:pPr>
        <w:ind w:left="200" w:hanging="197"/>
        <w:spacing w:after="0" w:line="203" w:lineRule="auto"/>
        <w:tabs>
          <w:tab w:leader="none" w:pos="200"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May not be replicated based on the rounded figures presented in the table.</w:t>
      </w:r>
    </w:p>
    <w:p>
      <w:pPr>
        <w:spacing w:after="0" w:line="3" w:lineRule="exact"/>
        <w:rPr>
          <w:rFonts w:ascii="Times New Roman" w:cs="Times New Roman" w:eastAsia="Times New Roman" w:hAnsi="Times New Roman"/>
          <w:sz w:val="18"/>
          <w:szCs w:val="18"/>
          <w:color w:val="auto"/>
          <w:vertAlign w:val="superscript"/>
        </w:rPr>
      </w:pPr>
    </w:p>
    <w:p>
      <w:pPr>
        <w:ind w:left="320" w:hanging="317"/>
        <w:spacing w:after="0" w:line="217" w:lineRule="auto"/>
        <w:tabs>
          <w:tab w:leader="none" w:pos="281"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Delinquency triggers for the 2018 and 2019 ILN Transactions are set at a fixed 4.0% and assessed on a discrete monthly basis; delinquency triggers for the 2020-2, 2021-1 and 2021-2 ILN Transactions are equal to seventy-five percent of the subordinated coverage level and assessed on the basis of a three-month rolling average.</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is a party to three excess-of-loss reinsurance agreements with broad panels of third-party reinsurers – the 2022-1 XOL Transaction, effective April 1, 2022, the 2022-2 XOL Transaction, effective July 1, 2022, and the 2022-3 XOL Transaction, effective October 1, 2022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or both.</w:t>
      </w:r>
    </w:p>
    <w:p>
      <w:pPr>
        <w:spacing w:after="0" w:line="14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 First Layer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Current First</w:t>
            </w:r>
          </w:p>
        </w:tc>
        <w:tc>
          <w:tcPr>
            <w:tcW w:w="0" w:type="dxa"/>
            <w:vAlign w:val="bottom"/>
          </w:tcPr>
          <w:p>
            <w:pPr>
              <w:spacing w:after="0"/>
              <w:rPr>
                <w:sz w:val="1"/>
                <w:szCs w:val="1"/>
                <w:color w:val="auto"/>
              </w:rPr>
            </w:pPr>
          </w:p>
        </w:tc>
      </w:tr>
      <w:tr>
        <w:trPr>
          <w:trHeight w:val="141"/>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4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Retained Loss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 xml:space="preserve">Loss </w:t>
            </w:r>
            <w:r>
              <w:rPr>
                <w:rFonts w:ascii="Times New Roman" w:cs="Times New Roman" w:eastAsia="Times New Roman" w:hAnsi="Times New Roman"/>
                <w:sz w:val="8"/>
                <w:szCs w:val="8"/>
                <w:b w:val="1"/>
                <w:bCs w:val="1"/>
                <w:color w:val="auto"/>
                <w:w w:val="94"/>
              </w:rPr>
              <w:t>(1)</w:t>
            </w:r>
          </w:p>
        </w:tc>
        <w:tc>
          <w:tcPr>
            <w:tcW w:w="0" w:type="dxa"/>
            <w:vAlign w:val="bottom"/>
          </w:tcPr>
          <w:p>
            <w:pPr>
              <w:spacing w:after="0"/>
              <w:rPr>
                <w:sz w:val="1"/>
                <w:szCs w:val="1"/>
                <w:color w:val="auto"/>
              </w:rPr>
            </w:pPr>
          </w:p>
        </w:tc>
      </w:tr>
      <w:tr>
        <w:trPr>
          <w:trHeight w:val="21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line="218" w:lineRule="exact"/>
              <w:rPr>
                <w:sz w:val="20"/>
                <w:szCs w:val="20"/>
                <w:color w:val="auto"/>
              </w:rPr>
            </w:pPr>
            <w:r>
              <w:rPr>
                <w:rFonts w:ascii="Times New Roman" w:cs="Times New Roman" w:eastAsia="Times New Roman" w:hAnsi="Times New Roman"/>
                <w:sz w:val="17"/>
                <w:szCs w:val="17"/>
                <w:color w:val="auto"/>
                <w:w w:val="97"/>
              </w:rPr>
              <w:t xml:space="preserve">10/1/2021 - 3/31/2022 </w:t>
            </w:r>
            <w:r>
              <w:rPr>
                <w:rFonts w:ascii="Times New Roman" w:cs="Times New Roman" w:eastAsia="Times New Roman" w:hAnsi="Times New Roman"/>
                <w:sz w:val="22"/>
                <w:szCs w:val="22"/>
                <w:color w:val="auto"/>
                <w:w w:val="97"/>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$282,906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0" w:type="dxa"/>
            <w:vAlign w:val="bottom"/>
          </w:tcPr>
          <w:p>
            <w:pPr>
              <w:spacing w:after="0"/>
              <w:rPr>
                <w:sz w:val="1"/>
                <w:szCs w:val="1"/>
                <w:color w:val="auto"/>
              </w:rPr>
            </w:pPr>
          </w:p>
        </w:tc>
      </w:tr>
      <w:tr>
        <w:trPr>
          <w:trHeight w:val="220"/>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July 1, 2022</w:t>
            </w:r>
          </w:p>
        </w:tc>
        <w:tc>
          <w:tcPr>
            <w:tcW w:w="222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151,013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78,906</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78,906</w:t>
            </w: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October 1, 2022</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7/1/2022 - 9/30/2022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96,779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95,825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7"/>
        <w:spacing w:after="0" w:line="217" w:lineRule="auto"/>
        <w:tabs>
          <w:tab w:leader="none" w:pos="273"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spacing w:after="0" w:line="1" w:lineRule="exact"/>
        <w:rPr>
          <w:rFonts w:ascii="Times New Roman" w:cs="Times New Roman" w:eastAsia="Times New Roman" w:hAnsi="Times New Roman"/>
          <w:sz w:val="18"/>
          <w:szCs w:val="18"/>
          <w:color w:val="auto"/>
          <w:vertAlign w:val="superscript"/>
        </w:rPr>
      </w:pPr>
    </w:p>
    <w:p>
      <w:pPr>
        <w:ind w:left="260" w:hanging="257"/>
        <w:spacing w:after="0"/>
        <w:tabs>
          <w:tab w:leader="none" w:pos="26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9"/>
          <w:szCs w:val="9"/>
          <w:color w:val="auto"/>
        </w:rPr>
      </w:pPr>
    </w:p>
    <w:p>
      <w:pPr>
        <w:ind w:left="260" w:hanging="257"/>
        <w:spacing w:after="0" w:line="194" w:lineRule="auto"/>
        <w:tabs>
          <w:tab w:leader="none" w:pos="26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99"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20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2022 QSR Transaction, NMIC entered into the 2023 QSR Transaction as a springing back-to-back quota share agreement. Under the terms of the 2023 QSR Transactions, NMIC cedes premiums earned related to 20% of the risk on eligible policies written from January 1, 2023 to December 31, 2023, in exchange for reimbursement of ceded claims and claim expenses on covered policies, a 20% ceding commission, and a profit commission of up to 62% that varies directly and inversely with ceded claims.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63" w:name="page64"/>
    <w:bookmarkEnd w:id="63"/>
    <w:p>
      <w:pPr>
        <w:ind w:firstLine="621"/>
        <w:spacing w:after="0" w:line="245"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to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21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14" w:lineRule="exact"/>
        <w:rPr>
          <w:sz w:val="20"/>
          <w:szCs w:val="20"/>
          <w:color w:val="auto"/>
        </w:rPr>
      </w:pPr>
    </w:p>
    <w:p>
      <w:pPr>
        <w:ind w:right="40" w:firstLine="172"/>
        <w:spacing w:after="0" w:line="293" w:lineRule="auto"/>
        <w:rPr>
          <w:sz w:val="20"/>
          <w:szCs w:val="20"/>
          <w:color w:val="auto"/>
        </w:rPr>
      </w:pPr>
      <w:r>
        <w:rPr>
          <w:rFonts w:ascii="Times New Roman" w:cs="Times New Roman" w:eastAsia="Times New Roman" w:hAnsi="Times New Roman"/>
          <w:sz w:val="17"/>
          <w:szCs w:val="17"/>
          <w:color w:val="auto"/>
        </w:rPr>
        <w:t>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 Reinsurance</w:t>
      </w:r>
      <w:r>
        <w:rPr>
          <w:rFonts w:ascii="Times New Roman" w:cs="Times New Roman" w:eastAsia="Times New Roman" w:hAnsi="Times New Roman"/>
          <w:sz w:val="17"/>
          <w:szCs w:val="17"/>
          <w:color w:val="auto"/>
        </w:rPr>
        <w:t>" for further discussion of these third-party reinsurance arrangements.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Portfolio Data</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and pool IIF and NIW</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As of and for the years ended December 31,</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3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5"/>
                <w:szCs w:val="15"/>
                <w:color w:val="auto"/>
              </w:rPr>
            </w:pPr>
          </w:p>
        </w:tc>
      </w:tr>
      <w:tr>
        <w:trPr>
          <w:trHeight w:val="187"/>
        </w:trPr>
        <w:tc>
          <w:tcPr>
            <w:tcW w:w="3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IIF</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IIF</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NIW</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IIF</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NIW</w:t>
            </w:r>
          </w:p>
        </w:tc>
      </w:tr>
      <w:tr>
        <w:trPr>
          <w:trHeight w:val="187"/>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Monthly</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55,916</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56,651</w:t>
            </w:r>
          </w:p>
        </w:tc>
      </w:tr>
      <w:tr>
        <w:trPr>
          <w:trHeight w:val="220"/>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Single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6,051</w:t>
            </w:r>
          </w:p>
        </w:tc>
      </w:tr>
      <w:tr>
        <w:trPr>
          <w:trHeight w:val="21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Primary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62,702</w:t>
            </w:r>
          </w:p>
        </w:tc>
      </w:tr>
      <w:tr>
        <w:trPr>
          <w:trHeight w:val="103"/>
        </w:trPr>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Pool</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185,017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153,572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113,107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62,702</w:t>
            </w:r>
          </w:p>
        </w:tc>
      </w:tr>
      <w:tr>
        <w:trPr>
          <w:trHeight w:val="20"/>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For the year ended December 31, 2022, NIW decreased 31% compared to the year ended December 31, 2021, primarily due to a decline in the size of the total mortgage insurance market. For the year ended December 31, 2021, NIW increased 36% compared to the year ended December 31, 2020, driven by growth in our customer franchise and market presence tied to the increased penetration of existing customer accounts and new customer account activations.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Total IIF increased 20% at December 31, 2022 compared to December 31, 2021, which in turn grew 36% compared to December 31, 2020, primarily due to the NIW generated between such measurement dates, partially offset by the run-off of in-force policies.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persistency rate improved to 84% at December 31, 2022, compared to 64% at December 31, 2021 and 56% at December 31, 2020. Our persistency rate improved markedly through December 31, 2022 due to a slowdown in the pace of refinancing activity during the year, driven by an increase in interest and mortgage note rates. Our persistency rates as of December 31, 2021 and 2020 were historically low, reflecting the impact of significant mortgage refinancing activity during both years.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net premiums written and earned for the periods indicated: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and pool premiums written and earned</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20" w:type="dxa"/>
            <w:vAlign w:val="bottom"/>
            <w:gridSpan w:val="3"/>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20" w:type="dxa"/>
            <w:vAlign w:val="bottom"/>
          </w:tcPr>
          <w:p>
            <w:pPr>
              <w:spacing w:after="0"/>
              <w:rPr>
                <w:sz w:val="15"/>
                <w:szCs w:val="15"/>
                <w:color w:val="auto"/>
              </w:rPr>
            </w:pPr>
          </w:p>
        </w:tc>
      </w:tr>
      <w:tr>
        <w:trPr>
          <w:trHeight w:val="23"/>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center"/>
              <w:ind w:right="222"/>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460,246</w:t>
            </w: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468,511</w:t>
            </w:r>
          </w:p>
        </w:tc>
        <w:tc>
          <w:tcPr>
            <w:tcW w:w="5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388,644</w:t>
            </w:r>
          </w:p>
        </w:tc>
      </w:tr>
      <w:tr>
        <w:trPr>
          <w:trHeight w:val="226"/>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475,266</w:t>
            </w:r>
          </w:p>
        </w:tc>
        <w:tc>
          <w:tcPr>
            <w:tcW w:w="44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444,294</w:t>
            </w: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64" w:name="page65"/>
    <w:bookmarkEnd w:id="64"/>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Net premiums written decreased 2% during the year ended December 31, 2022 compared to the year ended December 31, 2021, reflecting an increase in cessions under our reinsurance transactions and a decline in single premium policy production, balanced by growth in our monthly IIF and monthly pay policy premium receipts during the year. Net premiums written increased 21% during the year ended December 31, 2021 compared to the year ended December 31, 2020, primarily driven by the growth of our IIF and increased monthly policy production, partially offset by increased cessions under our reinsurance transactions during the year.</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premiums earned increased 7% and 12% during the years ended December 31, 2022 and 2021, respectively. The sequential increase in net premiums earned during each successive year was primarily driven by our NIW production and growth of our IIF, partially offset by an increase in total premiums ceded under our reinsurance transactions, a decline in the contribution from single premium policy cancellations and the run-off of a portion of our prior period monthly policy production and associated premium receipts.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Pool premiums written and earned for the years ended December 31, 2022, 2021 and 2020, were $1.2 million, $1.6 million and $2.5 million, respectively, before giving effect to the 2016 QSR Transaction, under which all of our written and earned pool premiums are ceded. A portion of our ceded pool premiums written and earned are recouped through profit commission.</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Portfolio Statistics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220" w:type="dxa"/>
            <w:vAlign w:val="bottom"/>
          </w:tcPr>
          <w:p>
            <w:pPr>
              <w:spacing w:after="0"/>
              <w:rPr>
                <w:sz w:val="15"/>
                <w:szCs w:val="15"/>
                <w:color w:val="auto"/>
              </w:rPr>
            </w:pPr>
          </w:p>
        </w:tc>
        <w:tc>
          <w:tcPr>
            <w:tcW w:w="3620" w:type="dxa"/>
            <w:vAlign w:val="bottom"/>
            <w:gridSpan w:val="4"/>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540" w:type="dxa"/>
            <w:vAlign w:val="bottom"/>
          </w:tcPr>
          <w:p>
            <w:pPr>
              <w:spacing w:after="0"/>
              <w:rPr>
                <w:sz w:val="15"/>
                <w:szCs w:val="15"/>
                <w:color w:val="auto"/>
              </w:rPr>
            </w:pPr>
          </w:p>
        </w:tc>
      </w:tr>
      <w:tr>
        <w:trPr>
          <w:trHeight w:val="23"/>
        </w:trPr>
        <w:tc>
          <w:tcPr>
            <w:tcW w:w="4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476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4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4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20" w:type="dxa"/>
            <w:vAlign w:val="bottom"/>
            <w:gridSpan w:val="4"/>
          </w:tcPr>
          <w:p>
            <w:pPr>
              <w:jc w:val="center"/>
              <w:ind w:left="256"/>
              <w:spacing w:after="0"/>
              <w:rPr>
                <w:sz w:val="20"/>
                <w:szCs w:val="20"/>
                <w:color w:val="auto"/>
              </w:rPr>
            </w:pPr>
            <w:r>
              <w:rPr>
                <w:rFonts w:ascii="Times New Roman" w:cs="Times New Roman" w:eastAsia="Times New Roman" w:hAnsi="Times New Roman"/>
                <w:sz w:val="14"/>
                <w:szCs w:val="14"/>
                <w:i w:val="1"/>
                <w:iCs w:val="1"/>
                <w:color w:val="auto"/>
                <w:w w:val="97"/>
              </w:rPr>
              <w:t>($ Values In Millions, except as noted below)</w:t>
            </w:r>
          </w:p>
        </w:tc>
        <w:tc>
          <w:tcPr>
            <w:tcW w:w="1540" w:type="dxa"/>
            <w:vAlign w:val="bottom"/>
          </w:tcPr>
          <w:p>
            <w:pPr>
              <w:spacing w:after="0"/>
              <w:rPr>
                <w:sz w:val="16"/>
                <w:szCs w:val="16"/>
                <w:color w:val="auto"/>
              </w:rPr>
            </w:pPr>
          </w:p>
        </w:tc>
      </w:tr>
      <w:tr>
        <w:trPr>
          <w:trHeight w:val="225"/>
        </w:trPr>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New insurance written</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58,734</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85,574</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62,702</w:t>
            </w:r>
          </w:p>
        </w:tc>
      </w:tr>
      <w:tr>
        <w:trPr>
          <w:trHeight w:val="220"/>
        </w:trPr>
        <w:tc>
          <w:tcPr>
            <w:tcW w:w="4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0"/>
        </w:trPr>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New risk written</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15,520</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21,607</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15,602</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Insurance-in-force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183,968</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152,343</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111,252</w:t>
            </w:r>
          </w:p>
        </w:tc>
      </w:tr>
      <w:tr>
        <w:trPr>
          <w:trHeight w:val="220"/>
        </w:trPr>
        <w:tc>
          <w:tcPr>
            <w:tcW w:w="4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86 %</w:t>
            </w:r>
          </w:p>
        </w:tc>
      </w:tr>
      <w:tr>
        <w:trPr>
          <w:trHeight w:val="220"/>
        </w:trPr>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Risk-in-force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47,648</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38,661</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28,164</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594,142</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512,316</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399,429</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Average loan size (</w:t>
            </w:r>
            <w:r>
              <w:rPr>
                <w:rFonts w:ascii="Times New Roman" w:cs="Times New Roman" w:eastAsia="Times New Roman" w:hAnsi="Times New Roman"/>
                <w:sz w:val="17"/>
                <w:szCs w:val="17"/>
                <w:i w:val="1"/>
                <w:iCs w:val="1"/>
                <w:color w:val="auto"/>
              </w:rPr>
              <w:t>$ value in thousands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310</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297</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279</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Coverage percentage </w:t>
            </w:r>
            <w:r>
              <w:rPr>
                <w:rFonts w:ascii="Times New Roman" w:cs="Times New Roman" w:eastAsia="Times New Roman" w:hAnsi="Times New Roman"/>
                <w:sz w:val="22"/>
                <w:szCs w:val="22"/>
                <w:color w:val="auto"/>
                <w:vertAlign w:val="superscript"/>
              </w:rPr>
              <w:t>(2)</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220" w:type="dxa"/>
            <w:vAlign w:val="bottom"/>
          </w:tcPr>
          <w:p>
            <w:pPr>
              <w:spacing w:after="0"/>
              <w:rPr>
                <w:sz w:val="19"/>
                <w:szCs w:val="19"/>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4,449</w:t>
            </w:r>
          </w:p>
        </w:tc>
        <w:tc>
          <w:tcPr>
            <w:tcW w:w="560" w:type="dxa"/>
            <w:vAlign w:val="bottom"/>
          </w:tcPr>
          <w:p>
            <w:pPr>
              <w:spacing w:after="0"/>
              <w:rPr>
                <w:sz w:val="19"/>
                <w:szCs w:val="19"/>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6,227</w:t>
            </w:r>
          </w:p>
        </w:tc>
        <w:tc>
          <w:tcPr>
            <w:tcW w:w="5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12,209</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Default rate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323</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435</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874</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Average premium yield </w:t>
            </w:r>
            <w:r>
              <w:rPr>
                <w:rFonts w:ascii="Times New Roman" w:cs="Times New Roman" w:eastAsia="Times New Roman" w:hAnsi="Times New Roman"/>
                <w:sz w:val="22"/>
                <w:szCs w:val="22"/>
                <w:color w:val="auto"/>
                <w:vertAlign w:val="superscript"/>
              </w:rPr>
              <w:t>(3)</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0.39 %</w:t>
            </w:r>
          </w:p>
        </w:tc>
      </w:tr>
      <w:tr>
        <w:trPr>
          <w:trHeight w:val="220"/>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Earnings from cancellations</w:t>
            </w:r>
          </w:p>
        </w:tc>
        <w:tc>
          <w:tcPr>
            <w:tcW w:w="122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8</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30</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48</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Annual persistency </w:t>
            </w:r>
            <w:r>
              <w:rPr>
                <w:rFonts w:ascii="Times New Roman" w:cs="Times New Roman" w:eastAsia="Times New Roman" w:hAnsi="Times New Roman"/>
                <w:sz w:val="22"/>
                <w:szCs w:val="22"/>
                <w:color w:val="auto"/>
                <w:vertAlign w:val="superscript"/>
              </w:rPr>
              <w:t>(4)</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96"/>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Quarterly run-off </w:t>
            </w:r>
            <w:r>
              <w:rPr>
                <w:rFonts w:ascii="Times New Roman" w:cs="Times New Roman" w:eastAsia="Times New Roman" w:hAnsi="Times New Roman"/>
                <w:sz w:val="22"/>
                <w:szCs w:val="22"/>
                <w:color w:val="auto"/>
                <w:vertAlign w:val="superscript"/>
              </w:rPr>
              <w:t>(5)</w:t>
            </w:r>
          </w:p>
        </w:tc>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5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5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12.5 %</w:t>
            </w:r>
          </w:p>
        </w:tc>
      </w:tr>
    </w:tbl>
    <w:p>
      <w:pPr>
        <w:spacing w:after="0" w:line="8" w:lineRule="exact"/>
        <w:rPr>
          <w:sz w:val="20"/>
          <w:szCs w:val="20"/>
          <w:color w:val="auto"/>
        </w:rPr>
      </w:pPr>
    </w:p>
    <w:p>
      <w:pPr>
        <w:ind w:left="200" w:hanging="197"/>
        <w:spacing w:after="0"/>
        <w:tabs>
          <w:tab w:leader="none" w:pos="20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Reported as of the end of the period.</w:t>
      </w:r>
    </w:p>
    <w:p>
      <w:pPr>
        <w:ind w:left="200" w:hanging="197"/>
        <w:spacing w:after="0"/>
        <w:tabs>
          <w:tab w:leader="none" w:pos="20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end of period RIF divided by end of period IIF.</w:t>
      </w:r>
    </w:p>
    <w:p>
      <w:pPr>
        <w:spacing w:after="0" w:line="3" w:lineRule="exact"/>
        <w:rPr>
          <w:rFonts w:ascii="Times New Roman" w:cs="Times New Roman" w:eastAsia="Times New Roman" w:hAnsi="Times New Roman"/>
          <w:sz w:val="9"/>
          <w:szCs w:val="9"/>
          <w:color w:val="auto"/>
        </w:rPr>
      </w:pPr>
    </w:p>
    <w:p>
      <w:pPr>
        <w:ind w:left="280" w:hanging="277"/>
        <w:spacing w:after="0"/>
        <w:tabs>
          <w:tab w:leader="none" w:pos="28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net premiums earned divided by average primary IIF for the period.</w:t>
      </w:r>
    </w:p>
    <w:p>
      <w:pPr>
        <w:spacing w:after="0" w:line="7" w:lineRule="exact"/>
        <w:rPr>
          <w:rFonts w:ascii="Times New Roman" w:cs="Times New Roman" w:eastAsia="Times New Roman" w:hAnsi="Times New Roman"/>
          <w:sz w:val="9"/>
          <w:szCs w:val="9"/>
          <w:color w:val="auto"/>
        </w:rPr>
      </w:pPr>
    </w:p>
    <w:p>
      <w:pPr>
        <w:ind w:left="140" w:hanging="137"/>
        <w:spacing w:after="0" w:line="206" w:lineRule="auto"/>
        <w:tabs>
          <w:tab w:leader="none" w:pos="14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Defined as the percentage of IIF that remains on our books after a given twelve-month period.</w:t>
      </w:r>
    </w:p>
    <w:p>
      <w:pPr>
        <w:spacing w:after="0" w:line="3" w:lineRule="exact"/>
        <w:rPr>
          <w:rFonts w:ascii="Times New Roman" w:cs="Times New Roman" w:eastAsia="Times New Roman" w:hAnsi="Times New Roman"/>
          <w:sz w:val="17"/>
          <w:szCs w:val="17"/>
          <w:color w:val="auto"/>
          <w:vertAlign w:val="superscript"/>
        </w:rPr>
      </w:pPr>
    </w:p>
    <w:p>
      <w:pPr>
        <w:ind w:left="140" w:hanging="137"/>
        <w:spacing w:after="0" w:line="202" w:lineRule="auto"/>
        <w:tabs>
          <w:tab w:leader="none" w:pos="14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Defined as the percentage of IIF that is no longer on our books after a given three-month period. Figures shown represent fourth quarter values for the respective years.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7"/>
          <w:szCs w:val="17"/>
          <w:color w:val="auto"/>
        </w:rPr>
        <w:t>The table below presents a summary of the change in total primary IIF for the dates and periods indicated.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1060" w:type="dxa"/>
            <w:vAlign w:val="bottom"/>
          </w:tcPr>
          <w:p>
            <w:pPr>
              <w:spacing w:after="0"/>
              <w:rPr>
                <w:sz w:val="15"/>
                <w:szCs w:val="15"/>
                <w:color w:val="auto"/>
              </w:rPr>
            </w:pPr>
          </w:p>
        </w:tc>
        <w:tc>
          <w:tcPr>
            <w:tcW w:w="3140" w:type="dxa"/>
            <w:vAlign w:val="bottom"/>
            <w:gridSpan w:val="6"/>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20" w:type="dxa"/>
            <w:vAlign w:val="bottom"/>
          </w:tcPr>
          <w:p>
            <w:pPr>
              <w:spacing w:after="0"/>
              <w:rPr>
                <w:sz w:val="15"/>
                <w:szCs w:val="15"/>
                <w:color w:val="auto"/>
              </w:rPr>
            </w:pPr>
          </w:p>
        </w:tc>
      </w:tr>
      <w:tr>
        <w:trPr>
          <w:trHeight w:val="23"/>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 beginning of period</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94,754</w:t>
            </w:r>
          </w:p>
        </w:tc>
      </w:tr>
      <w:tr>
        <w:trPr>
          <w:trHeight w:val="220"/>
        </w:trPr>
        <w:tc>
          <w:tcPr>
            <w:tcW w:w="5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NIW</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62,702</w:t>
            </w:r>
          </w:p>
        </w:tc>
      </w:tr>
      <w:tr>
        <w:trPr>
          <w:trHeight w:val="220"/>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Cancellations, principal repayments and other reductions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(46,204)</w:t>
            </w: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IIF, end of period</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111,252</w:t>
            </w:r>
          </w:p>
        </w:tc>
      </w:tr>
      <w:tr>
        <w:trPr>
          <w:trHeight w:val="20"/>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a summary of our primary IIF and RIF by book year as of the dates indicated.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
        </w:trPr>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2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spacing w:after="0"/>
              <w:rPr>
                <w:sz w:val="15"/>
                <w:szCs w:val="15"/>
                <w:color w:val="auto"/>
              </w:rPr>
            </w:pPr>
          </w:p>
        </w:tc>
      </w:tr>
      <w:tr>
        <w:trPr>
          <w:trHeight w:val="187"/>
        </w:trPr>
        <w:tc>
          <w:tcPr>
            <w:tcW w:w="2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RIF</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RIF</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87"/>
        </w:trPr>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14,510</w:t>
            </w: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6,548</w:t>
            </w: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w:t>
            </w:r>
          </w:p>
        </w:tc>
      </w:tr>
      <w:tr>
        <w:trPr>
          <w:trHeight w:val="22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2017 and before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4,612</w:t>
            </w: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4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60" w:type="dxa"/>
            <w:vAlign w:val="bottom"/>
          </w:tcPr>
          <w:p>
            <w:pPr>
              <w:spacing w:after="0"/>
              <w:rPr>
                <w:sz w:val="15"/>
                <w:szCs w:val="15"/>
                <w:color w:val="auto"/>
              </w:rPr>
            </w:pPr>
          </w:p>
        </w:tc>
      </w:tr>
      <w:tr>
        <w:trPr>
          <w:trHeight w:val="23"/>
        </w:trPr>
        <w:tc>
          <w:tcPr>
            <w:tcW w:w="5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5600" w:type="dxa"/>
            <w:vAlign w:val="bottom"/>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26,751</w:t>
            </w:r>
          </w:p>
        </w:tc>
        <w:tc>
          <w:tcPr>
            <w:tcW w:w="4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37,437</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9,443</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7,820</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4,644</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2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w:t>
            </w:r>
          </w:p>
        </w:tc>
      </w:tr>
      <w:tr>
        <w:trPr>
          <w:trHeight w:val="21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62,702</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FICO</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r>
      <w:tr>
        <w:trPr>
          <w:trHeight w:val="20"/>
        </w:trPr>
        <w:tc>
          <w:tcPr>
            <w:tcW w:w="5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5,199</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8,153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3,732</w:t>
            </w:r>
          </w:p>
        </w:tc>
      </w:tr>
      <w:tr>
        <w:trPr>
          <w:trHeight w:val="220"/>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30,031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38,215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26,000</w:t>
            </w:r>
          </w:p>
        </w:tc>
      </w:tr>
      <w:tr>
        <w:trPr>
          <w:trHeight w:val="22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16,637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24,655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22,356</w:t>
            </w:r>
          </w:p>
        </w:tc>
      </w:tr>
      <w:tr>
        <w:trPr>
          <w:trHeight w:val="220"/>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6,867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14,551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10,614</w:t>
            </w:r>
          </w:p>
        </w:tc>
      </w:tr>
      <w:tr>
        <w:trPr>
          <w:trHeight w:val="21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62,702</w:t>
            </w: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LTV</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92.2 %</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90.9 %</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57"/>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8"/>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24"/>
                <w:szCs w:val="24"/>
                <w:color w:val="auto"/>
              </w:rPr>
            </w:pPr>
          </w:p>
        </w:tc>
      </w:tr>
      <w:tr>
        <w:trPr>
          <w:trHeight w:val="23"/>
        </w:trPr>
        <w:tc>
          <w:tcPr>
            <w:tcW w:w="53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Borders>
              <w:top w:val="single" w:sz="8" w:color="auto"/>
              <w:bottom w:val="single" w:sz="8" w:color="auto"/>
            </w:tcBorders>
            <w:gridSpan w:val="2"/>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w:t>
            </w:r>
          </w:p>
        </w:tc>
        <w:tc>
          <w:tcPr>
            <w:tcW w:w="110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57,045</w:t>
            </w:r>
          </w:p>
        </w:tc>
        <w:tc>
          <w:tcPr>
            <w:tcW w:w="42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70,318</w:t>
            </w:r>
          </w:p>
        </w:tc>
        <w:tc>
          <w:tcPr>
            <w:tcW w:w="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41,616</w:t>
            </w:r>
          </w:p>
        </w:tc>
      </w:tr>
      <w:tr>
        <w:trPr>
          <w:trHeight w:val="220"/>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Refinance</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15,256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21,086</w:t>
            </w: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85,574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62,702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tables below present our total primary IIF and RIF by FICO and LTV, and total primary RIF by loan type as of the dates indicated.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7"/>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&gt;= 760</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76,449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740-759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17,442</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720-739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15,091</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700-719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680-699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&lt;=679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3,132</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111,252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71755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center"/>
              <w:ind w:left="319"/>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&gt;= 760</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14,634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40" w:type="dxa"/>
            <w:vAlign w:val="bottom"/>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740-759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4,449</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720-739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3,868</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700-719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2,692</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680-699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1,748</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&lt;=679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773</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28,164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87"/>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5"/>
          </w:tcPr>
          <w:p>
            <w:pPr>
              <w:jc w:val="center"/>
              <w:ind w:left="279"/>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80" w:type="dxa"/>
            <w:vAlign w:val="bottom"/>
            <w:shd w:val="clear" w:color="auto" w:fill="CCEEFF"/>
          </w:tcPr>
          <w:p>
            <w:pPr>
              <w:jc w:val="center"/>
              <w:ind w:right="1916"/>
              <w:spacing w:after="0"/>
              <w:rPr>
                <w:sz w:val="20"/>
                <w:szCs w:val="20"/>
                <w:color w:val="auto"/>
              </w:rPr>
            </w:pPr>
            <w:r>
              <w:rPr>
                <w:rFonts w:ascii="Times New Roman" w:cs="Times New Roman" w:eastAsia="Times New Roman" w:hAnsi="Times New Roman"/>
                <w:sz w:val="17"/>
                <w:szCs w:val="17"/>
                <w:color w:val="auto"/>
              </w:rPr>
              <w:t>95.01% and above</w:t>
            </w: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9,129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tcPr>
          <w:p>
            <w:pPr>
              <w:jc w:val="center"/>
              <w:ind w:right="1916"/>
              <w:spacing w:after="0"/>
              <w:rPr>
                <w:sz w:val="20"/>
                <w:szCs w:val="20"/>
                <w:color w:val="auto"/>
              </w:rPr>
            </w:pPr>
            <w:r>
              <w:rPr>
                <w:rFonts w:ascii="Times New Roman" w:cs="Times New Roman" w:eastAsia="Times New Roman" w:hAnsi="Times New Roman"/>
                <w:sz w:val="17"/>
                <w:szCs w:val="17"/>
                <w:color w:val="auto"/>
              </w:rPr>
              <w:t>90.01% to 95.00%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68,537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49,898</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shd w:val="clear" w:color="auto" w:fill="CCEEFF"/>
          </w:tcPr>
          <w:p>
            <w:pPr>
              <w:jc w:val="center"/>
              <w:ind w:right="1916"/>
              <w:spacing w:after="0"/>
              <w:rPr>
                <w:sz w:val="20"/>
                <w:szCs w:val="20"/>
                <w:color w:val="auto"/>
              </w:rPr>
            </w:pPr>
            <w:r>
              <w:rPr>
                <w:rFonts w:ascii="Times New Roman" w:cs="Times New Roman" w:eastAsia="Times New Roman" w:hAnsi="Times New Roman"/>
                <w:sz w:val="17"/>
                <w:szCs w:val="17"/>
                <w:color w:val="auto"/>
              </w:rPr>
              <w:t>85.01% to 90.00%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36,972</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tcPr>
          <w:p>
            <w:pPr>
              <w:jc w:val="center"/>
              <w:ind w:right="1916"/>
              <w:spacing w:after="0"/>
              <w:rPr>
                <w:sz w:val="20"/>
                <w:szCs w:val="20"/>
                <w:color w:val="auto"/>
              </w:rPr>
            </w:pPr>
            <w:r>
              <w:rPr>
                <w:rFonts w:ascii="Times New Roman" w:cs="Times New Roman" w:eastAsia="Times New Roman" w:hAnsi="Times New Roman"/>
                <w:sz w:val="17"/>
                <w:szCs w:val="17"/>
                <w:color w:val="auto"/>
              </w:rPr>
              <w:t>85.00% and below</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15,253</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111,252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2"/>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87"/>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5"/>
          </w:tcPr>
          <w:p>
            <w:pPr>
              <w:jc w:val="center"/>
              <w:ind w:left="319"/>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80" w:type="dxa"/>
            <w:vAlign w:val="bottom"/>
            <w:shd w:val="clear" w:color="auto" w:fill="CCEEFF"/>
          </w:tcPr>
          <w:p>
            <w:pPr>
              <w:jc w:val="center"/>
              <w:ind w:right="1916"/>
              <w:spacing w:after="0"/>
              <w:rPr>
                <w:sz w:val="20"/>
                <w:szCs w:val="20"/>
                <w:color w:val="auto"/>
              </w:rPr>
            </w:pPr>
            <w:r>
              <w:rPr>
                <w:rFonts w:ascii="Times New Roman" w:cs="Times New Roman" w:eastAsia="Times New Roman" w:hAnsi="Times New Roman"/>
                <w:sz w:val="17"/>
                <w:szCs w:val="17"/>
                <w:color w:val="auto"/>
              </w:rPr>
              <w:t>95.01% and above</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2,637</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tcPr>
          <w:p>
            <w:pPr>
              <w:jc w:val="center"/>
              <w:ind w:right="1916"/>
              <w:spacing w:after="0"/>
              <w:rPr>
                <w:sz w:val="20"/>
                <w:szCs w:val="20"/>
                <w:color w:val="auto"/>
              </w:rPr>
            </w:pPr>
            <w:r>
              <w:rPr>
                <w:rFonts w:ascii="Times New Roman" w:cs="Times New Roman" w:eastAsia="Times New Roman" w:hAnsi="Times New Roman"/>
                <w:sz w:val="17"/>
                <w:szCs w:val="17"/>
                <w:color w:val="auto"/>
              </w:rPr>
              <w:t>90.01% to 95.00%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14,673</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52</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shd w:val="clear" w:color="auto" w:fill="CCEEFF"/>
          </w:tcPr>
          <w:p>
            <w:pPr>
              <w:jc w:val="center"/>
              <w:ind w:right="1916"/>
              <w:spacing w:after="0"/>
              <w:rPr>
                <w:sz w:val="20"/>
                <w:szCs w:val="20"/>
                <w:color w:val="auto"/>
              </w:rPr>
            </w:pPr>
            <w:r>
              <w:rPr>
                <w:rFonts w:ascii="Times New Roman" w:cs="Times New Roman" w:eastAsia="Times New Roman" w:hAnsi="Times New Roman"/>
                <w:sz w:val="17"/>
                <w:szCs w:val="17"/>
                <w:color w:val="auto"/>
              </w:rPr>
              <w:t>85.01% to 90.00%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9,067</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680" w:type="dxa"/>
            <w:vAlign w:val="bottom"/>
          </w:tcPr>
          <w:p>
            <w:pPr>
              <w:jc w:val="center"/>
              <w:ind w:right="1916"/>
              <w:spacing w:after="0"/>
              <w:rPr>
                <w:sz w:val="20"/>
                <w:szCs w:val="20"/>
                <w:color w:val="auto"/>
              </w:rPr>
            </w:pPr>
            <w:r>
              <w:rPr>
                <w:rFonts w:ascii="Times New Roman" w:cs="Times New Roman" w:eastAsia="Times New Roman" w:hAnsi="Times New Roman"/>
                <w:sz w:val="17"/>
                <w:szCs w:val="17"/>
                <w:color w:val="auto"/>
              </w:rPr>
              <w:t>85.00% and below</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1,787</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28,164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r>
      <w:tr>
        <w:trPr>
          <w:trHeight w:val="244"/>
        </w:trPr>
        <w:tc>
          <w:tcPr>
            <w:tcW w:w="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0"/>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Fixed</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99 %</w:t>
            </w:r>
          </w:p>
        </w:tc>
      </w:tr>
      <w:tr>
        <w:trPr>
          <w:trHeight w:val="220"/>
        </w:trPr>
        <w:tc>
          <w:tcPr>
            <w:tcW w:w="40" w:type="dxa"/>
            <w:vAlign w:val="bottom"/>
          </w:tcPr>
          <w:p>
            <w:pPr>
              <w:spacing w:after="0"/>
              <w:rPr>
                <w:sz w:val="19"/>
                <w:szCs w:val="19"/>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Adjustable rate mortgages: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40" w:type="dxa"/>
            <w:vAlign w:val="bottom"/>
            <w:shd w:val="clear" w:color="auto" w:fill="CCEEFF"/>
          </w:tcPr>
          <w:p>
            <w:pPr>
              <w:spacing w:after="0"/>
              <w:rPr>
                <w:sz w:val="19"/>
                <w:szCs w:val="19"/>
                <w:color w:val="auto"/>
              </w:rPr>
            </w:pPr>
          </w:p>
        </w:tc>
        <w:tc>
          <w:tcPr>
            <w:tcW w:w="3680" w:type="dxa"/>
            <w:vAlign w:val="bottom"/>
            <w:shd w:val="clear" w:color="auto" w:fill="CCEEFF"/>
          </w:tcPr>
          <w:p>
            <w:pPr>
              <w:jc w:val="center"/>
              <w:ind w:right="1896"/>
              <w:spacing w:after="0"/>
              <w:rPr>
                <w:sz w:val="20"/>
                <w:szCs w:val="20"/>
                <w:color w:val="auto"/>
              </w:rPr>
            </w:pPr>
            <w:r>
              <w:rPr>
                <w:rFonts w:ascii="Times New Roman" w:cs="Times New Roman" w:eastAsia="Times New Roman" w:hAnsi="Times New Roman"/>
                <w:sz w:val="17"/>
                <w:szCs w:val="17"/>
                <w:color w:val="auto"/>
              </w:rPr>
              <w:t>Less than five years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5"/>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Five years and longer</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auto"/>
            </w:tcBorders>
          </w:tcPr>
          <w:p>
            <w:pPr>
              <w:spacing w:after="0"/>
              <w:rPr>
                <w:sz w:val="19"/>
                <w:szCs w:val="19"/>
                <w:color w:val="auto"/>
              </w:rPr>
            </w:pPr>
          </w:p>
        </w:tc>
      </w:tr>
      <w:tr>
        <w:trPr>
          <w:trHeight w:val="21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100 %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71755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80" w:top="1163" w:right="379"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7"/>
          <w:szCs w:val="17"/>
          <w:color w:val="auto"/>
        </w:rPr>
        <w:t>The table below presents selected primary portfolio statistics, by book year, as of December 31, 2022.</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As of December 31, 2022</w:t>
            </w: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w w:val="94"/>
              </w:rPr>
              <w:t>Original</w:t>
            </w:r>
          </w:p>
        </w:tc>
        <w:tc>
          <w:tcPr>
            <w:tcW w:w="120" w:type="dxa"/>
            <w:vAlign w:val="bottom"/>
          </w:tcPr>
          <w:p>
            <w:pPr>
              <w:spacing w:after="0"/>
              <w:rPr>
                <w:sz w:val="10"/>
                <w:szCs w:val="10"/>
                <w:color w:val="auto"/>
              </w:rPr>
            </w:pPr>
          </w:p>
        </w:tc>
        <w:tc>
          <w:tcPr>
            <w:tcW w:w="780" w:type="dxa"/>
            <w:vAlign w:val="bottom"/>
          </w:tcPr>
          <w:p>
            <w:pPr>
              <w:jc w:val="center"/>
              <w:ind w:right="56"/>
              <w:spacing w:after="0" w:line="12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 Remaining of</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Policies Ever</w:t>
            </w:r>
          </w:p>
        </w:tc>
        <w:tc>
          <w:tcPr>
            <w:tcW w:w="980" w:type="dxa"/>
            <w:vAlign w:val="bottom"/>
            <w:gridSpan w:val="3"/>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Incurred Loss</w:t>
            </w:r>
          </w:p>
        </w:tc>
        <w:tc>
          <w:tcPr>
            <w:tcW w:w="12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1"/>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Insurance in</w:t>
            </w:r>
          </w:p>
        </w:tc>
        <w:tc>
          <w:tcPr>
            <w:tcW w:w="12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00" w:type="dxa"/>
            <w:vAlign w:val="bottom"/>
            <w:gridSpan w:val="2"/>
            <w:vMerge w:val="continue"/>
          </w:tcPr>
          <w:p>
            <w:pPr>
              <w:spacing w:after="0"/>
              <w:rPr>
                <w:sz w:val="12"/>
                <w:szCs w:val="12"/>
                <w:color w:val="auto"/>
              </w:rPr>
            </w:pPr>
          </w:p>
        </w:tc>
        <w:tc>
          <w:tcPr>
            <w:tcW w:w="980" w:type="dxa"/>
            <w:vAlign w:val="bottom"/>
            <w:gridSpan w:val="3"/>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Policies in</w:t>
            </w:r>
          </w:p>
        </w:tc>
        <w:tc>
          <w:tcPr>
            <w:tcW w:w="84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Loans in</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3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Ratio (Inception</w:t>
            </w:r>
          </w:p>
        </w:tc>
        <w:tc>
          <w:tcPr>
            <w:tcW w:w="12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9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Paid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to Date) </w:t>
            </w:r>
            <w:r>
              <w:rPr>
                <w:rFonts w:ascii="Times New Roman" w:cs="Times New Roman" w:eastAsia="Times New Roman" w:hAnsi="Times New Roman"/>
                <w:sz w:val="8"/>
                <w:szCs w:val="8"/>
                <w:b w:val="1"/>
                <w:bCs w:val="1"/>
                <w:color w:val="auto"/>
                <w:w w:val="98"/>
              </w:rPr>
              <w:t>(1)</w:t>
            </w:r>
          </w:p>
        </w:tc>
        <w:tc>
          <w:tcPr>
            <w:tcW w:w="1200" w:type="dxa"/>
            <w:vAlign w:val="bottom"/>
            <w:tcBorders>
              <w:bottom w:val="single" w:sz="8" w:color="auto"/>
            </w:tcBorders>
          </w:tcPr>
          <w:p>
            <w:pPr>
              <w:jc w:val="right"/>
              <w:ind w:right="117"/>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17"/>
                <w:szCs w:val="17"/>
                <w:b w:val="1"/>
                <w:bCs w:val="1"/>
                <w:color w:val="auto"/>
                <w:vertAlign w:val="superscript"/>
              </w:rPr>
              <w:t>(2)</w:t>
            </w:r>
          </w:p>
        </w:tc>
        <w:tc>
          <w:tcPr>
            <w:tcW w:w="1080" w:type="dxa"/>
            <w:vAlign w:val="bottom"/>
            <w:tcBorders>
              <w:bottom w:val="single" w:sz="8" w:color="auto"/>
            </w:tcBorders>
          </w:tcPr>
          <w:p>
            <w:pPr>
              <w:jc w:val="right"/>
              <w:ind w:right="237"/>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gridSpan w:val="5"/>
          </w:tcPr>
          <w:p>
            <w:pPr>
              <w:jc w:val="center"/>
              <w:ind w:left="658"/>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0.2 %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4.0 %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52,548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83,626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2.1 %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2.8 %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3,579</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4.8 %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9,194</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5.1 %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34,656</w:t>
            </w: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55 %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3.2 %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72,766</w:t>
            </w:r>
          </w:p>
        </w:tc>
        <w:tc>
          <w:tcPr>
            <w:tcW w:w="1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85 %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257,972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227,124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20"/>
        </w:trPr>
        <w:tc>
          <w:tcPr>
            <w:tcW w:w="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56,579</w:t>
            </w:r>
          </w:p>
        </w:tc>
        <w:tc>
          <w:tcPr>
            <w:tcW w:w="128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7"/>
                <w:szCs w:val="17"/>
                <w:color w:val="auto"/>
              </w:rPr>
              <w:t>96 %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163,281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158,733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7"/>
                <w:szCs w:val="17"/>
                <w:color w:val="auto"/>
              </w:rPr>
              <w:t>11.8 %</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r>
        <w:trPr>
          <w:trHeight w:val="238"/>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1,097,405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594,142</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00" w:hanging="197"/>
        <w:spacing w:after="0"/>
        <w:tabs>
          <w:tab w:leader="none" w:pos="2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ind w:left="200" w:hanging="197"/>
        <w:spacing w:after="0"/>
        <w:tabs>
          <w:tab w:leader="none" w:pos="20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3" w:lineRule="exact"/>
        <w:rPr>
          <w:rFonts w:ascii="Times New Roman" w:cs="Times New Roman" w:eastAsia="Times New Roman" w:hAnsi="Times New Roman"/>
          <w:sz w:val="9"/>
          <w:szCs w:val="9"/>
          <w:color w:val="auto"/>
        </w:rPr>
      </w:pPr>
    </w:p>
    <w:p>
      <w:pPr>
        <w:ind w:left="200" w:hanging="197"/>
        <w:spacing w:after="0"/>
        <w:tabs>
          <w:tab w:leader="none" w:pos="20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Geographic Dispersion</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shows the distribution by state of our primary RIF as of the dates indicated. The distribution of our primary RIF as of December 31, 2022 is not necessarily representative of the geographic distribution we expect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40" w:type="dxa"/>
            <w:vAlign w:val="bottom"/>
          </w:tcPr>
          <w:p>
            <w:pPr>
              <w:spacing w:after="0"/>
              <w:rPr>
                <w:sz w:val="15"/>
                <w:szCs w:val="15"/>
                <w:color w:val="auto"/>
              </w:rPr>
            </w:pPr>
          </w:p>
        </w:tc>
      </w:tr>
      <w:tr>
        <w:trPr>
          <w:trHeight w:val="23"/>
        </w:trPr>
        <w:tc>
          <w:tcPr>
            <w:tcW w:w="6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81"/>
        </w:trPr>
        <w:tc>
          <w:tcPr>
            <w:tcW w:w="53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Maryland</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3.7</w:t>
            </w:r>
          </w:p>
        </w:tc>
      </w:tr>
      <w:tr>
        <w:trPr>
          <w:trHeight w:val="23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Insurance Claims and Claim Expenses</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w:t>
      </w:r>
    </w:p>
    <w:p>
      <w:pPr>
        <w:spacing w:after="0" w:line="43" w:lineRule="exact"/>
        <w:rPr>
          <w:sz w:val="20"/>
          <w:szCs w:val="20"/>
          <w:color w:val="auto"/>
        </w:rPr>
      </w:pPr>
    </w:p>
    <w:p>
      <w:pPr>
        <w:jc w:val="both"/>
        <w:ind w:left="1100" w:hanging="320"/>
        <w:spacing w:after="0" w:line="266" w:lineRule="auto"/>
        <w:tabs>
          <w:tab w:leader="none" w:pos="109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9" w:name="page70"/>
    <w:bookmarkEnd w:id="69"/>
    <w:p>
      <w:pPr>
        <w:ind w:left="1100" w:hanging="320"/>
        <w:spacing w:after="0" w:line="291" w:lineRule="auto"/>
        <w:tabs>
          <w:tab w:leader="none" w:pos="109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FICO scores, with lower FICO scores tending to have a higher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DTI ratios, with higher DTI ratios tending to have a higher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LTV ratios, with higher average LTV ratios tending to increase the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loans insured, with higher loan amounts tending to result in higher incurred claim amounts than smaller loan amounts;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coverage on insured loans, with higher percentages of insurance coverage tending to result in higher incurred claim amounts than lower percentages of insurance coverage;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borrower, property-type and loan level risk characteristics, such as cash-out refinancings, second homes or investment properties;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and amount of reinsurance coverage maintained with third parties.</w:t>
      </w:r>
    </w:p>
    <w:p>
      <w:pPr>
        <w:spacing w:after="0" w:line="11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2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response to the COVID-19 pandemic,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We generally observe that forbearance, repayment and modification, and other assistance programs aid affected borrowers and drive higher cure rates on defaults than would otherwise be expected on similarly situated loans that did not benefit from broad-based assistance programs.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Although we are optimistic that the nationwide COVID-19 vaccination effort and other medical advances will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7"/>
          <w:szCs w:val="17"/>
          <w:color w:val="auto"/>
        </w:rPr>
        <w:t>to support a normalization of personal and business activity, the path of the virus remains unknown and subject to risk. It is also possible that emerging macroeconomic factors, including persistent inflation, increasing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 experience.</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(benefits)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280" w:type="dxa"/>
            <w:vAlign w:val="bottom"/>
          </w:tcPr>
          <w:p>
            <w:pPr>
              <w:spacing w:after="0"/>
              <w:rPr>
                <w:sz w:val="15"/>
                <w:szCs w:val="15"/>
                <w:color w:val="auto"/>
              </w:rPr>
            </w:pPr>
          </w:p>
        </w:tc>
      </w:tr>
      <w:tr>
        <w:trPr>
          <w:trHeight w:val="23"/>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23,752</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(4,939)</w:t>
            </w:r>
          </w:p>
        </w:tc>
      </w:tr>
      <w:tr>
        <w:trPr>
          <w:trHeight w:val="21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18,813</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(benefits) expenses incurred: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66,943</w:t>
            </w:r>
          </w:p>
        </w:tc>
      </w:tr>
      <w:tr>
        <w:trPr>
          <w:trHeight w:val="220"/>
        </w:trPr>
        <w:tc>
          <w:tcPr>
            <w:tcW w:w="568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w:t>
            </w:r>
          </w:p>
        </w:tc>
      </w:tr>
      <w:tr>
        <w:trPr>
          <w:trHeight w:val="21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claims and claim (benefits) expenses incurred</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59,247</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0"/>
        </w:trPr>
        <w:tc>
          <w:tcPr>
            <w:tcW w:w="568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4,515</w:t>
            </w:r>
          </w:p>
        </w:tc>
      </w:tr>
      <w:tr>
        <w:trPr>
          <w:trHeight w:val="21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72,959</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17,608</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20" w:hanging="317"/>
        <w:spacing w:after="0" w:line="220" w:lineRule="auto"/>
        <w:tabs>
          <w:tab w:leader="none" w:pos="203"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Related to ceded losses recoverable under the QSR Transactions. See Item 8, "</w:t>
      </w:r>
      <w:r>
        <w:rPr>
          <w:rFonts w:ascii="Times New Roman" w:cs="Times New Roman" w:eastAsia="Times New Roman" w:hAnsi="Times New Roman"/>
          <w:sz w:val="14"/>
          <w:szCs w:val="14"/>
          <w:i w:val="1"/>
          <w:iCs w:val="1"/>
          <w:color w:val="auto"/>
        </w:rPr>
        <w:t>Financial Statements and Supplementary Data - Notes to Consolidated Financial Statements - Note 6, Reinsurance</w:t>
      </w:r>
      <w:r>
        <w:rPr>
          <w:rFonts w:ascii="Times New Roman" w:cs="Times New Roman" w:eastAsia="Times New Roman" w:hAnsi="Times New Roman"/>
          <w:sz w:val="14"/>
          <w:szCs w:val="14"/>
          <w:color w:val="auto"/>
        </w:rPr>
        <w:t>," for additional information.</w:t>
      </w:r>
    </w:p>
    <w:p>
      <w:pPr>
        <w:ind w:left="320" w:hanging="317"/>
        <w:spacing w:after="0" w:line="247" w:lineRule="auto"/>
        <w:tabs>
          <w:tab w:leader="none" w:pos="136"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$39.9 million attributed to net case reserves and $4.5 million attributed to net IBNR reserves for the year ended December 31, 2022, $18.1 million attributed to net case reserves and $4.7 million attributed to net IBNR reserves for the year ended December 31, 2021, and $60.8 million attributed to net case reserves and $5.0 million attributed to net IBNR reserves for the year ended December 31, 2020.</w:t>
      </w:r>
    </w:p>
    <w:p>
      <w:pPr>
        <w:ind w:left="320" w:hanging="317"/>
        <w:spacing w:after="0" w:line="252" w:lineRule="auto"/>
        <w:tabs>
          <w:tab w:leader="none" w:pos="136"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$42.5 million attributed to net case reserves and $4.7 million attributed to net IBNR reserves for the year ended December 31, 2022, $6.3 million attributed to net case reserves and $5.0 million attributed to net IBNR reserves for the year ended December 31, 2021, and $6.2 million attributed to net case reserves and $1.3 million attributed to net IBNR reserves for the year ended December 31, 2020.</w:t>
      </w:r>
    </w:p>
    <w:p>
      <w:pPr>
        <w:spacing w:after="0" w:line="37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$41.5 million related to prior year defaults remained as of December 31, 2022.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count of loans in default:</w:t>
      </w:r>
    </w:p>
    <w:p>
      <w:pPr>
        <w:spacing w:after="0" w:line="14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default inventory</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Plus: new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19,459</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(11,626)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(8,548)</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denied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default inventory</w:t>
            </w: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6,227</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12,209</w:t>
            </w:r>
          </w:p>
        </w:tc>
      </w:tr>
    </w:tbl>
    <w:p>
      <w:pPr>
        <w:spacing w:after="0" w:line="22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Ending default inventory declined successively during each of the years ended December 31, 2022 and 2021, as borrowers initially impacted by the COVID-19 pandemic during the year ended December 31, 2020 continued to cure their delinquencies and fewer new defaults emerged in each successive period as the acute economic stress of the pandemic continued to recede.</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details of our claims paid, before giving effect to claims ceded under the QSR Transactions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80" w:type="dxa"/>
            <w:vAlign w:val="bottom"/>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5"/>
                <w:szCs w:val="15"/>
                <w:color w:val="auto"/>
              </w:rPr>
            </w:pPr>
          </w:p>
        </w:tc>
      </w:tr>
      <w:tr>
        <w:trPr>
          <w:trHeight w:val="23"/>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6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6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w w:val="96"/>
              </w:rPr>
              <w:t>Values In Thousands)</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61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Number of claims paid </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82</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amount paid for claims</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2,554</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6,434</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amount paid per claim</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5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45</w:t>
            </w:r>
          </w:p>
        </w:tc>
      </w:tr>
      <w:tr>
        <w:trPr>
          <w:trHeight w:val="296"/>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Severity </w:t>
            </w:r>
            <w:r>
              <w:rPr>
                <w:rFonts w:ascii="Times New Roman" w:cs="Times New Roman" w:eastAsia="Times New Roman" w:hAnsi="Times New Roman"/>
                <w:sz w:val="22"/>
                <w:szCs w:val="22"/>
                <w:color w:val="auto"/>
                <w:vertAlign w:val="superscript"/>
              </w:rPr>
              <w:t>(2)</w:t>
            </w:r>
          </w:p>
        </w:tc>
        <w:tc>
          <w:tcPr>
            <w:tcW w:w="400" w:type="dxa"/>
            <w:vAlign w:val="bottom"/>
          </w:tcPr>
          <w:p>
            <w:pPr>
              <w:spacing w:after="0"/>
              <w:rPr>
                <w:sz w:val="24"/>
                <w:szCs w:val="24"/>
                <w:color w:val="auto"/>
              </w:rPr>
            </w:pPr>
          </w:p>
        </w:tc>
        <w:tc>
          <w:tcPr>
            <w:tcW w:w="1620" w:type="dxa"/>
            <w:vAlign w:val="bottom"/>
            <w:gridSpan w:val="2"/>
          </w:tcPr>
          <w:p>
            <w:pPr>
              <w:jc w:val="right"/>
              <w:ind w:right="322"/>
              <w:spacing w:after="0"/>
              <w:rPr>
                <w:sz w:val="20"/>
                <w:szCs w:val="20"/>
                <w:color w:val="auto"/>
              </w:rPr>
            </w:pPr>
            <w:r>
              <w:rPr>
                <w:rFonts w:ascii="Times New Roman" w:cs="Times New Roman" w:eastAsia="Times New Roman" w:hAnsi="Times New Roman"/>
                <w:sz w:val="17"/>
                <w:szCs w:val="17"/>
                <w:color w:val="auto"/>
              </w:rPr>
              <w:t>49 %</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80 %</w:t>
            </w:r>
          </w:p>
        </w:tc>
      </w:tr>
    </w:tbl>
    <w:p>
      <w:pPr>
        <w:spacing w:after="0" w:line="8" w:lineRule="exact"/>
        <w:rPr>
          <w:sz w:val="20"/>
          <w:szCs w:val="20"/>
          <w:color w:val="auto"/>
        </w:rPr>
      </w:pPr>
    </w:p>
    <w:p>
      <w:pPr>
        <w:ind w:left="240" w:hanging="237"/>
        <w:spacing w:after="0"/>
        <w:tabs>
          <w:tab w:leader="none" w:pos="240" w:val="left"/>
        </w:tabs>
        <w:numPr>
          <w:ilvl w:val="0"/>
          <w:numId w:val="4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Count includes 30, 15 and nine claims settled without payment for the years ended December 31, 2022, 2021 and 2020, respectively.</w:t>
      </w:r>
    </w:p>
    <w:p>
      <w:pPr>
        <w:ind w:left="200" w:hanging="197"/>
        <w:spacing w:after="0"/>
        <w:tabs>
          <w:tab w:leader="none" w:pos="200" w:val="left"/>
        </w:tabs>
        <w:numPr>
          <w:ilvl w:val="0"/>
          <w:numId w:val="46"/>
        </w:numPr>
        <w:rPr>
          <w:rFonts w:ascii="Times New Roman" w:cs="Times New Roman" w:eastAsia="Times New Roman" w:hAnsi="Times New Roman"/>
          <w:sz w:val="8"/>
          <w:szCs w:val="8"/>
          <w:color w:val="auto"/>
        </w:rPr>
      </w:pPr>
      <w:r>
        <w:rPr>
          <w:rFonts w:ascii="Times New Roman" w:cs="Times New Roman" w:eastAsia="Times New Roman" w:hAnsi="Times New Roman"/>
          <w:sz w:val="13"/>
          <w:szCs w:val="13"/>
          <w:color w:val="auto"/>
        </w:rPr>
        <w:t>Severity represents the total amount of claims paid including claim expenses divided by the related RIF on the loan at the time the claim is perfected, and is calculated including claims settled without</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payment.</w:t>
      </w:r>
    </w:p>
    <w:p>
      <w:pPr>
        <w:spacing w:after="0" w:line="154"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Company paid 81, 82 and 143 claims for the years ended December 31, 2022, 2021 and 2020, respectively. The number of claims paid was modest relative to the size of our insured portfolio and number of defaulted loans we reported in each period, primarily due to the forbearance program and foreclosure moratorium implemented by the GSEs in response to the COVID-19 pandemic and codified under the CARES Act. Such forbearance and foreclosure programs have extended, and may ultimately interrupt, the timeline over which loans would otherwise progress through the default cycle to a paid claim. Our claims paid experience for the years ended December 31, 2022, 2021 and 2020, further benefited from broad national house price appreciation. An increase in the value of the homes collateralizing the mortgages we insure provides defaulted borrowers with alternative paths and incentives to cure their loan prior to the development of a claim.</w:t>
      </w:r>
    </w:p>
    <w:p>
      <w:pPr>
        <w:spacing w:after="0" w:line="19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claims severity for the years ended December 31, 2022, 2021 and 2020 was 49%, 59% and 80%. Claims severity in each year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number of claims paid and our severity experience in future periods may be impacted by developing economic cycles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2" w:name="page73"/>
    <w:bookmarkEnd w:id="72"/>
    <w:p>
      <w:pPr>
        <w:ind w:left="700"/>
        <w:spacing w:after="0"/>
        <w:rPr>
          <w:sz w:val="20"/>
          <w:szCs w:val="20"/>
          <w:color w:val="auto"/>
        </w:rPr>
      </w:pPr>
      <w:r>
        <w:rPr>
          <w:rFonts w:ascii="Times New Roman" w:cs="Times New Roman" w:eastAsia="Times New Roman" w:hAnsi="Times New Roman"/>
          <w:sz w:val="17"/>
          <w:szCs w:val="17"/>
          <w:color w:val="auto"/>
        </w:rPr>
        <w:t>The following table provides detail on our average reserve per default, before giving effect to reserves ceded under the QSR Transactions, as of the dates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420" w:type="dxa"/>
            <w:vAlign w:val="bottom"/>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4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Case </w:t>
            </w:r>
            <w:r>
              <w:rPr>
                <w:rFonts w:ascii="Times New Roman" w:cs="Times New Roman" w:eastAsia="Times New Roman" w:hAnsi="Times New Roman"/>
                <w:sz w:val="22"/>
                <w:szCs w:val="22"/>
                <w:color w:val="auto"/>
                <w:vertAlign w:val="superscript"/>
              </w:rPr>
              <w:t>(1)</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0"/>
        </w:trPr>
        <w:tc>
          <w:tcPr>
            <w:tcW w:w="642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 (2)</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bl>
    <w:p>
      <w:pPr>
        <w:spacing w:after="0" w:line="161" w:lineRule="exact"/>
        <w:rPr>
          <w:sz w:val="20"/>
          <w:szCs w:val="20"/>
          <w:color w:val="auto"/>
        </w:rPr>
      </w:pPr>
    </w:p>
    <w:p>
      <w:pPr>
        <w:ind w:left="200" w:hanging="197"/>
        <w:spacing w:after="0"/>
        <w:tabs>
          <w:tab w:leader="none" w:pos="200"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the gross reserve per insured loan in default.</w:t>
      </w:r>
    </w:p>
    <w:p>
      <w:pPr>
        <w:spacing w:after="0" w:line="17" w:lineRule="exact"/>
        <w:rPr>
          <w:rFonts w:ascii="Times New Roman" w:cs="Times New Roman" w:eastAsia="Times New Roman" w:hAnsi="Times New Roman"/>
          <w:sz w:val="9"/>
          <w:szCs w:val="9"/>
          <w:color w:val="auto"/>
        </w:rPr>
      </w:pPr>
    </w:p>
    <w:p>
      <w:pPr>
        <w:ind w:left="200" w:hanging="197"/>
        <w:spacing w:after="0" w:line="194" w:lineRule="auto"/>
        <w:tabs>
          <w:tab w:leader="none" w:pos="200"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 includes claims adjustment expenses.</w:t>
      </w:r>
    </w:p>
    <w:p>
      <w:pPr>
        <w:spacing w:after="0" w:line="147"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Average reserve per default increased from December 31, 2021 to December 31, 2022, primarily due to an incrementally conservative set of assumptions about future macroeconomic and housing market conditions compared to those assumed at December 31, 2021. The increased average reserve per default at December 31, 2022 also reflects the “aging” of early COVID-related defaults. While we initially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 While average reserve per default increased from December 31, 2021 to December 31, 2022, our aggregate gross reserve position declined in the intervening period due to the decline in our total default inventory.</w:t>
      </w:r>
    </w:p>
    <w:p>
      <w:pPr>
        <w:spacing w:after="0" w:line="123" w:lineRule="exact"/>
        <w:rPr>
          <w:sz w:val="20"/>
          <w:szCs w:val="20"/>
          <w:color w:val="auto"/>
        </w:rPr>
      </w:pPr>
    </w:p>
    <w:p>
      <w:pPr>
        <w:ind w:left="620" w:right="40"/>
        <w:spacing w:after="0" w:line="444" w:lineRule="auto"/>
        <w:rPr>
          <w:sz w:val="20"/>
          <w:szCs w:val="20"/>
          <w:color w:val="auto"/>
        </w:rPr>
      </w:pPr>
      <w:r>
        <w:rPr>
          <w:rFonts w:ascii="Times New Roman" w:cs="Times New Roman" w:eastAsia="Times New Roman" w:hAnsi="Times New Roman"/>
          <w:sz w:val="17"/>
          <w:szCs w:val="17"/>
          <w:color w:val="auto"/>
        </w:rPr>
        <w:t xml:space="preserve">The average reserve per default increased from December 31, 2020 to December 31, 2021, primarily due to the “aging” of early COVID-related defaults. </w:t>
      </w:r>
      <w:r>
        <w:rPr>
          <w:rFonts w:ascii="Times New Roman" w:cs="Times New Roman" w:eastAsia="Times New Roman" w:hAnsi="Times New Roman"/>
          <w:sz w:val="17"/>
          <w:szCs w:val="17"/>
          <w:b w:val="1"/>
          <w:bCs w:val="1"/>
          <w:i w:val="1"/>
          <w:iCs w:val="1"/>
          <w:color w:val="auto"/>
        </w:rPr>
        <w:t>Seasonality</w:t>
      </w:r>
    </w:p>
    <w:p>
      <w:pPr>
        <w:spacing w:after="0" w:line="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is instead primarily influenced by mortgage rates. Fluctuations in refinancing volume (driven by changes in prevailing mortgage rates) may serve to mute or magnify the seasonal effect of home purchase patterns on mortgage insurance NIW. Further, the COVID pandemic and resulting shelter-in-place directives spurred record housing demand during the years ended December 31, 2021 and 2020, and purchase origination NIW remained elevated through the entirety of each year given the consistently high demand for home ownership. Our NIW production during the year ended December 31, 2022 returned to a more normalized seasonal pattern as the impact of the pandemic continued to recede and increasing mortgage rates slowed refinancing activity.</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GSE Oversight</w:t>
      </w:r>
    </w:p>
    <w:p>
      <w:pPr>
        <w:spacing w:after="0" w:line="169" w:lineRule="exact"/>
        <w:rPr>
          <w:sz w:val="20"/>
          <w:szCs w:val="20"/>
          <w:color w:val="auto"/>
        </w:rPr>
      </w:pPr>
    </w:p>
    <w:p>
      <w:pPr>
        <w:jc w:val="both"/>
        <w:ind w:firstLine="660"/>
        <w:spacing w:after="0" w:line="26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current vs. delinquent), LTV ratio and other risk features. In general, higher quality loans carry lower asset charges.</w:t>
      </w:r>
    </w:p>
    <w:p>
      <w:pPr>
        <w:spacing w:after="0" w:line="119" w:lineRule="exact"/>
        <w:rPr>
          <w:sz w:val="20"/>
          <w:szCs w:val="20"/>
          <w:color w:val="auto"/>
        </w:rPr>
      </w:pPr>
    </w:p>
    <w:p>
      <w:pPr>
        <w:jc w:val="both"/>
        <w:ind w:firstLine="660"/>
        <w:spacing w:after="0" w:line="261"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which is then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 an aggregate 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 gross risk-based required asset amount</w:t>
      </w:r>
      <w:r>
        <w:rPr>
          <w:rFonts w:ascii="Times New Roman" w:cs="Times New Roman" w:eastAsia="Times New Roman" w:hAnsi="Times New Roman"/>
          <w:sz w:val="17"/>
          <w:szCs w:val="17"/>
          <w:color w:val="auto"/>
        </w:rPr>
        <w:t xml:space="preserve">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 xml:space="preserve">risk-based required asset amount </w:t>
      </w:r>
      <w:r>
        <w:rPr>
          <w:rFonts w:ascii="Times New Roman" w:cs="Times New Roman" w:eastAsia="Times New Roman" w:hAnsi="Times New Roman"/>
          <w:sz w:val="17"/>
          <w:szCs w:val="17"/>
          <w:color w:val="auto"/>
        </w:rPr>
        <w:t>for pool insurance considers both factors in the PMIERs tables and the</w:t>
      </w:r>
      <w:r>
        <w:rPr>
          <w:rFonts w:ascii="Times New Roman" w:cs="Times New Roman" w:eastAsia="Times New Roman" w:hAnsi="Times New Roman"/>
          <w:sz w:val="17"/>
          <w:szCs w:val="17"/>
          <w:i w:val="1"/>
          <w:iCs w:val="1"/>
          <w:color w:val="auto"/>
        </w:rPr>
        <w:t xml:space="preserve"> net remaining stop loss </w:t>
      </w:r>
      <w:r>
        <w:rPr>
          <w:rFonts w:ascii="Times New Roman" w:cs="Times New Roman" w:eastAsia="Times New Roman" w:hAnsi="Times New Roman"/>
          <w:sz w:val="17"/>
          <w:szCs w:val="17"/>
          <w:color w:val="auto"/>
        </w:rPr>
        <w:t>for each pool insurance policy.</w:t>
      </w:r>
    </w:p>
    <w:p>
      <w:pPr>
        <w:spacing w:after="0" w:line="12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2022 that NMIC was in full compliance with the PMIERs as of December 31, 2021. NMIC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3" w:name="page74"/>
    <w:bookmarkEnd w:id="73"/>
    <w:p>
      <w:pPr>
        <w:jc w:val="both"/>
        <w:spacing w:after="0" w:line="291" w:lineRule="auto"/>
        <w:rPr>
          <w:sz w:val="20"/>
          <w:szCs w:val="20"/>
          <w:color w:val="auto"/>
        </w:rPr>
      </w:pPr>
      <w:r>
        <w:rPr>
          <w:rFonts w:ascii="Times New Roman" w:cs="Times New Roman" w:eastAsia="Times New Roman" w:hAnsi="Times New Roman"/>
          <w:sz w:val="17"/>
          <w:szCs w:val="17"/>
          <w:color w:val="auto"/>
        </w:rPr>
        <w:t>also has an ongoing obligation to immediately notify the GSEs in writing upon discovery of a failure to meet one or more of the PMIERs requirements. We continuously monitor NMIC's compliance with the PMIERs.</w:t>
      </w:r>
    </w:p>
    <w:p>
      <w:pPr>
        <w:spacing w:after="0" w:line="93"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 xml:space="preserve">The following table provides a comparison of the PMIERs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as reported by NMIC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6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3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Available assets</w:t>
            </w:r>
          </w:p>
        </w:tc>
        <w:tc>
          <w:tcPr>
            <w:tcW w:w="400" w:type="dxa"/>
            <w:vAlign w:val="bottom"/>
            <w:shd w:val="clear" w:color="auto" w:fill="BFE4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2,378,627</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BFE4FF"/>
          </w:tcPr>
          <w:p>
            <w:pPr>
              <w:jc w:val="right"/>
              <w:ind w:right="4"/>
              <w:spacing w:after="0"/>
              <w:rPr>
                <w:sz w:val="20"/>
                <w:szCs w:val="20"/>
                <w:color w:val="auto"/>
              </w:rPr>
            </w:pPr>
            <w:r>
              <w:rPr>
                <w:rFonts w:ascii="Times New Roman" w:cs="Times New Roman" w:eastAsia="Times New Roman" w:hAnsi="Times New Roman"/>
                <w:sz w:val="17"/>
                <w:szCs w:val="17"/>
                <w:color w:val="auto"/>
              </w:rPr>
              <w:t>2,041,193</w:t>
            </w:r>
          </w:p>
        </w:tc>
        <w:tc>
          <w:tcPr>
            <w:tcW w:w="460" w:type="dxa"/>
            <w:vAlign w:val="bottom"/>
            <w:shd w:val="clear" w:color="auto" w:fill="BFE4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1,750,668</w:t>
            </w:r>
          </w:p>
        </w:tc>
      </w:tr>
      <w:tr>
        <w:trPr>
          <w:trHeight w:val="22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Risk-based required asset amount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1,203,708</w:t>
            </w:r>
          </w:p>
        </w:tc>
        <w:tc>
          <w:tcPr>
            <w:tcW w:w="200" w:type="dxa"/>
            <w:vAlign w:val="bottom"/>
          </w:tcPr>
          <w:p>
            <w:pPr>
              <w:spacing w:after="0"/>
              <w:rPr>
                <w:sz w:val="19"/>
                <w:szCs w:val="19"/>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1,186,272</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984,372</w:t>
            </w:r>
          </w:p>
        </w:tc>
      </w:tr>
    </w:tbl>
    <w:p>
      <w:pPr>
        <w:spacing w:after="0" w:line="220"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were $2.4 billion at December 31, 2022, compared to $2.0 billion at December 31, 2021 and $1.8 billion at December 31, 2020.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sequential increase 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between the dates presented was primarily driven by NMIC's positive cash flow from operations during the respective intervening periods. The increase 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during the year ended December 31, 2022 was partially offset by the payments in 2022, of an ordinary course dividend from NMIC to NMIH and an extraordinary dividend from Re One to NMIH following the termination and commutation of the reinsurance agreement between NMIC and Re One.</w:t>
      </w:r>
    </w:p>
    <w:p>
      <w:pPr>
        <w:spacing w:after="0" w:line="119"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 xml:space="preserve">The increase in the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between the dates presented was primarily driven by growth in our gross RIF and aggregate gross risk-based required asset amount, largely offset by an increase in the risk ceded under our third-party reinsurance agreements.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Cybersecurity</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LIBOR Transition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On March 5, 2021, ICE Benchmark Administration Limited (IBA), the administrator for LIBOR, confirmed it would permanently cease the publication of overnight, one-month, three-month, six-month and twelve-month USD LIBOR settings 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7"/>
          <w:szCs w:val="17"/>
          <w:color w:val="auto"/>
        </w:rPr>
        <w:t>their current form after June 30, 2023. The U.K. Financial Conduct Authority (FCA),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certain ILN Transactions that require LIBOR-based payments. We reviewed our LIBOR-based contracts and each contains provisions that dictate a transition to an alternative reference rate at the time of the discontinuance of LIBOR. We will continue to monitor the impact of the phase out of LIBOR; however, we do not expect the transition will have a material impact on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0"/>
        </w:trPr>
        <w:tc>
          <w:tcPr>
            <w:tcW w:w="5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7"/>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6"/>
          </w:tcPr>
          <w:p>
            <w:pPr>
              <w:jc w:val="center"/>
              <w:ind w:left="556"/>
              <w:spacing w:after="0"/>
              <w:rPr>
                <w:sz w:val="20"/>
                <w:szCs w:val="20"/>
                <w:color w:val="auto"/>
              </w:rPr>
            </w:pPr>
            <w:r>
              <w:rPr>
                <w:rFonts w:ascii="Times New Roman" w:cs="Times New Roman" w:eastAsia="Times New Roman" w:hAnsi="Times New Roman"/>
                <w:sz w:val="14"/>
                <w:szCs w:val="14"/>
                <w:i w:val="1"/>
                <w:iCs w:val="1"/>
                <w:color w:val="auto"/>
                <w:w w:val="98"/>
              </w:rPr>
              <w:t>($ In Thousands, except for per share data)</w:t>
            </w:r>
          </w:p>
        </w:tc>
        <w:tc>
          <w:tcPr>
            <w:tcW w:w="1240" w:type="dxa"/>
            <w:vAlign w:val="bottom"/>
            <w:tcBorders>
              <w:bottom w:val="single" w:sz="8" w:color="auto"/>
            </w:tcBorders>
          </w:tcPr>
          <w:p>
            <w:pPr>
              <w:spacing w:after="0"/>
              <w:rPr>
                <w:sz w:val="17"/>
                <w:szCs w:val="17"/>
                <w:color w:val="auto"/>
              </w:rPr>
            </w:pPr>
          </w:p>
        </w:tc>
      </w:tr>
      <w:tr>
        <w:trPr>
          <w:trHeight w:val="21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475,266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444,294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397,172</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46,406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38,072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31,897</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930</w:t>
            </w:r>
          </w:p>
        </w:tc>
      </w:tr>
      <w:tr>
        <w:trPr>
          <w:trHeight w:val="22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3,284</w:t>
            </w:r>
          </w:p>
        </w:tc>
      </w:tr>
      <w:tr>
        <w:trPr>
          <w:trHeight w:val="21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523,345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485,072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433,283</w:t>
            </w: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Insurance claims and claim (benefits)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12,305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59,247</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117,490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142,303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131,610</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2,840</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32,163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31,796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24,387</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(2,907)</w:t>
            </w:r>
          </w:p>
        </w:tc>
      </w:tr>
      <w:tr>
        <w:trPr>
          <w:trHeight w:val="21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146,040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188,347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215,177</w:t>
            </w:r>
          </w:p>
        </w:tc>
      </w:tr>
      <w:tr>
        <w:trPr>
          <w:trHeight w:val="122"/>
        </w:trPr>
        <w:tc>
          <w:tcPr>
            <w:tcW w:w="5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296,725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218,106</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65,595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46,540</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231,130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171,566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8"/>
        </w:trPr>
        <w:tc>
          <w:tcPr>
            <w:tcW w:w="5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2.20</w:t>
            </w:r>
          </w:p>
        </w:tc>
      </w:tr>
      <w:tr>
        <w:trPr>
          <w:trHeight w:val="22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2.13</w:t>
            </w:r>
          </w:p>
        </w:tc>
      </w:tr>
      <w:tr>
        <w:trPr>
          <w:trHeight w:val="142"/>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20"/>
        </w:trPr>
        <w:tc>
          <w:tcPr>
            <w:tcW w:w="56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r>
      <w:tr>
        <w:trPr>
          <w:trHeight w:val="220"/>
        </w:trPr>
        <w:tc>
          <w:tcPr>
            <w:tcW w:w="560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32.0 %</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33.1 %</w:t>
            </w:r>
          </w:p>
        </w:tc>
      </w:tr>
      <w:tr>
        <w:trPr>
          <w:trHeight w:val="213"/>
        </w:trPr>
        <w:tc>
          <w:tcPr>
            <w:tcW w:w="56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Combined ratio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48.1 %</w:t>
            </w:r>
          </w:p>
        </w:tc>
      </w:tr>
      <w:tr>
        <w:trPr>
          <w:trHeight w:val="41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7"/>
                <w:szCs w:val="17"/>
                <w:b w:val="1"/>
                <w:bCs w:val="1"/>
                <w:color w:val="auto"/>
                <w:vertAlign w:val="superscript"/>
              </w:rPr>
              <w:t>(4)</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1"/>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0" w:type="dxa"/>
            <w:vAlign w:val="bottom"/>
            <w:gridSpan w:val="6"/>
          </w:tcPr>
          <w:p>
            <w:pPr>
              <w:jc w:val="right"/>
              <w:ind w:right="134"/>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240" w:type="dxa"/>
            <w:vAlign w:val="bottom"/>
          </w:tcPr>
          <w:p>
            <w:pPr>
              <w:spacing w:after="0"/>
              <w:rPr>
                <w:sz w:val="15"/>
                <w:szCs w:val="15"/>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375,916</w:t>
            </w:r>
          </w:p>
        </w:tc>
        <w:tc>
          <w:tcPr>
            <w:tcW w:w="5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221,506</w:t>
            </w:r>
          </w:p>
        </w:tc>
      </w:tr>
      <w:tr>
        <w:trPr>
          <w:trHeight w:val="220"/>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291,571</w:t>
            </w: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173,642</w:t>
            </w:r>
          </w:p>
        </w:tc>
      </w:tr>
      <w:tr>
        <w:trPr>
          <w:trHeight w:val="22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bl>
    <w:p>
      <w:pPr>
        <w:spacing w:after="0" w:line="212" w:lineRule="exact"/>
        <w:rPr>
          <w:sz w:val="20"/>
          <w:szCs w:val="20"/>
          <w:color w:val="auto"/>
        </w:rPr>
      </w:pPr>
    </w:p>
    <w:p>
      <w:pPr>
        <w:ind w:left="200" w:hanging="197"/>
        <w:spacing w:after="0"/>
        <w:tabs>
          <w:tab w:leader="none" w:pos="20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Loss ratio is calculated by dividing insurance claims and claim (benefits) expenses by net premiums earned.</w:t>
      </w:r>
    </w:p>
    <w:p>
      <w:pPr>
        <w:spacing w:after="0" w:line="17" w:lineRule="exact"/>
        <w:rPr>
          <w:rFonts w:ascii="Times New Roman" w:cs="Times New Roman" w:eastAsia="Times New Roman" w:hAnsi="Times New Roman"/>
          <w:sz w:val="9"/>
          <w:szCs w:val="9"/>
          <w:color w:val="auto"/>
        </w:rPr>
      </w:pPr>
    </w:p>
    <w:p>
      <w:pPr>
        <w:ind w:left="240" w:hanging="237"/>
        <w:spacing w:after="0" w:line="194" w:lineRule="auto"/>
        <w:tabs>
          <w:tab w:leader="none" w:pos="240"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4" w:lineRule="exact"/>
        <w:rPr>
          <w:rFonts w:ascii="Times New Roman" w:cs="Times New Roman" w:eastAsia="Times New Roman" w:hAnsi="Times New Roman"/>
          <w:sz w:val="18"/>
          <w:szCs w:val="18"/>
          <w:color w:val="auto"/>
          <w:vertAlign w:val="superscript"/>
        </w:rPr>
      </w:pPr>
    </w:p>
    <w:p>
      <w:pPr>
        <w:ind w:left="240" w:hanging="237"/>
        <w:spacing w:after="0" w:line="191" w:lineRule="auto"/>
        <w:tabs>
          <w:tab w:leader="none" w:pos="240"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Combined ratio may not foot due to rounding.</w:t>
      </w:r>
    </w:p>
    <w:p>
      <w:pPr>
        <w:spacing w:after="0" w:line="3" w:lineRule="exact"/>
        <w:rPr>
          <w:rFonts w:ascii="Times New Roman" w:cs="Times New Roman" w:eastAsia="Times New Roman" w:hAnsi="Times New Roman"/>
          <w:sz w:val="18"/>
          <w:szCs w:val="18"/>
          <w:color w:val="auto"/>
          <w:vertAlign w:val="superscript"/>
        </w:rPr>
      </w:pPr>
    </w:p>
    <w:p>
      <w:pPr>
        <w:ind w:left="200" w:hanging="197"/>
        <w:spacing w:after="0" w:line="191" w:lineRule="auto"/>
        <w:tabs>
          <w:tab w:leader="none" w:pos="200"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below.</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premiums earned were $475.3 million, $444.3 million and $397.2 million for the years ended December 31, 2022, 2021 and 2020, respectively. The sequential increase in net premiums earned during each successive year was primarily driven by the growth of our IIF, partially offset by an increase in total premiums ceded under our reinsurance transactions and a decline in the contribution from single premium policy cancellations and the run-off of a portion of our prior period monthly policy production and associated premium receipts.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investment income was $46.4 million, $38.1 million and $31.9 million for the years ended December 31, 2022, 2021 and 2020, respectively. The sequential increase in net investment income during each successive year was primarily driven by the growth in the size of our total investment portfolio, excluding unrealized gains and losses.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Other revenues were $1.2 million, $2.0 million and $3.3 million for the years ended December 31, 2022, 2021 and 2020, respectively. Other revenues represent underwriting fee revenue generated by our subsidiary, NMIS, which provides outsourced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6" w:name="page77"/>
    <w:bookmarkEnd w:id="76"/>
    <w:p>
      <w:pPr>
        <w:jc w:val="both"/>
        <w:spacing w:after="0" w:line="272" w:lineRule="auto"/>
        <w:rPr>
          <w:sz w:val="20"/>
          <w:szCs w:val="20"/>
          <w:color w:val="auto"/>
        </w:rPr>
      </w:pPr>
      <w:r>
        <w:rPr>
          <w:rFonts w:ascii="Times New Roman" w:cs="Times New Roman" w:eastAsia="Times New Roman" w:hAnsi="Times New Roman"/>
          <w:sz w:val="17"/>
          <w:szCs w:val="17"/>
          <w:color w:val="auto"/>
        </w:rPr>
        <w:t>loan review services to mortgage loan originators. The sequential decrease in other revenues during each successive year reflects a decline in NMIS' outsourced loan review volume. Amounts recognized in other revenues generally correspond with amounts incurred as service expenses for outsourced loan review activities in the same periods.</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Insurance claims and claim expenses were a benefit of $3.6 million for the year ended December 31, 2022, compared to insurance claims and claim expenses of $12.3 million and $59.2 million for the years ended December 31, 2021 and 2020, respectively. The sequential decline in insurance claims and claim expenses during each successive year reflects a decrease in the number of new defaults emerging on loans impacted by the COVID-19 pandemic, and benefited from cure activity and the associated release of a portion of the reserves we established for anticipated claims payments in prior periods.</w:t>
      </w:r>
    </w:p>
    <w:p>
      <w:pPr>
        <w:spacing w:after="0" w:line="1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Underwriting and operating expenses were $117.5 million, $142.3 million and $131.6 million for the years ended December 31, 2022, 2021 and 2020, respectively. Underwriting and operating expenses decreased $24.8 million for the year ended December 31, 2022 compared to the year ended December 31, 2021, driven by a decrease in the amortization of deferred policy acquisition costs tied to the improved persistency of our IIF, a decrease in payroll and stock-based compensation costs, a step-down in technology costs related to our agreement with Tata Consultancy Services (TCS) and a decline in capital markets transaction costs, partially offset by an increase in travel and entertainment expenses tied to the easing of COVID-19 related restrictions, as well as an increase in depreciation and amortization incurred in connection with the completion and implementation of certain software and equipment initiatives. Underwriting and operating expenses for the year ended December 31, 2022 further benefited from an increase in ceding commissions received upon the introduction of the 2022 Seasoned QSR Transaction effective July 1, 2022.</w:t>
      </w:r>
    </w:p>
    <w:p>
      <w:pPr>
        <w:spacing w:after="0" w:line="12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Underwriting and operating expenses increased $10.7 million for the year ended December 31, 2021 compared to the year ended December 31, 2020, primarily due to an increase in certain payroll costs incurred in connection with the CEO transition we announced on September 9, 2021, as well as incremental depreciation and amortization incurred in connection with the completion of certain development initiatives, an increase in the recognition of previously deferred policy acquisition costs taken in connection with in-force portfolio run-off and growth in other (non-CEO transition) payroll and related amounts.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Service expenses were $1.1 million, $2.5 million and $2.8 million for the years ended December 31, 2022, 2021 and 2020, respectively. Service expenses represent third-party costs incurred by NMIS in connection with the services it provides. The sequential decline in service expenses in each successive year was primarily driven by a decrease in NMIS' outsourced loan review volume. Amounts incurred as service expenses generally correspond with amounts recognized in other revenues in the same periods.</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Interest expense was $32.2 million, $31.8 million and $24.4 million for the years ended December 31, 2022, 2021 and 2020, respectively. Interest expense increased during the year ended December 31, 2022 compared to the year ended December 31, 2021 due to an increase in commitment fees associated with the 2021 Revolving Credit Facility which had extended its borrowing capacity from $110 million to $250 million in November 2021. Interest expense increased during the year ended December 31, 2021 compared to the year ended December 31, 2020 in connection with the $400 million Notes offering and retirement of the $150 million 2018 Term Loan completed in June 2020. See Item 8, "</w:t>
      </w:r>
      <w:r>
        <w:rPr>
          <w:rFonts w:ascii="Times New Roman" w:cs="Times New Roman" w:eastAsia="Times New Roman" w:hAnsi="Times New Roman"/>
          <w:sz w:val="17"/>
          <w:szCs w:val="17"/>
          <w:i w:val="1"/>
          <w:iCs w:val="1"/>
          <w:color w:val="auto"/>
        </w:rPr>
        <w:t>Financial Statements and Supplementary Data - Notes to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Statements - Note 5, Debt.</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both"/>
        <w:ind w:firstLine="621"/>
        <w:spacing w:after="0"/>
        <w:rPr>
          <w:sz w:val="20"/>
          <w:szCs w:val="20"/>
          <w:color w:val="auto"/>
        </w:rPr>
      </w:pPr>
      <w:r>
        <w:rPr>
          <w:rFonts w:ascii="Times New Roman" w:cs="Times New Roman" w:eastAsia="Times New Roman" w:hAnsi="Times New Roman"/>
          <w:sz w:val="17"/>
          <w:szCs w:val="17"/>
          <w:color w:val="auto"/>
        </w:rPr>
        <w:t>Income tax expense was $84.4 million, $65.6 million and $46.5 million for the years ended December 31, 2022, 2021 and 2020. The sequential increase in income tax expense during each successive year was primarily driven by the growth in our pre-tax income. As a U.S. taxpayer, we are subject to a U.S. federal corporate income tax rate of 21%. Our effective income tax rate on pre-tax income was 22.4%, 22.1% and 21.3% for the years ended December 31, 2022, 2021 and 2020, respectively. Our effective tax rate increased for the year ended December 31, 2022 compared to the year ended December 31, 2021 primarily due to a re-measurement of deferred tax balances related to changes in state income tax rates. Our effective tax rate increased for the year ended December 31, 2021 compared to the year ended December 31, 2020, primarily due to a decline in the tax benefit realized from excess share-based compensation for vested restricted stock units (RSUs), exercised stock options, and the change in the fair value of our warrant liability in the period. For further information regarding income taxes and their impact on our results of operations and financial position, see Item 8, "</w:t>
      </w:r>
      <w:r>
        <w:rPr>
          <w:rFonts w:ascii="Times New Roman" w:cs="Times New Roman" w:eastAsia="Times New Roman" w:hAnsi="Times New Roman"/>
          <w:sz w:val="17"/>
          <w:szCs w:val="17"/>
          <w:i w:val="1"/>
          <w:iCs w:val="1"/>
          <w:color w:val="auto"/>
        </w:rPr>
        <w:t>Financial Statements and Supplementary Data - Notes to Consolidated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 11, Income Taxes.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Net income was $292.9 million, $231.1 million and $171.6 million for the years ended December 31, 2022, 2021 and 2020, respectively. Adjusted net income was $291.6 million, $236.8 million and $173.6 million, for the same periods, respectively. The increase in net income and adjusted net income during each successive year was primarily driven by growth in our total revenues and a decline in insurance claims and claim expenses, partially offset by an increase in income tax expenses. Net income and adjusted net income for the year ended December 31, 2022 further benefited from a decline in our underwriting and operating expenses during the period.</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Diluted earnings per share (EPS) was $3.39, $2.65 and $2.13 for the years ended December 31, 2022, 2021 and 2020, respectively. Adjusted diluted EPS was $3.39, $2.73 and $2.19 for the same periods, respectively. Diluted and adjusted diluted EPS increased during each successive year due to growth in our net income and adjusted net income. Diluted and adjusted diluted EPS for the year ended December 31, 2022 further benefited from a decline in the number of weighted average diluted shares outstanding tied to share repurchase activity during the period.</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non-GAAP financial measures adjusted income before tax, adjusted net income and adjusted diluted EPS are presented to enhance the comparability of financial results between periods.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Non-GAAP Financial Measure Reconciliations</w:t>
            </w:r>
          </w:p>
        </w:tc>
        <w:tc>
          <w:tcPr>
            <w:tcW w:w="3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920" w:type="dxa"/>
            <w:vAlign w:val="bottom"/>
            <w:tcBorders>
              <w:bottom w:val="single" w:sz="8" w:color="auto"/>
            </w:tcBorders>
          </w:tcPr>
          <w:p>
            <w:pPr>
              <w:spacing w:after="0"/>
              <w:rPr>
                <w:sz w:val="19"/>
                <w:szCs w:val="19"/>
                <w:color w:val="auto"/>
              </w:rPr>
            </w:pPr>
          </w:p>
        </w:tc>
      </w:tr>
      <w:tr>
        <w:trPr>
          <w:trHeight w:val="181"/>
        </w:trPr>
        <w:tc>
          <w:tcPr>
            <w:tcW w:w="6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i w:val="1"/>
                <w:iCs w:val="1"/>
                <w:color w:val="auto"/>
                <w:w w:val="98"/>
              </w:rPr>
              <w:t>($ In Thousands, except for per share data)</w:t>
            </w:r>
          </w:p>
        </w:tc>
        <w:tc>
          <w:tcPr>
            <w:tcW w:w="920" w:type="dxa"/>
            <w:vAlign w:val="bottom"/>
          </w:tcPr>
          <w:p>
            <w:pPr>
              <w:spacing w:after="0"/>
              <w:rPr>
                <w:sz w:val="16"/>
                <w:szCs w:val="16"/>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296,725</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218,106</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46,540</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207"/>
        </w:trPr>
        <w:tc>
          <w:tcPr>
            <w:tcW w:w="6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from change in fair value warrant liability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market transaction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infrequent, unusual or non-operating items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375,916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303,238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221,506</w:t>
            </w:r>
          </w:p>
        </w:tc>
      </w:tr>
      <w:tr>
        <w:trPr>
          <w:trHeight w:val="207"/>
        </w:trPr>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6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Income tax (benefit) expense on adjustments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291,571</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236,837</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173,642</w:t>
            </w:r>
          </w:p>
        </w:tc>
      </w:tr>
      <w:tr>
        <w:trPr>
          <w:trHeight w:val="207"/>
        </w:trPr>
        <w:tc>
          <w:tcPr>
            <w:tcW w:w="6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79,263</w:t>
            </w: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bl>
    <w:p>
      <w:pPr>
        <w:spacing w:after="0" w:line="174" w:lineRule="exact"/>
        <w:rPr>
          <w:sz w:val="20"/>
          <w:szCs w:val="20"/>
          <w:color w:val="auto"/>
        </w:rPr>
      </w:pPr>
    </w:p>
    <w:p>
      <w:pPr>
        <w:ind w:left="320" w:hanging="317"/>
        <w:spacing w:after="0" w:line="227" w:lineRule="auto"/>
        <w:tabs>
          <w:tab w:leader="none" w:pos="255" w:val="left"/>
        </w:tabs>
        <w:numPr>
          <w:ilvl w:val="0"/>
          <w:numId w:val="4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 Such non-deductible items include gains or losses from the change in the fair value of our warrant liability and certain costs incurred in connection with the CEO transition, which are limited under Section 162(m) of the Internal Revenue Code.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Explanation and Reconciliation of Our Use of Non-GAAP Financial Measures</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328"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Adjusted income before tax </w:t>
      </w:r>
      <w:r>
        <w:rPr>
          <w:rFonts w:ascii="Times New Roman" w:cs="Times New Roman" w:eastAsia="Times New Roman" w:hAnsi="Times New Roman"/>
          <w:sz w:val="17"/>
          <w:szCs w:val="17"/>
          <w:color w:val="auto"/>
        </w:rPr>
        <w:t>is defined as GAAP income before tax, excluding the pre-tax effects of the gain or loss related to the change in fair value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warrant liability, periodic costs incurred in connection with capital markets transactions,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net realized gains or losses from our investment portfolio, and other infrequent, unusual or non-operating items in the periods in which such items are incurred.</w:t>
      </w:r>
    </w:p>
    <w:p>
      <w:pPr>
        <w:spacing w:after="0" w:line="165"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GAAP net income, excluding the after-tax effects of the gain or loss related to the change in fair value of our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113"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Adjusted diluted EPS </w:t>
      </w:r>
      <w:r>
        <w:rPr>
          <w:rFonts w:ascii="Times New Roman" w:cs="Times New Roman" w:eastAsia="Times New Roman" w:hAnsi="Times New Roman"/>
          <w:sz w:val="17"/>
          <w:szCs w:val="17"/>
          <w:color w:val="auto"/>
        </w:rPr>
        <w:t>is defined as adjusted net income divided by adjusted weighted average diluted shares outstanding. Adjusted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272" w:lineRule="exact"/>
        <w:rPr>
          <w:sz w:val="20"/>
          <w:szCs w:val="20"/>
          <w:color w:val="auto"/>
        </w:rPr>
      </w:pPr>
    </w:p>
    <w:p>
      <w:pPr>
        <w:jc w:val="both"/>
        <w:ind w:left="620" w:hanging="306"/>
        <w:spacing w:after="0" w:line="262"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 in fair value of warrant liability</w:t>
      </w:r>
      <w:r>
        <w:rPr>
          <w:rFonts w:ascii="Times New Roman" w:cs="Times New Roman" w:eastAsia="Times New Roman" w:hAnsi="Times New Roman"/>
          <w:sz w:val="17"/>
          <w:szCs w:val="17"/>
          <w:color w:val="auto"/>
        </w:rPr>
        <w:t>. Outstanding warrants at the end of each reporting period are revalued, and any change in fair value is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We believe trends in our operating performance can be more clearly identified by excluding fluctuations related to the change in fair value of our warrant liability.</w:t>
      </w:r>
    </w:p>
    <w:p>
      <w:pPr>
        <w:spacing w:after="0" w:line="330" w:lineRule="exact"/>
        <w:rPr>
          <w:rFonts w:ascii="Times New Roman" w:cs="Times New Roman" w:eastAsia="Times New Roman" w:hAnsi="Times New Roman"/>
          <w:sz w:val="17"/>
          <w:szCs w:val="17"/>
          <w:color w:val="auto"/>
        </w:rPr>
      </w:pPr>
    </w:p>
    <w:p>
      <w:pPr>
        <w:jc w:val="both"/>
        <w:ind w:left="620" w:hanging="306"/>
        <w:spacing w:after="0" w:line="273"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 markets transaction costs</w:t>
      </w:r>
      <w:r>
        <w:rPr>
          <w:rFonts w:ascii="Times New Roman" w:cs="Times New Roman" w:eastAsia="Times New Roman" w:hAnsi="Times New Roman"/>
          <w:sz w:val="17"/>
          <w:szCs w:val="17"/>
          <w:color w:val="auto"/>
        </w:rPr>
        <w:t>. Capital markets transaction costs result from activities that are undertaken to improve our debt profile or enhance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09" w:lineRule="exact"/>
        <w:rPr>
          <w:rFonts w:ascii="Times New Roman" w:cs="Times New Roman" w:eastAsia="Times New Roman" w:hAnsi="Times New Roman"/>
          <w:sz w:val="17"/>
          <w:szCs w:val="17"/>
          <w:color w:val="auto"/>
        </w:rPr>
      </w:pPr>
    </w:p>
    <w:p>
      <w:pPr>
        <w:jc w:val="both"/>
        <w:ind w:left="620" w:hanging="306"/>
        <w:spacing w:after="0" w:line="273"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realized investment gains and losses</w:t>
      </w:r>
      <w:r>
        <w:rPr>
          <w:rFonts w:ascii="Times New Roman" w:cs="Times New Roman" w:eastAsia="Times New Roman" w:hAnsi="Times New Roman"/>
          <w:sz w:val="17"/>
          <w:szCs w:val="17"/>
          <w:color w:val="auto"/>
        </w:rPr>
        <w:t>. The recognition of the net realized investment gains or losses can vary significantly across periods as the timing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highly discretionary and is influenced by factors such as market opportunities, tax and capital profile, and overall market cycles that do not reflect our current period operating results.</w:t>
      </w:r>
    </w:p>
    <w:p>
      <w:pPr>
        <w:spacing w:after="0" w:line="109" w:lineRule="exact"/>
        <w:rPr>
          <w:rFonts w:ascii="Times New Roman" w:cs="Times New Roman" w:eastAsia="Times New Roman" w:hAnsi="Times New Roman"/>
          <w:sz w:val="17"/>
          <w:szCs w:val="17"/>
          <w:color w:val="auto"/>
        </w:rPr>
      </w:pPr>
    </w:p>
    <w:p>
      <w:pPr>
        <w:jc w:val="both"/>
        <w:ind w:left="620" w:hanging="306"/>
        <w:spacing w:after="0" w:line="260"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infrequent, unusual or non-operating items</w:t>
      </w:r>
      <w:r>
        <w:rPr>
          <w:rFonts w:ascii="Times New Roman" w:cs="Times New Roman" w:eastAsia="Times New Roman" w:hAnsi="Times New Roman"/>
          <w:sz w:val="17"/>
          <w:szCs w:val="17"/>
          <w:color w:val="auto"/>
        </w:rPr>
        <w:t>. Items that are the result of unforeseen or uncommon events, and are not expected to recur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5"/>
                <w:szCs w:val="15"/>
                <w:color w:val="auto"/>
              </w:rPr>
            </w:pPr>
          </w:p>
        </w:tc>
        <w:tc>
          <w:tcPr>
            <w:tcW w:w="16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4"/>
          </w:tcPr>
          <w:p>
            <w:pPr>
              <w:jc w:val="right"/>
              <w:ind w:right="141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2,085,931</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76,646</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60,358</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59,584</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32,047</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Prepaid federal income taxes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89,244</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CCEEFF"/>
            </w:tcBorders>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Other assets </w:t>
            </w:r>
            <w:r>
              <w:rPr>
                <w:rFonts w:ascii="Times New Roman" w:cs="Times New Roman" w:eastAsia="Times New Roman" w:hAnsi="Times New Roman"/>
                <w:sz w:val="22"/>
                <w:szCs w:val="22"/>
                <w:color w:val="auto"/>
                <w:vertAlign w:val="superscript"/>
              </w:rPr>
              <w:t>(1) (2)</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26,451</w:t>
            </w: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2,450,581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220" w:type="dxa"/>
            <w:vAlign w:val="bottom"/>
          </w:tcPr>
          <w:p>
            <w:pPr>
              <w:jc w:val="right"/>
              <w:ind w:right="3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396,051</w:t>
            </w:r>
          </w:p>
        </w:tc>
        <w:tc>
          <w:tcPr>
            <w:tcW w:w="100" w:type="dxa"/>
            <w:vAlign w:val="bottom"/>
          </w:tcPr>
          <w:p>
            <w:pPr>
              <w:spacing w:after="0"/>
              <w:rPr>
                <w:sz w:val="16"/>
                <w:szCs w:val="16"/>
                <w:color w:val="auto"/>
              </w:rPr>
            </w:pPr>
          </w:p>
        </w:tc>
        <w:tc>
          <w:tcPr>
            <w:tcW w:w="260" w:type="dxa"/>
            <w:vAlign w:val="bottom"/>
          </w:tcPr>
          <w:p>
            <w:pPr>
              <w:jc w:val="right"/>
              <w:ind w:right="7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394,623</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139,237</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72,000</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funds withheld</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Warrant liability</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164,175</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3,245</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902,303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884,795</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1,613,727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1,565,786</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2,450,581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200" w:hanging="197"/>
        <w:spacing w:after="0"/>
        <w:tabs>
          <w:tab w:leader="none" w:pos="200"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Prepaid federal income taxes" have been reclassified from "Other assets" in the prior period.</w:t>
      </w:r>
    </w:p>
    <w:p>
      <w:pPr>
        <w:ind w:left="240" w:hanging="237"/>
        <w:spacing w:after="0"/>
        <w:tabs>
          <w:tab w:leader="none" w:pos="24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"Prepaid reinsurance premiums" have been reclassified as "Other assets" in the prior period.</w:t>
      </w:r>
    </w:p>
    <w:p>
      <w:pPr>
        <w:spacing w:after="0" w:line="22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Total cash and investments were $2.1 billion as of December 31, 2022, compared to $2.2 billion as of December 31, 2021. Cash and investments at December 31, 2022 included $88.9 million held by NMIH. The decrease in total cash and investments reflects an increase in the unrealized loss position of our fixed income portfolio tied to the prevailing interest rate and credit spread environment, as well as share repurchase activity during the year ended December 31, 2022, partially offset by cash generated from operations. Excluding unrealized gains and losses, total cash and investments were $2.4 billion at December 31, 2022 compared to $2.1 billion at December 31, 2021.</w:t>
      </w:r>
    </w:p>
    <w:p>
      <w:pPr>
        <w:spacing w:after="0" w:line="11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Premium receivable was $69.7 million as of December 31, 2022, compared to $60.4 million as of December 31, 2021. The increase was primarily driven by growth in our monthly premium policies in force, where premiums are generally paid one month in arrears.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deferred policy acquisition costs were $58.6 million as of December 31, 2022, compared to $59.6 million as of December 31, 2021. The decrease was primarily driven by the recognition of previously deferred policy acquisition costs and was largely offset by the deferral of certain costs associated with the origination of new policies between the respective balance sheet dates.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Reinsurance recoverable was $21.6 million as of December 31, 2022, compared to $20.3 million as of December 31, 2021. The increase was driven by an increase in ceded losses recoverable associated with our QSR transactions.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Prepaid federal income taxes were $154.4 million as of December 31, 2022, compared to $89.2 million as of December 31, 2021. The increase was driven by the purchase of $65.2 million of tax and loss bonds during the year ended December 31, 2022. For more information, see Item 8,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Supplementary Data - Notes to Consolidated Financial Statements - Note 11, Income Taxes.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Other assets increased to $36.0 million as of December 31, 2022, compared to $26.5 million as of December 31, 2021. The increase was primarily driven by the recognition of incremental right-of-use assets in connection with the modification of the operating lease for our corporate headquarters in January 2022. For more information,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14. Commitments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80" w:name="page81"/>
    <w:bookmarkEnd w:id="80"/>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Unearned premiums were $123.0 million as of December 31, 2022, compared to $139.2 million as of December 31, 2021.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year ended December 31, 2022.</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Accounts payable and accrued expenses were $74.6 million as of December 31, 2022, compared to $72.0 million as of December 31, 2021. The increase was primarily driven by an increase in reinsurance premiums payable and the timing of other contractual payments due, partially offset by a decrease in accrued compensation expenses and premium taxes.</w:t>
      </w:r>
    </w:p>
    <w:p>
      <w:pPr>
        <w:spacing w:after="0" w:line="150"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Reserve for insurance claims and claim expenses was $99.8 million as of December 31, 2022, compared to $103.6 million as of December 31, 2021. The decrease was primarily driven by a release of a portion of the reserves we established for anticipated claims payments in prior periods, cure activity and a decline in the total size of our default population. The decrease was partially offset by an increase in the average reserve carried per default. See "</w:t>
      </w:r>
      <w:r>
        <w:rPr>
          <w:rFonts w:ascii="Times New Roman" w:cs="Times New Roman" w:eastAsia="Times New Roman" w:hAnsi="Times New Roman"/>
          <w:sz w:val="17"/>
          <w:szCs w:val="17"/>
          <w:i w:val="1"/>
          <w:iCs w:val="1"/>
          <w:color w:val="auto"/>
        </w:rPr>
        <w:t>Insurance Claims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Claim Expenses</w:t>
      </w:r>
      <w:r>
        <w:rPr>
          <w:rFonts w:ascii="Times New Roman" w:cs="Times New Roman" w:eastAsia="Times New Roman" w:hAnsi="Times New Roman"/>
          <w:sz w:val="17"/>
          <w:szCs w:val="17"/>
          <w:color w:val="auto"/>
        </w:rPr>
        <w:t>," above for further details.</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Reinsurance funds withheld, which represents our ceded reinsurance premiums written, less our profit and ceding commission receivables related to the 2016 QSR Transaction was $2.7 million as of December 31, 2022, compared to $5.6 million as of December 31, 2021. The decrease relates to the continued decline in ceded premiums written on single premium policies, due to the end of the reinsurance coverage period for new business under the 2016 QSR Transaction at December 31, 2017. For more information, see, Item 8, "</w:t>
      </w:r>
      <w:r>
        <w:rPr>
          <w:rFonts w:ascii="Times New Roman" w:cs="Times New Roman" w:eastAsia="Times New Roman" w:hAnsi="Times New Roman"/>
          <w:sz w:val="17"/>
          <w:szCs w:val="17"/>
          <w:i w:val="1"/>
          <w:iCs w:val="1"/>
          <w:color w:val="auto"/>
        </w:rPr>
        <w:t>Financial Statements and Supplementary Data - Notes to Consolidated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 6, Reinsurance</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All unexercised warrants expired at their contractual maturity in April 2022. No warrants or warrant liability remained at December 31, 2022. Warrant liability was $2.4 million at December 31, 2021. For further information regarding the valuation of our warrant liability and its impact on our results of operations and financial position,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4, Fair Value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deferred tax liability was $193.9 million as of December 31, 2022, compared to $164.2 million as of December 31, 2021. The increase was primarily due to an increase in the claimed deductibility of our statutory contingency reserve, partially offset by the increase in unrealized losses recorded in other comprehensive income. For further information regarding income taxes and their impact on our results of operations and financial position, see Item 8,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and Supplementary Data - Notes to Consolidated Financial Statements - Note 11, Income Taxes.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from operating, investing and financing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1040" w:type="dxa"/>
            <w:vAlign w:val="bottom"/>
          </w:tcPr>
          <w:p>
            <w:pPr>
              <w:spacing w:after="0"/>
              <w:rPr>
                <w:sz w:val="15"/>
                <w:szCs w:val="15"/>
                <w:color w:val="auto"/>
              </w:rPr>
            </w:pPr>
          </w:p>
        </w:tc>
        <w:tc>
          <w:tcPr>
            <w:tcW w:w="3040" w:type="dxa"/>
            <w:vAlign w:val="bottom"/>
            <w:gridSpan w:val="6"/>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0"/>
        </w:trPr>
        <w:tc>
          <w:tcPr>
            <w:tcW w:w="58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252,598</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(629,554)</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462,804</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85,848</w:t>
            </w: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cash provided by operating activities was $313.4 million, $325.7 million and $252.6 million for the years ended December 31, 2022, 2021 and 2020, respectively. Cash provided by operating activities declined during the year ended December 31, 2022 primarily due to an increase in the purchase of tax and loss bonds during the period, as well as a decrease in premium written tied to a decline in single premium policies written during the period, both of which were largely offset by a reduction in the technology service costs paid under our long-term IT services agreement with TCS.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Cash provided by operating activities increased during the year ended December 31, 2021 primarily due to growth in premiums written, partially offset by a sequential increase in cash interest expenses and the purchase of tax and loss bonds.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Cash used in investing activities for the years ended December 31, 2022, 2021 and 2020 reflects the purchase of fixed and short-term maturities with cash provided by operating activities and, as available, financing activities, and the reinvestment of coupon payments, maturities and sale proceeds within our investment portfolio. Cash used in investing activities for the year ended December 31, 2020, reflects, in part, the investment of net cash proceeds from the common stock and Notes offerings we completed in June 2020.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1" w:name="page82"/>
    <w:bookmarkEnd w:id="81"/>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Cash used in financing activities was $55.8 million and $1.8 million for the years ended December 31, 2022 and December 31, 2021, respectively, and cash provided by financing activities was $462.8 million for the year ended December 31, 2020. Cash used in financing activities during the year ended December 31, 2022 primarily relates to the repurchase of common stock. Cash used in financing activities during the year ended December 31, 2021 primarily reflects debt issuance costs paid in connection with the 2021 Revolving Credit Facility and taxes paid on the net share settlement of equity awards for certain employees. Cash provided by financing activities for the year ended December 31, 2020 primarily reflects $219.7 million net cash proceeds raised in connection with our 2020 equity offering and $244.4 million net cash proceeds raised in connection with our 2020 Notes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2022, NMIH had $88.9 million of cash and investments. NMIH's principal sources of net cash are dividends from its subsidiaries and investment income. NMIC has the capacity to pay aggregate ordinary dividends of $98.0 million to NMIH during the twelve-month period ending December 31, 2023. NMIH also has access to $250 million of undrawn revolving credit capacity under the 2021 Revolving Credit Facility. See Item 8, "</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Supplementary Data - Notes to Consolidated Financial Statements - Note 5, Debt</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February 10, 2022, our Board of Directors approved a $125 million share repurchase program through December 31, 2023, that enables the company to repurchase its common stock. The authorization provides NMIH the flexibility to repurchase stock from time to time in the open market or in privately negotiated transactions, based on market and business conditions, stock price and other factors. During the year ended December 31, 2022, NMIH repurchased 2.9 million shares of common stock pursuant to trading plans under Rule 10b-18 and Rule 10b5-1 of the Exchange Act, at a total cost of $56.6 million, including associated costs. As of December 31, 2022, $68.4 million of repurchase authority remained available under the program.</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Under the 2021 Revolving Credit Facility, NMIH is required to pay a quarterly commitment fee on the average daily undrawn amount of 0.175% to 0.525%, based on the applicable corporate credit rating at the time. As of December 31, 2022, the applicable commitment fee was 0.30%.</w:t>
      </w:r>
    </w:p>
    <w:p>
      <w:pPr>
        <w:spacing w:after="0" w:line="95"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are subject to certain covenants under the 2021 Revolving Credit Facility. Under the 2021 Revolving Credit Facility, NMIH may not permit (i) our debt to total capitalization ratio to exceed 35% as of the last day of any fiscal quarter, (ii) the statutory capital of NMIC to be less than $1,290,314,825 as of the last day of any fiscal quarter, or (iii) our consolidated net worth to be, as of the last day of any fiscal quarter, less than the sum of (A) $1,047,808,462, plus (B) 50% of our cumulative consolidated net income for each fiscal quarter for which such consolidated net income is positive, plus (C) 50% of any increase in our consolidated net worth after September 30, 2021 resulting from certain issuances of equity by or capital contributions to NMIH or our subsidiaries. In addition, NMIC must remain at all times in compliance with all applicable "financial requirements" imposed pursuant to the PMIERs, subject to any allowed transition period or forbearance thereunder. The credit agreement for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7"/>
          <w:szCs w:val="17"/>
          <w:color w:val="auto"/>
        </w:rPr>
        <w:t>2021 Revolving Credit Facility also prohibits, restricts or limits, among other things, NMIH's and its subsidiaries' ability to (i) incur additional indebtedness, (ii) incur liens on their property, (iii) pay dividends or make other distributions, (iv) sell their assets, (v) make certain loans or investments, (vi) merge or consolidate and (vii) enter into transactions with affiliates, in each case subject to certain limitations, exceptions and qualifications as set forth in the credit agreement for 2021 Revolving Credit Facility. We were in compliance with all covenants at December 31, 2022.</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Under Wisconsin law, NMIC and Re One may pay dividends up to specified levels (i.e.,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2022, NMIC paid a $34.9 million ordinary course dividend to NMIH. NMIC has the capacity to pay aggregate ordinary dividends of $98.0 million to NMIH during the twelve-month period ending December 31, 2023.</w:t>
      </w:r>
    </w:p>
    <w:p>
      <w:pPr>
        <w:spacing w:after="0" w:line="120"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11"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7"/>
          <w:szCs w:val="17"/>
          <w:i w:val="1"/>
          <w:iCs w:val="1"/>
          <w:color w:val="auto"/>
        </w:rPr>
        <w:t xml:space="preserve">minimum required asset </w:t>
      </w:r>
      <w:r>
        <w:rPr>
          <w:rFonts w:ascii="Times New Roman" w:cs="Times New Roman" w:eastAsia="Times New Roman" w:hAnsi="Times New Roman"/>
          <w:sz w:val="17"/>
          <w:szCs w:val="17"/>
          <w:color w:val="auto"/>
        </w:rPr>
        <w:t>thresholds under the PMIERs and minimum state capital requirements (respectively, as defined therein).</w:t>
      </w:r>
    </w:p>
    <w:p>
      <w:pPr>
        <w:spacing w:after="0" w:line="10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December 31, 2022, NMIC reported $2,379 million available assets against $1,204 million risk-based required assets for a $1,175 million "excess" funding position.</w:t>
      </w:r>
    </w:p>
    <w:p>
      <w:pPr>
        <w:spacing w:after="0" w:line="1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and XOL Transactions, it generally receives credit for the PMIERs risk-based required asset amount on ceded RIF to the extent such requirement is within the subordinated coverage (excess of loss detachment threshold) afforded by the transaction.</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6" w:lineRule="exact"/>
        <w:rPr>
          <w:sz w:val="20"/>
          <w:szCs w:val="20"/>
          <w:color w:val="auto"/>
        </w:rPr>
      </w:pPr>
    </w:p>
    <w:p>
      <w:pPr>
        <w:jc w:val="both"/>
        <w:ind w:firstLine="621"/>
        <w:spacing w:after="0" w:line="299" w:lineRule="auto"/>
        <w:rPr>
          <w:sz w:val="20"/>
          <w:szCs w:val="20"/>
          <w:color w:val="auto"/>
        </w:rPr>
      </w:pPr>
      <w:r>
        <w:rPr>
          <w:rFonts w:ascii="Times New Roman" w:cs="Times New Roman" w:eastAsia="Times New Roman" w:hAnsi="Times New Roman"/>
          <w:sz w:val="17"/>
          <w:szCs w:val="17"/>
          <w:color w:val="auto"/>
        </w:rPr>
        <w:t xml:space="preserve">As of December 31, 2022, NMIC's performing primary RIF, net of reinsurance, was approximately $25.0 billion. NMIC ceded 100% of its pool RIF pursuant to the 2016 QSR Transaction. Based on NMIC's total statutory capital of $2.2 billion (including contingency reserves) as of December 31, 2022, NMIC's RTC ratio was 11.1:1. </w:t>
      </w:r>
      <w:r>
        <w:rPr>
          <w:rFonts w:ascii="Times New Roman" w:cs="Times New Roman" w:eastAsia="Times New Roman" w:hAnsi="Times New Roman"/>
          <w:sz w:val="20"/>
          <w:szCs w:val="20"/>
          <w:color w:val="auto"/>
        </w:rPr>
        <w:t>R</w:t>
      </w:r>
      <w:r>
        <w:rPr>
          <w:rFonts w:ascii="Times New Roman" w:cs="Times New Roman" w:eastAsia="Times New Roman" w:hAnsi="Times New Roman"/>
          <w:sz w:val="17"/>
          <w:szCs w:val="17"/>
          <w:color w:val="auto"/>
        </w:rPr>
        <w:t>e One has no risk in force remaining and no longer reports a RTC ratio.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3" w:name="page84"/>
    <w:bookmarkEnd w:id="83"/>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2022, NMIC had $2.0 billion of cash and investments, including $37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2022, NMIC generated $272 million of cash flow from operations and received an additional $162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Financial Strength Ratings</w:t>
      </w:r>
    </w:p>
    <w:p>
      <w:pPr>
        <w:spacing w:after="0" w:line="272"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NMIC's financial strength is rated "Baa1" by Moody's and "BBB" by S&amp;P. NMIH's Notes are rated "Ba1" by Moody's and its long-term counter-party credit profile is rated "BB" by S&amp;P. Moody's outlook for both its ratings is stable and S&amp;P's outlook for both its ratings is positive.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Investment Portfolio</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investment portfolio is comprised entirely of fixed maturity instruments. As of December 31, 2022, the fair value of our investment portfolio was $2.1 billion and we held an additional $44 million of cash and equivalents. Pre-tax book yield on the investment portfolio for the year ended December 31, 2022 was 2.1%.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breakdown of our investment portfolio and cash and cash equivalents by investment type and credit rating: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2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1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8"/>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17"/>
                <w:szCs w:val="17"/>
                <w:b w:val="1"/>
                <w:bCs w:val="1"/>
                <w:color w:val="auto"/>
                <w:vertAlign w:val="superscript"/>
              </w:rPr>
              <w:t>(1)</w:t>
            </w:r>
          </w:p>
        </w:tc>
        <w:tc>
          <w:tcPr>
            <w:tcW w:w="1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AAA</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0"/>
        </w:trPr>
        <w:tc>
          <w:tcPr>
            <w:tcW w:w="7440" w:type="dxa"/>
            <w:vAlign w:val="bottom"/>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(2)</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7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(2)</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46</w:t>
            </w:r>
          </w:p>
        </w:tc>
      </w:tr>
      <w:tr>
        <w:trPr>
          <w:trHeight w:val="220"/>
        </w:trPr>
        <w:tc>
          <w:tcPr>
            <w:tcW w:w="74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BBB </w:t>
            </w:r>
            <w:r>
              <w:rPr>
                <w:rFonts w:ascii="Times New Roman" w:cs="Times New Roman" w:eastAsia="Times New Roman" w:hAnsi="Times New Roman"/>
                <w:sz w:val="22"/>
                <w:szCs w:val="22"/>
                <w:color w:val="auto"/>
                <w:vertAlign w:val="superscript"/>
              </w:rPr>
              <w:t>(2)</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7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(3)</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00" w:hanging="197"/>
        <w:spacing w:after="0"/>
        <w:tabs>
          <w:tab w:leader="none" w:pos="200"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Excluding certain operating cash accounts.</w:t>
      </w:r>
    </w:p>
    <w:p>
      <w:pPr>
        <w:ind w:left="200" w:hanging="197"/>
        <w:spacing w:after="0"/>
        <w:tabs>
          <w:tab w:leader="none" w:pos="20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 ratings.</w:t>
      </w:r>
    </w:p>
    <w:p>
      <w:pPr>
        <w:spacing w:after="0" w:line="3" w:lineRule="exact"/>
        <w:rPr>
          <w:rFonts w:ascii="Times New Roman" w:cs="Times New Roman" w:eastAsia="Times New Roman" w:hAnsi="Times New Roman"/>
          <w:sz w:val="9"/>
          <w:szCs w:val="9"/>
          <w:color w:val="auto"/>
        </w:rPr>
      </w:pPr>
    </w:p>
    <w:p>
      <w:pPr>
        <w:ind w:left="240" w:hanging="237"/>
        <w:spacing w:after="0"/>
        <w:tabs>
          <w:tab w:leader="none" w:pos="2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held one security with a BB+ rating at December 31, 2022, which is not identifiable in the table due to rounding.</w:t>
      </w:r>
    </w:p>
    <w:p>
      <w:pPr>
        <w:spacing w:after="0" w:line="23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Investment Securities - Allowance for credit losses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did not recognize an allowance for credit loss for any security in the investment portfolio as of December 31, 2022 or 2021, and we did not record any provision for credit loss for investment securities during the years ended December 31, 2022 or 2021.</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December 31, 2022, the investment portfolio had gross unrealized losses of $254.7 million, of which $218.5 million had been in an unrealized loss position for a period of twelve months or longer. As of December 31, 2021, the investment portfolio had gross unrealized losses of $23.2 million, of which $6.5 million had been in an unrealized loss position for a period of twelve months or longer.</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increase in the aggregate size of the unrealized loss position as of December 31, 2022, was primarily driven by fluctuations in interest rates and, to a lesser extent, movements in credit spreads following the purchase date of certain securities. We evaluated the securities in an unrealized loss position as of December 31, 2022, assessing their credit ratings as well as any adverse conditions specifically related to the security. Based upon our estimate of the amount and timing of cash flows to be collected over the remaining life of each instrument, we believe the unrealized losses as of December 31, 2022 are not indicative of the ultimate collectability of the current amortized cost of the securities.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Our holding company files a consolidated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and various state income tax returns on behalf of itself and its subsidiaries.</w:t>
      </w:r>
    </w:p>
    <w:p>
      <w:pPr>
        <w:spacing w:after="0" w:line="14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effective income tax rate on pre-tax income was 22.4%, 22.1% and 21.3% for the years ended December 31, 2022, 2021 and 2020, respectively. Our effective income tax rate may vary from the statutory tax rate in a given period due to the inclusions and exclusions of income and deductions for tax purposes. Inclusions of tax deductions may include tax benefits from excess share based compensation for vested RSUs and exercised stock options; and exclusions from income may include the fair value fluctuation of our warrant liability.</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At December 31, 2022, we had federal net operating loss carryforwards of $1.5 million, which expire in varying amounts in 2030 and 2031, and state net operating loss carryforwards of $133.2 million, which expire in varying amounts from 2031 to 2043. Our ability to utilize our remaining federal net operating loss carryforwards is restricted by Section 382 of the Internal Revenue Code (IRC), which imposes annual limitations if there is an "ownership change." As a result of the acquisition of our insurance subsidiaries in 2012, $7.3 million of federal net operating losses were subject to annual limitations of $0.8 million through 2016, $0.5 million in 2017 and $0.3 million, thereafter, through 2028. Our remaining federal net operating loss carryforwards balance is a result of this limitation.</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2022, we held $154.4 million of tax and loss bonds in "Prepaid federal income taxes"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5" w:name="page86"/>
    <w:bookmarkEnd w:id="85"/>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record a valuation allowance against the state net operating losses generated by NMIH as NMIH operates at a loss, and we do not expect to utilize such net deferred tax assets in the future. We continue to evaluate the realizability of our state net deferred tax asset position, and our examination of results through December 31, 2022 and review of future expectations support the continued application of a valuation allowance against such state net deferred tax assets.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Inflation Reduction Act (IRA) enacted in August 2022 imposed, among other provisions, a 1% excise tax on the net value of stock repurchases made on or after January 1, 2023. As of December 31, 2022, $68.4 million of repurchase authority remained available under the $125 million share repurchase program authorized by our Board of Directors through December 31, 2023. We expect future repurchase amounts will be subject to the IRA excise tax as executed; however, we do not currently expect the excise tax or other provisions of the IRA to have a material impact on our financial condition or result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policies that management believes are critical to the preparation of our consolidated financial statements is set forth below.</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Insurance Premium Revenue Recognition</w:t>
      </w:r>
    </w:p>
    <w:p>
      <w:pPr>
        <w:spacing w:after="0" w:line="158" w:lineRule="exact"/>
        <w:rPr>
          <w:sz w:val="20"/>
          <w:szCs w:val="20"/>
          <w:color w:val="auto"/>
        </w:rPr>
      </w:pPr>
    </w:p>
    <w:p>
      <w:pPr>
        <w:jc w:val="both"/>
        <w:ind w:firstLine="621"/>
        <w:spacing w:after="0" w:line="244" w:lineRule="auto"/>
        <w:rPr>
          <w:sz w:val="20"/>
          <w:szCs w:val="20"/>
          <w:color w:val="auto"/>
        </w:rPr>
      </w:pPr>
      <w:r>
        <w:rPr>
          <w:rFonts w:ascii="Times New Roman" w:cs="Times New Roman" w:eastAsia="Times New Roman" w:hAnsi="Times New Roman"/>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Premiums written on pool transactions are earned over the period that coverage is provided.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Reserve for Insurance Claims and Claim Expenses</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establish reserves for claims based on our best estimate of the ultimate claim costs for defaulted loans using the general principles contained in ASC 944, Financial Services - Insurance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w:t>
      </w:r>
    </w:p>
    <w:p>
      <w:pPr>
        <w:spacing w:after="0" w:line="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including legal and other fees, as well as other general expenses of administering the claim settlement process. Claim expense reserves are either 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associated with a specific claim) or unallocated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associated with a specific claim).</w:t>
      </w:r>
    </w:p>
    <w:p>
      <w:pPr>
        <w:spacing w:after="0" w:line="120"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w:t>
      </w:r>
    </w:p>
    <w:p>
      <w:pPr>
        <w:jc w:val="both"/>
        <w:spacing w:after="0" w:line="291" w:lineRule="auto"/>
        <w:rPr>
          <w:sz w:val="20"/>
          <w:szCs w:val="20"/>
          <w:color w:val="auto"/>
        </w:rPr>
      </w:pPr>
      <w:r>
        <w:rPr>
          <w:rFonts w:ascii="Times New Roman" w:cs="Times New Roman" w:eastAsia="Times New Roman" w:hAnsi="Times New Roman"/>
          <w:sz w:val="17"/>
          <w:szCs w:val="17"/>
          <w:color w:val="auto"/>
        </w:rPr>
        <w:t>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6" w:name="page87"/>
    <w:bookmarkEnd w:id="86"/>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It is possible that a relatively small change in our estimates for claim frequency or claim severity could have a material impact on our reserve position and our consolidated results of operations, even in a stable macroeconomic environment. At December 31, 2022, assuming all other estimates remain constant, a one percentage point increase/decrease in our average claim severity factor would cause approximately a +/- $0.8 million change in our reserve position, and a one percentage point increase/decrease in our average claim frequency factor cause approximately a +/- $1.4 million change in our reserve position.</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Times New Roman" w:cs="Times New Roman" w:eastAsia="Times New Roman" w:hAnsi="Times New Roman"/>
          <w:sz w:val="17"/>
          <w:szCs w:val="17"/>
          <w:i w:val="1"/>
          <w:iCs w:val="1"/>
          <w:color w:val="auto"/>
        </w:rPr>
        <w:t>Financial Statements and Supplementary Data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Notes to Consolidated Financial Statements - Note 4, Fair Value of Financial Instruments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95" w:lineRule="exact"/>
        <w:rPr>
          <w:sz w:val="20"/>
          <w:szCs w:val="20"/>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decline in fair value;</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the issuer;</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issuer to make scheduled interest or principal payments;</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rating downgrades of the applicable security or issuer by one or more nationally recognized statistical ratings organization; and</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adverse conditions related to or impacting the security or issuer.</w:t>
      </w:r>
    </w:p>
    <w:p>
      <w:pPr>
        <w:spacing w:after="0" w:line="16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Deferred Policy Acquisition Costs (DAC)</w:t>
      </w:r>
    </w:p>
    <w:p>
      <w:pPr>
        <w:spacing w:after="0" w:line="158" w:lineRule="exact"/>
        <w:rPr>
          <w:sz w:val="20"/>
          <w:szCs w:val="20"/>
          <w:color w:val="auto"/>
        </w:rPr>
      </w:pPr>
    </w:p>
    <w:p>
      <w:pPr>
        <w:jc w:val="both"/>
        <w:ind w:firstLine="621"/>
        <w:spacing w:after="0" w:line="244" w:lineRule="auto"/>
        <w:rPr>
          <w:sz w:val="20"/>
          <w:szCs w:val="20"/>
          <w:color w:val="auto"/>
        </w:rPr>
      </w:pPr>
      <w:r>
        <w:rPr>
          <w:rFonts w:ascii="Times New Roman" w:cs="Times New Roman" w:eastAsia="Times New Roman" w:hAnsi="Times New Roman"/>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changes to our persistency or loss development assumptions, and may accelerate or slow such rate in future periods as experience and future changes to estimates dictate. During the year ended December 31, 2021, we accelerated the rate and recognized an additional $11.1 million of DAC amortization due to the significant increase in mortgage refinancing activity and material decline in persistency on certain prior book years' insurance in-force experienced during the period. During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7" w:name="page88"/>
    <w:bookmarkEnd w:id="87"/>
    <w:p>
      <w:pPr>
        <w:jc w:val="both"/>
        <w:spacing w:after="0" w:line="275" w:lineRule="auto"/>
        <w:rPr>
          <w:sz w:val="20"/>
          <w:szCs w:val="20"/>
          <w:color w:val="auto"/>
        </w:rPr>
      </w:pPr>
      <w:r>
        <w:rPr>
          <w:rFonts w:ascii="Times New Roman" w:cs="Times New Roman" w:eastAsia="Times New Roman" w:hAnsi="Times New Roman"/>
          <w:sz w:val="17"/>
          <w:szCs w:val="17"/>
          <w:color w:val="auto"/>
        </w:rPr>
        <w:t>2022, we reverted to a normalized historical amortization rate given the marked improvement in our persistency during the period tied to an increase in interest and mortgage note rates, and slowdown in the pace of refinancing activity during the year.</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Reserves</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premium deficiency assessment requires the use of significant judgment and estimates to determine the present value of future premiums, and expected claim costs and expenses. The present value of future premiums relies on, among other things, assumptions about persistency and repayment patterns on the underlying insured loans. The present value of expected claim costs and expenses relies on assumptions about the severity of claims, claim rates on current defaults and expected defaults in future periods. Assumptions used in the premium deficiency calculation can be affected by changes in the macroeconomic environment, including the rate of house price appreciation and prevailing interest rates. Relatively small changes in estimated claim rates or estimated claim amounts could have a significant impact on our premium deficiency analysis. If we determine it is necessary and appropriate to establish a premium deficiency reserve, and actual premium patterns and claims experience differ from the assumptions used to establish the reserve, the difference between the actual results and our estimates would affect our consolidated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manage market risk via a defined investment policy implemented by our treasury function with oversight from our Board's Risk Committee.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drivers of our market risk exposure monitored and managed by us include but are not limited to:</w:t>
      </w:r>
    </w:p>
    <w:p>
      <w:pPr>
        <w:spacing w:after="0" w:line="94" w:lineRule="exact"/>
        <w:rPr>
          <w:sz w:val="20"/>
          <w:szCs w:val="20"/>
          <w:color w:val="auto"/>
        </w:rPr>
      </w:pPr>
    </w:p>
    <w:p>
      <w:pPr>
        <w:jc w:val="both"/>
        <w:ind w:left="1100" w:hanging="320"/>
        <w:spacing w:after="0" w:line="262" w:lineRule="auto"/>
        <w:tabs>
          <w:tab w:leader="none" w:pos="109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Changes to the level of interest rates</w:t>
      </w:r>
      <w:r>
        <w:rPr>
          <w:rFonts w:ascii="Times New Roman" w:cs="Times New Roman" w:eastAsia="Times New Roman" w:hAnsi="Times New Roman"/>
          <w:sz w:val="17"/>
          <w:szCs w:val="17"/>
          <w:color w:val="auto"/>
        </w:rPr>
        <w:t>. 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278"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to the term structure of interest rates</w:t>
      </w:r>
      <w:r>
        <w:rPr>
          <w:rFonts w:ascii="Times New Roman" w:cs="Times New Roman" w:eastAsia="Times New Roman" w:hAnsi="Times New Roman"/>
          <w:sz w:val="17"/>
          <w:szCs w:val="17"/>
          <w:color w:val="auto"/>
        </w:rPr>
        <w:t>. Rising or falling rates typically change by different amounts along the yield curve. These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have unforeseen impacts on the value of certain assets.</w:t>
      </w:r>
    </w:p>
    <w:p>
      <w:pPr>
        <w:spacing w:after="0" w:line="40" w:lineRule="exact"/>
        <w:rPr>
          <w:rFonts w:ascii="Times New Roman" w:cs="Times New Roman" w:eastAsia="Times New Roman" w:hAnsi="Times New Roman"/>
          <w:sz w:val="17"/>
          <w:szCs w:val="17"/>
          <w:i w:val="1"/>
          <w:iCs w:val="1"/>
          <w:color w:val="auto"/>
        </w:rPr>
      </w:pPr>
    </w:p>
    <w:p>
      <w:pPr>
        <w:ind w:left="1100" w:hanging="320"/>
        <w:spacing w:after="0" w:line="293" w:lineRule="auto"/>
        <w:tabs>
          <w:tab w:leader="none" w:pos="109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volatility/changes in the real or perceived credit quality of investments</w:t>
      </w:r>
      <w:r>
        <w:rPr>
          <w:rFonts w:ascii="Times New Roman" w:cs="Times New Roman" w:eastAsia="Times New Roman" w:hAnsi="Times New Roman"/>
          <w:sz w:val="17"/>
          <w:szCs w:val="17"/>
          <w:color w:val="auto"/>
        </w:rPr>
        <w:t>. 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rating agency) assessments, will reduce the value and potentially the liquidity of investments.</w:t>
      </w:r>
    </w:p>
    <w:p>
      <w:pPr>
        <w:spacing w:after="0" w:line="40"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Risk</w:t>
      </w:r>
      <w:r>
        <w:rPr>
          <w:rFonts w:ascii="Times New Roman" w:cs="Times New Roman" w:eastAsia="Times New Roman" w:hAnsi="Times New Roman"/>
          <w:sz w:val="17"/>
          <w:szCs w:val="17"/>
          <w:color w:val="auto"/>
        </w:rPr>
        <w:t>. If the investment portfolio is highly concentrated in one asset, or in multiple assets whose values are highly correlated,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total portfolio may be greatly affected by the change in value of just one asset or a group of highly correlated assets.</w:t>
      </w:r>
    </w:p>
    <w:p>
      <w:pPr>
        <w:spacing w:after="0" w:line="40"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Risk</w:t>
      </w:r>
      <w:r>
        <w:rPr>
          <w:rFonts w:ascii="Times New Roman" w:cs="Times New Roman" w:eastAsia="Times New Roman" w:hAnsi="Times New Roman"/>
          <w:sz w:val="17"/>
          <w:szCs w:val="17"/>
          <w:color w:val="auto"/>
        </w:rPr>
        <w:t>. Bonds may have call provisions that permit debtors to repay prior to maturity when it is to their advantage. This typically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rates fall below the interest rate of the debt.</w:t>
      </w:r>
    </w:p>
    <w:p>
      <w:pPr>
        <w:spacing w:after="0" w:line="9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carrying value of our investment portfolio as of December 31, 2022 and 2021 was $2.1 billion,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2022, the duration of our fixed income portfolio, including cash and cash equivalents, was 3.87 years, which means that an instantaneous parallel shift (movement up or down) in the yield curve of 100 basis points would result in a change of 3.87% in fair value of our fixed income portfolio. Excluding cash, our fixed income portfolio duration was 3.89 years, which means that an instantaneous parallel shift (movement up or down) in the yield curve of 100 basis points would result in a change of 3.89% in fair value of our fixed income portfolio.</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also subject to market risk related to the 2021 Revolving Credit Facility and the ILN Transactions. As discussed in Item 8, "</w:t>
      </w:r>
      <w:r>
        <w:rPr>
          <w:rFonts w:ascii="Times New Roman" w:cs="Times New Roman" w:eastAsia="Times New Roman" w:hAnsi="Times New Roman"/>
          <w:sz w:val="17"/>
          <w:szCs w:val="17"/>
          <w:i w:val="1"/>
          <w:iCs w:val="1"/>
          <w:color w:val="auto"/>
        </w:rPr>
        <w:t>Financial Statements</w:t>
      </w:r>
    </w:p>
    <w:p>
      <w:pPr>
        <w:spacing w:after="0" w:line="32" w:lineRule="exact"/>
        <w:rPr>
          <w:sz w:val="20"/>
          <w:szCs w:val="20"/>
          <w:color w:val="auto"/>
        </w:rPr>
      </w:pPr>
    </w:p>
    <w:p>
      <w:pPr>
        <w:ind w:firstLine="3"/>
        <w:spacing w:after="0" w:line="268" w:lineRule="auto"/>
        <w:tabs>
          <w:tab w:leader="none" w:pos="118" w:val="left"/>
        </w:tabs>
        <w:numPr>
          <w:ilvl w:val="0"/>
          <w:numId w:val="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Notes to Consolidated Financial Statements - Note 5, Debt</w:t>
      </w:r>
      <w:r>
        <w:rPr>
          <w:rFonts w:ascii="Times New Roman" w:cs="Times New Roman" w:eastAsia="Times New Roman" w:hAnsi="Times New Roman"/>
          <w:sz w:val="17"/>
          <w:szCs w:val="17"/>
          <w:color w:val="auto"/>
        </w:rPr>
        <w:t>" the 2021 Revolving Credit Facility bears interest at a variable rate and, as a result, increases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interest rates would generally result in increased interest expense on our outstanding drawn balance.</w:t>
      </w:r>
    </w:p>
    <w:p>
      <w:pPr>
        <w:spacing w:after="0" w:line="114"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risk premium amounts under the ILN Transactions are calculated by multiplying the outstanding reinsurance coverage amount at the beginning of any payment period by a coupon rate, which is the sum of one-month LIBOR or SOFR, as applicable, and a risk margin, and then subtracting actual investment income earned on the trust balance during that payment period. An increase in one-month LIBOR or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(BDO USA, LLP; San Francisco, CA; PCAOB ID#243)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w w:val="82"/>
              </w:rPr>
              <w:t>91</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Balance Sheets as of December 31, 2022 and 2021</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93</w:t>
            </w:r>
          </w:p>
        </w:tc>
      </w:tr>
      <w:tr>
        <w:trPr>
          <w:trHeight w:val="29"/>
        </w:trPr>
        <w:tc>
          <w:tcPr>
            <w:tcW w:w="110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0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Operations and Comprehensive Income for each of the years in the three-year period ended December 31, 2022</w:t>
            </w:r>
          </w:p>
        </w:tc>
        <w:tc>
          <w:tcPr>
            <w:tcW w:w="18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2"/>
              </w:rPr>
              <w:t>94</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Changes in Shareholders' Equity for each of the years in the three-year period ended December 31, 2022</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95</w:t>
            </w:r>
          </w:p>
        </w:tc>
      </w:tr>
      <w:tr>
        <w:trPr>
          <w:trHeight w:val="29"/>
        </w:trPr>
        <w:tc>
          <w:tcPr>
            <w:tcW w:w="110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0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Cash Flows for each of the years in the three-year period ended December 31, 2022</w:t>
            </w:r>
          </w:p>
        </w:tc>
        <w:tc>
          <w:tcPr>
            <w:tcW w:w="18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2"/>
              </w:rPr>
              <w:t>96</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97</w:t>
            </w:r>
          </w:p>
        </w:tc>
      </w:tr>
      <w:tr>
        <w:trPr>
          <w:trHeight w:val="1196"/>
        </w:trPr>
        <w:tc>
          <w:tcPr>
            <w:tcW w:w="110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90</w:t>
            </w: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1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 of NMI Holdings,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California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NMI Holdings, Inc. (the “Company”) as of December 31, 2022 and 2021, the related consolidated statements of operations and comprehensive income, changes in shareholders’ equity, and cash flows for each of the three years in the period ended December 31, 2022, and the related notes and financial statements schedules listed in the accompanying index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and our report dated February 14, 2023 expressed an unqualified opinion thereon.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jc w:val="both"/>
        <w:ind w:firstLine="3"/>
        <w:spacing w:after="0" w:line="244" w:lineRule="auto"/>
        <w:tabs>
          <w:tab w:leader="none" w:pos="24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Reserve for Insurance Claims and Claim Expense</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described in Notes 2 and 7 to the consolidated financial statements, the Company recorded $99.8 million of reserve for insurance claims and claim expenses at December 31, 2022. The establishment of insurance claims and claim expenses reserve is subject to inherent uncertainty and requires significant judgment by management. The reserve is established by estimating: (i) claim severity which is the amount of the claim payment expected to be paid on each loan in default, (ii) claim frequency which is the number of loans in default expected to result in a claim payment, and (iii) the beneficial impact of assistance programs. The claim frequency is determined based on historical experience regarding certain loan factors. The claim severity and claim frequency estimates are also strongly influenced by current economic conditions including unemployment and the housing market.</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We identified the Company’s estimation of the reserve for insurance claims and claim expenses as a critical audit matter. The principal consideration for our determination is the high degree of subjectivity in estimating claim severity, claim frequency and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91" w:name="page92"/>
    <w:bookmarkEnd w:id="91"/>
    <w:p>
      <w:pPr>
        <w:spacing w:after="0" w:line="275" w:lineRule="auto"/>
        <w:rPr>
          <w:sz w:val="20"/>
          <w:szCs w:val="20"/>
          <w:color w:val="auto"/>
        </w:rPr>
      </w:pPr>
      <w:r>
        <w:rPr>
          <w:rFonts w:ascii="Times New Roman" w:cs="Times New Roman" w:eastAsia="Times New Roman" w:hAnsi="Times New Roman"/>
          <w:sz w:val="17"/>
          <w:szCs w:val="17"/>
          <w:color w:val="auto"/>
        </w:rPr>
        <w:t>the beneficial impact of assistance programs. Auditing these elements involved especially challenging auditor judgment due to the nature and extent of audit effort required to address these matters, including the extent of specialized skill or knowledge needed.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231" w:lineRule="exact"/>
        <w:rPr>
          <w:sz w:val="20"/>
          <w:szCs w:val="20"/>
          <w:color w:val="auto"/>
        </w:rPr>
      </w:pPr>
    </w:p>
    <w:p>
      <w:pPr>
        <w:ind w:left="620" w:hanging="306"/>
        <w:spacing w:after="0" w:line="275"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completeness and accuracy of the underlying loans and claims data used in management’s reserve calculations which supported claim severity, claim frequency estimates and the beneficial impact of assistance programs.</w:t>
      </w:r>
    </w:p>
    <w:p>
      <w:pPr>
        <w:spacing w:after="0" w:line="172" w:lineRule="exact"/>
        <w:rPr>
          <w:rFonts w:ascii="Times New Roman" w:cs="Times New Roman" w:eastAsia="Times New Roman" w:hAnsi="Times New Roman"/>
          <w:sz w:val="17"/>
          <w:szCs w:val="17"/>
          <w:color w:val="auto"/>
        </w:rPr>
      </w:pPr>
    </w:p>
    <w:p>
      <w:pPr>
        <w:jc w:val="both"/>
        <w:ind w:left="620" w:hanging="306"/>
        <w:spacing w:after="0" w:line="243"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personnel with specialized knowledge and skill in actuarial methods to assist in: (i) evaluating the appropriateness of the methodology and the assumptions used by management and management’s specialist, including assessment of the reasonableness of changes in assumptions and inputs used in developing claim severity, claim frequency and the beneficial impact of assistance programs, (ii) developing an independent estimate of the reserve for insurance claims and claim expense using Company and historical mortgage industry data and comparing this independent estimate to management’s and management’s specialist’s estimated reserve and (iii) performing a retrospective review of the prior year reserve estimate against historical figures.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c>
          <w:tcPr>
            <w:tcW w:w="15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68"/>
        </w:trPr>
        <w:tc>
          <w:tcPr>
            <w:tcW w:w="76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Fixed maturities, available-for-sale, at fair value (amortized cost of $2,352,747 and $2,078,773 as of</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2022 and December 31, 2021, respectively)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2,085,931</w:t>
            </w: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Cash and cash equivalents (including restricted cash of $2,176 and $3,165 as of December 31, 2022 and</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2021,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76,646</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60,358</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59,584</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32,047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and 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Prepaid federal income taxes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89,244</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Other assets </w:t>
            </w:r>
            <w:r>
              <w:rPr>
                <w:rFonts w:ascii="Times New Roman" w:cs="Times New Roman" w:eastAsia="Times New Roman" w:hAnsi="Times New Roman"/>
                <w:sz w:val="22"/>
                <w:szCs w:val="22"/>
                <w:color w:val="auto"/>
                <w:vertAlign w:val="superscript"/>
              </w:rPr>
              <w:t>(1) (2)</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2,450,581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396,051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394,623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139,237</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funds withheld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Warrant liability, at fair value</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164,175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3,245</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902,303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884,795</w:t>
            </w:r>
          </w:p>
        </w:tc>
        <w:tc>
          <w:tcPr>
            <w:tcW w:w="0" w:type="dxa"/>
            <w:vAlign w:val="bottom"/>
          </w:tcPr>
          <w:p>
            <w:pPr>
              <w:spacing w:after="0"/>
              <w:rPr>
                <w:sz w:val="1"/>
                <w:szCs w:val="1"/>
                <w:color w:val="auto"/>
              </w:rPr>
            </w:pPr>
          </w:p>
        </w:tc>
      </w:tr>
      <w:tr>
        <w:trPr>
          <w:trHeight w:val="20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(see Note 14)</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7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 class A shares, $0.01 par value; 86,472,742 shares issued and 83,549,879 shares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outstanding as of December 31, 2022 and 85,792,849 shares issued and outstanding as of December 31,</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2021 (250,000,000 shares authorized)</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955,302</w:t>
            </w: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Treasury stock, at cost: 2,922,863 and 0 common shares as of December 31, 2022 and December 31, 2021,</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 net of tax</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901,043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608,141</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1,613,727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1,565,786</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2,516,030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2,450,581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"Prepaid federal income taxes" have been reclassified from "Other assets" in the prior period.</w:t>
      </w:r>
    </w:p>
    <w:p>
      <w:pPr>
        <w:spacing w:after="0" w:line="17" w:lineRule="exact"/>
        <w:rPr>
          <w:rFonts w:ascii="Times New Roman" w:cs="Times New Roman" w:eastAsia="Times New Roman" w:hAnsi="Times New Roman"/>
          <w:sz w:val="9"/>
          <w:szCs w:val="9"/>
          <w:color w:val="auto"/>
        </w:rPr>
      </w:pPr>
    </w:p>
    <w:p>
      <w:pPr>
        <w:ind w:left="240" w:hanging="237"/>
        <w:spacing w:after="0" w:line="194" w:lineRule="auto"/>
        <w:tabs>
          <w:tab w:leader="none" w:pos="240" w:val="left"/>
        </w:tabs>
        <w:numPr>
          <w:ilvl w:val="0"/>
          <w:numId w:val="5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"Prepaid expenses" and "Prepaid reinsurance premiums" have been reclassified as "Other assets" in the prior period.</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10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INCOME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60" w:type="dxa"/>
            <w:vAlign w:val="bottom"/>
          </w:tcPr>
          <w:p>
            <w:pPr>
              <w:spacing w:after="0"/>
              <w:rPr>
                <w:sz w:val="15"/>
                <w:szCs w:val="15"/>
                <w:color w:val="auto"/>
              </w:rPr>
            </w:pPr>
          </w:p>
        </w:tc>
      </w:tr>
      <w:tr>
        <w:trPr>
          <w:trHeight w:val="23"/>
        </w:trPr>
        <w:tc>
          <w:tcPr>
            <w:tcW w:w="5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57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2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i w:val="1"/>
                <w:iCs w:val="1"/>
                <w:color w:val="auto"/>
                <w:w w:val="97"/>
              </w:rPr>
              <w:t>(In Thousands, except for per share data)</w:t>
            </w:r>
          </w:p>
        </w:tc>
        <w:tc>
          <w:tcPr>
            <w:tcW w:w="1260" w:type="dxa"/>
            <w:vAlign w:val="bottom"/>
          </w:tcPr>
          <w:p>
            <w:pPr>
              <w:spacing w:after="0"/>
              <w:rPr>
                <w:sz w:val="16"/>
                <w:szCs w:val="16"/>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475,266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444,294</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397,172</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31,897</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523,345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485,072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433,283</w:t>
            </w:r>
          </w:p>
        </w:tc>
      </w:tr>
      <w:tr>
        <w:trPr>
          <w:trHeight w:val="20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claims and claim (benefits) expenses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59,247</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131,610</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24,387</w:t>
            </w:r>
          </w:p>
        </w:tc>
      </w:tr>
      <w:tr>
        <w:trPr>
          <w:trHeight w:val="220"/>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(2,907)</w:t>
            </w:r>
          </w:p>
        </w:tc>
      </w:tr>
      <w:tr>
        <w:trPr>
          <w:trHeight w:val="21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188,347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215,177</w:t>
            </w:r>
          </w:p>
        </w:tc>
      </w:tr>
      <w:tr>
        <w:trPr>
          <w:trHeight w:val="239"/>
        </w:trPr>
        <w:tc>
          <w:tcPr>
            <w:tcW w:w="5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218,106</w:t>
            </w:r>
          </w:p>
        </w:tc>
      </w:tr>
      <w:tr>
        <w:trPr>
          <w:trHeight w:val="220"/>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46,540</w:t>
            </w: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5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59"/>
        </w:trPr>
        <w:tc>
          <w:tcPr>
            <w:tcW w:w="5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78,023</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79,263</w:t>
            </w:r>
          </w:p>
        </w:tc>
      </w:tr>
    </w:tbl>
    <w:p>
      <w:pPr>
        <w:spacing w:after="0" w:line="200" w:lineRule="exact"/>
        <w:rPr>
          <w:sz w:val="20"/>
          <w:szCs w:val="20"/>
          <w:color w:val="auto"/>
        </w:rPr>
      </w:pPr>
    </w:p>
    <w:p>
      <w:pPr>
        <w:sectPr>
          <w:pgSz w:w="11900" w:h="16838" w:orient="portrait"/>
          <w:cols w:equalWidth="0" w:num="1">
            <w:col w:w="11140"/>
          </w:cols>
          <w:pgMar w:left="420" w:top="121" w:right="339" w:bottom="1440" w:gutter="0" w:footer="0" w:header="0"/>
        </w:sectPr>
      </w:pPr>
    </w:p>
    <w:p>
      <w:pPr>
        <w:spacing w:after="0" w:line="53" w:lineRule="exact"/>
        <w:rPr>
          <w:sz w:val="20"/>
          <w:szCs w:val="20"/>
          <w:color w:val="auto"/>
        </w:rPr>
      </w:pPr>
    </w:p>
    <w:p>
      <w:pPr>
        <w:ind w:left="20"/>
        <w:spacing w:after="0"/>
        <w:tabs>
          <w:tab w:leader="none" w:pos="5760" w:val="left"/>
        </w:tabs>
        <w:rPr>
          <w:sz w:val="20"/>
          <w:szCs w:val="20"/>
          <w:color w:val="auto"/>
        </w:rPr>
      </w:pPr>
      <w:r>
        <w:rPr>
          <w:rFonts w:ascii="Times New Roman" w:cs="Times New Roman" w:eastAsia="Times New Roman" w:hAnsi="Times New Roman"/>
          <w:sz w:val="17"/>
          <w:szCs w:val="17"/>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014845" cy="139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484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014845" cy="361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4845" cy="361315"/>
                    </a:xfrm>
                    <a:prstGeom prst="rect">
                      <a:avLst/>
                    </a:prstGeom>
                    <a:noFill/>
                  </pic:spPr>
                </pic:pic>
              </a:graphicData>
            </a:graphic>
          </wp:anchor>
        </w:drawing>
      </w:r>
    </w:p>
    <w:p>
      <w:pPr>
        <w:spacing w:after="0" w:line="4" w:lineRule="exact"/>
        <w:rPr>
          <w:sz w:val="20"/>
          <w:szCs w:val="20"/>
          <w:color w:val="auto"/>
        </w:rPr>
      </w:pPr>
    </w:p>
    <w:p>
      <w:pPr>
        <w:jc w:val="both"/>
        <w:ind w:left="220" w:right="460"/>
        <w:spacing w:after="0" w:line="227" w:lineRule="auto"/>
        <w:rPr>
          <w:sz w:val="20"/>
          <w:szCs w:val="20"/>
          <w:color w:val="auto"/>
        </w:rPr>
      </w:pPr>
      <w:r>
        <w:rPr>
          <w:rFonts w:ascii="Times New Roman" w:cs="Times New Roman" w:eastAsia="Times New Roman" w:hAnsi="Times New Roman"/>
          <w:sz w:val="17"/>
          <w:szCs w:val="17"/>
          <w:color w:val="auto"/>
        </w:rPr>
        <w:t>Unrealized (losses) gains in accumulated other comprehensive income, net of tax (benefit) expense of $(54,608), $(13,768) and $9,525 for each of the years in the three-year period ended December 31, 2022, respectively</w:t>
      </w:r>
    </w:p>
    <w:p>
      <w:pPr>
        <w:spacing w:after="0" w:line="9" w:lineRule="exact"/>
        <w:rPr>
          <w:sz w:val="20"/>
          <w:szCs w:val="20"/>
          <w:color w:val="auto"/>
        </w:rPr>
      </w:pPr>
    </w:p>
    <w:p>
      <w:pPr>
        <w:jc w:val="both"/>
        <w:ind w:left="220" w:right="460"/>
        <w:spacing w:after="0" w:line="229" w:lineRule="auto"/>
        <w:rPr>
          <w:sz w:val="20"/>
          <w:szCs w:val="20"/>
          <w:color w:val="auto"/>
        </w:rPr>
      </w:pPr>
      <w:r>
        <w:rPr>
          <w:rFonts w:ascii="Times New Roman" w:cs="Times New Roman" w:eastAsia="Times New Roman" w:hAnsi="Times New Roman"/>
          <w:sz w:val="17"/>
          <w:szCs w:val="17"/>
          <w:color w:val="auto"/>
        </w:rPr>
        <w:t>Reclassification adjustment for realized (gains) losses included in net income, net of tax expense (benefit) of $101, $153 and $(196) for each of the years in the three-years ended December 31, 2022, respectively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292,902</w:t>
            </w:r>
          </w:p>
        </w:tc>
        <w:tc>
          <w:tcPr>
            <w:tcW w:w="64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231,130</w:t>
            </w:r>
          </w:p>
        </w:tc>
        <w:tc>
          <w:tcPr>
            <w:tcW w:w="64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789"/>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(205,428)</w:t>
            </w: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(51,795)</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35,829</w:t>
            </w:r>
          </w:p>
        </w:tc>
      </w:tr>
      <w:tr>
        <w:trPr>
          <w:trHeight w:val="567"/>
        </w:trPr>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r>
    </w:tbl>
    <w:p>
      <w:pPr>
        <w:spacing w:after="0" w:line="1" w:lineRule="exact"/>
        <w:rPr>
          <w:sz w:val="20"/>
          <w:szCs w:val="20"/>
          <w:color w:val="auto"/>
        </w:rPr>
      </w:pPr>
    </w:p>
    <w:p>
      <w:pPr>
        <w:sectPr>
          <w:pgSz w:w="11900" w:h="16838" w:orient="portrait"/>
          <w:cols w:equalWidth="0" w:num="2">
            <w:col w:w="6040" w:space="720"/>
            <w:col w:w="4380"/>
          </w:cols>
          <w:pgMar w:left="4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(52,371)</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36,568</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87,094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178,759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208,134</w:t>
            </w:r>
          </w:p>
        </w:tc>
      </w:tr>
      <w:tr>
        <w:trPr>
          <w:trHeight w:val="20"/>
        </w:trPr>
        <w:tc>
          <w:tcPr>
            <w:tcW w:w="5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980" w:type="dxa"/>
            <w:vAlign w:val="bottom"/>
            <w:gridSpan w:val="3"/>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Common Stock - Class A</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2"/>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115"/>
              <w:spacing w:after="0" w:line="123"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100" w:type="dxa"/>
            <w:vAlign w:val="bottom"/>
            <w:gridSpan w:val="2"/>
            <w:vMerge w:val="restart"/>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100" w:type="dxa"/>
            <w:vAlign w:val="bottom"/>
            <w:vMerge w:val="restart"/>
          </w:tcPr>
          <w:p>
            <w:pPr>
              <w:jc w:val="center"/>
              <w:ind w:right="55"/>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9"/>
                <w:szCs w:val="9"/>
                <w:color w:val="auto"/>
              </w:rPr>
            </w:pPr>
          </w:p>
        </w:tc>
        <w:tc>
          <w:tcPr>
            <w:tcW w:w="780" w:type="dxa"/>
            <w:vAlign w:val="bottom"/>
            <w:vMerge w:val="restart"/>
          </w:tcPr>
          <w:p>
            <w:pPr>
              <w:jc w:val="right"/>
              <w:ind w:right="11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707,003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205,445</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930,420</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related to public</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219,528</w:t>
            </w:r>
          </w:p>
        </w:tc>
        <w:tc>
          <w:tcPr>
            <w:tcW w:w="1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219,687</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related to warrant</w:t>
            </w: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under stock plans,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of 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11,115</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 tax</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 of $9,721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36,568</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171,566</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171,566</w:t>
            </w:r>
          </w:p>
        </w:tc>
        <w:tc>
          <w:tcPr>
            <w:tcW w:w="0" w:type="dxa"/>
            <w:vAlign w:val="bottom"/>
          </w:tcPr>
          <w:p>
            <w:pPr>
              <w:spacing w:after="0"/>
              <w:rPr>
                <w:sz w:val="1"/>
                <w:szCs w:val="1"/>
                <w:color w:val="auto"/>
              </w:rPr>
            </w:pPr>
          </w:p>
        </w:tc>
      </w:tr>
      <w:tr>
        <w:trPr>
          <w:trHeight w:val="187"/>
        </w:trPr>
        <w:tc>
          <w:tcPr>
            <w:tcW w:w="404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Balances, December 31, 2020</w:t>
            </w:r>
          </w:p>
        </w:tc>
        <w:tc>
          <w:tcPr>
            <w:tcW w:w="9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85,163</w:t>
            </w: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852</w:t>
            </w:r>
          </w:p>
        </w:tc>
        <w:tc>
          <w:tcPr>
            <w:tcW w:w="12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937,872</w:t>
            </w:r>
          </w:p>
        </w:tc>
        <w:tc>
          <w:tcPr>
            <w:tcW w:w="160" w:type="dxa"/>
            <w:vAlign w:val="bottom"/>
            <w:tcBorders>
              <w:bottom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ind w:left="56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53,856</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377,011</w:t>
            </w:r>
          </w:p>
        </w:tc>
        <w:tc>
          <w:tcPr>
            <w:tcW w:w="220" w:type="dxa"/>
            <w:vAlign w:val="bottom"/>
            <w:tcBorders>
              <w:bottom w:val="single" w:sz="8" w:color="auto"/>
            </w:tcBorders>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1,369,591</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Common stock: class A shares issued related to warrant</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under stock plans,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of 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 tax</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of $13,921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(52,371)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(52,371)</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0" w:type="dxa"/>
            <w:vAlign w:val="bottom"/>
          </w:tcPr>
          <w:p>
            <w:pPr>
              <w:spacing w:after="0"/>
              <w:rPr>
                <w:sz w:val="1"/>
                <w:szCs w:val="1"/>
                <w:color w:val="auto"/>
              </w:rPr>
            </w:pPr>
          </w:p>
        </w:tc>
      </w:tr>
      <w:tr>
        <w:trPr>
          <w:trHeight w:val="187"/>
        </w:trPr>
        <w:tc>
          <w:tcPr>
            <w:tcW w:w="404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Balances, December 31, 2021</w:t>
            </w:r>
          </w:p>
        </w:tc>
        <w:tc>
          <w:tcPr>
            <w:tcW w:w="9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85,793</w:t>
            </w: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858</w:t>
            </w:r>
          </w:p>
        </w:tc>
        <w:tc>
          <w:tcPr>
            <w:tcW w:w="12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955,302</w:t>
            </w:r>
          </w:p>
        </w:tc>
        <w:tc>
          <w:tcPr>
            <w:tcW w:w="160" w:type="dxa"/>
            <w:vAlign w:val="bottom"/>
            <w:tcBorders>
              <w:bottom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ind w:left="56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1,485</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608,141</w:t>
            </w:r>
          </w:p>
        </w:tc>
        <w:tc>
          <w:tcPr>
            <w:tcW w:w="220" w:type="dxa"/>
            <w:vAlign w:val="bottom"/>
            <w:tcBorders>
              <w:bottom w:val="single" w:sz="8" w:color="auto"/>
            </w:tcBorders>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1,565,786</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Common stock: class A shares issued related to warrant</w:t>
            </w: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168"/>
        </w:trPr>
        <w:tc>
          <w:tcPr>
            <w:tcW w:w="40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class A shares issued under stock plans,</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of 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(56,575)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16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0" w:type="dxa"/>
            <w:vAlign w:val="bottom"/>
          </w:tcPr>
          <w:p>
            <w:pPr>
              <w:spacing w:after="0"/>
              <w:rPr>
                <w:sz w:val="1"/>
                <w:szCs w:val="1"/>
                <w:color w:val="auto"/>
              </w:rPr>
            </w:pPr>
          </w:p>
        </w:tc>
      </w:tr>
      <w:tr>
        <w:trPr>
          <w:trHeight w:val="168"/>
        </w:trPr>
        <w:tc>
          <w:tcPr>
            <w:tcW w:w="40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 tax</w:t>
            </w: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of $54,709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972,717</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(56,575)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901,043</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1,613,727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During 2020, we issued 11,368 common shares with a par value of $0.01 in connection with the exercise of warrants, which is not identifiable in this schedule due to rounding.</w:t>
      </w: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6"/>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800" w:type="dxa"/>
            <w:vAlign w:val="bottom"/>
          </w:tcPr>
          <w:p>
            <w:pPr>
              <w:spacing w:after="0"/>
              <w:rPr>
                <w:sz w:val="15"/>
                <w:szCs w:val="15"/>
                <w:color w:val="auto"/>
              </w:rPr>
            </w:pPr>
          </w:p>
        </w:tc>
      </w:tr>
      <w:tr>
        <w:trPr>
          <w:trHeight w:val="23"/>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0"/>
        </w:trPr>
        <w:tc>
          <w:tcPr>
            <w:tcW w:w="7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171,566</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realized investment gains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amortization of premium on investment securities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46,506</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Premiums receivable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policy acquisition costs,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Reinsurance recoverable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(12,669)</w:t>
            </w:r>
          </w:p>
        </w:tc>
      </w:tr>
      <w:tr>
        <w:trPr>
          <w:trHeight w:val="209"/>
        </w:trPr>
        <w:tc>
          <w:tcPr>
            <w:tcW w:w="7540" w:type="dxa"/>
            <w:vAlign w:val="bottom"/>
            <w:shd w:val="clear" w:color="auto" w:fill="CCEEFF"/>
          </w:tcPr>
          <w:p>
            <w:pPr>
              <w:ind w:left="340"/>
              <w:spacing w:after="0" w:line="209" w:lineRule="exact"/>
              <w:rPr>
                <w:sz w:val="20"/>
                <w:szCs w:val="20"/>
                <w:color w:val="auto"/>
              </w:rPr>
            </w:pPr>
            <w:r>
              <w:rPr>
                <w:rFonts w:ascii="Times New Roman" w:cs="Times New Roman" w:eastAsia="Times New Roman" w:hAnsi="Times New Roman"/>
                <w:sz w:val="16"/>
                <w:szCs w:val="16"/>
                <w:color w:val="auto"/>
              </w:rPr>
              <w:t xml:space="preserve">Prepaid federal income taxes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(38,764)</w:t>
            </w:r>
          </w:p>
        </w:tc>
      </w:tr>
      <w:tr>
        <w:trPr>
          <w:trHeight w:val="207"/>
        </w:trPr>
        <w:tc>
          <w:tcPr>
            <w:tcW w:w="7540" w:type="dxa"/>
            <w:vAlign w:val="bottom"/>
          </w:tcPr>
          <w:p>
            <w:pPr>
              <w:ind w:left="340"/>
              <w:spacing w:after="0" w:line="207"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0"/>
                <w:szCs w:val="20"/>
                <w:color w:val="auto"/>
                <w:vertAlign w:val="superscript"/>
              </w:rPr>
              <w:t>(1) (2)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7"/>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Unearned premiums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(17,825)</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Reserve for insurance claims and claim 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66,815</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Reinsurance balances,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205"/>
        </w:trPr>
        <w:tc>
          <w:tcPr>
            <w:tcW w:w="7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18,072</w:t>
            </w:r>
          </w:p>
        </w:tc>
      </w:tr>
      <w:tr>
        <w:trPr>
          <w:trHeight w:val="20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325,719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252,598</w:t>
            </w:r>
          </w:p>
        </w:tc>
      </w:tr>
      <w:tr>
        <w:trPr>
          <w:trHeight w:val="185"/>
        </w:trPr>
        <w:tc>
          <w:tcPr>
            <w:tcW w:w="7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(42,241)</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fixed-maturity investments, available-for-sale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(514,405)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(1,065,916)</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86,045</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redemptions, maturities and sale of fixed-maturity investments, available-for-sale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404,717</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Software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(12,159)</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(374,180)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(629,554)</w:t>
            </w:r>
          </w:p>
        </w:tc>
      </w:tr>
      <w:tr>
        <w:trPr>
          <w:trHeight w:val="18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public offering, net of issuance costs</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219,687</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employee equity plans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8,871</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warrant exercises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senior secured notes</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term loan</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(147,750)</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(9,043)</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462,804</w:t>
            </w:r>
          </w:p>
        </w:tc>
      </w:tr>
      <w:tr>
        <w:trPr>
          <w:trHeight w:val="125"/>
        </w:trPr>
        <w:tc>
          <w:tcPr>
            <w:tcW w:w="7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85,848</w:t>
            </w: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126,937</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41,089</w:t>
            </w: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08"/>
        </w:trPr>
        <w:tc>
          <w:tcPr>
            <w:tcW w:w="7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17,561</w:t>
            </w: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refunded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bl>
    <w:p>
      <w:pPr>
        <w:spacing w:after="0" w:line="165" w:lineRule="exact"/>
        <w:rPr>
          <w:sz w:val="20"/>
          <w:szCs w:val="20"/>
          <w:color w:val="auto"/>
        </w:rPr>
      </w:pPr>
    </w:p>
    <w:p>
      <w:pPr>
        <w:ind w:left="200" w:hanging="197"/>
        <w:spacing w:after="0"/>
        <w:tabs>
          <w:tab w:leader="none" w:pos="200" w:val="left"/>
        </w:tabs>
        <w:numPr>
          <w:ilvl w:val="0"/>
          <w:numId w:val="5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"Prepaid federal income taxes" have been reclassified from "Other assets" in prior periods.</w:t>
      </w:r>
    </w:p>
    <w:p>
      <w:pPr>
        <w:spacing w:after="0" w:line="17" w:lineRule="exact"/>
        <w:rPr>
          <w:rFonts w:ascii="Times New Roman" w:cs="Times New Roman" w:eastAsia="Times New Roman" w:hAnsi="Times New Roman"/>
          <w:sz w:val="9"/>
          <w:szCs w:val="9"/>
          <w:color w:val="auto"/>
        </w:rPr>
      </w:pPr>
    </w:p>
    <w:p>
      <w:pPr>
        <w:ind w:left="240" w:hanging="237"/>
        <w:spacing w:after="0" w:line="194" w:lineRule="auto"/>
        <w:tabs>
          <w:tab w:leader="none" w:pos="240" w:val="left"/>
        </w:tabs>
        <w:numPr>
          <w:ilvl w:val="0"/>
          <w:numId w:val="5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"Prepaid expenses" have been reclassified as "Other assets" in prior periods.</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prior period amounts have been reclassified to conform to current period presentation.</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COVID-19 Developments</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January 30, 2020, the World Health Organization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w:t>
      </w:r>
    </w:p>
    <w:p>
      <w:pPr>
        <w:spacing w:after="0" w:line="114" w:lineRule="exact"/>
        <w:rPr>
          <w:sz w:val="20"/>
          <w:szCs w:val="20"/>
          <w:color w:val="auto"/>
        </w:rPr>
      </w:pPr>
    </w:p>
    <w:p>
      <w:pPr>
        <w:ind w:left="620" w:right="8480" w:hanging="617"/>
        <w:spacing w:after="0" w:line="445" w:lineRule="auto"/>
        <w:tabs>
          <w:tab w:leader="none" w:pos="171"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Accounting Principles </w:t>
      </w:r>
      <w:r>
        <w:rPr>
          <w:rFonts w:ascii="Times New Roman" w:cs="Times New Roman" w:eastAsia="Times New Roman" w:hAnsi="Times New Roman"/>
          <w:sz w:val="17"/>
          <w:szCs w:val="17"/>
          <w:i w:val="1"/>
          <w:iCs w:val="1"/>
          <w:color w:val="auto"/>
        </w:rPr>
        <w:t>Use of Estimates</w:t>
      </w:r>
    </w:p>
    <w:p>
      <w:pPr>
        <w:spacing w:after="0" w:line="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 Premium Revenue Recognition</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Premiums written on pool transactions are earned over the period that coverage is provided.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Concentrations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the years ended December 31, 2022, 2021 and 2020, no customer accounted for more than 10% of our consolidated revenues. At December 31, 2022, December 31, 2021 and December 31, 2020 approximately 11%, 10% and 11%, respectively, of our total risk-in-force (RIF) was concentrated in California.</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Reserves for Insurance Claims and Claim Expenses</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 xml:space="preserve">We establish reserves for claims based on our best estimate of the ultimate claim costs for defaulted loans using the general principles contained in ASC 944, </w:t>
      </w:r>
      <w:r>
        <w:rPr>
          <w:rFonts w:ascii="Times New Roman" w:cs="Times New Roman" w:eastAsia="Times New Roman" w:hAnsi="Times New Roman"/>
          <w:sz w:val="17"/>
          <w:szCs w:val="17"/>
          <w:i w:val="1"/>
          <w:iCs w:val="1"/>
          <w:color w:val="auto"/>
        </w:rPr>
        <w:t>Financial Services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xml:space="preserv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associated with a specific claim) or unallocated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associated with a specific claim).</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Investments</w:t>
      </w:r>
    </w:p>
    <w:p>
      <w:pPr>
        <w:spacing w:after="0" w:line="169" w:lineRule="exact"/>
        <w:rPr>
          <w:sz w:val="20"/>
          <w:szCs w:val="20"/>
          <w:color w:val="auto"/>
        </w:rPr>
      </w:pPr>
    </w:p>
    <w:p>
      <w:pPr>
        <w:jc w:val="both"/>
        <w:ind w:firstLine="621"/>
        <w:spacing w:after="0" w:line="338" w:lineRule="auto"/>
        <w:rPr>
          <w:sz w:val="20"/>
          <w:szCs w:val="20"/>
          <w:color w:val="auto"/>
        </w:rPr>
      </w:pPr>
      <w:r>
        <w:rPr>
          <w:rFonts w:ascii="Times New Roman" w:cs="Times New Roman" w:eastAsia="Times New Roman" w:hAnsi="Times New Roman"/>
          <w:sz w:val="17"/>
          <w:szCs w:val="17"/>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57" w:lineRule="exact"/>
        <w:rPr>
          <w:sz w:val="20"/>
          <w:szCs w:val="20"/>
          <w:color w:val="auto"/>
        </w:rPr>
      </w:pPr>
    </w:p>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for further discussion.</w:t>
      </w:r>
    </w:p>
    <w:p>
      <w:pPr>
        <w:spacing w:after="0" w:line="20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security to fair value and recognize the full amount of the impairment through the statement of operations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43" w:lineRule="exact"/>
        <w:rPr>
          <w:sz w:val="20"/>
          <w:szCs w:val="20"/>
          <w:color w:val="auto"/>
        </w:rPr>
      </w:pPr>
    </w:p>
    <w:p>
      <w:pPr>
        <w:ind w:left="620" w:hanging="306"/>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decline in fair value;</w:t>
      </w:r>
    </w:p>
    <w:p>
      <w:pPr>
        <w:spacing w:after="0" w:line="1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1"/>
        </w:numPr>
        <w:rPr>
          <w:rFonts w:ascii="Arial" w:cs="Arial" w:eastAsia="Arial" w:hAnsi="Arial"/>
          <w:sz w:val="21"/>
          <w:szCs w:val="21"/>
          <w:color w:val="auto"/>
        </w:rPr>
      </w:pPr>
      <w:r>
        <w:rPr>
          <w:rFonts w:ascii="Times New Roman" w:cs="Times New Roman" w:eastAsia="Times New Roman" w:hAnsi="Times New Roman"/>
          <w:sz w:val="17"/>
          <w:szCs w:val="17"/>
          <w:color w:val="auto"/>
        </w:rPr>
        <w:t>the financial condition of the issuer;</w:t>
      </w:r>
    </w:p>
    <w:p>
      <w:pPr>
        <w:spacing w:after="0" w:line="136" w:lineRule="exact"/>
        <w:rPr>
          <w:rFonts w:ascii="Arial" w:cs="Arial" w:eastAsia="Arial" w:hAnsi="Arial"/>
          <w:sz w:val="21"/>
          <w:szCs w:val="21"/>
          <w:color w:val="auto"/>
        </w:rPr>
      </w:pPr>
    </w:p>
    <w:p>
      <w:pPr>
        <w:ind w:left="620" w:hanging="306"/>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issuer to make scheduled interest or principal payments;</w:t>
      </w:r>
    </w:p>
    <w:p>
      <w:pPr>
        <w:spacing w:after="0" w:line="1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61"/>
        </w:numPr>
        <w:rPr>
          <w:rFonts w:ascii="Arial" w:cs="Arial" w:eastAsia="Arial" w:hAnsi="Arial"/>
          <w:sz w:val="21"/>
          <w:szCs w:val="21"/>
          <w:color w:val="auto"/>
        </w:rPr>
      </w:pPr>
      <w:r>
        <w:rPr>
          <w:rFonts w:ascii="Times New Roman" w:cs="Times New Roman" w:eastAsia="Times New Roman" w:hAnsi="Times New Roman"/>
          <w:sz w:val="17"/>
          <w:szCs w:val="17"/>
          <w:color w:val="auto"/>
        </w:rPr>
        <w:t>recent rating downgrades of the applicable security or issuer by one or more nationally recognized statistical ratings organization; and</w:t>
      </w:r>
    </w:p>
    <w:p>
      <w:pPr>
        <w:spacing w:after="0" w:line="159" w:lineRule="exact"/>
        <w:rPr>
          <w:rFonts w:ascii="Arial" w:cs="Arial" w:eastAsia="Arial" w:hAnsi="Arial"/>
          <w:sz w:val="21"/>
          <w:szCs w:val="21"/>
          <w:color w:val="auto"/>
        </w:rPr>
      </w:pPr>
    </w:p>
    <w:p>
      <w:pPr>
        <w:ind w:left="620" w:hanging="306"/>
        <w:spacing w:after="0"/>
        <w:tabs>
          <w:tab w:leader="none" w:pos="620" w:val="left"/>
        </w:tabs>
        <w:numPr>
          <w:ilvl w:val="0"/>
          <w:numId w:val="61"/>
        </w:numPr>
        <w:rPr>
          <w:rFonts w:ascii="Arial" w:cs="Arial" w:eastAsia="Arial" w:hAnsi="Arial"/>
          <w:sz w:val="21"/>
          <w:szCs w:val="21"/>
          <w:color w:val="auto"/>
        </w:rPr>
      </w:pPr>
      <w:r>
        <w:rPr>
          <w:rFonts w:ascii="Times New Roman" w:cs="Times New Roman" w:eastAsia="Times New Roman" w:hAnsi="Times New Roman"/>
          <w:sz w:val="17"/>
          <w:szCs w:val="17"/>
          <w:color w:val="auto"/>
        </w:rPr>
        <w:t>other adverse conditions related to or impacting the security or issuer.</w:t>
      </w:r>
    </w:p>
    <w:p>
      <w:pPr>
        <w:spacing w:after="0" w:line="14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we determine that a security impairment is credit-related, an impairment loss is recognized through the statement of operations as a provision for credit loss expense, and presented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Times New Roman" w:cs="Times New Roman" w:eastAsia="Times New Roman" w:hAnsi="Times New Roman"/>
          <w:sz w:val="17"/>
          <w:szCs w:val="17"/>
          <w:i w:val="1"/>
          <w:iCs w:val="1"/>
          <w:color w:val="auto"/>
        </w:rPr>
        <w:t>Realized Investment Gain or Loss.</w:t>
      </w:r>
      <w:r>
        <w:rPr>
          <w:rFonts w:ascii="Times New Roman" w:cs="Times New Roman" w:eastAsia="Times New Roman" w:hAnsi="Times New Roman"/>
          <w:sz w:val="17"/>
          <w:szCs w:val="17"/>
          <w:color w:val="auto"/>
        </w:rPr>
        <w:t>" The portion of a security impairment attributed to other non-credit related factors is recognized in other comprehensive income, net of taxes.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elected to present accrued interest receivable separately from available for sale securities on our consolidated balance sheets. Accrued interest receivable was $14.1 million and $11.9 million as of December 31, 2022 and 2021, respectively, and is included in "</w:t>
      </w:r>
      <w:r>
        <w:rPr>
          <w:rFonts w:ascii="Times New Roman" w:cs="Times New Roman" w:eastAsia="Times New Roman" w:hAnsi="Times New Roman"/>
          <w:sz w:val="17"/>
          <w:szCs w:val="17"/>
          <w:i w:val="1"/>
          <w:iCs w:val="1"/>
          <w:color w:val="auto"/>
        </w:rPr>
        <w:t>Accrued Investment Income.</w:t>
      </w:r>
      <w:r>
        <w:rPr>
          <w:rFonts w:ascii="Times New Roman" w:cs="Times New Roman" w:eastAsia="Times New Roman" w:hAnsi="Times New Roman"/>
          <w:sz w:val="17"/>
          <w:szCs w:val="17"/>
          <w:color w:val="auto"/>
        </w:rPr>
        <w:t>"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years ended December 31, 2022, 2021 or 2020.</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consider items such as commercial paper with original maturities of 90 days or less to be short-term investments.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Policy Acquisition Costs (DAC)</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2022, 2021 and 2020, net of a portion of the ceding commissions earned under our quota share reinsurance agreements (see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below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was $11.9 million, $22.8 million and $19.1 million, respectively.</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Premium Deficiency Reserves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We have determined that no premium deficiency reserves were necessary for any of the years in the three-year period ended December 31, 2022.</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Reinsurance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account for premiums, claims and claim expenses that are ceded to reinsurers on basis consistent with that which we use to account for the original policies we issue and pursuant to the terms of our reinsurance contracts. We account for premiums ceded or otherwise paid to reinsurers as a reduction to premium revenue.</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NMIC entered into quota share reinsurance treaties effective September 1, 2016 (the 2016 QSR Transaction), January 1, 2018 (the 2018 QSR Transaction), April 1, 2020 (the 2020 QSR Transaction), January 1, 2021 (the 2021 QSR Transaction),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October 1, 2021 (the 2022 QSR Transaction), July 1, 2022 (the 2022 Seasoned QSR Transaction), and January 1, 2023 (the 2023 QSR Transaction), which we refer to collectively as the QSR Transactions. We earn profit and ceding commissions in connection with the QSR Transactions (see Note 6,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Profit commissions represent a percentage of the profits recognized by reinsurers that are returned to us, based on the level of claims and claim expenses that we cede. We recognize any profit commissions we earn as an increase to premium revenue. Ceding commissions are calculated as a percentage of ceded written premiums under the 2016 QSR Transaction and as a percentage of ceded earned premiums under the 2018, 2020, 2021, 2022, 2022 Seasoned and 2023 QSR Transactions,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spacing w:after="0" w:line="12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Under the QSR Transactions, we cede a portion of claims and claim expenses and reserves to our reinsurers, and account for such ceded reserves as "Reinsurance Recoverables" on the consolidated balance sheets and such ceded expenses as reductions to claims and claim expenses on the consolidated statements of operations. As of December 31, 2022 and 2021, we had $21.6 million and $20.3 million, respectively,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The allowance for credit loss established with respect to our reinsurance recoverables was deemed immaterial as of December 31, 2022 and 2021.</w:t>
      </w: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Variable Interest Entities</w:t>
      </w:r>
    </w:p>
    <w:p>
      <w:pPr>
        <w:spacing w:after="0" w:line="169"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 xml:space="preserve">NMIC is a party to excess-of-loss reinsurance agreements with Oaktown Re II Ltd., Oaktown Re III Ltd., Oaktown Re V Ltd., Oaktown Re VI Ltd., and Oaktown Re VII Ltd. (special purpose reinsurance entities collectively referred to as the Oaktown Re Vehicles) effective July 25, 2018, July 30, 2019, October 29, 2020, April 27, 2021, and October 26, 2021, respectively. At inception of the respective reinsurance agreements, we determined that each of the Oaktown Re Vehicles was a variable interest entity (VIE),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for further discussion of the reinsurance arrangements.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6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We account for income taxes using the liability method in accordance with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21"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17"/>
          <w:szCs w:val="17"/>
          <w:color w:val="auto"/>
        </w:rPr>
        <w:t>We purchase non-interest bearing U.S. Mortgage Guaranty Tax and Loss Bonds issued by the Treasury Department in order to claim a tax deduction for our contingency reserve balance. The tax and loss bonds are carried at cost and are reported as "</w:t>
      </w:r>
      <w:r>
        <w:rPr>
          <w:rFonts w:ascii="Times New Roman" w:cs="Times New Roman" w:eastAsia="Times New Roman" w:hAnsi="Times New Roman"/>
          <w:sz w:val="17"/>
          <w:szCs w:val="17"/>
          <w:i w:val="1"/>
          <w:iCs w:val="1"/>
          <w:color w:val="auto"/>
        </w:rPr>
        <w:t>Prepaid Federal Income Taxes</w:t>
      </w:r>
      <w:r>
        <w:rPr>
          <w:rFonts w:ascii="Times New Roman" w:cs="Times New Roman" w:eastAsia="Times New Roman" w:hAnsi="Times New Roman"/>
          <w:sz w:val="17"/>
          <w:szCs w:val="17"/>
          <w:color w:val="auto"/>
        </w:rPr>
        <w:t>" on the consolidated balance sheets.</w:t>
      </w: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for further discussion of the tax and loss bonds and other income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167"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We accounted for warrants to purchase our common shares in accordance with ASC 470-20, </w:t>
      </w:r>
      <w:r>
        <w:rPr>
          <w:rFonts w:ascii="Times New Roman" w:cs="Times New Roman" w:eastAsia="Times New Roman" w:hAnsi="Times New Roman"/>
          <w:sz w:val="17"/>
          <w:szCs w:val="17"/>
          <w:i w:val="1"/>
          <w:iCs w:val="1"/>
          <w:color w:val="auto"/>
        </w:rPr>
        <w:t>Debt with Conversion and Other Options</w:t>
      </w:r>
      <w:r>
        <w:rPr>
          <w:rFonts w:ascii="Times New Roman" w:cs="Times New Roman" w:eastAsia="Times New Roman" w:hAnsi="Times New Roman"/>
          <w:sz w:val="17"/>
          <w:szCs w:val="17"/>
          <w:color w:val="auto"/>
        </w:rPr>
        <w:t xml:space="preserve"> and ASC 815-40 </w:t>
      </w:r>
      <w:r>
        <w:rPr>
          <w:rFonts w:ascii="Times New Roman" w:cs="Times New Roman" w:eastAsia="Times New Roman" w:hAnsi="Times New Roman"/>
          <w:sz w:val="17"/>
          <w:szCs w:val="17"/>
          <w:i w:val="1"/>
          <w:iCs w:val="1"/>
          <w:color w:val="auto"/>
        </w:rPr>
        <w:t>Derivatives and Hedging - Contracts in Entity's Own Equity</w:t>
      </w:r>
      <w:r>
        <w:rPr>
          <w:rFonts w:ascii="Times New Roman" w:cs="Times New Roman" w:eastAsia="Times New Roman" w:hAnsi="Times New Roman"/>
          <w:sz w:val="17"/>
          <w:szCs w:val="17"/>
          <w:color w:val="auto"/>
        </w:rPr>
        <w:t>. Our outstanding warrants were settled through either (i) physical settlement method, or (ii) cashless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where the number of shares issued upon exercise of the warrants was reduced to cover the cost of the exercise in lieu of the holder remitting a cash payment for the exercise price. All unexercised warrants expired in April 2022 after the 10th anniversary of the date issued. The number of warrants and exercise price were subject to anti-dilution provisions whereby the number of warrants may have been increased and their exercise price may been adjusted downward under certain circumstances. The anti-dilutive adjustments may have been in excess of any dilution incurred by the warrant holders, and may have been triggered by events that are not dilutive. As a result, the warrants were classified as a liability. We revalued the warrants at the end of each reporting period, and any change in fair value was reported in the statements of operations in the period in which the change occurred. We calculated the fair value of the warrants using a Black-Scholes option-pricing model in combination with a binomial model.</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Share-Based Compensation</w:t>
      </w:r>
    </w:p>
    <w:p>
      <w:pPr>
        <w:spacing w:after="0" w:line="167"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We account for stock compensation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which addresses accounting for share-based awards and recognition of compensation expense, measured using grant date fair value, over the requisite service or performance period of the award. Share-based compensation includes restricted stock units (RSUs) and stock option grants under our stock incentive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We use the simplified method to estimate expected option term during the period as sufficient historical exercise data is not available. RSU grants may contain a service condition, or performance and service conditions. RSU grants are valued at our stock price on the date of grant less the present value of anticipated dividends. We account for stock option and RSU forfeitures as they occur.</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Earnings per Share (EPS)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Basic earnings per share is based on the weighted-average number of common shares outstanding. Diluted earnings per share is based on the weighted-average number of common shares outstanding and common share equivalents that would be issuable upon the vesting of existing service based and certain performance and service based RSUs, and exercise of vested and unvested stock options and outstanding warrants.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169" w:lineRule="exact"/>
        <w:rPr>
          <w:sz w:val="20"/>
          <w:szCs w:val="20"/>
          <w:color w:val="auto"/>
        </w:rPr>
      </w:pPr>
    </w:p>
    <w:p>
      <w:pPr>
        <w:jc w:val="both"/>
        <w:ind w:left="120" w:firstLine="466"/>
        <w:spacing w:after="0" w:line="272" w:lineRule="auto"/>
        <w:rPr>
          <w:sz w:val="20"/>
          <w:szCs w:val="20"/>
          <w:color w:val="auto"/>
        </w:rPr>
      </w:pPr>
      <w:r>
        <w:rPr>
          <w:rFonts w:ascii="Times New Roman" w:cs="Times New Roman" w:eastAsia="Times New Roman" w:hAnsi="Times New Roman"/>
          <w:sz w:val="17"/>
          <w:szCs w:val="17"/>
          <w:color w:val="auto"/>
        </w:rPr>
        <w:t>Common stock repurchases are recorded at cost and presented as "Treasury Stock" on the consolidated balance sheets and statements of changes in shareholders' equity. At the date of repurchase, shareholders' equity is reduced by the aggregate repurchase price plus commissions, applicable taxes and other expenses that arise from the repurchase transaction.</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consider items such as certificates of deposit and money market funds with original maturities of 90 days or less to be cash equivalents.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Software and Equipment</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For further detail, see Note 12, "</w:t>
      </w:r>
      <w:r>
        <w:rPr>
          <w:rFonts w:ascii="Times New Roman" w:cs="Times New Roman" w:eastAsia="Times New Roman" w:hAnsi="Times New Roman"/>
          <w:sz w:val="17"/>
          <w:szCs w:val="17"/>
          <w:i w:val="1"/>
          <w:iCs w:val="1"/>
          <w:color w:val="auto"/>
        </w:rPr>
        <w:t>Software and Equipment.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ROU assets are measured as the associated lease liability plus any direct costs incurred in connection with the initial establishment of the lease, less any lease incentives received.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Business Combinations, Goodwill and Intangible Assets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Goodwill represents the excess of the purchase price over the estimated fair value of net assets acquired from a business combination. 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we test goodwill for impairment annually or more frequently if we believe indicators of impairment exist. We have not identified any impairments of goodwill through December 31, 2022.</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intangible assets consist of state licenses and Fannie Mae and Freddie Mac (collectively, the GSEs) applications which have indefinite lives. We test indefinite-lived intangible assets for impairment annually or more frequently if we believe indicators of impairment exist. We have not identified any impairments of indefinite-lived intangible assets through December 31, 2022.</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Premiums Receivable</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receivables was deemed immaterial at December 31, 2022 and 2021.</w:t>
      </w:r>
    </w:p>
    <w:p>
      <w:pPr>
        <w:spacing w:after="0" w:line="11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Premiums receivable may be written off prior to 120 days in the ordinary course of business for non-credit events including, but not limited to, the modification or refinancing of an underlying insured loan. We established a $2.3 million reserve for premium write-offs at December 31, 2022 and 2021.</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Revenues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Other revenues represent underwriting fee revenue from our subsidiary, NMIS, which provides outsourced loan review services to mortgage loan originators. NMIS fees are earned and recognized as services are provided.</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Recent Accounting Pronouncements - Adopted</w:t>
      </w:r>
    </w:p>
    <w:p>
      <w:pPr>
        <w:spacing w:after="0" w:line="167" w:lineRule="exact"/>
        <w:rPr>
          <w:sz w:val="20"/>
          <w:szCs w:val="20"/>
          <w:color w:val="auto"/>
        </w:rPr>
      </w:pPr>
    </w:p>
    <w:p>
      <w:pPr>
        <w:jc w:val="both"/>
        <w:ind w:left="120" w:firstLine="466"/>
        <w:spacing w:after="0" w:line="267" w:lineRule="auto"/>
        <w:rPr>
          <w:sz w:val="20"/>
          <w:szCs w:val="20"/>
          <w:color w:val="auto"/>
        </w:rPr>
      </w:pPr>
      <w:r>
        <w:rPr>
          <w:rFonts w:ascii="Times New Roman" w:cs="Times New Roman" w:eastAsia="Times New Roman" w:hAnsi="Times New Roman"/>
          <w:sz w:val="17"/>
          <w:szCs w:val="17"/>
          <w:color w:val="auto"/>
        </w:rPr>
        <w:t xml:space="preserve">In August 2020, the Financial Accounting Standards Board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(Subtopic 470-20) and </w:t>
      </w:r>
      <w:r>
        <w:rPr>
          <w:rFonts w:ascii="Times New Roman" w:cs="Times New Roman" w:eastAsia="Times New Roman" w:hAnsi="Times New Roman"/>
          <w:sz w:val="17"/>
          <w:szCs w:val="17"/>
          <w:i w:val="1"/>
          <w:iCs w:val="1"/>
          <w:color w:val="auto"/>
        </w:rPr>
        <w:t>Derivatives and Hedging—Contracts in Entity's Own Equity</w:t>
      </w:r>
      <w:r>
        <w:rPr>
          <w:rFonts w:ascii="Times New Roman" w:cs="Times New Roman" w:eastAsia="Times New Roman" w:hAnsi="Times New Roman"/>
          <w:sz w:val="17"/>
          <w:szCs w:val="17"/>
          <w:color w:val="auto"/>
        </w:rPr>
        <w:t xml:space="preserve"> (Subtopic 815-40). The update simplifies the accounting for convertible instruments and contracts on an entity's own equity, including warrants, eliminating certain triggers for derivative accounting. We adopted this ASU on January 1, 2022 and determined it did not have a material impact on our consolidated financial statements.</w:t>
      </w:r>
    </w:p>
    <w:p>
      <w:pPr>
        <w:spacing w:after="0" w:line="11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Recent Accounting Pronouncements - Not Yet Adopted </w:t>
      </w:r>
      <w:r>
        <w:rPr>
          <w:rFonts w:ascii="Times New Roman" w:cs="Times New Roman" w:eastAsia="Times New Roman" w:hAnsi="Times New Roman"/>
          <w:sz w:val="17"/>
          <w:szCs w:val="17"/>
          <w:color w:val="auto"/>
        </w:rPr>
        <w:t>In August 2018, the FASB issued ASU 2018-12,</w:t>
      </w:r>
      <w:r>
        <w:rPr>
          <w:rFonts w:ascii="Times New Roman" w:cs="Times New Roman" w:eastAsia="Times New Roman" w:hAnsi="Times New Roman"/>
          <w:sz w:val="17"/>
          <w:szCs w:val="17"/>
          <w:i w:val="1"/>
          <w:iCs w:val="1"/>
          <w:color w:val="auto"/>
        </w:rPr>
        <w:t xml:space="preserve"> Targeted Improvements to the Accounting for Long-Duration Contracts </w:t>
      </w:r>
      <w:r>
        <w:rPr>
          <w:rFonts w:ascii="Times New Roman" w:cs="Times New Roman" w:eastAsia="Times New Roman" w:hAnsi="Times New Roman"/>
          <w:sz w:val="17"/>
          <w:szCs w:val="17"/>
          <w:color w:val="auto"/>
        </w:rPr>
        <w:t>(Topic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adopted this ASU on January 1, 2023 and determined it did not have a material impact on our consolidated financial statements.</w:t>
      </w:r>
    </w:p>
    <w:p>
      <w:pPr>
        <w:spacing w:after="0" w:line="134" w:lineRule="exact"/>
        <w:rPr>
          <w:sz w:val="20"/>
          <w:szCs w:val="20"/>
          <w:color w:val="auto"/>
        </w:rPr>
      </w:pPr>
    </w:p>
    <w:p>
      <w:pPr>
        <w:jc w:val="both"/>
        <w:ind w:left="120" w:firstLine="621"/>
        <w:spacing w:after="0" w:line="267"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7"/>
          <w:szCs w:val="17"/>
          <w:color w:val="auto"/>
        </w:rPr>
        <w:t>certain criteria are met. This standard may be elected and applied prospectively over time from March 12, 2020 through December 31, 2022 as reference rate reform activities occur. In December 2022, the FASB issued ASU 2022-06, which extended the sunset date of Topic 848 from December 31, 2022 to December 31, 2024. We continue to monitor the impact the discontinuance of LIBOR will have on our contracts and other transactions; however, the adoption of, and future elections under ASU 2020-04 and ASU 2022-06 are not expected to have a material impact on our consolidated financial statements as the ASUs will ease, if warranted, the requirements for accounting for the future effects of the rate reform.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Investments</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 of operations and comprehensive income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Fair Values and Gross Unrealized Gains and Losses on Investments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5"/>
                <w:szCs w:val="15"/>
                <w:color w:val="auto"/>
              </w:rPr>
            </w:pPr>
          </w:p>
        </w:tc>
        <w:tc>
          <w:tcPr>
            <w:tcW w:w="200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82,301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2,178,624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(254,465)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1,925,308</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174,081</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2,352,747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24"/>
                <w:szCs w:val="24"/>
                <w:color w:val="auto"/>
              </w:rPr>
            </w:pPr>
          </w:p>
        </w:tc>
        <w:tc>
          <w:tcPr>
            <w:tcW w:w="200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30,424</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554,078</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1,393,830</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96,581</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2,067,764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2,074,913</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11,018</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2,085,931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own any mortgage-backed securities in our asset-backed securities portfolio at December 31, 2022 or 2021.</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breakdown of the fair value of our corporate debt securities by issuer industry group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and 2021, approximately $5.4 million and $5.6 million, respectively, of our cash and investments were held in the form of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Treasury securities on deposit with various state insurance departments to satisfy regulatory requirements.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Scheduled Maturities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amortized cost and fair value of available-for-sale securities as of December 31, 2022 and 2021,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3"/>
                <w:szCs w:val="13"/>
                <w:color w:val="auto"/>
              </w:rPr>
            </w:pPr>
          </w:p>
        </w:tc>
        <w:tc>
          <w:tcPr>
            <w:tcW w:w="1200" w:type="dxa"/>
            <w:vAlign w:val="bottom"/>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8"/>
        </w:trPr>
        <w:tc>
          <w:tcPr>
            <w:tcW w:w="760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270,428</w:t>
            </w:r>
          </w:p>
        </w:tc>
        <w:tc>
          <w:tcPr>
            <w:tcW w:w="0" w:type="dxa"/>
            <w:vAlign w:val="bottom"/>
          </w:tcPr>
          <w:p>
            <w:pPr>
              <w:spacing w:after="0"/>
              <w:rPr>
                <w:sz w:val="1"/>
                <w:szCs w:val="1"/>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935,615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862,747</w:t>
            </w: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875,947</w:t>
            </w:r>
          </w:p>
        </w:tc>
        <w:tc>
          <w:tcPr>
            <w:tcW w:w="0" w:type="dxa"/>
            <w:vAlign w:val="bottom"/>
          </w:tcPr>
          <w:p>
            <w:pPr>
              <w:spacing w:after="0"/>
              <w:rPr>
                <w:sz w:val="1"/>
                <w:szCs w:val="1"/>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21,709</w:t>
            </w: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60" w:type="dxa"/>
            <w:vAlign w:val="bottom"/>
            <w:tcBorders>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24"/>
                <w:szCs w:val="24"/>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8"/>
        </w:trPr>
        <w:tc>
          <w:tcPr>
            <w:tcW w:w="7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81,699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82,201</w:t>
            </w:r>
          </w:p>
        </w:tc>
        <w:tc>
          <w:tcPr>
            <w:tcW w:w="0" w:type="dxa"/>
            <w:vAlign w:val="bottom"/>
          </w:tcPr>
          <w:p>
            <w:pPr>
              <w:spacing w:after="0"/>
              <w:rPr>
                <w:sz w:val="1"/>
                <w:szCs w:val="1"/>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630,625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644,447</w:t>
            </w: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1,215,224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1,207,997</w:t>
            </w:r>
          </w:p>
        </w:tc>
        <w:tc>
          <w:tcPr>
            <w:tcW w:w="0" w:type="dxa"/>
            <w:vAlign w:val="bottom"/>
          </w:tcPr>
          <w:p>
            <w:pPr>
              <w:spacing w:after="0"/>
              <w:rPr>
                <w:sz w:val="1"/>
                <w:szCs w:val="1"/>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54,901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54,705</w:t>
            </w: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96,324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96,581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2,078,773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2,085,931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Aging of Unrealized Losses</w:t>
      </w:r>
    </w:p>
    <w:p>
      <w:pPr>
        <w:spacing w:after="0" w:line="169" w:lineRule="exact"/>
        <w:rPr>
          <w:sz w:val="20"/>
          <w:szCs w:val="20"/>
          <w:color w:val="auto"/>
        </w:rPr>
      </w:pPr>
    </w:p>
    <w:p>
      <w:pPr>
        <w:jc w:val="both"/>
        <w:ind w:firstLine="188"/>
        <w:spacing w:after="0" w:line="266" w:lineRule="auto"/>
        <w:rPr>
          <w:sz w:val="20"/>
          <w:szCs w:val="20"/>
          <w:color w:val="auto"/>
        </w:rPr>
      </w:pPr>
      <w:r>
        <w:rPr>
          <w:rFonts w:ascii="Times New Roman" w:cs="Times New Roman" w:eastAsia="Times New Roman" w:hAnsi="Times New Roman"/>
          <w:sz w:val="17"/>
          <w:szCs w:val="17"/>
          <w:color w:val="auto"/>
        </w:rPr>
        <w:t>As of December 31, 2022, the investment portfolio had gross unrealized losses of $254.7 million, of which $218.5 million were associated with securities that had been in an unrealized loss position for a period of twelve months or longer. As of December 31, 2021, the investment portfolio had gross unrealized losses of $23.2 million, of which $6.5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5"/>
                <w:szCs w:val="15"/>
                <w:color w:val="auto"/>
              </w:rPr>
            </w:pPr>
          </w:p>
        </w:tc>
        <w:tc>
          <w:tcPr>
            <w:tcW w:w="290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06"/>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80" w:type="dxa"/>
            <w:vAlign w:val="bottom"/>
          </w:tcPr>
          <w:p>
            <w:pPr>
              <w:spacing w:after="0"/>
              <w:rPr>
                <w:sz w:val="10"/>
                <w:szCs w:val="10"/>
                <w:color w:val="auto"/>
              </w:rPr>
            </w:pPr>
          </w:p>
        </w:tc>
        <w:tc>
          <w:tcPr>
            <w:tcW w:w="860" w:type="dxa"/>
            <w:vAlign w:val="bottom"/>
            <w:tcBorders>
              <w:top w:val="single" w:sz="8" w:color="auto"/>
            </w:tcBorders>
          </w:tcPr>
          <w:p>
            <w:pPr>
              <w:jc w:val="right"/>
              <w:ind w:right="258"/>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9"/>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U.S. Treasury securities and</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340,079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238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(80,796)</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790,537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309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1,224,711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(165,096)</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55,031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(36,225)</w:t>
            </w: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1,188,415</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(218,467)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608</w:t>
            </w: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1,960,613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(254,692)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6"/>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24"/>
                <w:szCs w:val="24"/>
                <w:color w:val="auto"/>
              </w:rPr>
            </w:pPr>
          </w:p>
        </w:tc>
        <w:tc>
          <w:tcPr>
            <w:tcW w:w="29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ind w:right="46"/>
              <w:spacing w:after="0" w:line="123"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79"/>
              <w:spacing w:after="0" w:line="123"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gridSpan w:val="2"/>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Securities</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79"/>
              <w:spacing w:after="0" w:line="12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314,823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(4,959)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653,488</w:t>
            </w: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(11,426)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146,003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799,491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(17,364)</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57,601</w:t>
            </w: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59,578</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1,025,912</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(16,742)</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156,118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1,182,030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(23,195)</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2022 and 2021, we did not recognize an allowance for credit loss for any security in the investment portfolio and we did not record any provision for credit loss for investment securities during the years ended December 31, 2022 or 2021.</w:t>
      </w:r>
    </w:p>
    <w:p>
      <w:pPr>
        <w:spacing w:after="0" w:line="9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increase in the number of securities and the aggregate size of the unrealized loss position as of December 31, 2022, was driven by fluctuations in interest rates and, to a lesser extent, movements in credit spreads following the purchase date of certain securities. We evaluated the securities in an unrealized loss position as of December 31, 2022, assessing their credit ratings as well as any adverse conditions specifically related to the security. Based upon our estimate of the amount and timing of cash flows to be collected over the remaining life of each instrument, we believe the unrealized losses as of December 31, 2022 are not indicative of the ultimate collectability of the current amortized cost of the securities.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 Investment Income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net investment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80" w:type="dxa"/>
            <w:vAlign w:val="bottom"/>
            <w:gridSpan w:val="6"/>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income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47,720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39,385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33,140</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(1,313)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(1,243)</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46,406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38,072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31,897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net realized investment gains: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2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60" w:type="dxa"/>
            <w:vAlign w:val="bottom"/>
          </w:tcPr>
          <w:p>
            <w:pPr>
              <w:spacing w:after="0"/>
              <w:rPr>
                <w:sz w:val="15"/>
                <w:szCs w:val="15"/>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investment gains</w:t>
            </w:r>
          </w:p>
        </w:tc>
        <w:tc>
          <w:tcPr>
            <w:tcW w:w="118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42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5,572</w:t>
            </w: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realized investment losses</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(4,642)</w:t>
            </w:r>
          </w:p>
        </w:tc>
      </w:tr>
      <w:tr>
        <w:trPr>
          <w:trHeight w:val="23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118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of Financial Instruments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describes the valuation techniques used by us to determine the fair value of our financial instruments:</w:t>
      </w:r>
    </w:p>
    <w:p>
      <w:pPr>
        <w:spacing w:after="0" w:line="16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60" w:lineRule="exact"/>
        <w:rPr>
          <w:sz w:val="20"/>
          <w:szCs w:val="20"/>
          <w:color w:val="auto"/>
        </w:rPr>
      </w:pPr>
    </w:p>
    <w:p>
      <w:pPr>
        <w:jc w:val="both"/>
        <w:ind w:left="620"/>
        <w:spacing w:after="0" w:line="291" w:lineRule="auto"/>
        <w:rPr>
          <w:sz w:val="20"/>
          <w:szCs w:val="20"/>
          <w:color w:val="auto"/>
        </w:rPr>
      </w:pPr>
      <w:r>
        <w:rPr>
          <w:rFonts w:ascii="Times New Roman" w:cs="Times New Roman" w:eastAsia="Times New Roman" w:hAnsi="Times New Roman"/>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43"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65"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Assets classified as Level 1 and Level 2</w:t>
      </w:r>
    </w:p>
    <w:p>
      <w:pPr>
        <w:spacing w:after="0" w:line="16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Liabilities classified as Level 3</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 All outstanding and unexercised warrants expired in April 2022 and there was no warrant liability remaining as of December 31, 2022.</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level within the fair value hierarchy at which our financial instruments were measured: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4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218,507</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298,439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1,845,376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2,143,815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40"/>
              <w:spacing w:after="0" w:line="123"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1"/>
                <w:szCs w:val="11"/>
                <w:color w:val="auto"/>
              </w:rPr>
            </w:pPr>
          </w:p>
        </w:tc>
        <w:tc>
          <w:tcPr>
            <w:tcW w:w="14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30,424</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30,424</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554,078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554,078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1,393,830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1,393,830</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96,581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87,664</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118,088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2,044,489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2,162,577</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2 and Level 3 of the fair value hierarchy during the years ended December 31, 2022 or 2021.</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roll-forward of Level 3 liabilities measured at fair value:</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20" w:type="dxa"/>
            <w:vAlign w:val="bottom"/>
            <w:gridSpan w:val="6"/>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5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1"/>
        </w:trPr>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January 1</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 included in earnings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w:t>
            </w:r>
          </w:p>
        </w:tc>
        <w:tc>
          <w:tcPr>
            <w:tcW w:w="0" w:type="dxa"/>
            <w:vAlign w:val="bottom"/>
          </w:tcPr>
          <w:p>
            <w:pPr>
              <w:spacing w:after="0"/>
              <w:rPr>
                <w:sz w:val="1"/>
                <w:szCs w:val="1"/>
                <w:color w:val="auto"/>
              </w:rPr>
            </w:pPr>
          </w:p>
        </w:tc>
      </w:tr>
      <w:tr>
        <w:trPr>
          <w:trHeight w:val="22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on warrant exercise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December 31</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All outstanding and unexercised warrants expired in April 2022 and there was no warrant liability remaining as of December 31, 2022. For more information on the expiration of warrants and changes in the fair value of the warrant liability during the years ended December 31, 2022, 2021 and 2020, see Note 9,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jc w:val="both"/>
        <w:ind w:firstLine="621"/>
        <w:spacing w:after="0" w:line="274" w:lineRule="auto"/>
        <w:rPr>
          <w:sz w:val="20"/>
          <w:szCs w:val="20"/>
          <w:color w:val="auto"/>
        </w:rPr>
      </w:pPr>
      <w:r>
        <w:rPr>
          <w:rFonts w:ascii="Times New Roman" w:cs="Times New Roman" w:eastAsia="Times New Roman" w:hAnsi="Times New Roman"/>
          <w:sz w:val="17"/>
          <w:szCs w:val="17"/>
          <w:color w:val="auto"/>
        </w:rPr>
        <w:t>The following table outlines the key inputs and assumptions used to calculate the fair value of the warrant liability in the Black-Scholes option-pricing model as of the dates indicated:</w:t>
      </w: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5"/>
                <w:szCs w:val="15"/>
                <w:color w:val="auto"/>
              </w:rPr>
            </w:pPr>
          </w:p>
        </w:tc>
      </w:tr>
      <w:tr>
        <w:trPr>
          <w:trHeight w:val="23"/>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74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price</w:t>
            </w:r>
          </w:p>
        </w:tc>
        <w:tc>
          <w:tcPr>
            <w:tcW w:w="110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21.85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22.65</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 free interest rate</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0.11 %</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0.31 years</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years</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83.7 %</w:t>
            </w:r>
          </w:p>
        </w:tc>
      </w:tr>
      <w:tr>
        <w:trPr>
          <w:trHeight w:val="22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June 19, 2020, we issued $400 million aggregate principal amount of senior secured notes that mature on June 1, 2025 (the Notes) and used a portion of the proceeds from the Notes offering to repay the outstanding amount due under our $150 million term loan (2018 Term Loan). At December 31, 2022, the Notes were carried at a cost of $396.1 million, net of unamortized debt issuance costs of $3.9 million, and had a fair value of $405.9 million as assessed under our Level 2 hierarchy. At December 31, 2021, the Notes were carried at a cost of $394.6 million, net of unamortized debt issuance costs of $5.4 million, and had a fair value of $454.6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Senior Secured Notes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At December 31, 2022, we had $400 million aggregate principal amount of senior secured notes outstanding. The Notes were issued pursuant to an indenture dated June 19, 2020 (the Indenture) and bear interest at a rate of 7.375%, payable semi-annually on June 1 and December 1.</w:t>
      </w:r>
    </w:p>
    <w:p>
      <w:pPr>
        <w:spacing w:after="0" w:line="9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 amount. At any time on or after March 1, 2025, we may elect to redeem the Notes in whole or in part at a price equal to 100% of the aggregate principal amount of the Notes to be redeemed plus accrued and unpaid interest thereon.</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The effective interest rate on the Notes is 7.825%. At December 31, 2022 and 2021, approximately $3.9 million and $5.4 million, respectively, of unamortized debt issuance costs remained.</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At December 31, 2022 and 2021, $2.5 million of accrued and unpaid interest on the Notes was included in "Accounts Payable and Accrued Expenses" on the consolidated balance sheets.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2021 </w:t>
      </w:r>
      <w:r>
        <w:rPr>
          <w:rFonts w:ascii="Times New Roman" w:cs="Times New Roman" w:eastAsia="Times New Roman" w:hAnsi="Times New Roman"/>
          <w:sz w:val="17"/>
          <w:szCs w:val="17"/>
          <w:i w:val="1"/>
          <w:iCs w:val="1"/>
          <w:color w:val="auto"/>
        </w:rPr>
        <w:t>Revolving Credit Facility</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Secured Overnight Financing Rate (SOFR, as defined in the 2021 Revolving Credit Facility) plus a margin of 1.375% to 2.875% per annum, with the margin in each of (i) or (ii) based on our applicable corporate credit rating at the time. As of December 31, 2022 and 2021, no amounts were drawn under the 2021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2021 Revolving Credit Facility, we are required to pay a quarterly commitment fee on the average daily undrawn amount of 0.175% to 0.525%, based on the applicable corporate credit rating at the time. As of December 31, 2022, the applicable commitment fee was 0.30%. For the years ended December 31, 2022 and 2021, we recorded $0.8 million and $0.4 million of commitment fees in interest expense, respectively.</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will be amortized through interest expense on a straight-line basis over the contractual life of the 2021 Revolving Credit Facility. At December 31, 2022 and 2021, remaining unamortized deferred debt issuance costs were $1.2 million and $1.6 million, respectively.</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effect of our reinsurance agreements on premiums written and earned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60" w:type="dxa"/>
            <w:vAlign w:val="bottom"/>
            <w:gridSpan w:val="6"/>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577,926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557,050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455,172</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(117,680)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w w:val="99"/>
              </w:rPr>
              <w:t>(88,539)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(66,528)</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written</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460,246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468,511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388,644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594,127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536,630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472,998</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(118,861)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w w:val="99"/>
              </w:rPr>
              <w:t>(92,336)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(75,826)</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475,266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444,294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397,172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6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profit commission.</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a party to reinsurance agreements with Oaktown Re II Ltd., Oaktown Re III Ltd., Oaktown Re V Ltd., Oaktown Re VI Ltd., and Oaktown Re VII Ltd. (special purpose reinsurance entities collectively referred to as the Oaktown Re Vehicles) effective July 25, 2018,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$41.9 million, $41.3 million and $22.8 million during the years ended December 31, 2022, 2021 and 2020, respectively.</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years ended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2021 and 2020, as the aggregate first layer risk retention for each applicable agreement was not exhausted during such periods.</w:t>
      </w:r>
    </w:p>
    <w:p>
      <w:pPr>
        <w:spacing w:after="0" w:line="16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 year maturity). We refer to NMIC's reinsurance agreements with and the insurance-linked note issuances by Oaktown Re Vehicles individually as the 2018 ILN Transaction, 2019 ILN Transaction, 2020-2 ILN Transaction, 2021-1 ILN Transaction, and 2021-2 ILN Transaction, and collectively as the ILN Transactions.</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 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December 31, 2022, the 2018 ILN Transaction was deemed to be in Lock Out due to the default experience of its underlying reference pool and the 2021-2 ILN Transaction was deemed to be in Lock Out in connection with the initial build of its target credit enhancement level. As such, the amortization of reinsurance coverage, and distribution of collateral assets and amortization of insurance-linked notes was suspended for both ILN Transactions. The amortization of reinsurance coverage, distribution of collateral assets and amortization of insurance-linked notes issued in connection with the 2018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 Effective August 31, 2022, a Lock-Out Event for the 2019 ILN Transaction was deemed to have cleared and amortization of the associated reinsurance coverage, and distribution of collateral assets and amortization of the associated insurance-linked notes resumed.</w:t>
      </w:r>
    </w:p>
    <w:p>
      <w:pPr>
        <w:spacing w:after="0" w:line="33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Effective March 25, 2022 and April 25, 2022, NMIC exercised its optional clean-up call to terminate and commute its previously outstanding excess of loss reinsurance agreements with Oaktown Re Ltd. and Oaktown Re IV Ltd., respectively. In connection with the termination and commutation of each respective agreement, the insurance-linked notes issued by Oaktown Re Ltd. and Oaktown Re IV Ltd. were redeemed in full with a distribution of remaining collateral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 First Layer</w:t>
            </w:r>
          </w:p>
        </w:tc>
        <w:tc>
          <w:tcPr>
            <w:tcW w:w="0" w:type="dxa"/>
            <w:vAlign w:val="bottom"/>
          </w:tcPr>
          <w:p>
            <w:pPr>
              <w:spacing w:after="0"/>
              <w:rPr>
                <w:sz w:val="1"/>
                <w:szCs w:val="1"/>
                <w:color w:val="auto"/>
              </w:rPr>
            </w:pPr>
          </w:p>
        </w:tc>
      </w:tr>
      <w:tr>
        <w:trPr>
          <w:trHeight w:val="142"/>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2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gridSpan w:val="2"/>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Retained Loss </w:t>
            </w:r>
            <w:r>
              <w:rPr>
                <w:rFonts w:ascii="Times New Roman" w:cs="Times New Roman" w:eastAsia="Times New Roman" w:hAnsi="Times New Roman"/>
                <w:sz w:val="8"/>
                <w:szCs w:val="8"/>
                <w:b w:val="1"/>
                <w:bCs w:val="1"/>
                <w:color w:val="auto"/>
                <w:w w:val="98"/>
              </w:rPr>
              <w:t>(1)</w:t>
            </w:r>
          </w:p>
        </w:tc>
        <w:tc>
          <w:tcPr>
            <w:tcW w:w="0" w:type="dxa"/>
            <w:vAlign w:val="bottom"/>
          </w:tcPr>
          <w:p>
            <w:pPr>
              <w:spacing w:after="0"/>
              <w:rPr>
                <w:sz w:val="1"/>
                <w:szCs w:val="1"/>
                <w:color w:val="auto"/>
              </w:rPr>
            </w:pPr>
          </w:p>
        </w:tc>
      </w:tr>
      <w:tr>
        <w:trPr>
          <w:trHeight w:val="21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2018 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July 25, 2018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1/1/2017 - 5/31/2018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$264,545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$158,489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$125,312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$122,202</w:t>
            </w:r>
          </w:p>
        </w:tc>
        <w:tc>
          <w:tcPr>
            <w:tcW w:w="0" w:type="dxa"/>
            <w:vAlign w:val="bottom"/>
          </w:tcPr>
          <w:p>
            <w:pPr>
              <w:spacing w:after="0"/>
              <w:rPr>
                <w:sz w:val="1"/>
                <w:szCs w:val="1"/>
                <w:color w:val="auto"/>
              </w:rPr>
            </w:pPr>
          </w:p>
        </w:tc>
      </w:tr>
      <w:tr>
        <w:trPr>
          <w:trHeight w:val="22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2019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July 30, 2019</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6/1/2018 - 6/30/2019</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326,905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204,127</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123,424</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122,257</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2020-2</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ILN Transaction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29, 2020</w:t>
            </w:r>
          </w:p>
        </w:tc>
        <w:tc>
          <w:tcPr>
            <w:tcW w:w="22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4/1/2020 - 9/30/2020 </w:t>
            </w:r>
            <w:r>
              <w:rPr>
                <w:rFonts w:ascii="Times New Roman" w:cs="Times New Roman" w:eastAsia="Times New Roman" w:hAnsi="Times New Roman"/>
                <w:sz w:val="22"/>
                <w:szCs w:val="22"/>
                <w:color w:val="auto"/>
                <w:w w:val="98"/>
                <w:vertAlign w:val="superscript"/>
              </w:rPr>
              <w:t>(2)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242,351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95,729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121,777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121,177</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2021-1</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22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7"/>
              </w:rPr>
              <w:t xml:space="preserve">10/1/2020 - 3/31/2021 </w:t>
            </w:r>
            <w:r>
              <w:rPr>
                <w:rFonts w:ascii="Times New Roman" w:cs="Times New Roman" w:eastAsia="Times New Roman" w:hAnsi="Times New Roman"/>
                <w:sz w:val="22"/>
                <w:szCs w:val="22"/>
                <w:color w:val="auto"/>
                <w:w w:val="97"/>
                <w:vertAlign w:val="superscript"/>
              </w:rPr>
              <w:t>(3)</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367,238</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305,139</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163,708</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163,665</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2021-2</w:t>
            </w:r>
          </w:p>
        </w:tc>
        <w:tc>
          <w:tcPr>
            <w:tcW w:w="19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ILN Transaction </w:t>
            </w:r>
            <w:r>
              <w:rPr>
                <w:rFonts w:ascii="Times New Roman" w:cs="Times New Roman" w:eastAsia="Times New Roman" w:hAnsi="Times New Roman"/>
                <w:sz w:val="22"/>
                <w:szCs w:val="22"/>
                <w:color w:val="auto"/>
                <w:vertAlign w:val="superscript"/>
              </w:rPr>
              <w:t>(5)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2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363,596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146,229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146,204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7"/>
        <w:spacing w:after="0" w:line="258" w:lineRule="auto"/>
        <w:tabs>
          <w:tab w:leader="none" w:pos="281"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260" w:hanging="257"/>
        <w:spacing w:after="0" w:line="183" w:lineRule="auto"/>
        <w:tabs>
          <w:tab w:leader="none" w:pos="260" w:val="left"/>
        </w:tabs>
        <w:numPr>
          <w:ilvl w:val="0"/>
          <w:numId w:val="6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ind w:left="200" w:hanging="197"/>
        <w:spacing w:after="0" w:line="190" w:lineRule="auto"/>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Approximately 1% of the production covered by the 2021-1 ILN Transaction has coverage reporting dates between July 1, 2019 and September 30, 2020.</w:t>
      </w:r>
    </w:p>
    <w:p>
      <w:pPr>
        <w:ind w:left="200" w:hanging="197"/>
        <w:spacing w:after="0"/>
        <w:tabs>
          <w:tab w:leader="none" w:pos="200"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3" w:lineRule="exact"/>
        <w:rPr>
          <w:rFonts w:ascii="Times New Roman" w:cs="Times New Roman" w:eastAsia="Times New Roman" w:hAnsi="Times New Roman"/>
          <w:sz w:val="9"/>
          <w:szCs w:val="9"/>
          <w:color w:val="auto"/>
        </w:rPr>
      </w:pPr>
    </w:p>
    <w:p>
      <w:pPr>
        <w:ind w:left="320" w:hanging="317"/>
        <w:spacing w:after="0" w:line="210" w:lineRule="auto"/>
        <w:tabs>
          <w:tab w:leader="none" w:pos="255" w:val="left"/>
        </w:tabs>
        <w:numPr>
          <w:ilvl w:val="0"/>
          <w:numId w:val="6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2022, the current reinsurance coverage amount on the 2021-2 ILN Transactions is equal to the initial reinsurance coverage amount, as the reinsurance coverage provided by Oaktown Re VII Ltd. will not begin to amortize until its target credit enhancement level is reached.</w:t>
      </w:r>
    </w:p>
    <w:p>
      <w:pPr>
        <w:spacing w:after="0" w:line="21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our ILN Transactions, we are required to maintain a certain level of restricted funds in premium deposit accounts with Bank of New York Mellon until the respective notes have been redeemed in full. "Cash and cash equivalents" on our consolidated balance sheet includes restricted amounts of $2.2 million and $3.2 million as of December 31, 2022 and 2021, respectively. The restricted balances required under these transactions will decline over time as the outstanding principal balance of the respective insurance-linked notes are amortized.</w:t>
      </w:r>
    </w:p>
    <w:p>
      <w:pPr>
        <w:spacing w:after="0" w:line="1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5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is a party to three excess-of-loss reinsurance agreements with broad panels of third-party reinsurers – the 2022-1 XOL Transaction, effective April 1, 2022, the 2022-2 XOL Transaction, effective July 1, 2022, and the 2022-3 XOL Transaction, effective October 1, 2022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XOL Transactions, NMIC makes risk premium payments to its third-party reinsurance providers for the outstanding reinsurance coverage amount and ceded aggregate premiums of $13.9 million during the year ended December 31, 2022. NMIC applies claims paid on covered policies against its first layer aggregate retained loss exposure under each agreement. NMIC did not cede any incurred losses on covered policies under the XOL Transactions during the year ended December 31, 2022, as the aggregate first layer risk retention for each agreement was not exhausted during the period.</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Standard &amp; Poor’s Rating Service (S&amp;P), A.M. Best Company Inc. (A.M. Best) or both.</w:t>
      </w:r>
    </w:p>
    <w:p>
      <w:pPr>
        <w:spacing w:after="0" w:line="9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 First Layer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Current First</w:t>
            </w:r>
          </w:p>
        </w:tc>
        <w:tc>
          <w:tcPr>
            <w:tcW w:w="0" w:type="dxa"/>
            <w:vAlign w:val="bottom"/>
          </w:tcPr>
          <w:p>
            <w:pPr>
              <w:spacing w:after="0"/>
              <w:rPr>
                <w:sz w:val="1"/>
                <w:szCs w:val="1"/>
                <w:color w:val="auto"/>
              </w:rPr>
            </w:pPr>
          </w:p>
        </w:tc>
      </w:tr>
      <w:tr>
        <w:trPr>
          <w:trHeight w:val="141"/>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4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Retained Loss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line="218" w:lineRule="exact"/>
              <w:rPr>
                <w:sz w:val="20"/>
                <w:szCs w:val="20"/>
                <w:color w:val="auto"/>
              </w:rPr>
            </w:pPr>
            <w:r>
              <w:rPr>
                <w:rFonts w:ascii="Times New Roman" w:cs="Times New Roman" w:eastAsia="Times New Roman" w:hAnsi="Times New Roman"/>
                <w:sz w:val="17"/>
                <w:szCs w:val="17"/>
                <w:color w:val="auto"/>
                <w:w w:val="97"/>
              </w:rPr>
              <w:t xml:space="preserve">10/1/2021 - 3/31/2022 </w:t>
            </w:r>
            <w:r>
              <w:rPr>
                <w:rFonts w:ascii="Times New Roman" w:cs="Times New Roman" w:eastAsia="Times New Roman" w:hAnsi="Times New Roman"/>
                <w:sz w:val="22"/>
                <w:szCs w:val="22"/>
                <w:color w:val="auto"/>
                <w:w w:val="97"/>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$282,906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0" w:type="dxa"/>
            <w:vAlign w:val="bottom"/>
          </w:tcPr>
          <w:p>
            <w:pPr>
              <w:spacing w:after="0"/>
              <w:rPr>
                <w:sz w:val="1"/>
                <w:szCs w:val="1"/>
                <w:color w:val="auto"/>
              </w:rPr>
            </w:pPr>
          </w:p>
        </w:tc>
      </w:tr>
      <w:tr>
        <w:trPr>
          <w:trHeight w:val="220"/>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July 1, 2022</w:t>
            </w:r>
          </w:p>
        </w:tc>
        <w:tc>
          <w:tcPr>
            <w:tcW w:w="2220" w:type="dxa"/>
            <w:vAlign w:val="bottom"/>
          </w:tcPr>
          <w:p>
            <w:pPr>
              <w:jc w:val="center"/>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151,013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78,906</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78,906</w:t>
            </w: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October 1, 2022</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7/1/2022 - 9/30/2022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96,779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95,825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hanging="317"/>
        <w:spacing w:after="0" w:line="217" w:lineRule="auto"/>
        <w:tabs>
          <w:tab w:leader="none" w:pos="273" w:val="left"/>
        </w:tabs>
        <w:numPr>
          <w:ilvl w:val="0"/>
          <w:numId w:val="6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spacing w:after="0" w:line="1" w:lineRule="exact"/>
        <w:rPr>
          <w:rFonts w:ascii="Times New Roman" w:cs="Times New Roman" w:eastAsia="Times New Roman" w:hAnsi="Times New Roman"/>
          <w:sz w:val="18"/>
          <w:szCs w:val="18"/>
          <w:color w:val="auto"/>
          <w:vertAlign w:val="superscript"/>
        </w:rPr>
      </w:pPr>
    </w:p>
    <w:p>
      <w:pPr>
        <w:ind w:left="260" w:hanging="257"/>
        <w:spacing w:after="0"/>
        <w:tabs>
          <w:tab w:leader="none" w:pos="260" w:val="left"/>
        </w:tabs>
        <w:numPr>
          <w:ilvl w:val="0"/>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9"/>
          <w:szCs w:val="9"/>
          <w:color w:val="auto"/>
        </w:rPr>
      </w:pPr>
    </w:p>
    <w:p>
      <w:pPr>
        <w:ind w:left="260" w:hanging="257"/>
        <w:spacing w:after="0" w:line="194" w:lineRule="auto"/>
        <w:tabs>
          <w:tab w:leader="none" w:pos="260" w:val="left"/>
        </w:tabs>
        <w:numPr>
          <w:ilvl w:val="0"/>
          <w:numId w:val="6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58"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Times New Roman" w:cs="Times New Roman" w:eastAsia="Times New Roman" w:hAnsi="Times New Roman"/>
          <w:sz w:val="17"/>
          <w:szCs w:val="17"/>
          <w:color w:val="212529"/>
        </w:rPr>
        <w:t>The 2016 QSR Transaction is scheduled to terminate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0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w:t>
      </w:r>
      <w:r>
        <w:rPr>
          <w:rFonts w:ascii="Times New Roman" w:cs="Times New Roman" w:eastAsia="Times New Roman" w:hAnsi="Times New Roman"/>
          <w:sz w:val="17"/>
          <w:szCs w:val="17"/>
          <w:color w:val="212529"/>
        </w:rPr>
        <w:t>recapturing</w:t>
      </w:r>
      <w:r>
        <w:rPr>
          <w:rFonts w:ascii="Times New Roman" w:cs="Times New Roman" w:eastAsia="Times New Roman" w:hAnsi="Times New Roman"/>
          <w:sz w:val="17"/>
          <w:szCs w:val="17"/>
          <w:color w:val="auto"/>
        </w:rPr>
        <w:t xml:space="preserve"> the related risk.</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w:t>
      </w:r>
      <w:r>
        <w:rPr>
          <w:rFonts w:ascii="Times New Roman" w:cs="Times New Roman" w:eastAsia="Times New Roman" w:hAnsi="Times New Roman"/>
          <w:sz w:val="17"/>
          <w:szCs w:val="17"/>
          <w:color w:val="212529"/>
        </w:rPr>
        <w:t>recapturing</w:t>
      </w:r>
      <w:r>
        <w:rPr>
          <w:rFonts w:ascii="Times New Roman" w:cs="Times New Roman" w:eastAsia="Times New Roman" w:hAnsi="Times New Roman"/>
          <w:sz w:val="17"/>
          <w:szCs w:val="17"/>
          <w:color w:val="auto"/>
        </w:rPr>
        <w:t xml:space="preserve"> the related risk.</w:t>
      </w:r>
    </w:p>
    <w:p>
      <w:pPr>
        <w:spacing w:after="0" w:line="10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0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2025 or semi-annually thereafter, which would result in NMIC recapturing the related risk.</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from January 1, 2023 to December 31, 2023. The 2023 QSR Transaction is scheduled to terminate on December 31, 2033. NMIC has the option, based on certain conditions and subject to a termination fee, to terminate the agreement as of December 31, 2026 or semi-annually thereafter, which would result in NMIC recapturing the related risk.</w:t>
      </w:r>
    </w:p>
    <w:p>
      <w:pPr>
        <w:spacing w:after="0" w:line="10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Transactions. The 2022 Seasoned QSR Transaction is scheduled to terminate on June 30, 2032. NMIC has the option, based on certain conditions, to terminate the agreement as of June 30, 2025 or quarterly thereafter through December 31, 2027 with the payment of a termination fee, and as of March 31, 2028 or quarterly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thereafter without the payment of a termination fee. Such termination would result in NMIC recapturing the related risk.</w:t>
      </w:r>
    </w:p>
    <w:p>
      <w:pPr>
        <w:spacing w:after="0" w:line="15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amounts related to the QSR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gridSpan w:val="4"/>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0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risk-in-force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12,617,169</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8,194,604</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5,543,969</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Ceded premiums earned</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(143,747)</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(110,140)</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(94,899)</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claims and claim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1,620</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3,233</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14,002</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Ceding commission earned</w:t>
            </w:r>
          </w:p>
        </w:tc>
        <w:tc>
          <w:tcPr>
            <w:tcW w:w="4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32,314</w:t>
            </w:r>
          </w:p>
        </w:tc>
        <w:tc>
          <w:tcPr>
            <w:tcW w:w="3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23,473</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18,526</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 commission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80,714</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59,104</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41,902</w:t>
            </w:r>
          </w:p>
        </w:tc>
      </w:tr>
    </w:tbl>
    <w:p>
      <w:pPr>
        <w:spacing w:after="0" w:line="22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NMIC also receives a profit commission under each of the QSR Transactions, provided that the loss ratios on loans covered under the 2016, 2018, 2020, 2021, 2022 QSR and 2022 Seasoned QSR Transactions, generally remain below 60%, 61%, 50%, 57.5%, 62%, and 55% respectively, as measured annually. Ceded claims and claim expenses under each of the QSR Transactions reduce the respective profit commission received by NMIC on a dollar-for-dollar basis.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$2.6 million and $4.6 million as of December 31, 2022 and 2021, respectively.</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accordance with the terms of the 2018, 2020, 2021, 2022 and 2023 QSR and 2022 Seasoned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and 2022 QSR and 2022 Seasoned QSR Transactions was $19.0 million and $15.7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Reserves for Insurance Claims and Claim Expenses</w:t>
      </w:r>
    </w:p>
    <w:p>
      <w:pPr>
        <w:spacing w:after="0" w:line="16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actuarial review and other factors) to be in default that have not yet been reported to us by servicers, referred to as IBNR reserves. We also establish reserves for claim expenses, which represent the estimated cost of the claim administration process, including legal and other fees, as well as other general expenses of administering the claim settlement process. As of December 31, 2022, we had 4,449 primary loans in default and held gross reserves for insurance claims and claim expenses of $99.8 million. During the year ended December 31, 2022, we paid 81 claims totaling $1.7 million, including 78 claims covered under the QSR Transactions representing $0.3 million of ceded claims and claim expenses.</w:t>
      </w:r>
    </w:p>
    <w:p>
      <w:pPr>
        <w:spacing w:after="0" w:line="11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December 31, 2022, 49 loans in the pool were in default. These 49 loans represented approximately $3.7 million of RIF. Due to the size of the remaining deductible, our expectation that a limited number of loans in default will progress to a claim and the expected severity on such claim submissions (all loans in the pool had LTV ratios under 80% at origination), we did not establish any case or IBNR reserves for pool risk at December 31, 2022. In connection with the settlement of pool claims, we applied $1.0 million to the pool deductible through December 31, 2022. At December 31, 2022, the remaining pool deductible was $9.4 million. We have not paid any pool claims to date. 100% of our pool RIF is reinsured under the 2016 QSR Transaction.</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had 4,449 loans in default in our primary insured portfolio as of December 31, 2022 which represented a 0.75% default rate against 594,142 total policies in-force. We had 6,227 loans in default in our primary insured portfolio as of December 31, 2021, which represented a 1.22% default rate against 512,316 total policies in-force.</w:t>
      </w:r>
    </w:p>
    <w:p>
      <w:pPr>
        <w:spacing w:after="0" w:line="18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pandemic, the FHFA and GSEs introduced new repayment and loan modification options to further assist borrowers with their transition out of forbearance programs and default status.</w:t>
      </w:r>
    </w:p>
    <w:p>
      <w:pPr>
        <w:spacing w:after="0" w:line="12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generally observe that forbearance, repayment and modification, and other assistance programs aid affected borrowers and drive higher cure rates on defaults than would otherwise be expected on similarly situated loans that did not benefit from broad-based assistance programs. Our reserve setting process considers the beneficial impact of forbearance, foreclosure moratorium and other assistance programs available to defaulted borrowers.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(benefits)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20" w:type="dxa"/>
            <w:vAlign w:val="bottom"/>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23,752</w:t>
            </w:r>
          </w:p>
        </w:tc>
      </w:tr>
      <w:tr>
        <w:trPr>
          <w:trHeight w:val="220"/>
        </w:trPr>
        <w:tc>
          <w:tcPr>
            <w:tcW w:w="584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(4,939)</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18,813</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(benefits) expenses incurred: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66,943</w:t>
            </w:r>
          </w:p>
        </w:tc>
      </w:tr>
      <w:tr>
        <w:trPr>
          <w:trHeight w:val="220"/>
        </w:trPr>
        <w:tc>
          <w:tcPr>
            <w:tcW w:w="584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claims and claim (benefits) expenses incurred</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59,247</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0"/>
        </w:trPr>
        <w:tc>
          <w:tcPr>
            <w:tcW w:w="584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4,515</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72,959</w:t>
            </w:r>
          </w:p>
        </w:tc>
      </w:tr>
      <w:tr>
        <w:trPr>
          <w:trHeight w:val="220"/>
        </w:trPr>
        <w:tc>
          <w:tcPr>
            <w:tcW w:w="584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17,608</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40" w:hanging="237"/>
        <w:spacing w:after="0"/>
        <w:tabs>
          <w:tab w:leader="none" w:pos="240"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ceded losses recoverable under the QSR Transactions. See Note 6,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for additional information.</w:t>
      </w:r>
    </w:p>
    <w:p>
      <w:pPr>
        <w:spacing w:after="0" w:line="21" w:lineRule="exact"/>
        <w:rPr>
          <w:rFonts w:ascii="Times New Roman" w:cs="Times New Roman" w:eastAsia="Times New Roman" w:hAnsi="Times New Roman"/>
          <w:sz w:val="9"/>
          <w:szCs w:val="9"/>
          <w:color w:val="auto"/>
        </w:rPr>
      </w:pPr>
    </w:p>
    <w:p>
      <w:pPr>
        <w:ind w:left="320" w:hanging="317"/>
        <w:spacing w:after="0" w:line="247" w:lineRule="auto"/>
        <w:tabs>
          <w:tab w:leader="none" w:pos="136"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$39.9 million attributed to net case reserves and $4.5 million attributed to net IBNR reserves for the year ended December 31, 2022, $18.1 million attributed to net case reserves and $4.7 million attributed to net IBNR reserves for the year ended December 31, 2021, and $60.8 million attributed to net case reserves and $5.0 million attributed to net IBNR reserves for the year ended December 31, 2020.</w:t>
      </w:r>
    </w:p>
    <w:p>
      <w:pPr>
        <w:ind w:left="320" w:hanging="317"/>
        <w:spacing w:after="0" w:line="252" w:lineRule="auto"/>
        <w:tabs>
          <w:tab w:leader="none" w:pos="136"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$42.5 million attributed to net case reserves and $4.7 million attributed to net IBNR reserves for the year ended December 31, 2022, $6.3 million attributed to net case reserves and $5.0 million attributed to net IBNR reserves for the year ended December 31, 2021, and $6.2 million attributed to net case reserves and $1.3 million attributed to net IBNR reserves for the year ended December 31, 2020.</w:t>
      </w:r>
    </w:p>
    <w:p>
      <w:pPr>
        <w:spacing w:after="0" w:line="20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$41.5 million related to prior year defaults remained as of December 31, 2022.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provide claim development data by accident year and a reconciliation to the reserve for insurance claims and claim 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Cumulative Incurred Claims and Allocated Claims Adjustment Expenses, net of Reinsurance </w:t>
            </w:r>
            <w:r>
              <w:rPr>
                <w:rFonts w:ascii="Times New Roman" w:cs="Times New Roman" w:eastAsia="Times New Roman" w:hAnsi="Times New Roman"/>
                <w:sz w:val="20"/>
                <w:szCs w:val="20"/>
                <w:b w:val="1"/>
                <w:bCs w:val="1"/>
                <w:color w:val="auto"/>
                <w:vertAlign w:val="superscript"/>
              </w:rPr>
              <w:t>(1)</w:t>
            </w:r>
          </w:p>
        </w:tc>
        <w:tc>
          <w:tcPr>
            <w:tcW w:w="6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0" w:type="dxa"/>
            <w:vAlign w:val="bottom"/>
          </w:tcPr>
          <w:p>
            <w:pPr>
              <w:spacing w:after="0"/>
              <w:rPr>
                <w:sz w:val="1"/>
                <w:szCs w:val="1"/>
                <w:color w:val="auto"/>
              </w:rPr>
            </w:pPr>
          </w:p>
        </w:tc>
      </w:tr>
      <w:tr>
        <w:trPr>
          <w:trHeight w:val="148"/>
        </w:trPr>
        <w:tc>
          <w:tcPr>
            <w:tcW w:w="88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9"/>
              </w:rPr>
              <w:t>Accident</w:t>
            </w:r>
          </w:p>
        </w:tc>
        <w:tc>
          <w:tcPr>
            <w:tcW w:w="160" w:type="dxa"/>
            <w:vAlign w:val="bottom"/>
          </w:tcPr>
          <w:p>
            <w:pPr>
              <w:spacing w:after="0"/>
              <w:rPr>
                <w:sz w:val="12"/>
                <w:szCs w:val="12"/>
                <w:color w:val="auto"/>
              </w:rPr>
            </w:pPr>
          </w:p>
        </w:tc>
        <w:tc>
          <w:tcPr>
            <w:tcW w:w="80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2013</w:t>
            </w:r>
          </w:p>
        </w:tc>
        <w:tc>
          <w:tcPr>
            <w:tcW w:w="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2014</w:t>
            </w:r>
          </w:p>
        </w:tc>
        <w:tc>
          <w:tcPr>
            <w:tcW w:w="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2015</w:t>
            </w:r>
          </w:p>
        </w:tc>
        <w:tc>
          <w:tcPr>
            <w:tcW w:w="88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2016</w:t>
            </w:r>
          </w:p>
        </w:tc>
        <w:tc>
          <w:tcPr>
            <w:tcW w:w="860" w:type="dxa"/>
            <w:vAlign w:val="bottom"/>
            <w:vMerge w:val="restart"/>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2017</w:t>
            </w:r>
          </w:p>
        </w:tc>
        <w:tc>
          <w:tcPr>
            <w:tcW w:w="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8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2019</w:t>
            </w:r>
          </w:p>
        </w:tc>
        <w:tc>
          <w:tcPr>
            <w:tcW w:w="860" w:type="dxa"/>
            <w:vAlign w:val="bottom"/>
            <w:vMerge w:val="restart"/>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2"/>
                <w:szCs w:val="12"/>
                <w:color w:val="auto"/>
              </w:rPr>
            </w:pPr>
          </w:p>
        </w:tc>
        <w:tc>
          <w:tcPr>
            <w:tcW w:w="6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2"/>
                <w:szCs w:val="12"/>
                <w:color w:val="auto"/>
              </w:rPr>
            </w:pPr>
          </w:p>
        </w:tc>
        <w:tc>
          <w:tcPr>
            <w:tcW w:w="740" w:type="dxa"/>
            <w:vAlign w:val="bottom"/>
          </w:tcPr>
          <w:p>
            <w:pPr>
              <w:jc w:val="right"/>
              <w:ind w:right="102"/>
              <w:spacing w:after="0" w:line="148" w:lineRule="exact"/>
              <w:rPr>
                <w:sz w:val="20"/>
                <w:szCs w:val="20"/>
                <w:color w:val="auto"/>
              </w:rPr>
            </w:pPr>
            <w:r>
              <w:rPr>
                <w:rFonts w:ascii="Times New Roman" w:cs="Times New Roman" w:eastAsia="Times New Roman" w:hAnsi="Times New Roman"/>
                <w:sz w:val="16"/>
                <w:szCs w:val="16"/>
                <w:b w:val="1"/>
                <w:bCs w:val="1"/>
                <w:color w:val="auto"/>
              </w:rPr>
              <w:t>Total of</w:t>
            </w: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 xml:space="preserve">Defaults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7"/>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IBNR</w:t>
            </w: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83</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34</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w:t>
            </w: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4</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699</w:t>
            </w:r>
          </w:p>
        </w:tc>
        <w:tc>
          <w:tcPr>
            <w:tcW w:w="8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664</w:t>
            </w:r>
          </w:p>
        </w:tc>
        <w:tc>
          <w:tcPr>
            <w:tcW w:w="8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743</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764</w:t>
            </w:r>
          </w:p>
        </w:tc>
        <w:tc>
          <w:tcPr>
            <w:tcW w:w="8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894</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894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2,394</w:t>
            </w: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1,568</w:t>
            </w: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1,790</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1,934</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1,936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6,028</w:t>
            </w: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3,475</w:t>
            </w:r>
          </w:p>
        </w:tc>
        <w:tc>
          <w:tcPr>
            <w:tcW w:w="8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3,570</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3,807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7,779</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5,271</w:t>
            </w: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4,709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14,391</w:t>
            </w:r>
          </w:p>
        </w:tc>
        <w:tc>
          <w:tcPr>
            <w:tcW w:w="8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7,229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65,769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56,154</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5"/>
        </w:trPr>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44,334</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0" w:type="dxa"/>
            <w:vAlign w:val="bottom"/>
          </w:tcPr>
          <w:p>
            <w:pPr>
              <w:spacing w:after="0"/>
              <w:rPr>
                <w:sz w:val="1"/>
                <w:szCs w:val="1"/>
                <w:color w:val="auto"/>
              </w:rPr>
            </w:pPr>
          </w:p>
        </w:tc>
      </w:tr>
      <w:tr>
        <w:trPr>
          <w:trHeight w:val="200"/>
        </w:trPr>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00" w:hanging="197"/>
        <w:spacing w:after="0"/>
        <w:tabs>
          <w:tab w:leader="none" w:pos="20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include case and IBNR reserves.</w:t>
      </w:r>
    </w:p>
    <w:p>
      <w:pPr>
        <w:ind w:left="200" w:hanging="197"/>
        <w:spacing w:after="0"/>
        <w:tabs>
          <w:tab w:leader="none" w:pos="200"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Number of defaults outstanding as of December 31,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gridSpan w:val="8"/>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98"/>
              </w:rPr>
              <w:t>Cumulative Paid Claims and Claims Adjustment Expenses, net of Reinsurance</w:t>
            </w: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7"/>
        </w:trPr>
        <w:tc>
          <w:tcPr>
            <w:tcW w:w="60" w:type="dxa"/>
            <w:vAlign w:val="bottom"/>
          </w:tcPr>
          <w:p>
            <w:pPr>
              <w:spacing w:after="0"/>
              <w:rPr>
                <w:sz w:val="14"/>
                <w:szCs w:val="14"/>
                <w:color w:val="auto"/>
              </w:rPr>
            </w:pPr>
          </w:p>
        </w:tc>
        <w:tc>
          <w:tcPr>
            <w:tcW w:w="1440" w:type="dxa"/>
            <w:vAlign w:val="bottom"/>
            <w:gridSpan w:val="3"/>
          </w:tcPr>
          <w:p>
            <w:pPr>
              <w:jc w:val="center"/>
              <w:ind w:right="20"/>
              <w:spacing w:after="0" w:line="167" w:lineRule="exact"/>
              <w:rPr>
                <w:sz w:val="20"/>
                <w:szCs w:val="20"/>
                <w:color w:val="auto"/>
              </w:rPr>
            </w:pPr>
            <w:r>
              <w:rPr>
                <w:rFonts w:ascii="Times New Roman" w:cs="Times New Roman" w:eastAsia="Times New Roman" w:hAnsi="Times New Roman"/>
                <w:sz w:val="16"/>
                <w:szCs w:val="16"/>
                <w:b w:val="1"/>
                <w:bCs w:val="1"/>
                <w:color w:val="auto"/>
                <w:w w:val="95"/>
              </w:rPr>
              <w:t>Accident Year</w:t>
            </w:r>
          </w:p>
        </w:tc>
        <w:tc>
          <w:tcPr>
            <w:tcW w:w="200" w:type="dxa"/>
            <w:vAlign w:val="bottom"/>
          </w:tcPr>
          <w:p>
            <w:pPr>
              <w:spacing w:after="0"/>
              <w:rPr>
                <w:sz w:val="14"/>
                <w:szCs w:val="14"/>
                <w:color w:val="auto"/>
              </w:rPr>
            </w:pPr>
          </w:p>
        </w:tc>
        <w:tc>
          <w:tcPr>
            <w:tcW w:w="1020" w:type="dxa"/>
            <w:vAlign w:val="bottom"/>
          </w:tcPr>
          <w:p>
            <w:pPr>
              <w:jc w:val="right"/>
              <w:ind w:right="502"/>
              <w:spacing w:after="0" w:line="167" w:lineRule="exact"/>
              <w:rPr>
                <w:sz w:val="20"/>
                <w:szCs w:val="20"/>
                <w:color w:val="auto"/>
              </w:rPr>
            </w:pPr>
            <w:r>
              <w:rPr>
                <w:rFonts w:ascii="Times New Roman" w:cs="Times New Roman" w:eastAsia="Times New Roman" w:hAnsi="Times New Roman"/>
                <w:sz w:val="16"/>
                <w:szCs w:val="16"/>
                <w:b w:val="1"/>
                <w:bCs w:val="1"/>
                <w:color w:val="auto"/>
              </w:rPr>
              <w:t>2013</w:t>
            </w:r>
          </w:p>
        </w:tc>
        <w:tc>
          <w:tcPr>
            <w:tcW w:w="920" w:type="dxa"/>
            <w:vAlign w:val="bottom"/>
          </w:tcPr>
          <w:p>
            <w:pPr>
              <w:jc w:val="right"/>
              <w:ind w:right="462"/>
              <w:spacing w:after="0" w:line="167" w:lineRule="exact"/>
              <w:rPr>
                <w:sz w:val="20"/>
                <w:szCs w:val="20"/>
                <w:color w:val="auto"/>
              </w:rPr>
            </w:pPr>
            <w:r>
              <w:rPr>
                <w:rFonts w:ascii="Times New Roman" w:cs="Times New Roman" w:eastAsia="Times New Roman" w:hAnsi="Times New Roman"/>
                <w:sz w:val="16"/>
                <w:szCs w:val="16"/>
                <w:b w:val="1"/>
                <w:bCs w:val="1"/>
                <w:color w:val="auto"/>
              </w:rPr>
              <w:t>2014</w:t>
            </w:r>
          </w:p>
        </w:tc>
        <w:tc>
          <w:tcPr>
            <w:tcW w:w="980" w:type="dxa"/>
            <w:vAlign w:val="bottom"/>
          </w:tcPr>
          <w:p>
            <w:pPr>
              <w:jc w:val="right"/>
              <w:ind w:right="462"/>
              <w:spacing w:after="0" w:line="167" w:lineRule="exact"/>
              <w:rPr>
                <w:sz w:val="20"/>
                <w:szCs w:val="20"/>
                <w:color w:val="auto"/>
              </w:rPr>
            </w:pPr>
            <w:r>
              <w:rPr>
                <w:rFonts w:ascii="Times New Roman" w:cs="Times New Roman" w:eastAsia="Times New Roman" w:hAnsi="Times New Roman"/>
                <w:sz w:val="16"/>
                <w:szCs w:val="16"/>
                <w:b w:val="1"/>
                <w:bCs w:val="1"/>
                <w:color w:val="auto"/>
              </w:rPr>
              <w:t>2015</w:t>
            </w:r>
          </w:p>
        </w:tc>
        <w:tc>
          <w:tcPr>
            <w:tcW w:w="44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2016</w:t>
            </w:r>
          </w:p>
        </w:tc>
        <w:tc>
          <w:tcPr>
            <w:tcW w:w="98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2017</w:t>
            </w:r>
          </w:p>
        </w:tc>
        <w:tc>
          <w:tcPr>
            <w:tcW w:w="520" w:type="dxa"/>
            <w:vAlign w:val="bottom"/>
          </w:tcPr>
          <w:p>
            <w:pPr>
              <w:spacing w:after="0"/>
              <w:rPr>
                <w:sz w:val="14"/>
                <w:szCs w:val="14"/>
                <w:color w:val="auto"/>
              </w:rPr>
            </w:pPr>
          </w:p>
        </w:tc>
        <w:tc>
          <w:tcPr>
            <w:tcW w:w="980" w:type="dxa"/>
            <w:vAlign w:val="bottom"/>
          </w:tcPr>
          <w:p>
            <w:pPr>
              <w:jc w:val="right"/>
              <w:ind w:right="482"/>
              <w:spacing w:after="0" w:line="167" w:lineRule="exact"/>
              <w:rPr>
                <w:sz w:val="20"/>
                <w:szCs w:val="20"/>
                <w:color w:val="auto"/>
              </w:rPr>
            </w:pPr>
            <w:r>
              <w:rPr>
                <w:rFonts w:ascii="Times New Roman" w:cs="Times New Roman" w:eastAsia="Times New Roman" w:hAnsi="Times New Roman"/>
                <w:sz w:val="16"/>
                <w:szCs w:val="16"/>
                <w:b w:val="1"/>
                <w:bCs w:val="1"/>
                <w:color w:val="auto"/>
              </w:rPr>
              <w:t>2018</w:t>
            </w:r>
          </w:p>
        </w:tc>
        <w:tc>
          <w:tcPr>
            <w:tcW w:w="660" w:type="dxa"/>
            <w:vAlign w:val="bottom"/>
          </w:tcPr>
          <w:p>
            <w:pPr>
              <w:jc w:val="right"/>
              <w:ind w:right="162"/>
              <w:spacing w:after="0" w:line="167" w:lineRule="exact"/>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Pr>
          <w:p>
            <w:pPr>
              <w:spacing w:after="0"/>
              <w:rPr>
                <w:sz w:val="14"/>
                <w:szCs w:val="14"/>
                <w:color w:val="auto"/>
              </w:rPr>
            </w:pPr>
          </w:p>
        </w:tc>
        <w:tc>
          <w:tcPr>
            <w:tcW w:w="980" w:type="dxa"/>
            <w:vAlign w:val="bottom"/>
          </w:tcPr>
          <w:p>
            <w:pPr>
              <w:jc w:val="right"/>
              <w:ind w:right="482"/>
              <w:spacing w:after="0" w:line="167" w:lineRule="exact"/>
              <w:rPr>
                <w:sz w:val="20"/>
                <w:szCs w:val="20"/>
                <w:color w:val="auto"/>
              </w:rPr>
            </w:pPr>
            <w:r>
              <w:rPr>
                <w:rFonts w:ascii="Times New Roman" w:cs="Times New Roman" w:eastAsia="Times New Roman" w:hAnsi="Times New Roman"/>
                <w:sz w:val="16"/>
                <w:szCs w:val="16"/>
                <w:b w:val="1"/>
                <w:bCs w:val="1"/>
                <w:color w:val="auto"/>
              </w:rPr>
              <w:t>2020</w:t>
            </w:r>
          </w:p>
        </w:tc>
        <w:tc>
          <w:tcPr>
            <w:tcW w:w="760" w:type="dxa"/>
            <w:vAlign w:val="bottom"/>
          </w:tcPr>
          <w:p>
            <w:pPr>
              <w:jc w:val="right"/>
              <w:ind w:right="262"/>
              <w:spacing w:after="0" w:line="167" w:lineRule="exact"/>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4"/>
                <w:szCs w:val="14"/>
                <w:color w:val="auto"/>
              </w:rPr>
            </w:pPr>
          </w:p>
        </w:tc>
        <w:tc>
          <w:tcPr>
            <w:tcW w:w="640" w:type="dxa"/>
            <w:vAlign w:val="bottom"/>
          </w:tcPr>
          <w:p>
            <w:pPr>
              <w:jc w:val="right"/>
              <w:ind w:right="262"/>
              <w:spacing w:after="0" w:line="167" w:lineRule="exact"/>
              <w:rPr>
                <w:sz w:val="20"/>
                <w:szCs w:val="20"/>
                <w:color w:val="auto"/>
              </w:rPr>
            </w:pPr>
            <w:r>
              <w:rPr>
                <w:rFonts w:ascii="Times New Roman" w:cs="Times New Roman" w:eastAsia="Times New Roman" w:hAnsi="Times New Roman"/>
                <w:sz w:val="16"/>
                <w:szCs w:val="16"/>
                <w:b w:val="1"/>
                <w:bCs w:val="1"/>
                <w:color w:val="auto"/>
                <w:w w:val="87"/>
              </w:rPr>
              <w:t>2022</w:t>
            </w:r>
          </w:p>
        </w:tc>
        <w:tc>
          <w:tcPr>
            <w:tcW w:w="4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80" w:type="dxa"/>
            <w:vAlign w:val="bottom"/>
            <w:gridSpan w:val="3"/>
          </w:tcPr>
          <w:p>
            <w:pPr>
              <w:jc w:val="right"/>
              <w:ind w:right="70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8"/>
        </w:trPr>
        <w:tc>
          <w:tcPr>
            <w:tcW w:w="60" w:type="dxa"/>
            <w:vAlign w:val="bottom"/>
          </w:tcPr>
          <w:p>
            <w:pPr>
              <w:spacing w:after="0"/>
              <w:rPr>
                <w:sz w:val="18"/>
                <w:szCs w:val="18"/>
                <w:color w:val="auto"/>
              </w:rPr>
            </w:pPr>
          </w:p>
        </w:tc>
        <w:tc>
          <w:tcPr>
            <w:tcW w:w="118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118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tcPr>
          <w:p>
            <w:pPr>
              <w:spacing w:after="0"/>
              <w:rPr>
                <w:sz w:val="17"/>
                <w:szCs w:val="17"/>
                <w:color w:val="auto"/>
              </w:rPr>
            </w:pPr>
          </w:p>
        </w:tc>
        <w:tc>
          <w:tcPr>
            <w:tcW w:w="980" w:type="dxa"/>
            <w:vAlign w:val="bottom"/>
          </w:tcPr>
          <w:p>
            <w:pPr>
              <w:jc w:val="right"/>
              <w:ind w:right="645"/>
              <w:spacing w:after="0"/>
              <w:rPr>
                <w:sz w:val="20"/>
                <w:szCs w:val="20"/>
                <w:color w:val="auto"/>
              </w:rPr>
            </w:pPr>
            <w:r>
              <w:rPr>
                <w:rFonts w:ascii="Times New Roman" w:cs="Times New Roman" w:eastAsia="Times New Roman" w:hAnsi="Times New Roman"/>
                <w:sz w:val="16"/>
                <w:szCs w:val="16"/>
                <w:color w:val="auto"/>
              </w:rPr>
              <w:t>4</w:t>
            </w:r>
          </w:p>
        </w:tc>
        <w:tc>
          <w:tcPr>
            <w:tcW w:w="5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4</w:t>
            </w:r>
          </w:p>
        </w:tc>
        <w:tc>
          <w:tcPr>
            <w:tcW w:w="96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118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50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w w:val="99"/>
              </w:rPr>
              <w:t>246</w:t>
            </w:r>
          </w:p>
        </w:tc>
        <w:tc>
          <w:tcPr>
            <w:tcW w:w="5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1"/>
              </w:rPr>
              <w:t>684</w:t>
            </w:r>
          </w:p>
        </w:tc>
        <w:tc>
          <w:tcPr>
            <w:tcW w:w="9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720</w:t>
            </w:r>
          </w:p>
        </w:tc>
        <w:tc>
          <w:tcPr>
            <w:tcW w:w="9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804</w:t>
            </w:r>
          </w:p>
        </w:tc>
        <w:tc>
          <w:tcPr>
            <w:tcW w:w="9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894</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4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118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645"/>
              <w:spacing w:after="0"/>
              <w:rPr>
                <w:sz w:val="20"/>
                <w:szCs w:val="20"/>
                <w:color w:val="auto"/>
              </w:rPr>
            </w:pPr>
            <w:r>
              <w:rPr>
                <w:rFonts w:ascii="Times New Roman" w:cs="Times New Roman" w:eastAsia="Times New Roman" w:hAnsi="Times New Roman"/>
                <w:sz w:val="16"/>
                <w:szCs w:val="16"/>
                <w:color w:val="auto"/>
                <w:w w:val="99"/>
              </w:rPr>
              <w:t>171</w:t>
            </w:r>
          </w:p>
        </w:tc>
        <w:tc>
          <w:tcPr>
            <w:tcW w:w="5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1"/>
              </w:rPr>
              <w:t>890</w:t>
            </w: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1,596</w:t>
            </w:r>
          </w:p>
        </w:tc>
        <w:tc>
          <w:tcPr>
            <w:tcW w:w="96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1,826</w:t>
            </w: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1,827</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1,877</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4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118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27</w:t>
            </w:r>
          </w:p>
        </w:tc>
        <w:tc>
          <w:tcPr>
            <w:tcW w:w="9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1,655</w:t>
            </w:r>
          </w:p>
        </w:tc>
        <w:tc>
          <w:tcPr>
            <w:tcW w:w="9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2,925</w:t>
            </w:r>
          </w:p>
        </w:tc>
        <w:tc>
          <w:tcPr>
            <w:tcW w:w="9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3,494</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4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118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130</w:t>
            </w:r>
          </w:p>
        </w:tc>
        <w:tc>
          <w:tcPr>
            <w:tcW w:w="96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1,981</w:t>
            </w: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3,537</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3,780</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4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118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3"/>
              </w:rPr>
              <w:t>2019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69</w:t>
            </w:r>
          </w:p>
        </w:tc>
        <w:tc>
          <w:tcPr>
            <w:tcW w:w="9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2,368</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3,212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40" w:type="dxa"/>
            <w:vAlign w:val="bottom"/>
          </w:tcPr>
          <w:p>
            <w:pPr>
              <w:spacing w:after="0"/>
              <w:rPr>
                <w:sz w:val="18"/>
                <w:szCs w:val="18"/>
                <w:color w:val="auto"/>
              </w:rPr>
            </w:pPr>
          </w:p>
        </w:tc>
      </w:tr>
      <w:tr>
        <w:trPr>
          <w:trHeight w:val="202"/>
        </w:trPr>
        <w:tc>
          <w:tcPr>
            <w:tcW w:w="60" w:type="dxa"/>
            <w:vAlign w:val="bottom"/>
          </w:tcPr>
          <w:p>
            <w:pPr>
              <w:spacing w:after="0"/>
              <w:rPr>
                <w:sz w:val="17"/>
                <w:szCs w:val="17"/>
                <w:color w:val="auto"/>
              </w:rPr>
            </w:pPr>
          </w:p>
        </w:tc>
        <w:tc>
          <w:tcPr>
            <w:tcW w:w="118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93"/>
              </w:rPr>
              <w:t>2020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586</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1,320</w:t>
            </w: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4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118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3"/>
              </w:rPr>
              <w:t>2021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40" w:type="dxa"/>
            <w:vAlign w:val="bottom"/>
          </w:tcPr>
          <w:p>
            <w:pPr>
              <w:spacing w:after="0"/>
              <w:rPr>
                <w:sz w:val="18"/>
                <w:szCs w:val="18"/>
                <w:color w:val="auto"/>
              </w:rPr>
            </w:pPr>
          </w:p>
        </w:tc>
      </w:tr>
      <w:tr>
        <w:trPr>
          <w:trHeight w:val="205"/>
        </w:trPr>
        <w:tc>
          <w:tcPr>
            <w:tcW w:w="60" w:type="dxa"/>
            <w:vAlign w:val="bottom"/>
          </w:tcPr>
          <w:p>
            <w:pPr>
              <w:spacing w:after="0"/>
              <w:rPr>
                <w:sz w:val="17"/>
                <w:szCs w:val="17"/>
                <w:color w:val="auto"/>
              </w:rPr>
            </w:pPr>
          </w:p>
        </w:tc>
        <w:tc>
          <w:tcPr>
            <w:tcW w:w="1180" w:type="dxa"/>
            <w:vAlign w:val="bottom"/>
            <w:tcBorders>
              <w:bottom w:val="single" w:sz="8" w:color="CCEEFF"/>
            </w:tcBorders>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93"/>
              </w:rPr>
              <w:t>2022</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0" w:type="dxa"/>
            <w:vAlign w:val="bottom"/>
          </w:tcPr>
          <w:p>
            <w:pPr>
              <w:spacing w:after="0"/>
              <w:rPr>
                <w:sz w:val="17"/>
                <w:szCs w:val="17"/>
                <w:color w:val="auto"/>
              </w:rPr>
            </w:pPr>
          </w:p>
        </w:tc>
      </w:tr>
      <w:tr>
        <w:trPr>
          <w:trHeight w:val="202"/>
        </w:trPr>
        <w:tc>
          <w:tcPr>
            <w:tcW w:w="6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40" w:type="dxa"/>
            <w:vAlign w:val="bottom"/>
          </w:tcPr>
          <w:p>
            <w:pPr>
              <w:spacing w:after="0"/>
              <w:rPr>
                <w:sz w:val="17"/>
                <w:szCs w:val="17"/>
                <w:color w:val="auto"/>
              </w:rPr>
            </w:pPr>
          </w:p>
        </w:tc>
      </w:tr>
      <w:tr>
        <w:trPr>
          <w:trHeight w:val="391"/>
        </w:trPr>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60" w:type="dxa"/>
            <w:vAlign w:val="bottom"/>
            <w:gridSpan w:val="13"/>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w w:val="98"/>
              </w:rPr>
              <w:t>Reconciliation of Disclosure of Incurred and Paid Claims Development to the Liability for Unpaid Claims and Claim Adjustment Expenses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5"/>
        </w:trPr>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03"/>
        </w:trPr>
        <w:tc>
          <w:tcPr>
            <w:tcW w:w="60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Incurred Claims and Allocated Claims Adjustment Expenses, net of Reinsurance</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92,928</w:t>
            </w:r>
          </w:p>
        </w:tc>
        <w:tc>
          <w:tcPr>
            <w:tcW w:w="40" w:type="dxa"/>
            <w:vAlign w:val="bottom"/>
            <w:shd w:val="clear" w:color="auto" w:fill="CCEEFF"/>
          </w:tcPr>
          <w:p>
            <w:pPr>
              <w:spacing w:after="0"/>
              <w:rPr>
                <w:sz w:val="17"/>
                <w:szCs w:val="17"/>
                <w:color w:val="auto"/>
              </w:rPr>
            </w:pPr>
          </w:p>
        </w:tc>
      </w:tr>
      <w:tr>
        <w:trPr>
          <w:trHeight w:val="205"/>
        </w:trPr>
        <w:tc>
          <w:tcPr>
            <w:tcW w:w="506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6"/>
                <w:szCs w:val="16"/>
                <w:color w:val="auto"/>
                <w:w w:val="99"/>
              </w:rPr>
              <w:t>Cumulative Paid Claims and Claims Adjustment Expenses, net of Reinsurance</w:t>
            </w:r>
          </w:p>
        </w:tc>
        <w:tc>
          <w:tcPr>
            <w:tcW w:w="9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40" w:type="dxa"/>
            <w:vAlign w:val="bottom"/>
            <w:tcBorders>
              <w:bottom w:val="single" w:sz="8" w:color="auto"/>
            </w:tcBorders>
          </w:tcPr>
          <w:p>
            <w:pPr>
              <w:spacing w:after="0"/>
              <w:rPr>
                <w:sz w:val="17"/>
                <w:szCs w:val="17"/>
                <w:color w:val="auto"/>
              </w:rPr>
            </w:pPr>
          </w:p>
        </w:tc>
      </w:tr>
      <w:tr>
        <w:trPr>
          <w:trHeight w:val="202"/>
        </w:trPr>
        <w:tc>
          <w:tcPr>
            <w:tcW w:w="60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for unpaid claims and allocated claims adjustment expenses, net of reinsurance</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76,797</w:t>
            </w:r>
          </w:p>
        </w:tc>
        <w:tc>
          <w:tcPr>
            <w:tcW w:w="40" w:type="dxa"/>
            <w:vAlign w:val="bottom"/>
            <w:shd w:val="clear" w:color="auto" w:fill="CCEEFF"/>
          </w:tcPr>
          <w:p>
            <w:pPr>
              <w:spacing w:after="0"/>
              <w:rPr>
                <w:sz w:val="17"/>
                <w:szCs w:val="17"/>
                <w:color w:val="auto"/>
              </w:rPr>
            </w:pPr>
          </w:p>
        </w:tc>
      </w:tr>
      <w:tr>
        <w:trPr>
          <w:trHeight w:val="205"/>
        </w:trPr>
        <w:tc>
          <w:tcPr>
            <w:tcW w:w="27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w w:val="98"/>
              </w:rPr>
              <w:t>Reinsurance recoverable on unpaid claims</w:t>
            </w: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40" w:type="dxa"/>
            <w:vAlign w:val="bottom"/>
          </w:tcPr>
          <w:p>
            <w:pPr>
              <w:spacing w:after="0"/>
              <w:rPr>
                <w:sz w:val="17"/>
                <w:szCs w:val="17"/>
                <w:color w:val="auto"/>
              </w:rPr>
            </w:pPr>
          </w:p>
        </w:tc>
      </w:tr>
      <w:tr>
        <w:trPr>
          <w:trHeight w:val="209"/>
        </w:trPr>
        <w:tc>
          <w:tcPr>
            <w:tcW w:w="27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claims adjustment expenses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40" w:type="dxa"/>
            <w:vAlign w:val="bottom"/>
            <w:tcBorders>
              <w:bottom w:val="single" w:sz="8" w:color="auto"/>
            </w:tcBorders>
            <w:shd w:val="clear" w:color="auto" w:fill="CCEEFF"/>
          </w:tcPr>
          <w:p>
            <w:pPr>
              <w:spacing w:after="0"/>
              <w:rPr>
                <w:sz w:val="18"/>
                <w:szCs w:val="18"/>
                <w:color w:val="auto"/>
              </w:rPr>
            </w:pPr>
          </w:p>
        </w:tc>
      </w:tr>
      <w:tr>
        <w:trPr>
          <w:trHeight w:val="200"/>
        </w:trPr>
        <w:tc>
          <w:tcPr>
            <w:tcW w:w="46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Total gross liability for unpaid claims and claim adjustment expenses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99,836</w:t>
            </w:r>
          </w:p>
        </w:tc>
        <w:tc>
          <w:tcPr>
            <w:tcW w:w="40" w:type="dxa"/>
            <w:vAlign w:val="bottom"/>
            <w:tcBorders>
              <w:bottom w:val="single" w:sz="8" w:color="auto"/>
            </w:tcBorders>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shows the average percentage of claims and allocated claims adjustment expenses paid in the years following the incurrence of a claim as of December 31, 2022:</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8540" w:type="dxa"/>
            <w:vAlign w:val="bottom"/>
            <w:tcBorders>
              <w:bottom w:val="single" w:sz="8" w:color="auto"/>
            </w:tcBorders>
            <w:gridSpan w:val="10"/>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9"/>
              </w:rPr>
              <w:t>Average annual percentage payout of incurred claims and allocated claims adjustment expenses by age, net of reinsurance</w:t>
            </w:r>
          </w:p>
        </w:tc>
      </w:tr>
      <w:tr>
        <w:trPr>
          <w:trHeight w:val="201"/>
        </w:trPr>
        <w:tc>
          <w:tcPr>
            <w:tcW w:w="26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Year 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Year 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Year 3</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Year 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6</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Year 7</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w w:val="87"/>
              </w:rPr>
              <w:t>Year 8</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9</w:t>
            </w:r>
          </w:p>
        </w:tc>
      </w:tr>
      <w:tr>
        <w:trPr>
          <w:trHeight w:val="201"/>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Claims duration disclosure</w:t>
            </w:r>
          </w:p>
        </w:tc>
        <w:tc>
          <w:tcPr>
            <w:tcW w:w="8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38%</w:t>
            </w:r>
          </w:p>
        </w:tc>
        <w:tc>
          <w:tcPr>
            <w:tcW w:w="9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25%</w:t>
            </w:r>
          </w:p>
        </w:tc>
        <w:tc>
          <w:tcPr>
            <w:tcW w:w="92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7%</w:t>
            </w:r>
          </w:p>
        </w:tc>
        <w:tc>
          <w:tcPr>
            <w:tcW w:w="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3%</w:t>
            </w:r>
          </w:p>
        </w:tc>
        <w:tc>
          <w:tcPr>
            <w:tcW w:w="92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3%</w:t>
            </w:r>
          </w:p>
        </w:tc>
        <w:tc>
          <w:tcPr>
            <w:tcW w:w="9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4"/>
              </w:rPr>
              <w:t>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w:t>
      </w:r>
    </w:p>
    <w:p>
      <w:pPr>
        <w:spacing w:after="0" w:line="6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reconciles the net income and the weighted average shares of common stock outstanding used in the computations of basic and diluted EPS of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6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8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6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i w:val="1"/>
                <w:iCs w:val="1"/>
                <w:color w:val="auto"/>
                <w:w w:val="97"/>
              </w:rPr>
              <w:t>(In Thousands, except for per share data)</w:t>
            </w:r>
          </w:p>
        </w:tc>
        <w:tc>
          <w:tcPr>
            <w:tcW w:w="128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78,023</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(2,907)</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168,659</w:t>
            </w:r>
          </w:p>
        </w:tc>
      </w:tr>
      <w:tr>
        <w:trPr>
          <w:trHeight w:val="246"/>
        </w:trPr>
        <w:tc>
          <w:tcPr>
            <w:tcW w:w="5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78,023</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issuable shares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79,263</w:t>
            </w:r>
          </w:p>
        </w:tc>
      </w:tr>
      <w:tr>
        <w:trPr>
          <w:trHeight w:val="246"/>
        </w:trPr>
        <w:tc>
          <w:tcPr>
            <w:tcW w:w="58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Anti-dilutive shares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Warrants</w:t>
      </w:r>
    </w:p>
    <w:p>
      <w:pPr>
        <w:spacing w:after="0" w:line="16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issued 992 thousand warrants in connection with a private placement of our common stock in April 2012 with a ten-year contractual term that expired in April 2022. Each warrant provided the holder thereof the right to purchase one share of common stock at an exercise price equal to $10.00. The warrants were issued with an aggregate fair value of $5.1 million. On April 24, 2022, 90 thousand warrants expired unexercised, resulting in a gain of approximately $0.9 million.</w:t>
      </w:r>
    </w:p>
    <w:p>
      <w:pPr>
        <w:spacing w:after="0" w:line="32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 warrants remained outstanding as of December 31, 2022. During the year ended December 31, 2022, 110 thousand warrants were exercised resulting in the issuance of 84 thousand shares of common stock. Upon exercise, we reclassified approximately $1.3 million of warrant fair value from warrant liability to additional paid-in capital. During the year ended December 31, 2021, 113 thousand warrants were exercised resulting in the issuance of 86 thousand shares of common stock. Upon exercise, we reclassified approximately $1.5 million of warrant fair value from warrant liability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Share-Based Compensation</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Share-based compensation includes stock options, service-based RSUs and performance and service based RSUs granted under our 2012 Stock Incentive Plan (2012 Plan) and our Amended and Restated 2014 Omnibus Incentive Plan (2014 Plan, and together with the 2012 Plan, the Stock Plans).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2012 Plan was approved by the Board on April 16, 2012 and authorized 5.5 million shares of common stock to be reserved for issuance, with limits of 3.85 million shares available for stock option issuance and 1.65 million shares available for RSU issuance. The 2012 Plan expired on April 24, 2022, with all unissued shares of common stock remaining under the 2012 Plan expiring thereafter. Share-based compensation previously issued under the 2012 Plan remains outstanding following the 2012 Plan expiry to the extent non-exercised or non-vested.</w:t>
      </w:r>
    </w:p>
    <w:p>
      <w:pPr>
        <w:spacing w:after="0" w:line="11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with the full amount available to be issued as either RSUs or options. On May 12, 2022, our stockholders approved further amendments to the 2014 Plan, authorizing an additional 2.25 million shares of common stock for issuance, increasing the total shares of common stock reserved for issuance under the plan to 8.25 million with the full amount available to be issued as either RSUs or options. These shares may be either authorized but unissued shares or treasury shares. Options granted under the 2014 Plan are non-qualified stock options and may be granted to employees, directors and other key persons. The exercise price per share for options covered by the 2014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was granted. The vesting period of the stock option grants is also established by the Board at the time of grant and is generally expected to be a three-year period.</w:t>
      </w:r>
    </w:p>
    <w:p>
      <w:pPr>
        <w:spacing w:after="0" w:line="12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For the years ended December 31, 2022, 2021 and 2020, we incurred $15.4 million, $16.7 million and $11.1 million, respectively, of expenses related to awards granted under the Stock Plans. We recognized gross income tax benefits of $3.2 million, $3.5 million and $2.3 million for the years ended December 31, 2022, 2021 and 2020, respectively.</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option activity during the years ended December 31, 2022, 2021 and 2020,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7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 Exercise</w:t>
            </w:r>
          </w:p>
        </w:tc>
        <w:tc>
          <w:tcPr>
            <w:tcW w:w="0" w:type="dxa"/>
            <w:vAlign w:val="bottom"/>
          </w:tcPr>
          <w:p>
            <w:pPr>
              <w:spacing w:after="0"/>
              <w:rPr>
                <w:sz w:val="1"/>
                <w:szCs w:val="1"/>
                <w:color w:val="auto"/>
              </w:rPr>
            </w:pPr>
          </w:p>
        </w:tc>
      </w:tr>
      <w:tr>
        <w:trPr>
          <w:trHeight w:val="188"/>
        </w:trPr>
        <w:tc>
          <w:tcPr>
            <w:tcW w:w="5840" w:type="dxa"/>
            <w:vAlign w:val="bottom"/>
            <w:gridSpan w:val="3"/>
            <w:vMerge w:val="continue"/>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w w:val="98"/>
              </w:rPr>
              <w:t>(Shares in Thousands)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2021</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1,371</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7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2022</w:t>
            </w: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7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2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(Shares in Thousands)</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6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1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0" w:type="dxa"/>
            <w:vAlign w:val="bottom"/>
          </w:tcPr>
          <w:p>
            <w:pPr>
              <w:spacing w:after="0"/>
              <w:rPr>
                <w:sz w:val="1"/>
                <w:szCs w:val="1"/>
                <w:color w:val="auto"/>
              </w:rPr>
            </w:pPr>
          </w:p>
        </w:tc>
      </w:tr>
      <w:tr>
        <w:trPr>
          <w:trHeight w:val="188"/>
        </w:trPr>
        <w:tc>
          <w:tcPr>
            <w:tcW w:w="584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(Shares 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2019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2020</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2022, there were 1.1 million fully vested and exercisable options. During the year ended December 31, 2022, 0.2 million options were exercised with an aggregate intrinsic value of $2.0 million.</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weighted average exercise price for fully vested and exercisable options outstanding as of December 31, 2022 was $13.48 and the weighted average remaining contractual life of such options was 3.69 years as of December 31, 2022. The aggregate intrinsic value of such fully vested and exercisable options was $8.6 million as of December 31, 2022.</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No stock options were granted during the years ended December 31, 2022, 2021 and 2020. As of December 31, 2022, all outstanding options had vested and no unrecognized compensation cost related to non-vested stock options remained.</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RSU activity during the years ended December 31, 2022, 2021 and 2020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6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56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2"/>
                <w:szCs w:val="22"/>
                <w:color w:val="auto"/>
              </w:rPr>
            </w:pPr>
          </w:p>
        </w:tc>
        <w:tc>
          <w:tcPr>
            <w:tcW w:w="16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356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1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4"/>
                <w:szCs w:val="24"/>
                <w:color w:val="auto"/>
              </w:rPr>
            </w:pPr>
          </w:p>
        </w:tc>
        <w:tc>
          <w:tcPr>
            <w:tcW w:w="16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56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2019</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At December 31, 2022, we had 1.2 million granted and non-vested RSUs, consisting of 0.8 million RSUs that are subject to service condition vesting requirements and 0.4 million RSUs that are subject to performance and service condition vesting requirements. The total fair value of RSUs vested during the year ended December 31, 2022 was $11.6 million. The remaining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weighted average contractual life of non-vested RSUs was 1.27 years. As of December 31, 2022 and 2021, there was $10.2 million and $8.8 million of total unrecognized compensation costs related to non-vested RSUs, respectively. The weighted-average period over which total remaining unrecognized compensation costs related to non-vested RSUs outstanding at December 31, 2022 will be recognized is 1.28 years.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Non-vested RSUs subject to service condition vesting requirements vest over a period ranging from one to three years. Non-vested RSUs subject to performance and service condition vesting requirements vest after a three-year period, with the number of shares issued upon vesting based on the actual achievement of compound annual book value per share growth compared to a target established at the time of grant. The grant date fair value of non-vested RSUs is measured as the closing price of our common stock on the date of grant less the present value of anticipated dividends to be paid during the vesting period.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401(k) Savings Plan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2022, 2021 and 2020, we incurred approximately $2.0 million, $2.0 million and $2.2 million of expense related to our matching 401(k) Plan contributions,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NMIH files a consolidated U.S. federal and various state income tax returns on behalf of itself and its subsidiaries.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income tax expense consists of the following components: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84,393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46,506</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expense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46,540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the years ended December 31, 2022, 2021 and 2020, we had income tax expenses of $84.4 million, $65.6 million, and $46.5 million, respectively, including amounts related to current state income taxes and changes to our federal and state net deferred tax liability.</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reconciliation between the federal statutory income tax rate and our effective income tax rate:</w:t>
      </w:r>
    </w:p>
    <w:p>
      <w:pPr>
        <w:spacing w:after="0" w:line="13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6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8"/>
        </w:trPr>
        <w:tc>
          <w:tcPr>
            <w:tcW w:w="6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7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State provision</w:t>
            </w: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7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Share-based and other compensation</w:t>
            </w:r>
          </w:p>
        </w:tc>
        <w:tc>
          <w:tcPr>
            <w:tcW w:w="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7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Warrant gain</w:t>
            </w:r>
          </w:p>
        </w:tc>
        <w:tc>
          <w:tcPr>
            <w:tcW w:w="5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(0.3)</w:t>
            </w:r>
          </w:p>
        </w:tc>
      </w:tr>
      <w:tr>
        <w:trPr>
          <w:trHeight w:val="220"/>
        </w:trPr>
        <w:tc>
          <w:tcPr>
            <w:tcW w:w="6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21.3 %</w:t>
            </w:r>
          </w:p>
        </w:tc>
      </w:tr>
      <w:tr>
        <w:trPr>
          <w:trHeight w:val="20"/>
        </w:trPr>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our net deferred tax liability are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15"/>
                <w:szCs w:val="15"/>
                <w:color w:val="auto"/>
              </w:rPr>
            </w:pPr>
          </w:p>
        </w:tc>
      </w:tr>
      <w:tr>
        <w:trPr>
          <w:trHeight w:val="23"/>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76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1020" w:type="dxa"/>
            <w:vAlign w:val="bottom"/>
          </w:tcPr>
          <w:p>
            <w:pPr>
              <w:spacing w:after="0"/>
              <w:rPr>
                <w:sz w:val="17"/>
                <w:szCs w:val="17"/>
                <w:color w:val="auto"/>
              </w:rPr>
            </w:pPr>
          </w:p>
        </w:tc>
        <w:tc>
          <w:tcPr>
            <w:tcW w:w="144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7"/>
                <w:szCs w:val="17"/>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loss on investments</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 forwards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8,759</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6,090</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Unearned premium reserve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5,878</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2,852</w:t>
            </w: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asset</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24,646</w:t>
            </w:r>
          </w:p>
        </w:tc>
      </w:tr>
      <w:tr>
        <w:trPr>
          <w:trHeight w:val="22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(8,888)</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(8,582)</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67,186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16,064</w:t>
            </w:r>
          </w:p>
        </w:tc>
      </w:tr>
      <w:tr>
        <w:trPr>
          <w:trHeight w:val="20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Contingency reserve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(242,192)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(157,919)</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acquisition costs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(12,797)</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software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(7,286)</w:t>
            </w: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10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liability</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(261,045)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(180,239)</w:t>
            </w: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(193,859)</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(164,175)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years ended December 31, 2022, 2021 and 2020, we purchased $65.2 million, $42.9 million and $38.8 million, of tax and loss bonds, respectively. As a result, we had no current federal income tax provision for the years ended December 31, 2022, 2021 and 2020. As of December 31, 2022 and 2021, we held $154.4 million and $89.2 million of tax and loss bonds, respectively, in "Prepaid federal income taxes" on our consolidated balance sheets.</w:t>
      </w:r>
    </w:p>
    <w:p>
      <w:pPr>
        <w:spacing w:after="0" w:line="18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At December 31, 2022, we had a federal net operating loss carryforward of $1.5 million which expires in varying amounts in 2030 and 2031, and state net operating loss carryforward of $133.2 million which expire in varying amounts from 2031 to 2043. Section 382 of the IRC imposes annual limitations on a corporation's ability to utilize its net operating loss carryforwards if it experiences an "ownership change." As a result of the acquisition of our insurance subsidiaries in 2012, $7.3 million of federal net operating losses were subject to annual limitations of $0.8 million through 2016, $0.5 million in 2017 and $0.3 million, thereafter, through 2028. Our federal net operating loss carryforward arises from this limitation and the constraint on our ability to utilize the net operating loss carryforward in full during the current period.</w:t>
      </w:r>
    </w:p>
    <w:p>
      <w:pPr>
        <w:spacing w:after="0" w:line="19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At December 31, 2022 and 2021, we recorded valuation allowances of $8.9 million and $8.6 million, respectively, against state net deferred tax assets that may not be realized in future periods. The valuation allowances for both years primarily relate to state net operating losses generated by NMIH, as NMIH operates at a loss and currently only generates revenue from its investment portfolio.</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2022 and 2021, we had zero reserves for unrecognized tax benefits as we have taken no material uncertain tax positions that would have required a reserve to be measured and recognized.</w:t>
      </w:r>
    </w:p>
    <w:p>
      <w:pPr>
        <w:spacing w:after="0" w:line="17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file income tax returns with the U.S. federal government and various state jurisdictions that are subject to potential examination by tax authorities. We are not currently under examination by federal or state jurisdictions. Our U.S. federal income tax returns for 2019 and subsequent years, and state income tax returns for 2018 and subsequent years, remain open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Software and Equipment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Software and equipment consist largely of capitalized software developed to support our mortgage insurance operations. Software and equipment, net of accumulated amortization and depreciation, as of December 31, 2022 and 2021, consists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c>
          <w:tcPr>
            <w:tcW w:w="15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r>
      <w:tr>
        <w:trPr>
          <w:trHeight w:val="181"/>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72,481</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9,654</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85,537</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(53,490)</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32,047</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Capitalized costs for software, equipment, and leasehold improvements during the years ended December 31, 2022, 2021 and 2020 were $11.8 million, $13.6 million and $14.5 million, respectively. Amortization and depreciation expense for software, equipment, and leasehold improvements for the years ended December 31, 2022, 2021 and 2020 were $11.9 million, $11.2 million and $9.9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Intangible Assets and Goodwill</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Intangible assets and goodwill consist of identifiable intangible assets and goodwill purchased in connection with the acquisition of our insurance subsidiaries. Intangible assets and goodwill as of both December 31, 2022 and 2021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35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Expected Lives</w:t>
            </w: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licenses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applications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 and goodwill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test goodwill and intangible assets for impairment annually or more frequently if we believe indicators of impairment exist. No impairments of indefinite-lived intangibles or goodwill were identified during the years ended December 31, 2022, 2021 and 2020.</w:t>
      </w:r>
    </w:p>
    <w:p>
      <w:pPr>
        <w:spacing w:after="0" w:line="93" w:lineRule="exact"/>
        <w:rPr>
          <w:sz w:val="20"/>
          <w:szCs w:val="20"/>
          <w:color w:val="auto"/>
        </w:rPr>
      </w:pPr>
    </w:p>
    <w:p>
      <w:pPr>
        <w:ind w:left="620" w:right="8540" w:hanging="617"/>
        <w:spacing w:after="0" w:line="444" w:lineRule="auto"/>
        <w:tabs>
          <w:tab w:leader="none" w:pos="258"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PMIERs</w:t>
      </w:r>
    </w:p>
    <w:p>
      <w:pPr>
        <w:spacing w:after="0" w:line="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current vs. delinquent), LTV and other risk features. In general, higher quality loans carry lower charges.</w:t>
      </w:r>
    </w:p>
    <w:p>
      <w:pPr>
        <w:spacing w:after="0" w:line="119" w:lineRule="exact"/>
        <w:rPr>
          <w:sz w:val="20"/>
          <w:szCs w:val="20"/>
          <w:color w:val="auto"/>
        </w:rPr>
      </w:pPr>
    </w:p>
    <w:p>
      <w:pPr>
        <w:jc w:val="both"/>
        <w:ind w:firstLine="621"/>
        <w:spacing w:after="0" w:line="265"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risk-based required asset amount</w:t>
      </w:r>
      <w:r>
        <w:rPr>
          <w:rFonts w:ascii="Times New Roman" w:cs="Times New Roman" w:eastAsia="Times New Roman" w:hAnsi="Times New Roman"/>
          <w:sz w:val="17"/>
          <w:szCs w:val="17"/>
          <w:color w:val="auto"/>
        </w:rPr>
        <w:t xml:space="preserve">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against certain risk-based factors derived from tables set out in the PMIERs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then adjusted on an aggregate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gross risk-based required asset amount </w:t>
      </w:r>
      <w:r>
        <w:rPr>
          <w:rFonts w:ascii="Times New Roman" w:cs="Times New Roman" w:eastAsia="Times New Roman" w:hAnsi="Times New Roman"/>
          <w:sz w:val="17"/>
          <w:szCs w:val="17"/>
          <w:color w:val="auto"/>
        </w:rPr>
        <w:t>for performing, primary insurance is subject to a floor of 5.6% of</w:t>
      </w:r>
      <w:r>
        <w:rPr>
          <w:rFonts w:ascii="Times New Roman" w:cs="Times New Roman" w:eastAsia="Times New Roman" w:hAnsi="Times New Roman"/>
          <w:sz w:val="17"/>
          <w:szCs w:val="17"/>
          <w:i w:val="1"/>
          <w:iCs w:val="1"/>
          <w:color w:val="auto"/>
        </w:rPr>
        <w:t xml:space="preserve"> performing, primary adjusted RIF</w:t>
      </w:r>
      <w:r>
        <w:rPr>
          <w:rFonts w:ascii="Times New Roman" w:cs="Times New Roman" w:eastAsia="Times New Roman" w:hAnsi="Times New Roman"/>
          <w:sz w:val="17"/>
          <w:szCs w:val="17"/>
          <w:color w:val="auto"/>
        </w:rPr>
        <w:t>, and the</w:t>
      </w:r>
      <w:r>
        <w:rPr>
          <w:rFonts w:ascii="Times New Roman" w:cs="Times New Roman" w:eastAsia="Times New Roman" w:hAnsi="Times New Roman"/>
          <w:sz w:val="17"/>
          <w:szCs w:val="17"/>
          <w:i w:val="1"/>
          <w:iCs w:val="1"/>
          <w:color w:val="auto"/>
        </w:rPr>
        <w:t xml:space="preserve"> risk-based required asset amount </w:t>
      </w:r>
      <w:r>
        <w:rPr>
          <w:rFonts w:ascii="Times New Roman" w:cs="Times New Roman" w:eastAsia="Times New Roman" w:hAnsi="Times New Roman"/>
          <w:sz w:val="17"/>
          <w:szCs w:val="17"/>
          <w:color w:val="auto"/>
        </w:rPr>
        <w:t>for pool insurance considers both factors in the PMIERs tables and the</w:t>
      </w:r>
      <w:r>
        <w:rPr>
          <w:rFonts w:ascii="Times New Roman" w:cs="Times New Roman" w:eastAsia="Times New Roman" w:hAnsi="Times New Roman"/>
          <w:sz w:val="17"/>
          <w:szCs w:val="17"/>
          <w:i w:val="1"/>
          <w:iCs w:val="1"/>
          <w:color w:val="auto"/>
        </w:rPr>
        <w:t xml:space="preserve"> net remaining stop loss </w:t>
      </w:r>
      <w:r>
        <w:rPr>
          <w:rFonts w:ascii="Times New Roman" w:cs="Times New Roman" w:eastAsia="Times New Roman" w:hAnsi="Times New Roman"/>
          <w:sz w:val="17"/>
          <w:szCs w:val="17"/>
          <w:color w:val="auto"/>
        </w:rPr>
        <w:t>for each pool insurance policy.</w:t>
      </w:r>
    </w:p>
    <w:p>
      <w:pPr>
        <w:spacing w:after="0" w:line="11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2022, that NMIC was in full compliance with the PMIERs as of December 31, 2021. NMIC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also has an ongoing obligation to immediately notify the GSEs in writing upon discovery of a failure to meet one or more of the PMIERs requirements. We continuously monitor NMIC's compliance with the PMIERs.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two operating lease agreements related to our corporate headquarters and a data center facility for which we recognized operating ROU assets and lease liabilities of $10.4 million and $12.1 million in "Other assets" and "Other liabilities," respectively, on our consolidated balance sheets as of December 31, 2022. As of December 31, 2021, we recognized operating ROU assets and lease liabilities of $2.6 million and $2.9 million, respectively. As of December 31, 2022 and 2021, we did not have any finance leases.</w:t>
      </w:r>
    </w:p>
    <w:p>
      <w:pPr>
        <w:spacing w:after="0" w:line="116" w:lineRule="exact"/>
        <w:rPr>
          <w:sz w:val="20"/>
          <w:szCs w:val="20"/>
          <w:color w:val="auto"/>
        </w:rPr>
      </w:pPr>
    </w:p>
    <w:p>
      <w:pPr>
        <w:jc w:val="both"/>
        <w:ind w:firstLine="621"/>
        <w:spacing w:after="0" w:line="252" w:lineRule="auto"/>
        <w:rPr>
          <w:sz w:val="20"/>
          <w:szCs w:val="20"/>
          <w:color w:val="auto"/>
        </w:rPr>
      </w:pPr>
      <w:r>
        <w:rPr>
          <w:rFonts w:ascii="Times New Roman" w:cs="Times New Roman" w:eastAsia="Times New Roman" w:hAnsi="Times New Roman"/>
          <w:sz w:val="17"/>
          <w:szCs w:val="17"/>
          <w:color w:val="auto"/>
        </w:rPr>
        <w:t>In January 2022 we modified the lease for our corporate headquarters, securing a reduction in pricing and incremental leasehold improvement concessions, reducing the square footage of leased space and extending the remaining term through March 2030. In February 2022, we renewed the lease of our data center facility, extending its term through January 2024. Upon the respective modification and extension, the ROU asset and liability associated with each lease was remeasured, using our current estimated incremental borrowing rate, resulting in an aggregate increase to ROU assets and lease liabilities of $9.7 million.</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3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We did not enter any new operating leases or recognize any new ROU assets or lease liabilities during the year ended December 31, 2021.</w:t>
            </w:r>
          </w:p>
        </w:tc>
        <w:tc>
          <w:tcPr>
            <w:tcW w:w="800" w:type="dxa"/>
            <w:vAlign w:val="bottom"/>
          </w:tcPr>
          <w:p>
            <w:pPr>
              <w:spacing w:after="0"/>
              <w:rPr>
                <w:sz w:val="19"/>
                <w:szCs w:val="19"/>
                <w:color w:val="auto"/>
              </w:rPr>
            </w:pPr>
          </w:p>
        </w:tc>
      </w:tr>
      <w:tr>
        <w:trPr>
          <w:trHeight w:val="349"/>
        </w:trPr>
        <w:tc>
          <w:tcPr>
            <w:tcW w:w="103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our ROU asset and lease liability assumptions as of December 31, 2022:</w:t>
            </w:r>
          </w:p>
        </w:tc>
        <w:tc>
          <w:tcPr>
            <w:tcW w:w="800" w:type="dxa"/>
            <w:vAlign w:val="bottom"/>
          </w:tcPr>
          <w:p>
            <w:pPr>
              <w:spacing w:after="0"/>
              <w:rPr>
                <w:sz w:val="24"/>
                <w:szCs w:val="24"/>
                <w:color w:val="auto"/>
              </w:rPr>
            </w:pPr>
          </w:p>
        </w:tc>
      </w:tr>
      <w:tr>
        <w:trPr>
          <w:trHeight w:val="116"/>
        </w:trPr>
        <w:tc>
          <w:tcPr>
            <w:tcW w:w="10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20"/>
        </w:trPr>
        <w:tc>
          <w:tcPr>
            <w:tcW w:w="10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 years</w:t>
            </w:r>
          </w:p>
        </w:tc>
      </w:tr>
      <w:tr>
        <w:trPr>
          <w:trHeight w:val="226"/>
        </w:trPr>
        <w:tc>
          <w:tcPr>
            <w:tcW w:w="10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r>
    </w:tbl>
    <w:p>
      <w:pPr>
        <w:spacing w:after="0" w:line="20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Cash paid on our operating leases for the years ended December 31, 2022, 2021 and 2020 was $0.8 million, $2.6 million and $2.5 million and lease expense incurred was $2.0 million, $2.3 million and $2.3 million during each respective period.</w:t>
      </w:r>
    </w:p>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payments due under our existing operating leases as of December 31, 2022 are as follows:</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40" w:type="dxa"/>
            <w:vAlign w:val="bottom"/>
          </w:tcPr>
          <w:p>
            <w:pPr>
              <w:spacing w:after="0"/>
              <w:rPr>
                <w:sz w:val="15"/>
                <w:szCs w:val="15"/>
                <w:color w:val="auto"/>
              </w:rPr>
            </w:pPr>
          </w:p>
        </w:tc>
        <w:tc>
          <w:tcPr>
            <w:tcW w:w="2500" w:type="dxa"/>
            <w:vAlign w:val="bottom"/>
          </w:tcPr>
          <w:p>
            <w:pPr>
              <w:jc w:val="right"/>
              <w:ind w:right="105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7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6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6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6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w:t>
            </w:r>
          </w:p>
        </w:tc>
      </w:tr>
      <w:tr>
        <w:trPr>
          <w:trHeight w:val="220"/>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2028 and thereafter</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5,317</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6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15,448</w:t>
            </w:r>
          </w:p>
        </w:tc>
      </w:tr>
      <w:tr>
        <w:trPr>
          <w:trHeight w:val="22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effects of discounting</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(3,362)</w:t>
            </w: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Lease expense is recorded in underwriting and operating expenses on the consolidated statement of operations and comprehensive income. Our existing leases have original terms that range from two to eight years. The lease for our corporate headquarters includes an option to renew for an additional five years at prevailing market rates at time of renewal. This renewal option is not included in the calculation of future lease payments due under the existing lease as presented above as it is not reasonably certain to be exercised.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record a liability when we believe that it is probable that a loss has been incurred, and the amount can be reasonably estimated. If we determine that a loss is reasonably possible, we disclose an estimate of the possible loss or range of loss. If no estimate can be made, we disclose the matter as such. We evaluate litigation and other legal developments that could affect the amount of liability that may need to be accrued, related reasonably possible losses disclosed and make adjustments as appropriate. Significant judgment is required to determine both the likelihood and the estimated amount of losses related to such matters.</w:t>
      </w:r>
    </w:p>
    <w:p>
      <w:pPr>
        <w:spacing w:after="0" w:line="116"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17"/>
          <w:szCs w:val="17"/>
          <w:color w:val="auto"/>
        </w:rPr>
        <w:t>We are currently monitoring litigation regarding the refund of certain mortgage insurance premiums as it pertains to provisions of the Homeowners Protection Act and have been named as a defendant in one such case. We are unable to assess the outcome of such litigation at this time or its potential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Common Stock</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2022 and 2021, we had 83.5 million and 85.8 million outstanding shares of Class A common stock, respectively.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February 10, 2022, our Board of Directors approved a $125 million share repurchase program effective through December 31, 2023. The authorization provides us the flexibility to repurchase stock from time to time in the open market or in privately negotiated transactions, based on market and business conditions, stock price and other factors. During the year ended December 31, 2022, we repurchased 2.9 million shares at an average price of $19.34 per share (excluding associated costs) pursuant to trading plans under Rule 10b-18 and Rule 10b5-1 of the Exchange Act. As of December 31, 2022, $68.4 million of repurchase authority remained available under the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Regulatory Information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Statutory Requirements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1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NMIC's statutory net income (loss), statutory surplus, contingency reserve, statutory capital and risk-to-capital (RTC) ratio as of and for the years ended December 31, 2022, 2021 and 2020: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gridSpan w:val="6"/>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20" w:type="dxa"/>
            <w:vAlign w:val="bottom"/>
          </w:tcPr>
          <w:p>
            <w:pPr>
              <w:spacing w:after="0"/>
              <w:rPr>
                <w:sz w:val="15"/>
                <w:szCs w:val="15"/>
                <w:color w:val="auto"/>
              </w:rPr>
            </w:pPr>
          </w:p>
        </w:tc>
      </w:tr>
      <w:tr>
        <w:trPr>
          <w:trHeight w:val="23"/>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5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net income (loss)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(20,534)</w:t>
            </w:r>
          </w:p>
        </w:tc>
      </w:tr>
      <w:tr>
        <w:trPr>
          <w:trHeight w:val="207"/>
        </w:trPr>
        <w:tc>
          <w:tcPr>
            <w:tcW w:w="5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surplus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893,848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865,673</w:t>
            </w:r>
          </w:p>
        </w:tc>
      </w:tr>
      <w:tr>
        <w:trPr>
          <w:trHeight w:val="22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Contingency reserve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1,266,038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1,036,639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759,946</w:t>
            </w:r>
          </w:p>
        </w:tc>
      </w:tr>
      <w:tr>
        <w:trPr>
          <w:trHeight w:val="238"/>
        </w:trPr>
        <w:tc>
          <w:tcPr>
            <w:tcW w:w="58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Statutory capital </w:t>
            </w:r>
            <w:r>
              <w:rPr>
                <w:rFonts w:ascii="Times New Roman" w:cs="Times New Roman" w:eastAsia="Times New Roman" w:hAnsi="Times New Roman"/>
                <w:sz w:val="22"/>
                <w:szCs w:val="22"/>
                <w:color w:val="auto"/>
                <w:vertAlign w:val="superscript"/>
              </w:rPr>
              <w:t>(1)</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2,246,263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1,930,487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1,625,619</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Risk-to-capital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r>
    </w:tbl>
    <w:p>
      <w:pPr>
        <w:spacing w:after="0" w:line="212" w:lineRule="exact"/>
        <w:rPr>
          <w:sz w:val="20"/>
          <w:szCs w:val="20"/>
          <w:color w:val="auto"/>
        </w:rPr>
      </w:pPr>
    </w:p>
    <w:p>
      <w:pPr>
        <w:ind w:left="240" w:hanging="237"/>
        <w:spacing w:after="0"/>
        <w:tabs>
          <w:tab w:leader="none" w:pos="240" w:val="left"/>
        </w:tabs>
        <w:numPr>
          <w:ilvl w:val="0"/>
          <w:numId w:val="6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total of the statutory surplus and contingency reserve.</w:t>
      </w:r>
    </w:p>
    <w:p>
      <w:pPr>
        <w:spacing w:after="0" w:line="24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applicable law in Wisconsin and 15 other states, mortgage insurers must maintain minimum amounts of statutory capital relative to RIF to continue writing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2022, NMIC's performing primary RIF, net of reinsurance, was approximately $25.0 billion and its RTC ratio was 11.1:1. As of December 31, 2021, NMIC's performing primary RIF, net of reinsurance, was approximately $22.3 billion and its RTC ratio was 11.6:1.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8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October 1, 2021, the reinsurance agreement between NMIC and Re One was commuted and all ceded risk was transferred back to NMIC. Following the commutation, Re One has no risk in force or further obligation on future claims. Re One recorded a statutory loss of $58 thousand for the year ended December 31, 2022, and statutory income of $3.0 million and $0.4 million for the years ended December 31, 2021 and 2020, respectively. Re One had $5.6 million of statutory capital at December 31, 2022 and 2021.</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Service Allocation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Wisconsin OCI has approved the allocation of interest expense on the $400 million Notes and $250 million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Restrictions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NMIH is not subject to any limitations on its ability to pay dividends except those generally applicable to corporations that are incorporated in 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law provides that dividends are only payable out of a corporation's capital surplus or, subject to certain limitations, recent net profits.</w:t>
      </w:r>
    </w:p>
    <w:p>
      <w:pPr>
        <w:spacing w:after="0" w:line="148"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dividends) with 30 days' prior notice to the Wisconsin OCI. Dividends in larger amounts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2022, NMIC paid a $34.9 million ordinary course dividend to NMIH. NMIC has the capacity to pay aggregate ordinary dividends of $98.0 million to NMIH during the twelve-month period ending December 31, 2023.</w:t>
      </w:r>
    </w:p>
    <w:p>
      <w:pPr>
        <w:spacing w:after="0" w:line="121"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ind w:right="-119"/>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DECEMBER 31, 2022</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Quarterly Financial Data (Unaudited)</w:t>
      </w:r>
    </w:p>
    <w:p>
      <w:pPr>
        <w:spacing w:after="0" w:line="137"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Quarters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1"/>
        </w:trPr>
        <w:tc>
          <w:tcPr>
            <w:tcW w:w="42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87"/>
        </w:trPr>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premiums earned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475,266</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46,406</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claims and claim (benefit)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117,490</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32,163</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377,305</w:t>
            </w: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r>
      <w:tr>
        <w:trPr>
          <w:trHeight w:val="213"/>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75,444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76,838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5"/>
        </w:trPr>
        <w:tc>
          <w:tcPr>
            <w:tcW w:w="4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4280" w:type="dxa"/>
            <w:vAlign w:val="bottom"/>
          </w:tcPr>
          <w:p>
            <w:pPr>
              <w:spacing w:after="0" w:line="220" w:lineRule="exact"/>
              <w:rPr>
                <w:sz w:val="20"/>
                <w:szCs w:val="20"/>
                <w:color w:val="auto"/>
              </w:rPr>
            </w:pPr>
            <w:r>
              <w:rPr>
                <w:rFonts w:ascii="Times New Roman" w:cs="Times New Roman" w:eastAsia="Times New Roman" w:hAnsi="Times New Roman"/>
                <w:sz w:val="17"/>
                <w:szCs w:val="17"/>
                <w:color w:val="auto"/>
              </w:rPr>
              <w:t xml:space="preserve">Basic earnings per share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120" w:type="dxa"/>
            <w:vAlign w:val="bottom"/>
          </w:tcPr>
          <w:p>
            <w:pPr>
              <w:spacing w:after="0"/>
              <w:rPr>
                <w:sz w:val="19"/>
                <w:szCs w:val="19"/>
                <w:color w:val="auto"/>
              </w:rPr>
            </w:pPr>
          </w:p>
        </w:tc>
        <w:tc>
          <w:tcPr>
            <w:tcW w:w="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20"/>
        </w:trPr>
        <w:tc>
          <w:tcPr>
            <w:tcW w:w="42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7"/>
                <w:szCs w:val="17"/>
                <w:color w:val="auto"/>
              </w:rPr>
              <w:t xml:space="preserve">Diluted earnings per share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59"/>
        </w:trPr>
        <w:tc>
          <w:tcPr>
            <w:tcW w:w="4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84,921</w:t>
            </w:r>
          </w:p>
        </w:tc>
      </w:tr>
      <w:tr>
        <w:trPr>
          <w:trHeight w:val="226"/>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85,999</w:t>
            </w:r>
          </w:p>
        </w:tc>
      </w:tr>
    </w:tbl>
    <w:p>
      <w:pPr>
        <w:spacing w:after="0" w:line="103" w:lineRule="exact"/>
        <w:rPr>
          <w:sz w:val="20"/>
          <w:szCs w:val="20"/>
          <w:color w:val="auto"/>
        </w:rPr>
      </w:pPr>
    </w:p>
    <w:p>
      <w:pPr>
        <w:ind w:left="200" w:hanging="197"/>
        <w:spacing w:after="0"/>
        <w:tabs>
          <w:tab w:leader="none" w:pos="200" w:val="left"/>
        </w:tabs>
        <w:numPr>
          <w:ilvl w:val="0"/>
          <w:numId w:val="6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Due to the use of weighted average shares outstanding when calculating EPS, the sum of quarterly per share data may not equal the per share data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2022</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 Quarters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r>
      <w:tr>
        <w:trPr>
          <w:trHeight w:val="23"/>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1"/>
        </w:trPr>
        <w:tc>
          <w:tcPr>
            <w:tcW w:w="43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Fourth</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5"/>
                <w:szCs w:val="15"/>
                <w:color w:val="auto"/>
              </w:rPr>
            </w:pPr>
          </w:p>
        </w:tc>
      </w:tr>
      <w:tr>
        <w:trPr>
          <w:trHeight w:val="187"/>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i w:val="1"/>
                <w:iCs w:val="1"/>
                <w:color w:val="auto"/>
                <w:w w:val="98"/>
              </w:rPr>
              <w:t>(In Thousands, except per share data)</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444,294</w:t>
            </w:r>
          </w:p>
        </w:tc>
        <w:tc>
          <w:tcPr>
            <w:tcW w:w="260" w:type="dxa"/>
            <w:vAlign w:val="bottom"/>
            <w:shd w:val="clear" w:color="auto" w:fill="CCEEFF"/>
          </w:tcPr>
          <w:p>
            <w:pPr>
              <w:spacing w:after="0"/>
              <w:rPr>
                <w:sz w:val="19"/>
                <w:szCs w:val="19"/>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38,072</w:t>
            </w:r>
          </w:p>
        </w:tc>
        <w:tc>
          <w:tcPr>
            <w:tcW w:w="260" w:type="dxa"/>
            <w:vAlign w:val="bottom"/>
          </w:tcPr>
          <w:p>
            <w:pPr>
              <w:spacing w:after="0"/>
              <w:rPr>
                <w:sz w:val="19"/>
                <w:szCs w:val="19"/>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260" w:type="dxa"/>
            <w:vAlign w:val="bottom"/>
            <w:shd w:val="clear" w:color="auto" w:fill="CCEEFF"/>
          </w:tcPr>
          <w:p>
            <w:pPr>
              <w:spacing w:after="0"/>
              <w:rPr>
                <w:sz w:val="19"/>
                <w:szCs w:val="19"/>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260" w:type="dxa"/>
            <w:vAlign w:val="bottom"/>
          </w:tcPr>
          <w:p>
            <w:pPr>
              <w:spacing w:after="0"/>
              <w:rPr>
                <w:sz w:val="19"/>
                <w:szCs w:val="19"/>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 claims and claim expenses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(2)</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142,303</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w:t>
            </w: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260" w:type="dxa"/>
            <w:vAlign w:val="bottom"/>
            <w:shd w:val="clear" w:color="auto" w:fill="CCEEFF"/>
          </w:tcPr>
          <w:p>
            <w:pPr>
              <w:spacing w:after="0"/>
              <w:rPr>
                <w:sz w:val="19"/>
                <w:szCs w:val="19"/>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31,796</w:t>
            </w:r>
          </w:p>
        </w:tc>
        <w:tc>
          <w:tcPr>
            <w:tcW w:w="260" w:type="dxa"/>
            <w:vAlign w:val="bottom"/>
          </w:tcPr>
          <w:p>
            <w:pPr>
              <w:spacing w:after="0"/>
              <w:rPr>
                <w:sz w:val="19"/>
                <w:szCs w:val="19"/>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from change in fair value of warrant liability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7"/>
                <w:szCs w:val="17"/>
                <w:color w:val="auto"/>
              </w:rPr>
              <w:t xml:space="preserve">(566) </w:t>
            </w:r>
            <w:r>
              <w:rPr>
                <w:rFonts w:ascii="Times New Roman" w:cs="Times New Roman" w:eastAsia="Times New Roman" w:hAnsi="Times New Roman"/>
                <w:sz w:val="10"/>
                <w:szCs w:val="10"/>
                <w:color w:val="auto"/>
              </w:rPr>
              <w:t>(2)</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296,725</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w:t>
            </w: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65,595</w:t>
            </w:r>
          </w:p>
        </w:tc>
        <w:tc>
          <w:tcPr>
            <w:tcW w:w="260" w:type="dxa"/>
            <w:vAlign w:val="bottom"/>
            <w:shd w:val="clear" w:color="auto" w:fill="CCEEFF"/>
          </w:tcPr>
          <w:p>
            <w:pPr>
              <w:spacing w:after="0"/>
              <w:rPr>
                <w:sz w:val="19"/>
                <w:szCs w:val="19"/>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57,522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225"/>
        </w:trPr>
        <w:tc>
          <w:tcPr>
            <w:tcW w:w="4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20"/>
        </w:trPr>
        <w:tc>
          <w:tcPr>
            <w:tcW w:w="43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earnings per share </w:t>
            </w:r>
            <w:r>
              <w:rPr>
                <w:rFonts w:ascii="Times New Roman" w:cs="Times New Roman" w:eastAsia="Times New Roman" w:hAnsi="Times New Roman"/>
                <w:sz w:val="22"/>
                <w:szCs w:val="22"/>
                <w:color w:val="auto"/>
                <w:vertAlign w:val="superscript"/>
              </w:rPr>
              <w:t>(1)</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260" w:type="dxa"/>
            <w:vAlign w:val="bottom"/>
          </w:tcPr>
          <w:p>
            <w:pPr>
              <w:spacing w:after="0"/>
              <w:rPr>
                <w:sz w:val="19"/>
                <w:szCs w:val="19"/>
                <w:color w:val="auto"/>
              </w:rPr>
            </w:pPr>
          </w:p>
        </w:tc>
      </w:tr>
      <w:tr>
        <w:trPr>
          <w:trHeight w:val="220"/>
        </w:trPr>
        <w:tc>
          <w:tcPr>
            <w:tcW w:w="43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Diluted earnings per share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260" w:type="dxa"/>
            <w:vAlign w:val="bottom"/>
            <w:shd w:val="clear" w:color="auto" w:fill="CCEEFF"/>
          </w:tcPr>
          <w:p>
            <w:pPr>
              <w:spacing w:after="0"/>
              <w:rPr>
                <w:sz w:val="19"/>
                <w:szCs w:val="19"/>
                <w:color w:val="auto"/>
              </w:rPr>
            </w:pPr>
          </w:p>
        </w:tc>
      </w:tr>
      <w:tr>
        <w:trPr>
          <w:trHeight w:val="259"/>
        </w:trPr>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85,620</w:t>
            </w:r>
          </w:p>
        </w:tc>
        <w:tc>
          <w:tcPr>
            <w:tcW w:w="260" w:type="dxa"/>
            <w:vAlign w:val="bottom"/>
            <w:shd w:val="clear" w:color="auto" w:fill="CCEEFF"/>
          </w:tcPr>
          <w:p>
            <w:pPr>
              <w:spacing w:after="0"/>
              <w:rPr>
                <w:sz w:val="19"/>
                <w:szCs w:val="19"/>
                <w:color w:val="auto"/>
              </w:rPr>
            </w:pP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86,885</w:t>
            </w:r>
          </w:p>
        </w:tc>
        <w:tc>
          <w:tcPr>
            <w:tcW w:w="260" w:type="dxa"/>
            <w:vAlign w:val="bottom"/>
          </w:tcPr>
          <w:p>
            <w:pPr>
              <w:spacing w:after="0"/>
              <w:rPr>
                <w:sz w:val="19"/>
                <w:szCs w:val="19"/>
                <w:color w:val="auto"/>
              </w:rPr>
            </w:pPr>
          </w:p>
        </w:tc>
      </w:tr>
    </w:tbl>
    <w:p>
      <w:pPr>
        <w:spacing w:after="0" w:line="78" w:lineRule="exact"/>
        <w:rPr>
          <w:sz w:val="20"/>
          <w:szCs w:val="20"/>
          <w:color w:val="auto"/>
        </w:rPr>
      </w:pPr>
    </w:p>
    <w:p>
      <w:pPr>
        <w:ind w:left="200" w:hanging="197"/>
        <w:spacing w:after="0"/>
        <w:tabs>
          <w:tab w:leader="none" w:pos="200"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Due to the use of weighted average shares outstanding when calculating EPS, the sum of quarterly per share data may not equal the per share data for the year.</w:t>
      </w:r>
    </w:p>
    <w:p>
      <w:pPr>
        <w:ind w:left="200" w:hanging="197"/>
        <w:spacing w:after="0"/>
        <w:tabs>
          <w:tab w:leader="none" w:pos="200" w:val="left"/>
        </w:tabs>
        <w:numPr>
          <w:ilvl w:val="0"/>
          <w:numId w:val="7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May not foot by summing up the quarterly results due to rounding.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conducted an evaluation of the effectiveness of our disclosure controls and procedures (as defined in Rule 13a-15(e) of the Exchange Act) as of December 31, 2021,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Based on that evaluation, our Chief Executive Officer and Chief Financial Officer concluded that, as of December 31, 2022,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supervision of our Chief Executive Officer and Chief Financial Officer, our management assessed the effectiveness of the Company's internal control over financial reporting as of December 31, 2022.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2022. The effectiveness of our internal control over financial reporting as of December 31, 2022 has been audited by BDO USA, LLP, an independent registered public accounting firm, as stated in their report, which appears below.</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California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have audited NMI Holdings, Inc.'s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 Commission (the “COSO criteria”).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opinion, the Company maintained, in all material respects, effective internal control over financial reporting as of December 31, 2022, based on the COSO criteria</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and subsidiaries at December 31, 2022 and 2021, and the related consolidated statements of operations and comprehensive income, changes in shareholders' equity and cash flows for each of the three years in the period ended December 31, 2022 and the related notes and financial statement schedules listed in the accompanying index and our report dated February 14, 2023 expressed an unqualified opinion thereon.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973"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2022.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2022.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2022.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69" w:lineRule="exact"/>
        <w:rPr>
          <w:sz w:val="20"/>
          <w:szCs w:val="20"/>
          <w:color w:val="auto"/>
        </w:rPr>
      </w:pPr>
    </w:p>
    <w:p>
      <w:pPr>
        <w:ind w:firstLine="200"/>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2022.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2022. Accordingly, we have omitted the information from this Item pursuant to General Instruction G (3) of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67" w:lineRule="exact"/>
        <w:rPr>
          <w:sz w:val="20"/>
          <w:szCs w:val="20"/>
          <w:color w:val="auto"/>
        </w:rPr>
      </w:pPr>
    </w:p>
    <w:p>
      <w:pPr>
        <w:ind w:left="320" w:hanging="317"/>
        <w:spacing w:after="0" w:line="266" w:lineRule="auto"/>
        <w:tabs>
          <w:tab w:leader="none" w:pos="36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 See the "</w:t>
      </w:r>
      <w:r>
        <w:rPr>
          <w:rFonts w:ascii="Times New Roman" w:cs="Times New Roman" w:eastAsia="Times New Roman" w:hAnsi="Times New Roman"/>
          <w:sz w:val="17"/>
          <w:szCs w:val="17"/>
          <w:i w:val="1"/>
          <w:iCs w:val="1"/>
          <w:color w:val="auto"/>
        </w:rPr>
        <w:t>Index to Financial Statements</w:t>
      </w:r>
      <w:r>
        <w:rPr>
          <w:rFonts w:ascii="Times New Roman" w:cs="Times New Roman" w:eastAsia="Times New Roman" w:hAnsi="Times New Roman"/>
          <w:sz w:val="17"/>
          <w:szCs w:val="17"/>
          <w:color w:val="auto"/>
        </w:rPr>
        <w:t>" included in Item 8 of this report for a list of the financial statements filed as part of this report.</w:t>
      </w:r>
    </w:p>
    <w:p>
      <w:pPr>
        <w:spacing w:after="0" w:line="352" w:lineRule="exact"/>
        <w:rPr>
          <w:rFonts w:ascii="Times New Roman" w:cs="Times New Roman" w:eastAsia="Times New Roman" w:hAnsi="Times New Roman"/>
          <w:sz w:val="17"/>
          <w:szCs w:val="17"/>
          <w:color w:val="auto"/>
        </w:rPr>
      </w:pPr>
    </w:p>
    <w:p>
      <w:pPr>
        <w:ind w:left="320" w:hanging="317"/>
        <w:spacing w:after="0" w:line="293" w:lineRule="auto"/>
        <w:tabs>
          <w:tab w:leader="none" w:pos="33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 See the "</w:t>
      </w:r>
      <w:r>
        <w:rPr>
          <w:rFonts w:ascii="Times New Roman" w:cs="Times New Roman" w:eastAsia="Times New Roman" w:hAnsi="Times New Roman"/>
          <w:sz w:val="17"/>
          <w:szCs w:val="17"/>
          <w:i w:val="1"/>
          <w:iCs w:val="1"/>
          <w:color w:val="auto"/>
        </w:rPr>
        <w:t>Index to Financial Statement Schedules</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FF"/>
        </w:rPr>
        <w:t>137</w:t>
      </w:r>
      <w:r>
        <w:rPr>
          <w:rFonts w:ascii="Times New Roman" w:cs="Times New Roman" w:eastAsia="Times New Roman" w:hAnsi="Times New Roman"/>
          <w:sz w:val="17"/>
          <w:szCs w:val="17"/>
          <w:color w:val="auto"/>
        </w:rPr>
        <w:t xml:space="preserve"> of this report for a list of the financial statement schedules filed as part of this report.</w:t>
      </w:r>
    </w:p>
    <w:p>
      <w:pPr>
        <w:spacing w:after="0" w:line="9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60" w:type="dxa"/>
            <w:vAlign w:val="bottom"/>
            <w:gridSpan w:val="17"/>
            <w:vMerge w:val="restart"/>
          </w:tcPr>
          <w:p>
            <w:pPr>
              <w:ind w:left="8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60" w:type="dxa"/>
            <w:vAlign w:val="bottom"/>
            <w:gridSpan w:val="1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 xml:space="preserve">Second 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3.1 to our Form S-1</w:t>
            </w: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7"/>
                <w:szCs w:val="17"/>
                <w:color w:val="auto"/>
                <w:w w:val="99"/>
              </w:rPr>
              <w:t>Registration Statement (Registration No. 333-191635), filed</w:t>
            </w:r>
          </w:p>
        </w:tc>
        <w:tc>
          <w:tcPr>
            <w:tcW w:w="6140" w:type="dxa"/>
            <w:vAlign w:val="bottom"/>
            <w:gridSpan w:val="16"/>
          </w:tcPr>
          <w:p>
            <w:pPr>
              <w:ind w:left="100"/>
              <w:spacing w:after="0" w:line="194" w:lineRule="exact"/>
              <w:rPr>
                <w:sz w:val="20"/>
                <w:szCs w:val="20"/>
                <w:color w:val="auto"/>
              </w:rPr>
            </w:pPr>
            <w:r>
              <w:rPr>
                <w:rFonts w:ascii="Times New Roman" w:cs="Times New Roman" w:eastAsia="Times New Roman" w:hAnsi="Times New Roman"/>
                <w:sz w:val="17"/>
                <w:szCs w:val="17"/>
                <w:color w:val="auto"/>
              </w:rPr>
              <w:t>on October 9, 2013)</w:t>
            </w: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 xml:space="preserve">Fourth 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3.2 to our Form 8-K, filed on November</w:t>
            </w: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0000FF"/>
            </w:tcBorders>
          </w:tcPr>
          <w:p>
            <w:pPr>
              <w:spacing w:after="0" w:line="194" w:lineRule="exact"/>
              <w:rPr>
                <w:sz w:val="20"/>
                <w:szCs w:val="20"/>
                <w:color w:val="auto"/>
              </w:rPr>
            </w:pPr>
            <w:r>
              <w:rPr>
                <w:rFonts w:ascii="Times New Roman" w:cs="Times New Roman" w:eastAsia="Times New Roman" w:hAnsi="Times New Roman"/>
                <w:sz w:val="17"/>
                <w:szCs w:val="17"/>
                <w:color w:val="auto"/>
              </w:rPr>
              <w:t>10, 2022)</w:t>
            </w:r>
          </w:p>
        </w:tc>
        <w:tc>
          <w:tcPr>
            <w:tcW w:w="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tcBorders>
              <w:bottom w:val="single" w:sz="8" w:color="0000FF"/>
            </w:tcBorders>
            <w:gridSpan w:val="20"/>
          </w:tcPr>
          <w:p>
            <w:pPr>
              <w:spacing w:after="0" w:line="18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Indenture, dated as of June 19, 2020, among NMI Holdings, Inc., NMI Services, Inc. as the Initial Guarantor, and the Bank of</w:t>
              </w:r>
            </w:hyperlink>
          </w:p>
        </w:tc>
        <w:tc>
          <w:tcPr>
            <w:tcW w:w="15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gridSpan w:val="24"/>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 xml:space="preserve">New York Mellon Trust Company, N.A. as Trustee and Notes Collateral Agent </w:t>
              </w:r>
              <w:r>
                <w:rPr>
                  <w:rFonts w:ascii="Times New Roman" w:cs="Times New Roman" w:eastAsia="Times New Roman" w:hAnsi="Times New Roman"/>
                  <w:sz w:val="17"/>
                  <w:szCs w:val="17"/>
                  <w:color w:val="000000"/>
                </w:rPr>
                <w:t xml:space="preserve">(incorporated herein by reference to Exhibit </w:t>
              </w:r>
            </w:hyperlink>
            <w:r>
              <w:rPr>
                <w:rFonts w:ascii="Times New Roman" w:cs="Times New Roman" w:eastAsia="Times New Roman" w:hAnsi="Times New Roman"/>
                <w:sz w:val="17"/>
                <w:szCs w:val="17"/>
                <w:color w:val="0000FF"/>
              </w:rPr>
              <w:t>4.1</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20" w:type="dxa"/>
            <w:vAlign w:val="bottom"/>
            <w:tcBorders>
              <w:top w:val="single" w:sz="8" w:color="0000FF"/>
              <w:bottom w:val="single" w:sz="8" w:color="auto"/>
            </w:tcBorders>
            <w:gridSpan w:val="6"/>
          </w:tcPr>
          <w:p>
            <w:pPr>
              <w:spacing w:after="0" w:line="148" w:lineRule="exact"/>
              <w:rPr>
                <w:sz w:val="20"/>
                <w:szCs w:val="20"/>
                <w:color w:val="auto"/>
              </w:rPr>
            </w:pPr>
            <w:r>
              <w:rPr>
                <w:rFonts w:ascii="Times New Roman" w:cs="Times New Roman" w:eastAsia="Times New Roman" w:hAnsi="Times New Roman"/>
                <w:sz w:val="17"/>
                <w:szCs w:val="17"/>
                <w:color w:val="auto"/>
              </w:rPr>
              <w:t>to our Form 8-K, filed on June 19, 2020)</w:t>
            </w:r>
          </w:p>
        </w:tc>
        <w:tc>
          <w:tcPr>
            <w:tcW w:w="2660" w:type="dxa"/>
            <w:vAlign w:val="bottom"/>
            <w:tcBorders>
              <w:top w:val="single" w:sz="8" w:color="0000FF"/>
            </w:tcBorders>
            <w:gridSpan w:val="4"/>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24"/>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 xml:space="preserve">Description of Securities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4.8 to our Form 10-8, filed on February 16, 2022)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4"/>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 xml:space="preserve">NMI Holdings Inc. 2012 Stock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10.1 to our Form S-1 Registration</w:t>
            </w: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tcBorders>
              <w:top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7"/>
                <w:szCs w:val="17"/>
                <w:color w:val="auto"/>
                <w:w w:val="99"/>
              </w:rPr>
              <w:t>Statement (registration No. 333-191635), filed</w:t>
            </w:r>
          </w:p>
        </w:tc>
        <w:tc>
          <w:tcPr>
            <w:tcW w:w="7060" w:type="dxa"/>
            <w:vAlign w:val="bottom"/>
            <w:gridSpan w:val="17"/>
          </w:tcPr>
          <w:p>
            <w:pPr>
              <w:ind w:left="80"/>
              <w:spacing w:after="0" w:line="194" w:lineRule="exact"/>
              <w:rPr>
                <w:sz w:val="20"/>
                <w:szCs w:val="20"/>
                <w:color w:val="auto"/>
              </w:rPr>
            </w:pPr>
            <w:r>
              <w:rPr>
                <w:rFonts w:ascii="Times New Roman" w:cs="Times New Roman" w:eastAsia="Times New Roman" w:hAnsi="Times New Roman"/>
                <w:sz w:val="17"/>
                <w:szCs w:val="17"/>
                <w:color w:val="auto"/>
              </w:rPr>
              <w:t>on October 9, 2013)</w:t>
            </w: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10.2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 xml:space="preserve">Form of NMI Holdings, Inc. 2012 Stock Incentive Plan Restricted Stock Unit Award Agreement </w:t>
              </w:r>
            </w:hyperlink>
            <w:r>
              <w:rPr>
                <w:rFonts w:ascii="Times New Roman" w:cs="Times New Roman" w:eastAsia="Times New Roman" w:hAnsi="Times New Roman"/>
                <w:sz w:val="17"/>
                <w:szCs w:val="17"/>
                <w:color w:val="0000FF"/>
              </w:rPr>
              <w:t xml:space="preserve">(For </w:t>
            </w:r>
            <w:hyperlink r:id="rId148">
              <w:r>
                <w:rPr>
                  <w:rFonts w:ascii="Times New Roman" w:cs="Times New Roman" w:eastAsia="Times New Roman" w:hAnsi="Times New Roman"/>
                  <w:sz w:val="17"/>
                  <w:szCs w:val="17"/>
                  <w:color w:val="0000FF"/>
                </w:rPr>
                <w:t xml:space="preserve">Management) </w:t>
              </w:r>
            </w:hyperlink>
            <w:r>
              <w:rPr>
                <w:rFonts w:ascii="Times New Roman" w:cs="Times New Roman" w:eastAsia="Times New Roman" w:hAnsi="Times New Roman"/>
                <w:sz w:val="17"/>
                <w:szCs w:val="17"/>
                <w:color w:val="000000"/>
              </w:rPr>
              <w:t>(Other</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40" w:type="dxa"/>
            <w:vAlign w:val="bottom"/>
            <w:gridSpan w:val="24"/>
          </w:tcPr>
          <w:p>
            <w:pPr>
              <w:spacing w:after="0" w:line="136" w:lineRule="exact"/>
              <w:rPr>
                <w:sz w:val="20"/>
                <w:szCs w:val="20"/>
                <w:color w:val="auto"/>
              </w:rPr>
            </w:pPr>
            <w:r>
              <w:rPr>
                <w:rFonts w:ascii="Times New Roman" w:cs="Times New Roman" w:eastAsia="Times New Roman" w:hAnsi="Times New Roman"/>
                <w:sz w:val="15"/>
                <w:szCs w:val="15"/>
                <w:color w:val="auto"/>
              </w:rPr>
              <w:t>than CEO and CFO) (incorporated herein by reference to Exhibit 10.3 to our Form S-1 Registration Statement (Registration</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No. 333-191635), filed on October 9, 2013)</w:t>
            </w:r>
          </w:p>
        </w:tc>
        <w:tc>
          <w:tcPr>
            <w:tcW w:w="0" w:type="dxa"/>
            <w:vAlign w:val="bottom"/>
          </w:tcPr>
          <w:p>
            <w:pPr>
              <w:spacing w:after="0"/>
              <w:rPr>
                <w:sz w:val="1"/>
                <w:szCs w:val="1"/>
                <w:color w:val="auto"/>
              </w:rPr>
            </w:pPr>
          </w:p>
        </w:tc>
      </w:tr>
      <w:tr>
        <w:trPr>
          <w:trHeight w:val="188"/>
        </w:trPr>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7"/>
              </w:rPr>
              <w:t>10.3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9"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NMI Holdings, Inc. 2012 Stock Incentive Plan Nonqualified Stock Option Award Agreement (For CEO and CFO</w:t>
              </w:r>
            </w:hyperlink>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40" w:type="dxa"/>
            <w:vAlign w:val="bottom"/>
            <w:tcBorders>
              <w:top w:val="single" w:sz="8" w:color="0000FF"/>
            </w:tcBorders>
            <w:gridSpan w:val="17"/>
          </w:tcPr>
          <w:p>
            <w:pPr>
              <w:spacing w:after="0" w:line="136" w:lineRule="exact"/>
              <w:rPr>
                <w:sz w:val="20"/>
                <w:szCs w:val="20"/>
                <w:color w:val="auto"/>
              </w:rPr>
            </w:pPr>
            <w:r>
              <w:rPr>
                <w:rFonts w:ascii="Times New Roman" w:cs="Times New Roman" w:eastAsia="Times New Roman" w:hAnsi="Times New Roman"/>
                <w:sz w:val="15"/>
                <w:szCs w:val="15"/>
                <w:color w:val="auto"/>
              </w:rPr>
              <w:t>(incorporated herein by reference to Exhibit 10.5 to our Form S-1 Registration Statement (Registration No. 333-191635),</w:t>
            </w:r>
          </w:p>
        </w:tc>
        <w:tc>
          <w:tcPr>
            <w:tcW w:w="1800" w:type="dxa"/>
            <w:vAlign w:val="bottom"/>
            <w:gridSpan w:val="7"/>
          </w:tcPr>
          <w:p>
            <w:pPr>
              <w:jc w:val="right"/>
              <w:ind w:right="1520"/>
              <w:spacing w:after="0" w:line="136" w:lineRule="exact"/>
              <w:rPr>
                <w:sz w:val="20"/>
                <w:szCs w:val="20"/>
                <w:color w:val="auto"/>
              </w:rPr>
            </w:pPr>
            <w:r>
              <w:rPr>
                <w:rFonts w:ascii="Times New Roman" w:cs="Times New Roman" w:eastAsia="Times New Roman" w:hAnsi="Times New Roman"/>
                <w:sz w:val="15"/>
                <w:szCs w:val="15"/>
                <w:color w:val="auto"/>
                <w:w w:val="94"/>
              </w:rPr>
              <w:t>filed</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on October 9, 2013)</w:t>
            </w:r>
          </w:p>
        </w:tc>
        <w:tc>
          <w:tcPr>
            <w:tcW w:w="0" w:type="dxa"/>
            <w:vAlign w:val="bottom"/>
          </w:tcPr>
          <w:p>
            <w:pPr>
              <w:spacing w:after="0"/>
              <w:rPr>
                <w:sz w:val="1"/>
                <w:szCs w:val="1"/>
                <w:color w:val="auto"/>
              </w:rPr>
            </w:pPr>
          </w:p>
        </w:tc>
      </w:tr>
      <w:tr>
        <w:trPr>
          <w:trHeight w:val="421"/>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10.4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 xml:space="preserve">Form of NMI Holdings, Inc. 2012 Stock Incentive Plan Nonqualified Stock Option Award Agreement </w:t>
              </w:r>
            </w:hyperlink>
            <w:r>
              <w:rPr>
                <w:rFonts w:ascii="Times New Roman" w:cs="Times New Roman" w:eastAsia="Times New Roman" w:hAnsi="Times New Roman"/>
                <w:sz w:val="17"/>
                <w:szCs w:val="17"/>
                <w:color w:val="0000FF"/>
              </w:rPr>
              <w:t xml:space="preserve">(For </w:t>
            </w:r>
            <w:hyperlink r:id="rId150">
              <w:r>
                <w:rPr>
                  <w:rFonts w:ascii="Times New Roman" w:cs="Times New Roman" w:eastAsia="Times New Roman" w:hAnsi="Times New Roman"/>
                  <w:sz w:val="17"/>
                  <w:szCs w:val="17"/>
                  <w:color w:val="0000FF"/>
                </w:rPr>
                <w:t>Management)</w:t>
              </w:r>
            </w:hyperlink>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80" w:type="dxa"/>
            <w:vAlign w:val="bottom"/>
            <w:tcBorders>
              <w:top w:val="single" w:sz="8" w:color="0000FF"/>
            </w:tcBorders>
            <w:gridSpan w:val="16"/>
          </w:tcPr>
          <w:p>
            <w:pPr>
              <w:spacing w:after="0" w:line="136" w:lineRule="exact"/>
              <w:rPr>
                <w:sz w:val="20"/>
                <w:szCs w:val="20"/>
                <w:color w:val="auto"/>
              </w:rPr>
            </w:pPr>
            <w:r>
              <w:rPr>
                <w:rFonts w:ascii="Times New Roman" w:cs="Times New Roman" w:eastAsia="Times New Roman" w:hAnsi="Times New Roman"/>
                <w:sz w:val="15"/>
                <w:szCs w:val="15"/>
                <w:color w:val="auto"/>
              </w:rPr>
              <w:t>(incorporated herein by reference to Exhibit 10.6 to our Form S-1 Registration Statement (Registration No. 333-191635),</w:t>
            </w:r>
          </w:p>
        </w:tc>
        <w:tc>
          <w:tcPr>
            <w:tcW w:w="1860" w:type="dxa"/>
            <w:vAlign w:val="bottom"/>
            <w:gridSpan w:val="8"/>
          </w:tcPr>
          <w:p>
            <w:pPr>
              <w:jc w:val="right"/>
              <w:ind w:right="1520"/>
              <w:spacing w:after="0" w:line="136" w:lineRule="exact"/>
              <w:rPr>
                <w:sz w:val="20"/>
                <w:szCs w:val="20"/>
                <w:color w:val="auto"/>
              </w:rPr>
            </w:pPr>
            <w:r>
              <w:rPr>
                <w:rFonts w:ascii="Times New Roman" w:cs="Times New Roman" w:eastAsia="Times New Roman" w:hAnsi="Times New Roman"/>
                <w:sz w:val="15"/>
                <w:szCs w:val="15"/>
                <w:color w:val="auto"/>
              </w:rPr>
              <w:t>filed</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on October 9, 2013)</w:t>
            </w:r>
          </w:p>
        </w:tc>
        <w:tc>
          <w:tcPr>
            <w:tcW w:w="0" w:type="dxa"/>
            <w:vAlign w:val="bottom"/>
          </w:tcPr>
          <w:p>
            <w:pPr>
              <w:spacing w:after="0"/>
              <w:rPr>
                <w:sz w:val="1"/>
                <w:szCs w:val="1"/>
                <w:color w:val="auto"/>
              </w:rPr>
            </w:pPr>
          </w:p>
        </w:tc>
      </w:tr>
      <w:tr>
        <w:trPr>
          <w:trHeight w:val="421"/>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10.5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4"/>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 xml:space="preserve">Form of NMI Holdings, Inc. 2012 Stock Incentive Plan Nonqualified Stock Option Award Agreement </w:t>
              </w:r>
            </w:hyperlink>
            <w:r>
              <w:rPr>
                <w:rFonts w:ascii="Times New Roman" w:cs="Times New Roman" w:eastAsia="Times New Roman" w:hAnsi="Times New Roman"/>
                <w:sz w:val="17"/>
                <w:szCs w:val="17"/>
                <w:color w:val="0000FF"/>
              </w:rPr>
              <w:t xml:space="preserve">(For </w:t>
            </w:r>
            <w:hyperlink r:id="rId151">
              <w:r>
                <w:rPr>
                  <w:rFonts w:ascii="Times New Roman" w:cs="Times New Roman" w:eastAsia="Times New Roman" w:hAnsi="Times New Roman"/>
                  <w:sz w:val="17"/>
                  <w:szCs w:val="17"/>
                  <w:color w:val="0000FF"/>
                </w:rPr>
                <w:t>Non-</w:t>
              </w:r>
            </w:hyperlink>
            <w:r>
              <w:rPr>
                <w:rFonts w:ascii="Times New Roman" w:cs="Times New Roman" w:eastAsia="Times New Roman" w:hAnsi="Times New Roman"/>
                <w:sz w:val="17"/>
                <w:szCs w:val="17"/>
                <w:color w:val="0000FF"/>
              </w:rPr>
              <w:t>Employee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 xml:space="preserve">Directors)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10.7 to our Form S-1 Registration Statement (Registration No. 333-</w:t>
            </w:r>
          </w:p>
        </w:tc>
        <w:tc>
          <w:tcPr>
            <w:tcW w:w="16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1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0000FF"/>
            </w:tcBorders>
          </w:tcPr>
          <w:p>
            <w:pPr>
              <w:spacing w:after="0" w:line="194" w:lineRule="exact"/>
              <w:rPr>
                <w:sz w:val="20"/>
                <w:szCs w:val="20"/>
                <w:color w:val="auto"/>
              </w:rPr>
            </w:pPr>
            <w:r>
              <w:rPr>
                <w:rFonts w:ascii="Times New Roman" w:cs="Times New Roman" w:eastAsia="Times New Roman" w:hAnsi="Times New Roman"/>
                <w:sz w:val="17"/>
                <w:szCs w:val="17"/>
                <w:color w:val="auto"/>
              </w:rPr>
              <w:t>191635),</w:t>
            </w:r>
          </w:p>
        </w:tc>
        <w:tc>
          <w:tcPr>
            <w:tcW w:w="9540" w:type="dxa"/>
            <w:vAlign w:val="bottom"/>
            <w:gridSpan w:val="23"/>
          </w:tcPr>
          <w:p>
            <w:pPr>
              <w:spacing w:after="0" w:line="194" w:lineRule="exact"/>
              <w:rPr>
                <w:sz w:val="20"/>
                <w:szCs w:val="20"/>
                <w:color w:val="auto"/>
              </w:rPr>
            </w:pPr>
            <w:r>
              <w:rPr>
                <w:rFonts w:ascii="Times New Roman" w:cs="Times New Roman" w:eastAsia="Times New Roman" w:hAnsi="Times New Roman"/>
                <w:sz w:val="17"/>
                <w:szCs w:val="17"/>
                <w:color w:val="auto"/>
              </w:rPr>
              <w:t>filed on October 9, 2013)</w:t>
            </w: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10.6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NMI Holdings, Inc. 2012 Stock Incentive Plan Nonqualified Stock Option Award Agreement (For CEO/CFO)</w:t>
              </w:r>
            </w:hyperlink>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tcBorders>
              <w:top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7"/>
                <w:szCs w:val="17"/>
                <w:color w:val="auto"/>
              </w:rPr>
              <w:t>(incorporated herein by reference to Exhibit 10.8 to our Form 10-K, filed on February 17, 2017)</w:t>
            </w:r>
          </w:p>
        </w:tc>
        <w:tc>
          <w:tcPr>
            <w:tcW w:w="40" w:type="dxa"/>
            <w:vAlign w:val="bottom"/>
          </w:tcPr>
          <w:p>
            <w:pPr>
              <w:spacing w:after="0"/>
              <w:rPr>
                <w:sz w:val="16"/>
                <w:szCs w:val="16"/>
                <w:color w:val="auto"/>
              </w:rPr>
            </w:pPr>
          </w:p>
        </w:tc>
        <w:tc>
          <w:tcPr>
            <w:tcW w:w="400" w:type="dxa"/>
            <w:vAlign w:val="bottom"/>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10.7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 xml:space="preserve">Form of NMI Holdings, Inc. 2012 Stock Incentive Plan Nonqualified Stock Option Award Agreement </w:t>
              </w:r>
            </w:hyperlink>
            <w:r>
              <w:rPr>
                <w:rFonts w:ascii="Times New Roman" w:cs="Times New Roman" w:eastAsia="Times New Roman" w:hAnsi="Times New Roman"/>
                <w:sz w:val="17"/>
                <w:szCs w:val="17"/>
                <w:color w:val="0000FF"/>
              </w:rPr>
              <w:t xml:space="preserve">(For </w:t>
            </w:r>
            <w:hyperlink r:id="rId153">
              <w:r>
                <w:rPr>
                  <w:rFonts w:ascii="Times New Roman" w:cs="Times New Roman" w:eastAsia="Times New Roman" w:hAnsi="Times New Roman"/>
                  <w:sz w:val="17"/>
                  <w:szCs w:val="17"/>
                  <w:color w:val="0000FF"/>
                </w:rPr>
                <w:t>Employees)</w:t>
              </w:r>
            </w:hyperlink>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40" w:type="dxa"/>
            <w:vAlign w:val="bottom"/>
            <w:tcBorders>
              <w:top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7"/>
                <w:szCs w:val="17"/>
                <w:color w:val="auto"/>
              </w:rPr>
              <w:t>(incorporated herein by reference to Exhibit 10.9 to our Form 10-K, filed on February 17, 2017)</w:t>
            </w:r>
          </w:p>
        </w:tc>
        <w:tc>
          <w:tcPr>
            <w:tcW w:w="400" w:type="dxa"/>
            <w:vAlign w:val="bottom"/>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10.8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 xml:space="preserve">Form of NMI Holdings, Inc. 2012 Stock Incentive Plan Restricted Stock Unit Award Agreement </w:t>
              </w:r>
            </w:hyperlink>
            <w:r>
              <w:rPr>
                <w:rFonts w:ascii="Times New Roman" w:cs="Times New Roman" w:eastAsia="Times New Roman" w:hAnsi="Times New Roman"/>
                <w:sz w:val="17"/>
                <w:szCs w:val="17"/>
                <w:color w:val="0000FF"/>
              </w:rPr>
              <w:t xml:space="preserve">(For </w:t>
            </w:r>
            <w:hyperlink r:id="rId154">
              <w:r>
                <w:rPr>
                  <w:rFonts w:ascii="Times New Roman" w:cs="Times New Roman" w:eastAsia="Times New Roman" w:hAnsi="Times New Roman"/>
                  <w:sz w:val="17"/>
                  <w:szCs w:val="17"/>
                  <w:color w:val="0000FF"/>
                </w:rPr>
                <w:t>Independent Directors)</w:t>
              </w:r>
            </w:hyperlink>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tcBorders>
              <w:top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7"/>
                <w:szCs w:val="17"/>
                <w:color w:val="auto"/>
              </w:rPr>
              <w:t>(incorporated herein by reference to Exhibit 10.30 to our Form 10-Q, filed on May 2, 2019)</w:t>
            </w:r>
          </w:p>
        </w:tc>
        <w:tc>
          <w:tcPr>
            <w:tcW w:w="160" w:type="dxa"/>
            <w:vAlign w:val="bottom"/>
            <w:gridSpan w:val="3"/>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10.9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NMI Holdings, Inc. 2012 Stock Incentive Plan Restricted Stock Unit Award Agreement (For Employees)</w:t>
              </w:r>
            </w:hyperlink>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60" w:type="dxa"/>
            <w:vAlign w:val="bottom"/>
            <w:tcBorders>
              <w:top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7"/>
                <w:szCs w:val="17"/>
                <w:color w:val="auto"/>
              </w:rPr>
              <w:t>(incorporated herein by reference to Exhibit 10.31 to our Form 10-Q, filed on May 2, 2019)</w:t>
            </w:r>
          </w:p>
        </w:tc>
        <w:tc>
          <w:tcPr>
            <w:tcW w:w="940" w:type="dxa"/>
            <w:vAlign w:val="bottom"/>
            <w:gridSpan w:val="10"/>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10.10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 xml:space="preserve">Form of NMI Holdings, Inc. 2012 Stock Incentive Plan Nonqualified Stock Option Agreement </w:t>
              </w:r>
            </w:hyperlink>
            <w:r>
              <w:rPr>
                <w:rFonts w:ascii="Times New Roman" w:cs="Times New Roman" w:eastAsia="Times New Roman" w:hAnsi="Times New Roman"/>
                <w:sz w:val="17"/>
                <w:szCs w:val="17"/>
                <w:color w:val="0000FF"/>
              </w:rPr>
              <w:t xml:space="preserve">(For </w:t>
            </w:r>
            <w:hyperlink r:id="rId156">
              <w:r>
                <w:rPr>
                  <w:rFonts w:ascii="Times New Roman" w:cs="Times New Roman" w:eastAsia="Times New Roman" w:hAnsi="Times New Roman"/>
                  <w:sz w:val="17"/>
                  <w:szCs w:val="17"/>
                  <w:color w:val="0000FF"/>
                </w:rPr>
                <w:t xml:space="preserve">Employees) </w:t>
              </w:r>
            </w:hyperlink>
            <w:r>
              <w:rPr>
                <w:rFonts w:ascii="Times New Roman" w:cs="Times New Roman" w:eastAsia="Times New Roman" w:hAnsi="Times New Roman"/>
                <w:sz w:val="17"/>
                <w:szCs w:val="17"/>
                <w:color w:val="000000"/>
              </w:rPr>
              <w:t>(incorporated</w:t>
            </w: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60" w:type="dxa"/>
            <w:vAlign w:val="bottom"/>
            <w:tcBorders>
              <w:top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7"/>
                <w:szCs w:val="17"/>
                <w:color w:val="auto"/>
              </w:rPr>
              <w:t>herein by reference to Exhibit 10.32 to our Form 10-Q, filed on May 2, 2019)</w:t>
            </w:r>
          </w:p>
        </w:tc>
        <w:tc>
          <w:tcPr>
            <w:tcW w:w="1040" w:type="dxa"/>
            <w:vAlign w:val="bottom"/>
            <w:gridSpan w:val="11"/>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6"/>
              </w:rPr>
              <w:t>10.11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0000FF"/>
              </w:rPr>
              <w:t xml:space="preserve">NMI Holdings, Inc. Amended and Restated 2014 Omnibus Incentive Plan </w:t>
            </w:r>
            <w:r>
              <w:rPr>
                <w:rFonts w:ascii="Times New Roman" w:cs="Times New Roman" w:eastAsia="Times New Roman" w:hAnsi="Times New Roman"/>
                <w:sz w:val="17"/>
                <w:szCs w:val="17"/>
                <w:color w:val="000000"/>
              </w:rPr>
              <w:t>(incorporated herein by reference to Appendix A to</w:t>
            </w: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auto"/>
              </w:rPr>
              <w:t>our 2022 Annual Proxy Statement, filed on March 29, 2022)</w:t>
            </w:r>
          </w:p>
        </w:tc>
        <w:tc>
          <w:tcPr>
            <w:tcW w:w="3640" w:type="dxa"/>
            <w:vAlign w:val="bottom"/>
            <w:gridSpan w:val="13"/>
          </w:tcPr>
          <w:p>
            <w:pPr>
              <w:spacing w:after="0"/>
              <w:rPr>
                <w:sz w:val="16"/>
                <w:szCs w:val="16"/>
                <w:color w:val="auto"/>
              </w:rPr>
            </w:pPr>
          </w:p>
        </w:tc>
        <w:tc>
          <w:tcPr>
            <w:tcW w:w="14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10.12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40" w:type="dxa"/>
            <w:vAlign w:val="bottom"/>
            <w:gridSpan w:val="24"/>
          </w:tcPr>
          <w:p>
            <w:pPr>
              <w:spacing w:after="0" w:line="187"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NMI Holdings, Inc. Amended and Restated 2014 Omnibus Incentive Plan Restricted Stock Unit Award Agreement</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 xml:space="preserve">(For CEO) </w:t>
              </w:r>
              <w:r>
                <w:rPr>
                  <w:rFonts w:ascii="Times New Roman" w:cs="Times New Roman" w:eastAsia="Times New Roman" w:hAnsi="Times New Roman"/>
                  <w:sz w:val="17"/>
                  <w:szCs w:val="17"/>
                  <w:color w:val="000000"/>
                </w:rPr>
                <w:t>(incorporated herein by reference to Exhibit 10.19 to our Form 10-Q filed on August 1, 2017)</w:t>
              </w:r>
            </w:hyperlink>
          </w:p>
        </w:tc>
        <w:tc>
          <w:tcPr>
            <w:tcW w:w="1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24"/>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NMI Holdings, Inc. Amended and Restated 2014 Omnibus Incentive Plan Restricted Stock Unit Award Agreement</w:t>
              </w:r>
            </w:hyperlink>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(Executive Officers</w:t>
              </w:r>
              <w:r>
                <w:rPr>
                  <w:rFonts w:ascii="Times New Roman" w:cs="Times New Roman" w:eastAsia="Times New Roman" w:hAnsi="Times New Roman"/>
                  <w:sz w:val="17"/>
                  <w:szCs w:val="17"/>
                  <w:color w:val="000000"/>
                </w:rPr>
                <w:t>) (incorporated herein by reference to Exhibit 10.20 to our Form 10-Q filed on August 1, 2017)</w:t>
              </w:r>
            </w:hyperlink>
          </w:p>
        </w:tc>
        <w:tc>
          <w:tcPr>
            <w:tcW w:w="1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963"/>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top w:val="single" w:sz="8" w:color="0000FF"/>
            </w:tcBorders>
            <w:gridSpan w:val="3"/>
          </w:tcPr>
          <w:p>
            <w:pPr>
              <w:spacing w:after="0"/>
              <w:rPr>
                <w:sz w:val="24"/>
                <w:szCs w:val="24"/>
                <w:color w:val="auto"/>
              </w:rPr>
            </w:pPr>
          </w:p>
        </w:tc>
        <w:tc>
          <w:tcPr>
            <w:tcW w:w="3800" w:type="dxa"/>
            <w:vAlign w:val="bottom"/>
            <w:gridSpan w:val="6"/>
          </w:tcPr>
          <w:p>
            <w:pPr>
              <w:jc w:val="right"/>
              <w:ind w:right="314"/>
              <w:spacing w:after="0"/>
              <w:rPr>
                <w:sz w:val="20"/>
                <w:szCs w:val="20"/>
                <w:color w:val="auto"/>
              </w:rPr>
            </w:pPr>
            <w:r>
              <w:rPr>
                <w:rFonts w:ascii="Times New Roman" w:cs="Times New Roman" w:eastAsia="Times New Roman" w:hAnsi="Times New Roman"/>
                <w:sz w:val="17"/>
                <w:szCs w:val="17"/>
                <w:color w:val="auto"/>
              </w:rPr>
              <w:t>132</w:t>
            </w: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-4336415</wp:posOffset>
            </wp:positionV>
            <wp:extent cx="27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-1576705</wp:posOffset>
            </wp:positionV>
            <wp:extent cx="27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32" w:name="page133"/>
    <w:bookmarkEnd w:id="132"/>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10.14 ~</w:t>
      </w:r>
      <w:r>
        <w:rPr>
          <w:sz w:val="20"/>
          <w:szCs w:val="20"/>
          <w:color w:val="auto"/>
        </w:rPr>
        <w:tab/>
      </w:r>
      <w:hyperlink r:id="rId163">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(For Employees</w:t>
        </w:r>
        <w:r>
          <w:rPr>
            <w:rFonts w:ascii="Times New Roman" w:cs="Times New Roman" w:eastAsia="Times New Roman" w:hAnsi="Times New Roman"/>
            <w:sz w:val="17"/>
            <w:szCs w:val="17"/>
            <w:color w:val="000000"/>
          </w:rPr>
          <w:t>) (incorporated herein by reference to Exhibit 10.21 to our Form 10-Q filed on August 1, 2017)</w:t>
        </w:r>
      </w:hyperlink>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10.15 ~</w:t>
      </w:r>
      <w:r>
        <w:rPr>
          <w:sz w:val="20"/>
          <w:szCs w:val="20"/>
          <w:color w:val="auto"/>
        </w:rPr>
        <w:tab/>
      </w:r>
      <w:hyperlink r:id="rId164">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(For Independent Directors</w:t>
        </w:r>
        <w:r>
          <w:rPr>
            <w:rFonts w:ascii="Times New Roman" w:cs="Times New Roman" w:eastAsia="Times New Roman" w:hAnsi="Times New Roman"/>
            <w:sz w:val="17"/>
            <w:szCs w:val="17"/>
            <w:color w:val="000000"/>
          </w:rPr>
          <w:t>) (incorporated herein by reference to Exhibit 10.22 to our Form 10-Q filed on August 1, 2017)</w:t>
        </w:r>
      </w:hyperlink>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10.16 ~</w:t>
      </w:r>
      <w:r>
        <w:rPr>
          <w:sz w:val="20"/>
          <w:szCs w:val="20"/>
          <w:color w:val="auto"/>
        </w:rPr>
        <w:tab/>
      </w:r>
      <w:hyperlink r:id="rId165">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Agreement (For CEO)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10.23 to our Form 10-Q filed on August 1, 2017)</w:t>
        </w:r>
      </w:hyperlink>
    </w:p>
    <w:p>
      <w:pPr>
        <w:spacing w:after="0" w:line="5" w:lineRule="exact"/>
        <w:rPr>
          <w:sz w:val="20"/>
          <w:szCs w:val="20"/>
          <w:color w:val="auto"/>
        </w:rPr>
      </w:pPr>
    </w:p>
    <w:p>
      <w:pPr>
        <w:jc w:val="both"/>
        <w:ind w:left="820" w:right="359" w:hanging="815"/>
        <w:spacing w:after="0" w:line="229"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10.17 ~</w:t>
      </w:r>
      <w:r>
        <w:rPr>
          <w:sz w:val="20"/>
          <w:szCs w:val="20"/>
          <w:color w:val="auto"/>
        </w:rPr>
        <w:tab/>
      </w:r>
      <w:hyperlink r:id="rId166">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Agreement (For Executive Officers and Employees</w:t>
        </w:r>
        <w:r>
          <w:rPr>
            <w:rFonts w:ascii="Times New Roman" w:cs="Times New Roman" w:eastAsia="Times New Roman" w:hAnsi="Times New Roman"/>
            <w:sz w:val="17"/>
            <w:szCs w:val="17"/>
            <w:color w:val="000000"/>
          </w:rPr>
          <w:t>) (incorporated herein by reference to Exhibit 10.24 to our Form 10-Q filed</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on August 1, 2017)</w:t>
      </w:r>
    </w:p>
    <w:p>
      <w:pPr>
        <w:spacing w:after="0" w:line="10"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10.18 ~</w:t>
      </w:r>
      <w:r>
        <w:rPr>
          <w:sz w:val="20"/>
          <w:szCs w:val="20"/>
          <w:color w:val="auto"/>
        </w:rPr>
        <w:tab/>
      </w:r>
      <w:hyperlink r:id="rId167">
        <w:r>
          <w:rPr>
            <w:rFonts w:ascii="Times New Roman" w:cs="Times New Roman" w:eastAsia="Times New Roman" w:hAnsi="Times New Roman"/>
            <w:sz w:val="17"/>
            <w:szCs w:val="17"/>
            <w:u w:val="single" w:color="auto"/>
            <w:color w:val="0000FF"/>
          </w:rPr>
          <w:t>Form of NMI Holdings, Inc. 2014 Omnibus Incentive Plan Performance Based Restricted Stock Unit Award Agreement (For</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CEO)</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10.26 to our Form 10-K, filed on February 17, 2017)</w:t>
      </w:r>
    </w:p>
    <w:p>
      <w:pPr>
        <w:spacing w:after="0" w:line="5" w:lineRule="exact"/>
        <w:rPr>
          <w:sz w:val="20"/>
          <w:szCs w:val="20"/>
          <w:color w:val="auto"/>
        </w:rPr>
      </w:pPr>
    </w:p>
    <w:p>
      <w:pPr>
        <w:ind w:left="820" w:right="59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10.19 ~</w:t>
      </w:r>
      <w:r>
        <w:rPr>
          <w:sz w:val="20"/>
          <w:szCs w:val="20"/>
          <w:color w:val="auto"/>
        </w:rPr>
        <w:tab/>
      </w:r>
      <w:hyperlink r:id="rId168">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(Performance 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10.38 to our Form 10-Q, filed on May 7, 2020)</w:t>
        </w:r>
      </w:hyperlink>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10.20 ~</w:t>
      </w:r>
      <w:r>
        <w:rPr>
          <w:sz w:val="20"/>
          <w:szCs w:val="20"/>
          <w:color w:val="auto"/>
        </w:rPr>
        <w:tab/>
      </w:r>
      <w:hyperlink r:id="rId169">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Independent Directors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10.33 to our Form 10-Q, filed on May 2, 2019)</w:t>
        </w:r>
      </w:hyperlink>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10.21 ~</w:t>
      </w:r>
      <w:r>
        <w:rPr>
          <w:sz w:val="20"/>
          <w:szCs w:val="20"/>
          <w:color w:val="auto"/>
        </w:rPr>
        <w:tab/>
      </w:r>
      <w:hyperlink r:id="rId170">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10.34 to our Form 10-Q, filed on May 2, 2019)</w:t>
        </w:r>
      </w:hyperlink>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10.22 ~</w:t>
      </w:r>
      <w:r>
        <w:rPr>
          <w:sz w:val="20"/>
          <w:szCs w:val="20"/>
          <w:color w:val="auto"/>
        </w:rPr>
        <w:tab/>
      </w:r>
      <w:hyperlink r:id="rId171">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Agreement for</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Employees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10.35 to our Form 10-Q, filed on May 2, 2019)</w:t>
        </w:r>
      </w:hyperlink>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 ~</w:t>
      </w:r>
      <w:r>
        <w:rPr>
          <w:sz w:val="20"/>
          <w:szCs w:val="20"/>
          <w:color w:val="auto"/>
        </w:rPr>
        <w:tab/>
      </w:r>
      <w:hyperlink r:id="rId172">
        <w:r>
          <w:rPr>
            <w:rFonts w:ascii="Times New Roman" w:cs="Times New Roman" w:eastAsia="Times New Roman" w:hAnsi="Times New Roman"/>
            <w:sz w:val="17"/>
            <w:szCs w:val="17"/>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 November 25, 2014)</w:t>
      </w:r>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 ~</w:t>
      </w:r>
      <w:r>
        <w:rPr>
          <w:sz w:val="20"/>
          <w:szCs w:val="20"/>
          <w:color w:val="auto"/>
        </w:rPr>
        <w:tab/>
      </w:r>
      <w:hyperlink r:id="rId173">
        <w:r>
          <w:rPr>
            <w:rFonts w:ascii="Times New Roman" w:cs="Times New Roman" w:eastAsia="Times New Roman" w:hAnsi="Times New Roman"/>
            <w:sz w:val="17"/>
            <w:szCs w:val="17"/>
            <w:u w:val="single" w:color="auto"/>
            <w:color w:val="0000FF"/>
          </w:rPr>
          <w:t xml:space="preserve">NMI Holdings, Inc.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February 17, 2016)</w:t>
      </w:r>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174">
        <w:r>
          <w:rPr>
            <w:rFonts w:ascii="Times New Roman" w:cs="Times New Roman" w:eastAsia="Times New Roman" w:hAnsi="Times New Roman"/>
            <w:sz w:val="17"/>
            <w:szCs w:val="17"/>
            <w:u w:val="single" w:color="auto"/>
            <w:color w:val="0000FF"/>
          </w:rPr>
          <w:t xml:space="preserve">NMI Holdings, Inc. Amended and Restated Change in Control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Exhibit 10.30 to our Form 10-Q, filed on October 30, 2018)</w:t>
      </w:r>
    </w:p>
    <w:p>
      <w:pPr>
        <w:spacing w:after="0" w:line="237"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175">
        <w:r>
          <w:rPr>
            <w:rFonts w:ascii="Times New Roman" w:cs="Times New Roman" w:eastAsia="Times New Roman" w:hAnsi="Times New Roman"/>
            <w:sz w:val="17"/>
            <w:szCs w:val="17"/>
            <w:u w:val="single" w:color="auto"/>
            <w:color w:val="0000FF"/>
          </w:rPr>
          <w:t xml:space="preserve">NMI Holdings, Inc. Clawback Policy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10.2 to our Form 8-K, filed on February 23,</w:t>
      </w:r>
    </w:p>
    <w:p>
      <w:pPr>
        <w:ind w:left="820"/>
        <w:spacing w:after="0"/>
        <w:rPr>
          <w:sz w:val="20"/>
          <w:szCs w:val="20"/>
          <w:color w:val="auto"/>
        </w:rPr>
      </w:pPr>
      <w:r>
        <w:rPr>
          <w:rFonts w:ascii="Times New Roman" w:cs="Times New Roman" w:eastAsia="Times New Roman" w:hAnsi="Times New Roman"/>
          <w:sz w:val="17"/>
          <w:szCs w:val="17"/>
          <w:color w:val="auto"/>
        </w:rPr>
        <w:t>2017)</w:t>
      </w:r>
    </w:p>
    <w:p>
      <w:pPr>
        <w:spacing w:after="0" w:line="17"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176">
        <w:r>
          <w:rPr>
            <w:rFonts w:ascii="Times New Roman" w:cs="Times New Roman" w:eastAsia="Times New Roman" w:hAnsi="Times New Roman"/>
            <w:sz w:val="17"/>
            <w:szCs w:val="17"/>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10.10 to our Form 10-Q, filed on April 28, 2016)</w:t>
      </w:r>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 ~</w:t>
      </w:r>
      <w:r>
        <w:rPr>
          <w:sz w:val="20"/>
          <w:szCs w:val="20"/>
          <w:color w:val="auto"/>
        </w:rPr>
        <w:tab/>
      </w:r>
      <w:hyperlink r:id="rId177">
        <w:r>
          <w:rPr>
            <w:rFonts w:ascii="Times New Roman" w:cs="Times New Roman" w:eastAsia="Times New Roman" w:hAnsi="Times New Roman"/>
            <w:sz w:val="17"/>
            <w:szCs w:val="17"/>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 December 28, 2018)</w:t>
      </w:r>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10.29 ~</w:t>
      </w:r>
      <w:r>
        <w:rPr>
          <w:sz w:val="20"/>
          <w:szCs w:val="20"/>
          <w:color w:val="auto"/>
        </w:rPr>
        <w:tab/>
      </w:r>
      <w:hyperlink r:id="rId178">
        <w:r>
          <w:rPr>
            <w:rFonts w:ascii="Times New Roman" w:cs="Times New Roman" w:eastAsia="Times New Roman" w:hAnsi="Times New Roman"/>
            <w:sz w:val="17"/>
            <w:szCs w:val="17"/>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September 9,2021)</w:t>
      </w:r>
    </w:p>
    <w:p>
      <w:pPr>
        <w:spacing w:after="0" w:line="5" w:lineRule="exact"/>
        <w:rPr>
          <w:sz w:val="20"/>
          <w:szCs w:val="20"/>
          <w:color w:val="auto"/>
        </w:rPr>
      </w:pPr>
    </w:p>
    <w:p>
      <w:pPr>
        <w:jc w:val="both"/>
        <w:ind w:left="820" w:right="359" w:hanging="815"/>
        <w:spacing w:after="0" w:line="24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10.30 ~</w:t>
      </w:r>
      <w:r>
        <w:rPr>
          <w:sz w:val="20"/>
          <w:szCs w:val="20"/>
          <w:color w:val="auto"/>
        </w:rPr>
        <w:tab/>
      </w:r>
      <w:hyperlink r:id="rId179">
        <w:r>
          <w:rPr>
            <w:rFonts w:ascii="Times New Roman" w:cs="Times New Roman" w:eastAsia="Times New Roman" w:hAnsi="Times New Roman"/>
            <w:sz w:val="17"/>
            <w:szCs w:val="17"/>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to Exhibit 10.1 to our Form 8-K, filed on December 21, 2021)</w:t>
      </w:r>
    </w:p>
    <w:p>
      <w:pPr>
        <w:spacing w:after="0" w:line="5" w:lineRule="exact"/>
        <w:rPr>
          <w:sz w:val="20"/>
          <w:szCs w:val="20"/>
          <w:color w:val="auto"/>
        </w:rPr>
      </w:pPr>
    </w:p>
    <w:p>
      <w:pPr>
        <w:jc w:val="both"/>
        <w:ind w:left="820" w:right="359" w:hanging="817"/>
        <w:spacing w:after="0" w:line="219"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10.31 +</w:t>
      </w:r>
      <w:r>
        <w:rPr>
          <w:sz w:val="20"/>
          <w:szCs w:val="20"/>
          <w:color w:val="auto"/>
        </w:rPr>
        <w:tab/>
      </w:r>
      <w:hyperlink r:id="rId180">
        <w:r>
          <w:rPr>
            <w:rFonts w:ascii="Times New Roman" w:cs="Times New Roman" w:eastAsia="Times New Roman" w:hAnsi="Times New Roman"/>
            <w:sz w:val="17"/>
            <w:szCs w:val="17"/>
            <w:u w:val="single" w:color="auto"/>
            <w:color w:val="0000FF"/>
          </w:rPr>
          <w:t>Commitment Letter dated July 12, 2013 for Bulk Fannie Mae-Paid Loss-on-Sale Mortgage Insurance on the Portfolio of</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approximately $5.46 billion Purchased by Fannie Mae and Identified by Fannie Mae as Deal No. 2013 MIRT 01 and by the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Company as Policy No. P-0001-01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10.14 to our Form S-1 Registration Statement</w:t>
        </w:r>
      </w:hyperlink>
    </w:p>
    <w:p>
      <w:pPr>
        <w:spacing w:after="0" w:line="2" w:lineRule="exact"/>
        <w:rPr>
          <w:rFonts w:ascii="Times New Roman" w:cs="Times New Roman" w:eastAsia="Times New Roman" w:hAnsi="Times New Roman"/>
          <w:sz w:val="17"/>
          <w:szCs w:val="17"/>
          <w:u w:val="single" w:color="auto"/>
          <w:color w:val="0000FF"/>
        </w:rPr>
      </w:pPr>
    </w:p>
    <w:p>
      <w:pPr>
        <w:ind w:left="820"/>
        <w:spacing w:after="0"/>
        <w:rPr>
          <w:sz w:val="20"/>
          <w:szCs w:val="20"/>
          <w:color w:val="auto"/>
        </w:rPr>
      </w:pPr>
      <w:r>
        <w:rPr>
          <w:rFonts w:ascii="Times New Roman" w:cs="Times New Roman" w:eastAsia="Times New Roman" w:hAnsi="Times New Roman"/>
          <w:sz w:val="17"/>
          <w:szCs w:val="17"/>
          <w:color w:val="auto"/>
        </w:rPr>
        <w:t>(Registration No. 333-191635), filed on October 9, 2013)</w:t>
      </w:r>
    </w:p>
    <w:p>
      <w:pPr>
        <w:spacing w:after="0" w:line="10" w:lineRule="exact"/>
        <w:rPr>
          <w:rFonts w:ascii="Times New Roman" w:cs="Times New Roman" w:eastAsia="Times New Roman" w:hAnsi="Times New Roman"/>
          <w:sz w:val="17"/>
          <w:szCs w:val="17"/>
          <w:u w:val="single" w:color="auto"/>
          <w:color w:val="0000FF"/>
        </w:rPr>
      </w:pPr>
    </w:p>
    <w:p>
      <w:pPr>
        <w:ind w:left="820" w:right="399" w:hanging="747"/>
        <w:spacing w:after="0" w:line="227" w:lineRule="auto"/>
        <w:tabs>
          <w:tab w:leader="none" w:pos="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10.32</w:t>
      </w:r>
      <w:r>
        <w:rPr>
          <w:sz w:val="20"/>
          <w:szCs w:val="20"/>
          <w:color w:val="auto"/>
        </w:rPr>
        <w:tab/>
      </w:r>
      <w:hyperlink r:id="rId181">
        <w:r>
          <w:rPr>
            <w:rFonts w:ascii="Times New Roman" w:cs="Times New Roman" w:eastAsia="Times New Roman" w:hAnsi="Times New Roman"/>
            <w:sz w:val="17"/>
            <w:szCs w:val="17"/>
            <w:u w:val="single" w:color="auto"/>
            <w:color w:val="0000FF"/>
          </w:rPr>
          <w:t>Amended and Restated Credit Agreement, dated as of November 29, 2021, by and among the Company, the lender parties</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thereto and JPMorgan Chase Bank, N.A. as administrative agent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herein by reference to Exhibit 10.1 to our </w:t>
        </w:r>
      </w:hyperlink>
      <w:r>
        <w:rPr>
          <w:rFonts w:ascii="Times New Roman" w:cs="Times New Roman" w:eastAsia="Times New Roman" w:hAnsi="Times New Roman"/>
          <w:sz w:val="17"/>
          <w:szCs w:val="17"/>
          <w:color w:val="0000FF"/>
        </w:rPr>
        <w:t xml:space="preserve">Form </w:t>
      </w:r>
      <w:r>
        <w:rPr>
          <w:rFonts w:ascii="Times New Roman" w:cs="Times New Roman" w:eastAsia="Times New Roman" w:hAnsi="Times New Roman"/>
          <w:sz w:val="17"/>
          <w:szCs w:val="17"/>
          <w:color w:val="000000"/>
        </w:rPr>
        <w:t>8-K filed on November 30, 2021)</w:t>
      </w:r>
    </w:p>
    <w:p>
      <w:pPr>
        <w:spacing w:after="0" w:line="1" w:lineRule="exact"/>
        <w:rPr>
          <w:sz w:val="20"/>
          <w:szCs w:val="20"/>
          <w:color w:val="auto"/>
        </w:rPr>
      </w:pPr>
    </w:p>
    <w:p>
      <w:pPr>
        <w:ind w:left="120"/>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21.1</w:t>
      </w:r>
      <w:r>
        <w:rPr>
          <w:sz w:val="20"/>
          <w:szCs w:val="20"/>
          <w:color w:val="auto"/>
        </w:rPr>
        <w:tab/>
      </w:r>
      <w:hyperlink r:id="rId182">
        <w:r>
          <w:rPr>
            <w:rFonts w:ascii="Times New Roman" w:cs="Times New Roman" w:eastAsia="Times New Roman" w:hAnsi="Times New Roman"/>
            <w:sz w:val="17"/>
            <w:szCs w:val="17"/>
            <w:u w:val="single" w:color="auto"/>
            <w:color w:val="0000FF"/>
          </w:rPr>
          <w:t xml:space="preserve">Subsidiaries of NMI Holdings,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21.1 to our Form 10-Q, filed on October 30,</w:t>
      </w:r>
    </w:p>
    <w:p>
      <w:pPr>
        <w:ind w:left="820"/>
        <w:spacing w:after="0"/>
        <w:rPr>
          <w:sz w:val="20"/>
          <w:szCs w:val="20"/>
          <w:color w:val="auto"/>
        </w:rPr>
      </w:pPr>
      <w:r>
        <w:rPr>
          <w:rFonts w:ascii="Times New Roman" w:cs="Times New Roman" w:eastAsia="Times New Roman" w:hAnsi="Times New Roman"/>
          <w:sz w:val="17"/>
          <w:szCs w:val="17"/>
          <w:color w:val="auto"/>
        </w:rPr>
        <w:t>2015)</w:t>
      </w:r>
    </w:p>
    <w:p>
      <w:pPr>
        <w:spacing w:after="0" w:line="17" w:lineRule="exact"/>
        <w:rPr>
          <w:sz w:val="20"/>
          <w:szCs w:val="20"/>
          <w:color w:val="auto"/>
        </w:rPr>
      </w:pPr>
    </w:p>
    <w:p>
      <w:pPr>
        <w:ind w:left="820" w:right="359" w:hanging="704"/>
        <w:spacing w:after="0" w:line="243" w:lineRule="auto"/>
        <w:tabs>
          <w:tab w:leader="none" w:pos="80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u w:val="single" w:color="auto"/>
          <w:color w:val="0000FF"/>
        </w:rPr>
        <w:t xml:space="preserve">Guaranteed Securities by Subsidiary Guarantor </w:t>
      </w:r>
      <w:r>
        <w:rPr>
          <w:rFonts w:ascii="Times New Roman" w:cs="Times New Roman" w:eastAsia="Times New Roman" w:hAnsi="Times New Roman"/>
          <w:sz w:val="17"/>
          <w:szCs w:val="17"/>
          <w:color w:val="000000"/>
        </w:rPr>
        <w:t>(incorporated herein by reference to Exhibit 22.1 to our Form 10-K, filed on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February 16, 2022)</w:t>
      </w:r>
    </w:p>
    <w:p>
      <w:pPr>
        <w:spacing w:after="0" w:line="5" w:lineRule="exact"/>
        <w:rPr>
          <w:sz w:val="20"/>
          <w:szCs w:val="20"/>
          <w:color w:val="auto"/>
        </w:rPr>
      </w:pPr>
    </w:p>
    <w:p>
      <w:pPr>
        <w:ind w:left="120"/>
        <w:spacing w:after="0"/>
        <w:tabs>
          <w:tab w:leader="none" w:pos="80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BDO USA, LLP</w:t>
      </w:r>
    </w:p>
    <w:p>
      <w:pPr>
        <w:spacing w:after="0" w:line="30" w:lineRule="exact"/>
        <w:rPr>
          <w:sz w:val="20"/>
          <w:szCs w:val="20"/>
          <w:color w:val="auto"/>
        </w:rPr>
      </w:pPr>
    </w:p>
    <w:p>
      <w:pPr>
        <w:ind w:left="120"/>
        <w:spacing w:after="0"/>
        <w:tabs>
          <w:tab w:leader="none" w:pos="80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Principal Executive Officer's 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71755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9959"/>
          </w:cols>
          <w:pgMar w:left="500" w:top="1104" w:right="1440" w:bottom="1440" w:gutter="0" w:footer="0" w:header="0"/>
        </w:sectPr>
      </w:pPr>
    </w:p>
    <w:bookmarkStart w:id="133" w:name="page134"/>
    <w:bookmarkEnd w:id="133"/>
    <w:p>
      <w:pPr>
        <w:ind w:left="163"/>
        <w:spacing w:after="0"/>
        <w:tabs>
          <w:tab w:leader="none" w:pos="843"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Principal Financial Officer's Certification Pursuant to Section 302 of the Sarbanes-Oxley Act of 2002</w:t>
      </w:r>
    </w:p>
    <w:p>
      <w:pPr>
        <w:spacing w:after="0" w:line="30" w:lineRule="exact"/>
        <w:rPr>
          <w:sz w:val="20"/>
          <w:szCs w:val="20"/>
          <w:color w:val="auto"/>
        </w:rPr>
      </w:pPr>
    </w:p>
    <w:p>
      <w:pPr>
        <w:ind w:left="863" w:right="1160" w:hanging="768"/>
        <w:spacing w:after="0" w:line="238" w:lineRule="auto"/>
        <w:tabs>
          <w:tab w:leader="none" w:pos="843" w:val="left"/>
        </w:tabs>
        <w:rPr>
          <w:sz w:val="20"/>
          <w:szCs w:val="20"/>
          <w:color w:val="auto"/>
        </w:rPr>
      </w:pPr>
      <w:r>
        <w:rPr>
          <w:rFonts w:ascii="Times New Roman" w:cs="Times New Roman" w:eastAsia="Times New Roman" w:hAnsi="Times New Roman"/>
          <w:sz w:val="17"/>
          <w:szCs w:val="17"/>
          <w:color w:val="auto"/>
        </w:rPr>
        <w:t>32.1 #</w:t>
      </w:r>
      <w:r>
        <w:rPr>
          <w:sz w:val="20"/>
          <w:szCs w:val="20"/>
          <w:color w:val="auto"/>
        </w:rPr>
        <w:tab/>
      </w:r>
      <w:r>
        <w:rPr>
          <w:rFonts w:ascii="Times New Roman" w:cs="Times New Roman" w:eastAsia="Times New Roman" w:hAnsi="Times New Roman"/>
          <w:sz w:val="17"/>
          <w:szCs w:val="17"/>
          <w:u w:val="single" w:color="auto"/>
          <w:color w:val="0000FF"/>
        </w:rPr>
        <w:t>Certifications of CEO and CFO Pursuant to 18 U.S.C. Section 1350, as Adopted Pursuant to Section 906 of the Sarbanes-Oxley Act of 2002</w:t>
      </w:r>
    </w:p>
    <w:p>
      <w:pPr>
        <w:ind w:left="863" w:hanging="680"/>
        <w:spacing w:after="0"/>
        <w:tabs>
          <w:tab w:leader="none" w:pos="863"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NMI Holdings, Inc.'s Annual Report on Form 10-K for the year ended December 31,</w:t>
      </w:r>
    </w:p>
    <w:p>
      <w:pPr>
        <w:ind w:left="863"/>
        <w:spacing w:after="0" w:line="2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formatted in XBRL (eXtensible Business Reporting Language):</w:t>
      </w:r>
    </w:p>
    <w:p>
      <w:pPr>
        <w:ind w:left="1283" w:hanging="201"/>
        <w:spacing w:after="0" w:line="222" w:lineRule="auto"/>
        <w:tabs>
          <w:tab w:leader="none" w:pos="1283"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2022 and 2021</w:t>
      </w:r>
    </w:p>
    <w:p>
      <w:pPr>
        <w:ind w:left="863" w:right="1560" w:firstLine="219"/>
        <w:spacing w:after="0" w:line="206" w:lineRule="auto"/>
        <w:tabs>
          <w:tab w:leader="none" w:pos="1332"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and Comprehensive Income (Loss) for each of the three years in the period ended December 31, 2022</w:t>
      </w:r>
    </w:p>
    <w:p>
      <w:pPr>
        <w:ind w:left="863" w:right="1280" w:firstLine="219"/>
        <w:spacing w:after="0" w:line="214" w:lineRule="auto"/>
        <w:tabs>
          <w:tab w:leader="none" w:pos="1380"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Shareholders' Equity for each of the three years in the period ended December 31, 2022</w:t>
      </w:r>
    </w:p>
    <w:p>
      <w:pPr>
        <w:ind w:left="1383" w:hanging="301"/>
        <w:spacing w:after="0" w:line="206" w:lineRule="auto"/>
        <w:tabs>
          <w:tab w:leader="none" w:pos="1383"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each of the three years in the period ended December 31, 2022, and</w:t>
      </w:r>
    </w:p>
    <w:p>
      <w:pPr>
        <w:ind w:left="863" w:right="1160" w:firstLine="219"/>
        <w:spacing w:after="0" w:line="237" w:lineRule="auto"/>
        <w:tabs>
          <w:tab w:leader="none" w:pos="1323"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 The instance document does not appear in the Interactive Data File because XBRL tags are embedded within the Inline XBRL document.</w:t>
      </w:r>
    </w:p>
    <w:p>
      <w:pPr>
        <w:spacing w:after="0" w:line="102" w:lineRule="exact"/>
        <w:rPr>
          <w:rFonts w:ascii="Times New Roman" w:cs="Times New Roman" w:eastAsia="Times New Roman" w:hAnsi="Times New Roman"/>
          <w:sz w:val="17"/>
          <w:szCs w:val="17"/>
          <w:color w:val="auto"/>
        </w:rPr>
      </w:pPr>
    </w:p>
    <w:p>
      <w:pPr>
        <w:ind w:left="263" w:hanging="263"/>
        <w:spacing w:after="0"/>
        <w:tabs>
          <w:tab w:leader="none" w:pos="26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3" w:lineRule="exact"/>
        <w:rPr>
          <w:sz w:val="20"/>
          <w:szCs w:val="20"/>
          <w:color w:val="auto"/>
        </w:rPr>
      </w:pPr>
    </w:p>
    <w:p>
      <w:pPr>
        <w:ind w:left="263" w:hanging="263"/>
        <w:spacing w:after="0"/>
        <w:tabs>
          <w:tab w:leader="none" w:pos="26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3" w:lineRule="exact"/>
        <w:rPr>
          <w:sz w:val="20"/>
          <w:szCs w:val="20"/>
          <w:color w:val="auto"/>
        </w:rPr>
      </w:pPr>
    </w:p>
    <w:p>
      <w:pPr>
        <w:jc w:val="both"/>
        <w:ind w:left="263" w:hanging="263"/>
        <w:spacing w:after="0" w:line="222" w:lineRule="auto"/>
        <w:tabs>
          <w:tab w:leader="none" w:pos="26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62"/>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71755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03"/>
          </w:cols>
          <w:pgMar w:left="457" w:top="1104" w:right="6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076"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7"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400"/>
              <w:spacing w:after="0"/>
              <w:rPr>
                <w:sz w:val="20"/>
                <w:szCs w:val="20"/>
                <w:color w:val="auto"/>
              </w:rPr>
            </w:pPr>
            <w:r>
              <w:rPr>
                <w:rFonts w:ascii="Times New Roman" w:cs="Times New Roman" w:eastAsia="Times New Roman" w:hAnsi="Times New Roman"/>
                <w:sz w:val="17"/>
                <w:szCs w:val="17"/>
                <w:b w:val="1"/>
                <w:bCs w:val="1"/>
                <w:color w:val="auto"/>
              </w:rPr>
              <w:t>NMI HOLDINGS, INC.</w:t>
            </w:r>
          </w:p>
        </w:tc>
      </w:tr>
      <w:tr>
        <w:trPr>
          <w:trHeight w:val="647"/>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February 14, 2023</w:t>
            </w:r>
          </w:p>
        </w:tc>
        <w:tc>
          <w:tcPr>
            <w:tcW w:w="558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By: /s/ Adam S. Pollitzer</w:t>
            </w:r>
          </w:p>
        </w:tc>
      </w:tr>
      <w:tr>
        <w:trPr>
          <w:trHeight w:val="20"/>
        </w:trPr>
        <w:tc>
          <w:tcPr>
            <w:tcW w:w="4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187"/>
        </w:trPr>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580" w:type="dxa"/>
            <w:vAlign w:val="bottom"/>
            <w:gridSpan w:val="2"/>
          </w:tcPr>
          <w:p>
            <w:pPr>
              <w:ind w:left="2600"/>
              <w:spacing w:after="0" w:line="187" w:lineRule="exact"/>
              <w:rPr>
                <w:sz w:val="20"/>
                <w:szCs w:val="20"/>
                <w:color w:val="auto"/>
              </w:rPr>
            </w:pPr>
            <w:r>
              <w:rPr>
                <w:rFonts w:ascii="Times New Roman" w:cs="Times New Roman" w:eastAsia="Times New Roman" w:hAnsi="Times New Roman"/>
                <w:sz w:val="17"/>
                <w:szCs w:val="17"/>
                <w:color w:val="auto"/>
              </w:rPr>
              <w:t>Name: Adam S. Pollitzer</w:t>
            </w:r>
          </w:p>
        </w:tc>
      </w:tr>
      <w:tr>
        <w:trPr>
          <w:trHeight w:val="226"/>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600"/>
              <w:spacing w:after="0"/>
              <w:rPr>
                <w:sz w:val="20"/>
                <w:szCs w:val="20"/>
                <w:color w:val="auto"/>
              </w:rPr>
            </w:pPr>
            <w:r>
              <w:rPr>
                <w:rFonts w:ascii="Times New Roman" w:cs="Times New Roman" w:eastAsia="Times New Roman" w:hAnsi="Times New Roman"/>
                <w:sz w:val="17"/>
                <w:szCs w:val="17"/>
                <w:color w:val="auto"/>
              </w:rPr>
              <w:t>Title: Chief Executive Officer</w:t>
            </w:r>
          </w:p>
        </w:tc>
      </w:tr>
    </w:tbl>
    <w:p>
      <w:pPr>
        <w:spacing w:after="0" w:line="157" w:lineRule="exact"/>
        <w:rPr>
          <w:sz w:val="20"/>
          <w:szCs w:val="20"/>
          <w:color w:val="auto"/>
        </w:rPr>
      </w:pPr>
    </w:p>
    <w:p>
      <w:pPr>
        <w:sectPr>
          <w:pgSz w:w="11900" w:h="16838" w:orient="portrait"/>
          <w:cols w:equalWidth="0" w:num="1">
            <w:col w:w="11240"/>
          </w:cols>
          <w:pgMar w:left="320" w:top="507" w:right="339" w:bottom="1440" w:gutter="0" w:footer="0" w:header="0"/>
        </w:sectPr>
      </w:pPr>
    </w:p>
    <w:p>
      <w:pPr>
        <w:ind w:left="1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Ravi Mallela</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Nicholas D. Realmuto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Nicholas D. Realmuto</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Bradley M. Shuster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Steven L. Scheid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Steven L. Scheid</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James G.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James G. Jones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Regina Muehlhauser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Regina Muehlhauser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Michael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Michael Montgomery</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Michael Embler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Michael Embler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Lynn S. McCreary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Lynn S. McCreary</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Priya Huskins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Priya Huskins</w:t>
      </w:r>
    </w:p>
    <w:p>
      <w:pPr>
        <w:spacing w:after="0" w:line="20" w:lineRule="exact"/>
        <w:rPr>
          <w:sz w:val="20"/>
          <w:szCs w:val="20"/>
          <w:color w:val="auto"/>
        </w:rPr>
      </w:pPr>
      <w:r>
        <w:rPr>
          <w:sz w:val="20"/>
          <w:szCs w:val="20"/>
          <w:color w:val="auto"/>
        </w:rPr>
        <w:br w:type="column"/>
      </w:r>
    </w:p>
    <w:p>
      <w:pPr>
        <w:jc w:val="right"/>
        <w:ind w:right="20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167005</wp:posOffset>
            </wp:positionV>
            <wp:extent cx="2809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280924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19050</wp:posOffset>
            </wp:positionV>
            <wp:extent cx="2809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2809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280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167005</wp:posOffset>
            </wp:positionV>
            <wp:extent cx="13227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19050</wp:posOffset>
            </wp:positionV>
            <wp:extent cx="13227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347345</wp:posOffset>
            </wp:positionV>
            <wp:extent cx="13227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00" w:lineRule="exact"/>
        <w:rPr>
          <w:sz w:val="20"/>
          <w:szCs w:val="20"/>
          <w:color w:val="auto"/>
        </w:rPr>
      </w:pPr>
    </w:p>
    <w:p>
      <w:pPr>
        <w:sectPr>
          <w:pgSz w:w="11900" w:h="16838" w:orient="portrait"/>
          <w:cols w:equalWidth="0" w:num="3">
            <w:col w:w="3200" w:space="720"/>
            <w:col w:w="4380" w:space="720"/>
            <w:col w:w="2220"/>
          </w:cols>
          <w:pgMar w:left="320" w:top="5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 SCHEDULES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Schedule I — Summary of Investments — other than investments in related parties as of December 31, 2022</w:t>
            </w:r>
          </w:p>
        </w:tc>
        <w:tc>
          <w:tcPr>
            <w:tcW w:w="17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FF"/>
              </w:rPr>
              <w:t>F-1</w:t>
            </w:r>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9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Schedule II — Financial Information of Registrant as of December 31, 2022</w:t>
            </w:r>
          </w:p>
        </w:tc>
        <w:tc>
          <w:tcPr>
            <w:tcW w:w="1720" w:type="dxa"/>
            <w:vAlign w:val="bottom"/>
          </w:tcPr>
          <w:p>
            <w:pPr>
              <w:spacing w:after="0"/>
              <w:rPr>
                <w:sz w:val="15"/>
                <w:szCs w:val="15"/>
                <w:color w:val="auto"/>
              </w:rPr>
            </w:pPr>
          </w:p>
        </w:tc>
        <w:tc>
          <w:tcPr>
            <w:tcW w:w="2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F-2</w:t>
            </w:r>
          </w:p>
        </w:tc>
      </w:tr>
      <w:tr>
        <w:trPr>
          <w:trHeight w:val="29"/>
        </w:trPr>
        <w:tc>
          <w:tcPr>
            <w:tcW w:w="9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92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Schedule IV — Reinsurance as of December 31, 2022</w:t>
            </w:r>
          </w:p>
        </w:tc>
        <w:tc>
          <w:tcPr>
            <w:tcW w:w="17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F-6</w:t>
            </w:r>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2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SUMMARY OF INVESTMENTS - OTHER THAN INVESTMENTS IN RELATED PARTIES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3"/>
                <w:szCs w:val="13"/>
                <w:color w:val="auto"/>
              </w:rPr>
            </w:pPr>
          </w:p>
        </w:tc>
        <w:tc>
          <w:tcPr>
            <w:tcW w:w="15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Amount Reflected on</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483,176</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1,457,589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1,293,642</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74,762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68,558</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1,925,308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1,925,308</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174,081</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2,352,747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2,099,389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5"/>
                <w:szCs w:val="15"/>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gridSpan w:val="4"/>
          </w:tcPr>
          <w:p>
            <w:pPr>
              <w:spacing w:after="0" w:line="20" w:lineRule="exact"/>
              <w:rPr>
                <w:sz w:val="1"/>
                <w:szCs w:val="1"/>
                <w:color w:val="auto"/>
              </w:rPr>
            </w:pPr>
          </w:p>
        </w:tc>
      </w:tr>
      <w:tr>
        <w:trPr>
          <w:trHeight w:val="181"/>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Fixed maturities, available-for-sale, at fair value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83,918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84,854</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21,181</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in subsidiaries, at equity in net assets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1,951,124</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Due from affiliates,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86,366</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32,047</w:t>
            </w:r>
          </w:p>
        </w:tc>
      </w:tr>
      <w:tr>
        <w:trPr>
          <w:trHeight w:val="220"/>
        </w:trPr>
        <w:tc>
          <w:tcPr>
            <w:tcW w:w="7520" w:type="dxa"/>
            <w:vAlign w:val="bottom"/>
            <w:tcBorders>
              <w:bottom w:val="single" w:sz="8" w:color="CCEEFF"/>
            </w:tcBorders>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Other assets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7,234</w:t>
            </w: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2,183,173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396,051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394,623</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42,246</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Warrant liability, at fair value</w:t>
            </w:r>
          </w:p>
        </w:tc>
        <w:tc>
          <w:tcPr>
            <w:tcW w:w="2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175,254</w:t>
            </w:r>
          </w:p>
        </w:tc>
      </w:tr>
      <w:tr>
        <w:trPr>
          <w:trHeight w:val="220"/>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1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698,384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617,387</w:t>
            </w:r>
          </w:p>
        </w:tc>
      </w:tr>
      <w:tr>
        <w:trPr>
          <w:trHeight w:val="239"/>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 class A shares, $0.01 par value; 86,472,742 shares issued and 83,549,879 shares</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outstanding as of December 31, 2022 and 85,792,849 shares issued and outstanding as of December 31,</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3"/>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2021 (250,000,000 shares authorized)</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955,302</w:t>
            </w: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Treasury stock, at cost: 2,922,863 and 0 common shares as of December 31, 2022 and December 31,</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3"/>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2021, respectively</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 net of tax</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r>
      <w:tr>
        <w:trPr>
          <w:trHeight w:val="220"/>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901,043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608,141</w:t>
            </w:r>
          </w:p>
        </w:tc>
      </w:tr>
      <w:tr>
        <w:trPr>
          <w:trHeight w:val="21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1,613,727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1,565,786</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2,312,111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2,183,173</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200" w:hanging="197"/>
        <w:spacing w:after="0"/>
        <w:tabs>
          <w:tab w:leader="none" w:pos="200"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"Prepaid expenses" have been reclassified as "Other assets"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60" w:type="dxa"/>
            <w:vAlign w:val="bottom"/>
            <w:gridSpan w:val="6"/>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7"/>
        </w:trPr>
        <w:tc>
          <w:tcPr>
            <w:tcW w:w="5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39"/>
        </w:trPr>
        <w:tc>
          <w:tcPr>
            <w:tcW w:w="5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9,262</w:t>
            </w: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6,355</w:t>
            </w:r>
          </w:p>
        </w:tc>
      </w:tr>
      <w:tr>
        <w:trPr>
          <w:trHeight w:val="239"/>
        </w:trPr>
        <w:tc>
          <w:tcPr>
            <w:tcW w:w="5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net income of subsidiaries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303,970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217,134</w:t>
            </w:r>
          </w:p>
        </w:tc>
      </w:tr>
      <w:tr>
        <w:trPr>
          <w:trHeight w:val="259"/>
        </w:trPr>
        <w:tc>
          <w:tcPr>
            <w:tcW w:w="5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211,200</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39,634</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58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8"/>
        </w:trPr>
        <w:tc>
          <w:tcPr>
            <w:tcW w:w="58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Unrealized (losses) gains in accumulated other comprehensive income, net of tax</w:t>
            </w:r>
          </w:p>
        </w:tc>
        <w:tc>
          <w:tcPr>
            <w:tcW w:w="10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58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(benefit) expense of $(748), $(95), and $25 for each of the years in the three-year</w:t>
            </w:r>
          </w:p>
        </w:tc>
        <w:tc>
          <w:tcPr>
            <w:tcW w:w="10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period ended December 31, 2022, respectively</w:t>
            </w:r>
          </w:p>
        </w:tc>
        <w:tc>
          <w:tcPr>
            <w:tcW w:w="10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168"/>
        </w:trPr>
        <w:tc>
          <w:tcPr>
            <w:tcW w:w="584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Reclassification adjustment for realized losses (gains) included in net income, net</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4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of tax (benefit) expense of $(3), $2 and $5 for each of the years in the three-year</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3"/>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period ended December 31, 2022, respectively</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other comprehensive (loss) income of subsidiaries</w:t>
            </w:r>
          </w:p>
        </w:tc>
        <w:tc>
          <w:tcPr>
            <w:tcW w:w="10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(203,003)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36,492</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(205,808)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(52,371)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36,568</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178,759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208,134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40" w:type="dxa"/>
            <w:vAlign w:val="bottom"/>
            <w:gridSpan w:val="6"/>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20" w:type="dxa"/>
            <w:vAlign w:val="bottom"/>
          </w:tcPr>
          <w:p>
            <w:pPr>
              <w:spacing w:after="0"/>
              <w:rPr>
                <w:sz w:val="15"/>
                <w:szCs w:val="15"/>
                <w:color w:val="auto"/>
              </w:rPr>
            </w:pPr>
          </w:p>
        </w:tc>
      </w:tr>
      <w:tr>
        <w:trPr>
          <w:trHeight w:val="23"/>
        </w:trPr>
        <w:tc>
          <w:tcPr>
            <w:tcW w:w="6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0"/>
        </w:trPr>
        <w:tc>
          <w:tcPr>
            <w:tcW w:w="6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171,566</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w:t>
            </w:r>
          </w:p>
        </w:tc>
      </w:tr>
      <w:tr>
        <w:trPr>
          <w:trHeight w:val="220"/>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losses (gains)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r>
      <w:tr>
        <w:trPr>
          <w:trHeight w:val="220"/>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w:t>
            </w: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45,483</w:t>
            </w:r>
          </w:p>
        </w:tc>
      </w:tr>
      <w:tr>
        <w:trPr>
          <w:trHeight w:val="220"/>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11,115</w:t>
            </w:r>
          </w:p>
        </w:tc>
      </w:tr>
      <w:tr>
        <w:trPr>
          <w:trHeight w:val="22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6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 subsidiaries, at equity in net assets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(217,134)</w:t>
            </w:r>
          </w:p>
        </w:tc>
      </w:tr>
      <w:tr>
        <w:trPr>
          <w:trHeight w:val="22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6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Receivable from affiliates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(14,651)</w:t>
            </w:r>
          </w:p>
        </w:tc>
      </w:tr>
      <w:tr>
        <w:trPr>
          <w:trHeight w:val="220"/>
        </w:trPr>
        <w:tc>
          <w:tcPr>
            <w:tcW w:w="6080" w:type="dxa"/>
            <w:vAlign w:val="bottom"/>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Other assets </w:t>
            </w:r>
            <w:r>
              <w:rPr>
                <w:rFonts w:ascii="Times New Roman" w:cs="Times New Roman" w:eastAsia="Times New Roman" w:hAnsi="Times New Roman"/>
                <w:sz w:val="22"/>
                <w:szCs w:val="22"/>
                <w:color w:val="auto"/>
                <w:vertAlign w:val="superscript"/>
              </w:rPr>
              <w:t>(1)</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6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4,592</w:t>
            </w:r>
          </w:p>
        </w:tc>
      </w:tr>
      <w:tr>
        <w:trPr>
          <w:trHeight w:val="21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w:t>
            </w:r>
          </w:p>
        </w:tc>
      </w:tr>
      <w:tr>
        <w:trPr>
          <w:trHeight w:val="20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Capitalization of subsidiaries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(445,448)</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(19,897)</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(53,504)</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41,228</w:t>
            </w:r>
          </w:p>
        </w:tc>
      </w:tr>
      <w:tr>
        <w:trPr>
          <w:trHeight w:val="168"/>
        </w:trPr>
        <w:tc>
          <w:tcPr>
            <w:tcW w:w="608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w:t>
            </w: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3"/>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available-for-sale</w:t>
            </w: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20,241</w:t>
            </w:r>
          </w:p>
        </w:tc>
      </w:tr>
      <w:tr>
        <w:trPr>
          <w:trHeight w:val="220"/>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Software and equipment</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(2,633)</w:t>
            </w:r>
          </w:p>
        </w:tc>
      </w:tr>
      <w:tr>
        <w:trPr>
          <w:trHeight w:val="21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(460,013)</w:t>
            </w:r>
          </w:p>
        </w:tc>
      </w:tr>
      <w:tr>
        <w:trPr>
          <w:trHeight w:val="200"/>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public offering, net of issuance costs</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219,687</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8,871</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warrant exercises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(8,961)</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senior secured notes</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term loan</w:t>
            </w:r>
          </w:p>
        </w:tc>
        <w:tc>
          <w:tcPr>
            <w:tcW w:w="10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(147,750)</w:t>
            </w:r>
          </w:p>
        </w:tc>
      </w:tr>
      <w:tr>
        <w:trPr>
          <w:trHeight w:val="22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(9,043)</w:t>
            </w:r>
          </w:p>
        </w:tc>
      </w:tr>
      <w:tr>
        <w:trPr>
          <w:trHeight w:val="220"/>
        </w:trPr>
        <w:tc>
          <w:tcPr>
            <w:tcW w:w="6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462,804</w:t>
            </w:r>
          </w:p>
        </w:tc>
      </w:tr>
      <w:tr>
        <w:trPr>
          <w:trHeight w:val="135"/>
        </w:trPr>
        <w:tc>
          <w:tcPr>
            <w:tcW w:w="6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r>
      <w:tr>
        <w:trPr>
          <w:trHeight w:val="22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13,431</w:t>
            </w: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40" w:hanging="237"/>
        <w:spacing w:after="0"/>
        <w:tabs>
          <w:tab w:leader="none" w:pos="240" w:val="left"/>
        </w:tabs>
        <w:numPr>
          <w:ilvl w:val="0"/>
          <w:numId w:val="7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"Prepaid expenses" have been reclassified as "Other assets" in the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SUPPLEMENTAL NOTES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A</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dividends) with 30 days' prior notice to the Wisconsin OCI. Dividends in larger amounts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April 1, 2022, NMIC paid a $34.9 million ordinary course dividend to NMIH and has the capacity to pay aggregate ordinary dividends of $98.0 million to NMIH during the twelve-month period ending December 31, 2023.</w:t>
      </w:r>
    </w:p>
    <w:p>
      <w:pPr>
        <w:spacing w:after="0" w:line="33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remaining net assets from dividend capacity are considered restricted. As of December 31, 2022, the amount of restricted net assets held by our consolidated insurance subsidiaries, which represents our equity investment in those insurance subsidiaries less their aggregate dividend capacity, totaled $2.1 billion, compared to $2.0 billion as of December 31,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C</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three-year period ended December 31, 2022 were $148.4 million, $149.4 million and $152.9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IV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REINSURANCE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80" w:type="dxa"/>
            <w:vAlign w:val="bottom"/>
          </w:tcPr>
          <w:p>
            <w:pPr>
              <w:spacing w:after="0"/>
              <w:rPr>
                <w:sz w:val="13"/>
                <w:szCs w:val="13"/>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200" w:type="dxa"/>
            <w:vAlign w:val="bottom"/>
          </w:tcPr>
          <w:p>
            <w:pPr>
              <w:spacing w:after="0"/>
              <w:rPr>
                <w:sz w:val="13"/>
                <w:szCs w:val="13"/>
                <w:color w:val="auto"/>
              </w:rPr>
            </w:pPr>
          </w:p>
        </w:tc>
        <w:tc>
          <w:tcPr>
            <w:tcW w:w="1760" w:type="dxa"/>
            <w:vAlign w:val="bottom"/>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w w:val="97"/>
              </w:rPr>
              <w:t>Assumed from Other</w:t>
            </w:r>
          </w:p>
        </w:tc>
        <w:tc>
          <w:tcPr>
            <w:tcW w:w="140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 Amount</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w w:val="98"/>
              </w:rPr>
              <w:t>Companies</w:t>
            </w:r>
          </w:p>
        </w:tc>
        <w:tc>
          <w:tcPr>
            <w:tcW w:w="14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Assumed to Net</w:t>
            </w:r>
          </w:p>
        </w:tc>
        <w:tc>
          <w:tcPr>
            <w:tcW w:w="0" w:type="dxa"/>
            <w:vAlign w:val="bottom"/>
          </w:tcPr>
          <w:p>
            <w:pPr>
              <w:spacing w:after="0"/>
              <w:rPr>
                <w:sz w:val="1"/>
                <w:szCs w:val="1"/>
                <w:color w:val="auto"/>
              </w:rPr>
            </w:pPr>
          </w:p>
        </w:tc>
      </w:tr>
      <w:tr>
        <w:trPr>
          <w:trHeight w:val="204"/>
        </w:trPr>
        <w:tc>
          <w:tcPr>
            <w:tcW w:w="29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594,127</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118,861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  $</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475,266</w:t>
            </w:r>
          </w:p>
        </w:tc>
        <w:tc>
          <w:tcPr>
            <w:tcW w:w="16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2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2021</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536,630</w:t>
            </w:r>
          </w:p>
        </w:tc>
        <w:tc>
          <w:tcPr>
            <w:tcW w:w="2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92,336</w:t>
            </w:r>
          </w:p>
        </w:tc>
        <w:tc>
          <w:tcPr>
            <w:tcW w:w="200" w:type="dxa"/>
            <w:vAlign w:val="bottom"/>
          </w:tcPr>
          <w:p>
            <w:pPr>
              <w:spacing w:after="0"/>
              <w:rPr>
                <w:sz w:val="19"/>
                <w:szCs w:val="19"/>
                <w:color w:val="auto"/>
              </w:rPr>
            </w:pPr>
          </w:p>
        </w:tc>
        <w:tc>
          <w:tcPr>
            <w:tcW w:w="17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444,294</w:t>
            </w:r>
          </w:p>
        </w:tc>
        <w:tc>
          <w:tcPr>
            <w:tcW w:w="16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2020</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472,998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75,826</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397,172</w:t>
            </w:r>
          </w:p>
        </w:tc>
        <w:tc>
          <w:tcPr>
            <w:tcW w:w="16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200"/>
          </w:cols>
          <w:pgMar w:left="340" w:top="121" w:right="35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NMI HOLDINGS, INC. AMENDED AND RESTATED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2014 OMNIBUS INCENTIVE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Section 1.</w:t>
        <w:tab/>
        <w:t>Purpose; Definitions</w:t>
      </w:r>
    </w:p>
    <w:p>
      <w:pPr>
        <w:spacing w:after="0" w:line="272" w:lineRule="exact"/>
        <w:rPr>
          <w:sz w:val="20"/>
          <w:szCs w:val="20"/>
          <w:color w:val="auto"/>
        </w:rPr>
      </w:pPr>
    </w:p>
    <w:p>
      <w:pPr>
        <w:jc w:val="both"/>
        <w:ind w:firstLine="1242"/>
        <w:spacing w:after="0" w:line="288" w:lineRule="auto"/>
        <w:rPr>
          <w:sz w:val="20"/>
          <w:szCs w:val="20"/>
          <w:color w:val="auto"/>
        </w:rPr>
      </w:pPr>
      <w:r>
        <w:rPr>
          <w:rFonts w:ascii="Times New Roman" w:cs="Times New Roman" w:eastAsia="Times New Roman" w:hAnsi="Times New Roman"/>
          <w:sz w:val="17"/>
          <w:szCs w:val="17"/>
          <w:color w:val="auto"/>
        </w:rPr>
        <w:t>The purpose of this Plan is to give the Company a competitive advantage in attracting, retaining and motivating officers, employees, directors and/or consultants and to provide the Company and its Subsidiaries and Affiliates with a compensation plan providing incentives for future performance of services directly linked to the profitability of the Company’s businesses and increases in Company shareholder value.</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For purposes of this Plan, the following terms are defined as set forth below:</w:t>
      </w:r>
    </w:p>
    <w:p>
      <w:pPr>
        <w:spacing w:after="0" w:line="255" w:lineRule="exact"/>
        <w:rPr>
          <w:sz w:val="20"/>
          <w:szCs w:val="20"/>
          <w:color w:val="auto"/>
        </w:rPr>
      </w:pPr>
    </w:p>
    <w:p>
      <w:pPr>
        <w:ind w:left="1040" w:hanging="416"/>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a corporation or other entity controlled by, controlling or under common control with the Company.</w:t>
      </w:r>
    </w:p>
    <w:p>
      <w:pPr>
        <w:spacing w:after="0" w:line="257" w:lineRule="exact"/>
        <w:rPr>
          <w:rFonts w:ascii="Times New Roman" w:cs="Times New Roman" w:eastAsia="Times New Roman" w:hAnsi="Times New Roman"/>
          <w:sz w:val="17"/>
          <w:szCs w:val="17"/>
          <w:color w:val="auto"/>
        </w:rPr>
      </w:pPr>
    </w:p>
    <w:p>
      <w:pPr>
        <w:ind w:firstLine="624"/>
        <w:spacing w:after="0" w:line="325" w:lineRule="auto"/>
        <w:tabs>
          <w:tab w:leader="none" w:pos="108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Applicable Exchange</w:t>
      </w:r>
      <w:r>
        <w:rPr>
          <w:rFonts w:ascii="Times New Roman" w:cs="Times New Roman" w:eastAsia="Times New Roman" w:hAnsi="Times New Roman"/>
          <w:sz w:val="17"/>
          <w:szCs w:val="17"/>
          <w:color w:val="auto"/>
        </w:rPr>
        <w:t>” means the NASDAQ or such other securities exchange as may at the applicable time be the principal market for the Common Stock.</w:t>
      </w:r>
    </w:p>
    <w:p>
      <w:pPr>
        <w:spacing w:after="0" w:line="156" w:lineRule="exact"/>
        <w:rPr>
          <w:rFonts w:ascii="Times New Roman" w:cs="Times New Roman" w:eastAsia="Times New Roman" w:hAnsi="Times New Roman"/>
          <w:sz w:val="17"/>
          <w:szCs w:val="17"/>
          <w:color w:val="auto"/>
        </w:rPr>
      </w:pPr>
    </w:p>
    <w:p>
      <w:pPr>
        <w:ind w:firstLine="624"/>
        <w:spacing w:after="0" w:line="309" w:lineRule="auto"/>
        <w:tabs>
          <w:tab w:leader="none" w:pos="98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w:t>
      </w:r>
      <w:r>
        <w:rPr>
          <w:rFonts w:ascii="Times New Roman" w:cs="Times New Roman" w:eastAsia="Times New Roman" w:hAnsi="Times New Roman"/>
          <w:sz w:val="17"/>
          <w:szCs w:val="17"/>
          <w:color w:val="auto"/>
        </w:rPr>
        <w:t>” means a Stock Option, Stock Appreciation Right, Restricted Stock, Restricted Stock Unit, Performance Unit, Other Stock-Based Award or Cash-Based Award granted pursuant to the terms of this Plan.</w:t>
      </w:r>
    </w:p>
    <w:p>
      <w:pPr>
        <w:spacing w:after="0" w:line="182" w:lineRule="exact"/>
        <w:rPr>
          <w:rFonts w:ascii="Times New Roman" w:cs="Times New Roman" w:eastAsia="Times New Roman" w:hAnsi="Times New Roman"/>
          <w:sz w:val="17"/>
          <w:szCs w:val="17"/>
          <w:color w:val="auto"/>
        </w:rPr>
      </w:pPr>
    </w:p>
    <w:p>
      <w:pPr>
        <w:ind w:left="1040" w:hanging="416"/>
        <w:spacing w:after="0"/>
        <w:tabs>
          <w:tab w:leader="none" w:pos="10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 Agreement</w:t>
      </w:r>
      <w:r>
        <w:rPr>
          <w:rFonts w:ascii="Times New Roman" w:cs="Times New Roman" w:eastAsia="Times New Roman" w:hAnsi="Times New Roman"/>
          <w:sz w:val="17"/>
          <w:szCs w:val="17"/>
          <w:color w:val="auto"/>
        </w:rPr>
        <w:t>” means a written or electronic document or agreement setting forth the terms and conditions of a specific Award.</w:t>
      </w:r>
    </w:p>
    <w:p>
      <w:pPr>
        <w:spacing w:after="0" w:line="257" w:lineRule="exact"/>
        <w:rPr>
          <w:rFonts w:ascii="Times New Roman" w:cs="Times New Roman" w:eastAsia="Times New Roman" w:hAnsi="Times New Roman"/>
          <w:sz w:val="17"/>
          <w:szCs w:val="17"/>
          <w:color w:val="auto"/>
        </w:rPr>
      </w:pPr>
    </w:p>
    <w:p>
      <w:pPr>
        <w:ind w:left="980" w:hanging="356"/>
        <w:spacing w:after="0"/>
        <w:tabs>
          <w:tab w:leader="none" w:pos="9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Beneficial Ownership</w:t>
      </w:r>
      <w:r>
        <w:rPr>
          <w:rFonts w:ascii="Times New Roman" w:cs="Times New Roman" w:eastAsia="Times New Roman" w:hAnsi="Times New Roman"/>
          <w:sz w:val="17"/>
          <w:szCs w:val="17"/>
          <w:color w:val="auto"/>
        </w:rPr>
        <w:t>” shall have the meaning given in Rule 13d3 promulgated under the Exchange Act.</w:t>
      </w:r>
    </w:p>
    <w:p>
      <w:pPr>
        <w:spacing w:after="0" w:line="257" w:lineRule="exact"/>
        <w:rPr>
          <w:rFonts w:ascii="Times New Roman" w:cs="Times New Roman" w:eastAsia="Times New Roman" w:hAnsi="Times New Roman"/>
          <w:sz w:val="17"/>
          <w:szCs w:val="17"/>
          <w:color w:val="auto"/>
        </w:rPr>
      </w:pPr>
    </w:p>
    <w:p>
      <w:pPr>
        <w:ind w:left="960" w:hanging="336"/>
        <w:spacing w:after="0"/>
        <w:tabs>
          <w:tab w:leader="none" w:pos="9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has the meaning set forth in Section 11(e)(iii).</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Cash-Based Award</w:t>
      </w:r>
      <w:r>
        <w:rPr>
          <w:rFonts w:ascii="Times New Roman" w:cs="Times New Roman" w:eastAsia="Times New Roman" w:hAnsi="Times New Roman"/>
          <w:sz w:val="17"/>
          <w:szCs w:val="17"/>
          <w:color w:val="auto"/>
        </w:rPr>
        <w:t>” means an Award denominated in a dollar amount.</w:t>
      </w:r>
    </w:p>
    <w:p>
      <w:pPr>
        <w:spacing w:after="0" w:line="257" w:lineRule="exact"/>
        <w:rPr>
          <w:rFonts w:ascii="Times New Roman" w:cs="Times New Roman" w:eastAsia="Times New Roman" w:hAnsi="Times New Roman"/>
          <w:sz w:val="17"/>
          <w:szCs w:val="17"/>
          <w:color w:val="auto"/>
        </w:rPr>
      </w:pPr>
    </w:p>
    <w:p>
      <w:pPr>
        <w:ind w:left="960" w:hanging="336"/>
        <w:spacing w:after="0"/>
        <w:tabs>
          <w:tab w:leader="none" w:pos="9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means, unless otherwise provided in an Award Agreement, (1) “Cause” as defined in any Individual</w:t>
      </w:r>
    </w:p>
    <w:p>
      <w:pPr>
        <w:spacing w:after="0" w:line="39" w:lineRule="exact"/>
        <w:rPr>
          <w:sz w:val="20"/>
          <w:szCs w:val="20"/>
          <w:color w:val="auto"/>
        </w:rPr>
      </w:pPr>
    </w:p>
    <w:p>
      <w:pPr>
        <w:jc w:val="both"/>
        <w:ind w:firstLine="621"/>
        <w:spacing w:after="0" w:line="280" w:lineRule="auto"/>
        <w:rPr>
          <w:sz w:val="20"/>
          <w:szCs w:val="20"/>
          <w:color w:val="auto"/>
        </w:rPr>
      </w:pPr>
      <w:r>
        <w:rPr>
          <w:rFonts w:ascii="Times New Roman" w:cs="Times New Roman" w:eastAsia="Times New Roman" w:hAnsi="Times New Roman"/>
          <w:sz w:val="17"/>
          <w:szCs w:val="17"/>
          <w:color w:val="auto"/>
        </w:rPr>
        <w:t xml:space="preserve">Agreement to which the Participant is a party as of the Grant Date, or (2) if there is no such Individual Agreement or if it does not define Cause: (A) conviction of, or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by, the Participant for committing a felony under federal law or the law of the state in which such action occurred, (B) willful and deliberate failure on the part of the Participant to perform his or her employment duties in any material respect, (C) dishonesty in the course of fulfilling the Participant’s employment duties, (D) a material violation of the Company’s ethics and compliance program or (E) prior to a Change in Control, such other events as shall be determined by the Committee. Notwithstanding the general rule of Section 2(c), following a Change in Control, any determination by the Committee as to whether “Cause” exists shall be subject to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review.</w:t>
      </w:r>
    </w:p>
    <w:p>
      <w:pPr>
        <w:spacing w:after="0" w:line="208" w:lineRule="exact"/>
        <w:rPr>
          <w:sz w:val="20"/>
          <w:szCs w:val="20"/>
          <w:color w:val="auto"/>
        </w:rPr>
      </w:pPr>
    </w:p>
    <w:p>
      <w:pPr>
        <w:ind w:left="960" w:hanging="336"/>
        <w:spacing w:after="0"/>
        <w:tabs>
          <w:tab w:leader="none" w:pos="9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has the meaning set forth in Section 11(e).</w:t>
      </w:r>
    </w:p>
    <w:p>
      <w:pPr>
        <w:spacing w:after="0" w:line="257" w:lineRule="exact"/>
        <w:rPr>
          <w:rFonts w:ascii="Times New Roman" w:cs="Times New Roman" w:eastAsia="Times New Roman" w:hAnsi="Times New Roman"/>
          <w:sz w:val="17"/>
          <w:szCs w:val="17"/>
          <w:color w:val="auto"/>
        </w:rPr>
      </w:pPr>
    </w:p>
    <w:p>
      <w:pPr>
        <w:jc w:val="both"/>
        <w:ind w:firstLine="624"/>
        <w:spacing w:after="0" w:line="297" w:lineRule="auto"/>
        <w:tabs>
          <w:tab w:leader="none" w:pos="10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9" w:lineRule="exact"/>
        <w:rPr>
          <w:rFonts w:ascii="Times New Roman" w:cs="Times New Roman" w:eastAsia="Times New Roman" w:hAnsi="Times New Roman"/>
          <w:sz w:val="17"/>
          <w:szCs w:val="17"/>
          <w:color w:val="auto"/>
        </w:rPr>
      </w:pPr>
    </w:p>
    <w:p>
      <w:pPr>
        <w:ind w:left="960" w:hanging="336"/>
        <w:spacing w:after="0"/>
        <w:tabs>
          <w:tab w:leader="none" w:pos="9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means the Securities and Exchange Commission or any successor agency.</w:t>
      </w:r>
    </w:p>
    <w:p>
      <w:pPr>
        <w:sectPr>
          <w:pgSz w:w="11900" w:h="16838" w:orient="portrait"/>
          <w:cols w:equalWidth="0" w:num="1">
            <w:col w:w="11240"/>
          </w:cols>
          <w:pgMar w:left="320" w:top="339" w:right="339" w:bottom="1440" w:gutter="0" w:footer="0" w:header="0"/>
        </w:sectPr>
      </w:pPr>
    </w:p>
    <w:bookmarkStart w:id="144" w:name="page145"/>
    <w:bookmarkEnd w:id="144"/>
    <w:p>
      <w:pPr>
        <w:ind w:left="1040" w:hanging="416"/>
        <w:spacing w:after="0"/>
        <w:tabs>
          <w:tab w:leader="none" w:pos="10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means the Committee referred to in Section 2.</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means common stock, no par value per share, of the Company.</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NMI Holdings, Inc., a Delaware corporation, or its successor.</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Transaction</w:t>
      </w:r>
      <w:r>
        <w:rPr>
          <w:rFonts w:ascii="Times New Roman" w:cs="Times New Roman" w:eastAsia="Times New Roman" w:hAnsi="Times New Roman"/>
          <w:sz w:val="17"/>
          <w:szCs w:val="17"/>
          <w:color w:val="auto"/>
        </w:rPr>
        <w:t>” has the meaning set forth in Section 3(d).</w:t>
      </w:r>
    </w:p>
    <w:p>
      <w:pPr>
        <w:spacing w:after="0" w:line="257" w:lineRule="exact"/>
        <w:rPr>
          <w:rFonts w:ascii="Times New Roman" w:cs="Times New Roman" w:eastAsia="Times New Roman" w:hAnsi="Times New Roman"/>
          <w:sz w:val="17"/>
          <w:szCs w:val="17"/>
          <w:color w:val="auto"/>
        </w:rPr>
      </w:pPr>
    </w:p>
    <w:p>
      <w:pPr>
        <w:jc w:val="both"/>
        <w:ind w:firstLine="624"/>
        <w:spacing w:after="0" w:line="280" w:lineRule="auto"/>
        <w:tabs>
          <w:tab w:leader="none" w:pos="107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Disability</w:t>
      </w:r>
      <w:r>
        <w:rPr>
          <w:rFonts w:ascii="Times New Roman" w:cs="Times New Roman" w:eastAsia="Times New Roman" w:hAnsi="Times New Roman"/>
          <w:sz w:val="17"/>
          <w:szCs w:val="17"/>
          <w:color w:val="auto"/>
        </w:rPr>
        <w:t>” means, unless otherwise provided in an Award Agreement, the Company or an Affiliate having cause to terminate a Participant’s employment or service on account of “disability,” as defined in any existing Individual Agreement, or, in the absence of such an Individual Agreement or if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(ii) the Participant’s “separation from service” within the meaning of Section 409A of the Code and (iii) the date such Award would otherwise be settled pursuant to the terms of the Award Agreement.</w:t>
      </w:r>
    </w:p>
    <w:p>
      <w:pPr>
        <w:spacing w:after="0" w:line="198" w:lineRule="exact"/>
        <w:rPr>
          <w:rFonts w:ascii="Times New Roman" w:cs="Times New Roman" w:eastAsia="Times New Roman" w:hAnsi="Times New Roman"/>
          <w:sz w:val="17"/>
          <w:szCs w:val="17"/>
          <w:color w:val="auto"/>
        </w:rPr>
      </w:pPr>
    </w:p>
    <w:p>
      <w:pPr>
        <w:ind w:firstLine="624"/>
        <w:spacing w:after="0" w:line="309" w:lineRule="auto"/>
        <w:tabs>
          <w:tab w:leader="none" w:pos="96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Disaffiliation</w:t>
      </w:r>
      <w:r>
        <w:rPr>
          <w:rFonts w:ascii="Times New Roman" w:cs="Times New Roman" w:eastAsia="Times New Roman" w:hAnsi="Times New Roman"/>
          <w:sz w:val="17"/>
          <w:szCs w:val="17"/>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82" w:lineRule="exact"/>
        <w:rPr>
          <w:rFonts w:ascii="Times New Roman" w:cs="Times New Roman" w:eastAsia="Times New Roman" w:hAnsi="Times New Roman"/>
          <w:sz w:val="17"/>
          <w:szCs w:val="17"/>
          <w:color w:val="auto"/>
        </w:rPr>
      </w:pPr>
    </w:p>
    <w:p>
      <w:pPr>
        <w:ind w:left="980" w:hanging="356"/>
        <w:spacing w:after="0"/>
        <w:tabs>
          <w:tab w:leader="none" w:pos="9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has the meaning set forth in Section 13(a).</w:t>
      </w:r>
    </w:p>
    <w:p>
      <w:pPr>
        <w:spacing w:after="0" w:line="257" w:lineRule="exact"/>
        <w:rPr>
          <w:rFonts w:ascii="Times New Roman" w:cs="Times New Roman" w:eastAsia="Times New Roman" w:hAnsi="Times New Roman"/>
          <w:sz w:val="17"/>
          <w:szCs w:val="17"/>
          <w:color w:val="auto"/>
        </w:rPr>
      </w:pPr>
    </w:p>
    <w:p>
      <w:pPr>
        <w:jc w:val="both"/>
        <w:ind w:firstLine="624"/>
        <w:spacing w:after="0" w:line="297" w:lineRule="auto"/>
        <w:tabs>
          <w:tab w:leader="none" w:pos="95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Eligible Individuals</w:t>
      </w:r>
      <w:r>
        <w:rPr>
          <w:rFonts w:ascii="Times New Roman" w:cs="Times New Roman" w:eastAsia="Times New Roman" w:hAnsi="Times New Roman"/>
          <w:sz w:val="17"/>
          <w:szCs w:val="17"/>
          <w:color w:val="auto"/>
        </w:rPr>
        <w:t>” means any director, officer, employee or consultant of the Company or any of its Subsidiaries or Affiliates, or any prospective employee and consultant who has accepted an offer of employment or consultancy from the Company or its Subsidiaries or Affiliates, who are or will be responsible for, or contribute to, the management, growth or profitability of the business of the Company or its Subsidiaries or Affiliates.</w:t>
      </w:r>
    </w:p>
    <w:p>
      <w:pPr>
        <w:spacing w:after="0" w:line="179"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 from time to time, and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successor thereto.</w:t>
      </w:r>
    </w:p>
    <w:p>
      <w:pPr>
        <w:spacing w:after="0" w:line="262" w:lineRule="exact"/>
        <w:rPr>
          <w:sz w:val="20"/>
          <w:szCs w:val="20"/>
          <w:color w:val="auto"/>
        </w:rPr>
      </w:pPr>
    </w:p>
    <w:p>
      <w:pPr>
        <w:jc w:val="both"/>
        <w:ind w:firstLine="624"/>
        <w:spacing w:after="0" w:line="283" w:lineRule="auto"/>
        <w:tabs>
          <w:tab w:leader="none" w:pos="99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Fair Market Value</w:t>
      </w:r>
      <w:r>
        <w:rPr>
          <w:rFonts w:ascii="Times New Roman" w:cs="Times New Roman" w:eastAsia="Times New Roman" w:hAnsi="Times New Roman"/>
          <w:sz w:val="17"/>
          <w:szCs w:val="17"/>
          <w:color w:val="auto"/>
        </w:rPr>
        <w:t>”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92" w:lineRule="exact"/>
        <w:rPr>
          <w:rFonts w:ascii="Times New Roman" w:cs="Times New Roman" w:eastAsia="Times New Roman" w:hAnsi="Times New Roman"/>
          <w:sz w:val="17"/>
          <w:szCs w:val="17"/>
          <w:color w:val="auto"/>
        </w:rPr>
      </w:pPr>
    </w:p>
    <w:p>
      <w:pPr>
        <w:ind w:left="1040" w:hanging="416"/>
        <w:spacing w:after="0"/>
        <w:tabs>
          <w:tab w:leader="none" w:pos="10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Free-Standing SAR</w:t>
      </w:r>
      <w:r>
        <w:rPr>
          <w:rFonts w:ascii="Times New Roman" w:cs="Times New Roman" w:eastAsia="Times New Roman" w:hAnsi="Times New Roman"/>
          <w:sz w:val="17"/>
          <w:szCs w:val="17"/>
          <w:color w:val="auto"/>
        </w:rPr>
        <w:t>” has the meaning set forth in Section 5(b).</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Full-Value Award</w:t>
      </w:r>
      <w:r>
        <w:rPr>
          <w:rFonts w:ascii="Times New Roman" w:cs="Times New Roman" w:eastAsia="Times New Roman" w:hAnsi="Times New Roman"/>
          <w:sz w:val="17"/>
          <w:szCs w:val="17"/>
          <w:color w:val="auto"/>
        </w:rPr>
        <w:t>” means any Award other than a Cash-Based Award, Stock Option or Stock Appreciation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w:t>
      </w:r>
    </w:p>
    <w:p>
      <w:pPr>
        <w:spacing w:after="0" w:line="250" w:lineRule="exact"/>
        <w:rPr>
          <w:sz w:val="20"/>
          <w:szCs w:val="20"/>
          <w:color w:val="auto"/>
        </w:rPr>
      </w:pPr>
    </w:p>
    <w:p>
      <w:pPr>
        <w:jc w:val="both"/>
        <w:ind w:firstLine="624"/>
        <w:spacing w:after="0" w:line="297" w:lineRule="auto"/>
        <w:tabs>
          <w:tab w:leader="none" w:pos="99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Grant Date</w:t>
      </w:r>
      <w:r>
        <w:rPr>
          <w:rFonts w:ascii="Times New Roman" w:cs="Times New Roman" w:eastAsia="Times New Roman" w:hAnsi="Times New Roman"/>
          <w:sz w:val="17"/>
          <w:szCs w:val="17"/>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ectPr>
          <w:pgSz w:w="11900" w:h="16838" w:orient="portrait"/>
          <w:cols w:equalWidth="0" w:num="1">
            <w:col w:w="11240"/>
          </w:cols>
          <w:pgMar w:left="320" w:top="137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24"/>
        <w:spacing w:after="0" w:line="309" w:lineRule="auto"/>
        <w:tabs>
          <w:tab w:leader="none" w:pos="98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Stock Option</w:t>
      </w:r>
      <w:r>
        <w:rPr>
          <w:rFonts w:ascii="Times New Roman" w:cs="Times New Roman" w:eastAsia="Times New Roman" w:hAnsi="Times New Roman"/>
          <w:sz w:val="17"/>
          <w:szCs w:val="17"/>
          <w:color w:val="auto"/>
        </w:rPr>
        <w:t>” means any Stock Option designated in the applicable Award Agreement as an “incentive stock option” within the meaning of Section 422 of the Code, and that in fact so qualifies.</w:t>
      </w:r>
    </w:p>
    <w:p>
      <w:pPr>
        <w:spacing w:after="0" w:line="169" w:lineRule="exact"/>
        <w:rPr>
          <w:sz w:val="20"/>
          <w:szCs w:val="20"/>
          <w:color w:val="auto"/>
        </w:rPr>
      </w:pPr>
    </w:p>
    <w:p>
      <w:pPr>
        <w:ind w:left="1060" w:hanging="436"/>
        <w:spacing w:after="0"/>
        <w:tabs>
          <w:tab w:leader="none" w:pos="10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Incumbent Board</w:t>
      </w:r>
      <w:r>
        <w:rPr>
          <w:rFonts w:ascii="Times New Roman" w:cs="Times New Roman" w:eastAsia="Times New Roman" w:hAnsi="Times New Roman"/>
          <w:sz w:val="17"/>
          <w:szCs w:val="17"/>
          <w:color w:val="auto"/>
        </w:rPr>
        <w:t>” has the meaning set forth in Section 11(e)(ii).</w:t>
      </w:r>
    </w:p>
    <w:p>
      <w:pPr>
        <w:spacing w:after="0" w:line="27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Individual Agreement</w:t>
      </w:r>
      <w:r>
        <w:rPr>
          <w:rFonts w:ascii="Times New Roman" w:cs="Times New Roman" w:eastAsia="Times New Roman" w:hAnsi="Times New Roman"/>
          <w:sz w:val="17"/>
          <w:szCs w:val="17"/>
          <w:color w:val="auto"/>
        </w:rPr>
        <w:t>” means an employment, consulting or similar agreement between a Participant and the</w:t>
      </w:r>
    </w:p>
    <w:p>
      <w:pPr>
        <w:spacing w:after="0" w:line="3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Company or one of its Subsidiaries or Affiliates, and,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189" w:lineRule="exact"/>
        <w:rPr>
          <w:sz w:val="20"/>
          <w:szCs w:val="20"/>
          <w:color w:val="auto"/>
        </w:rPr>
      </w:pPr>
    </w:p>
    <w:p>
      <w:pPr>
        <w:ind w:left="1060" w:hanging="436"/>
        <w:spacing w:after="0"/>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Nonqualified Stock Option</w:t>
      </w:r>
      <w:r>
        <w:rPr>
          <w:rFonts w:ascii="Times New Roman" w:cs="Times New Roman" w:eastAsia="Times New Roman" w:hAnsi="Times New Roman"/>
          <w:sz w:val="17"/>
          <w:szCs w:val="17"/>
          <w:color w:val="auto"/>
        </w:rPr>
        <w:t>” means any Stock Option that is not an Incentive Stock Option.</w:t>
      </w:r>
    </w:p>
    <w:p>
      <w:pPr>
        <w:spacing w:after="0" w:line="270" w:lineRule="exact"/>
        <w:rPr>
          <w:rFonts w:ascii="Times New Roman" w:cs="Times New Roman" w:eastAsia="Times New Roman" w:hAnsi="Times New Roman"/>
          <w:sz w:val="17"/>
          <w:szCs w:val="17"/>
          <w:color w:val="auto"/>
        </w:rPr>
      </w:pPr>
    </w:p>
    <w:p>
      <w:pPr>
        <w:ind w:firstLine="624"/>
        <w:spacing w:after="0" w:line="309" w:lineRule="auto"/>
        <w:tabs>
          <w:tab w:leader="none" w:pos="117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Other Stock-Based Award</w:t>
      </w:r>
      <w:r>
        <w:rPr>
          <w:rFonts w:ascii="Times New Roman" w:cs="Times New Roman" w:eastAsia="Times New Roman" w:hAnsi="Times New Roman"/>
          <w:sz w:val="17"/>
          <w:szCs w:val="17"/>
          <w:color w:val="auto"/>
        </w:rPr>
        <w:t>” means Awards of Common Stock and other Awards that are valued in whole or in part by reference to, or are otherwise based upon, Common Stock, including (without limitation) unrestricted stock, dividend equivalents, and convertible debentures.</w:t>
      </w:r>
    </w:p>
    <w:p>
      <w:pPr>
        <w:spacing w:after="0" w:line="169" w:lineRule="exact"/>
        <w:rPr>
          <w:rFonts w:ascii="Times New Roman" w:cs="Times New Roman" w:eastAsia="Times New Roman" w:hAnsi="Times New Roman"/>
          <w:sz w:val="17"/>
          <w:szCs w:val="17"/>
          <w:color w:val="auto"/>
        </w:rPr>
      </w:pPr>
    </w:p>
    <w:p>
      <w:pPr>
        <w:ind w:left="1060" w:hanging="436"/>
        <w:spacing w:after="0"/>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Outstanding Common Stock</w:t>
      </w:r>
      <w:r>
        <w:rPr>
          <w:rFonts w:ascii="Times New Roman" w:cs="Times New Roman" w:eastAsia="Times New Roman" w:hAnsi="Times New Roman"/>
          <w:sz w:val="17"/>
          <w:szCs w:val="17"/>
          <w:color w:val="auto"/>
        </w:rPr>
        <w:t>” has the meaning set forth in Section 11(e)(i).</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8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“Outstanding Company Voting Securities</w:t>
      </w:r>
      <w:r>
        <w:rPr>
          <w:rFonts w:ascii="Times New Roman" w:cs="Times New Roman" w:eastAsia="Times New Roman" w:hAnsi="Times New Roman"/>
          <w:sz w:val="17"/>
          <w:szCs w:val="17"/>
          <w:color w:val="auto"/>
        </w:rPr>
        <w:t>” has the meaning set forth in Section 11(e)(i).</w:t>
      </w:r>
    </w:p>
    <w:p>
      <w:pPr>
        <w:spacing w:after="0" w:line="257" w:lineRule="exact"/>
        <w:rPr>
          <w:rFonts w:ascii="Times New Roman" w:cs="Times New Roman" w:eastAsia="Times New Roman" w:hAnsi="Times New Roman"/>
          <w:sz w:val="17"/>
          <w:szCs w:val="17"/>
          <w:i w:val="1"/>
          <w:iCs w:val="1"/>
          <w:color w:val="auto"/>
        </w:rPr>
      </w:pPr>
    </w:p>
    <w:p>
      <w:pPr>
        <w:ind w:left="1080" w:hanging="456"/>
        <w:spacing w:after="0"/>
        <w:tabs>
          <w:tab w:leader="none" w:pos="10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Participant</w:t>
      </w:r>
      <w:r>
        <w:rPr>
          <w:rFonts w:ascii="Times New Roman" w:cs="Times New Roman" w:eastAsia="Times New Roman" w:hAnsi="Times New Roman"/>
          <w:sz w:val="17"/>
          <w:szCs w:val="17"/>
          <w:color w:val="auto"/>
        </w:rPr>
        <w:t>” means an Eligible Individual to whom an Award is or has been granted.</w:t>
      </w:r>
    </w:p>
    <w:p>
      <w:pPr>
        <w:spacing w:after="0" w:line="257" w:lineRule="exact"/>
        <w:rPr>
          <w:rFonts w:ascii="Times New Roman" w:cs="Times New Roman" w:eastAsia="Times New Roman" w:hAnsi="Times New Roman"/>
          <w:sz w:val="17"/>
          <w:szCs w:val="17"/>
          <w:color w:val="auto"/>
        </w:rPr>
      </w:pPr>
    </w:p>
    <w:p>
      <w:pPr>
        <w:jc w:val="both"/>
        <w:ind w:firstLine="624"/>
        <w:spacing w:after="0" w:line="279" w:lineRule="auto"/>
        <w:tabs>
          <w:tab w:leader="none" w:pos="110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Performance Goals</w:t>
      </w:r>
      <w:r>
        <w:rPr>
          <w:rFonts w:ascii="Times New Roman" w:cs="Times New Roman" w:eastAsia="Times New Roman" w:hAnsi="Times New Roman"/>
          <w:sz w:val="17"/>
          <w:szCs w:val="17"/>
          <w:color w:val="auto"/>
        </w:rPr>
        <w:t>” means the performance goals established by the Committee in connection with the grant of an Award. Such goals shall be based on the attainment of specified levels of one or more of the following measures: new insurance written (“NIW”) volume, insurance in force levels (“IIF”), policies in force, market share, premiums written, premiums earned, investment income, total operating revenue (excluding net realized investment gains (losses) and gain (loss) from change in fair value of warrant liability), total underwriting expense, total incurred or paid losses, loss ratio, expense ratio, combined ratio, cost/expense management, net income (loss) (including earnings before tax, earnings before interest and tax and earnings before interest, tax, depreciation and amortization), operating earnings (loss) (excluding net realized investment gains (losses) and gain (loss) from change in fair value of warrant liability), return on equity or assets, book value, book value including net operating loss (“NOL”) carry forward, return on investment portfolio (absolute and relative to a benchmark), cash flow (excluding net realized investment gains (losses) and gain (loss) from change in fair value of warrant liability), capital management/liquidity, average premium (“BPS”) of portfolio, earned premium yield of portfolio, average FICO score of portfolio, average LTV of portfolio, delinquency rate of portfolio, objective customer service measures or indices, employee management, common stock share price, and total return to shareholders, in each case with respect to the Company or any one or more Subsidiaries, divisions, business units or business segments thereof, either in absolute terms or relative to the performance of one or more other companies (including an index covering multiple companies).</w:t>
      </w:r>
    </w:p>
    <w:p>
      <w:pPr>
        <w:spacing w:after="0" w:line="196" w:lineRule="exact"/>
        <w:rPr>
          <w:rFonts w:ascii="Times New Roman" w:cs="Times New Roman" w:eastAsia="Times New Roman" w:hAnsi="Times New Roman"/>
          <w:sz w:val="17"/>
          <w:szCs w:val="17"/>
          <w:color w:val="auto"/>
        </w:rPr>
      </w:pPr>
    </w:p>
    <w:p>
      <w:pPr>
        <w:ind w:firstLine="624"/>
        <w:spacing w:after="0" w:line="325" w:lineRule="auto"/>
        <w:tabs>
          <w:tab w:leader="none" w:pos="100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Performance Period</w:t>
      </w:r>
      <w:r>
        <w:rPr>
          <w:rFonts w:ascii="Times New Roman" w:cs="Times New Roman" w:eastAsia="Times New Roman" w:hAnsi="Times New Roman"/>
          <w:sz w:val="17"/>
          <w:szCs w:val="17"/>
          <w:color w:val="auto"/>
        </w:rPr>
        <w:t>” means that period established by the Committee at the time any Performance Unit or Cash-Based Award is granted or at any time thereafter during which any Performance Goals specified by the Committee with respect to such Award are to be measured.</w:t>
      </w:r>
    </w:p>
    <w:p>
      <w:pPr>
        <w:spacing w:after="0" w:line="156" w:lineRule="exact"/>
        <w:rPr>
          <w:rFonts w:ascii="Times New Roman" w:cs="Times New Roman" w:eastAsia="Times New Roman" w:hAnsi="Times New Roman"/>
          <w:sz w:val="17"/>
          <w:szCs w:val="17"/>
          <w:color w:val="auto"/>
        </w:rPr>
      </w:pPr>
    </w:p>
    <w:p>
      <w:pPr>
        <w:jc w:val="both"/>
        <w:ind w:firstLine="624"/>
        <w:spacing w:after="0" w:line="288" w:lineRule="auto"/>
        <w:tabs>
          <w:tab w:leader="none" w:pos="100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Performance Unit</w:t>
      </w:r>
      <w:r>
        <w:rPr>
          <w:rFonts w:ascii="Times New Roman" w:cs="Times New Roman" w:eastAsia="Times New Roman" w:hAnsi="Times New Roman"/>
          <w:sz w:val="17"/>
          <w:szCs w:val="17"/>
          <w:color w:val="auto"/>
        </w:rPr>
        <w:t>” means any Award granted under Section 8 of a unit valued by reference to a designated amount of cash or other property other than Shares, which value may be paid to the Participant by delivery of such property as the Committee shall determine, including, without limitation, cash, Shares, or any combination thereof, upon achievement of such Performance Goals during the Performance Period as the Committee shall establish at the time of such grant or thereafter.</w:t>
      </w:r>
    </w:p>
    <w:p>
      <w:pPr>
        <w:spacing w:after="0" w:line="18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has the meaning set forth in Section 11(e)(i).</w:t>
      </w:r>
    </w:p>
    <w:p>
      <w:pPr>
        <w:spacing w:after="0" w:line="270"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the NMI Holdings, Inc. Amended and Restated 2014 Omnibus Incentive Plan, as set forth</w:t>
      </w:r>
    </w:p>
    <w:p>
      <w:pPr>
        <w:sectPr>
          <w:pgSz w:w="11900" w:h="16838" w:orient="portrait"/>
          <w:cols w:equalWidth="0" w:num="1">
            <w:col w:w="11240"/>
          </w:cols>
          <w:pgMar w:left="320" w:top="33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color w:val="auto"/>
        </w:rPr>
        <w:t>herein and as hereinafter amended from time to time.</w:t>
      </w:r>
    </w:p>
    <w:p>
      <w:pPr>
        <w:spacing w:after="0" w:line="255" w:lineRule="exact"/>
        <w:rPr>
          <w:sz w:val="20"/>
          <w:szCs w:val="20"/>
          <w:color w:val="auto"/>
        </w:rPr>
      </w:pPr>
    </w:p>
    <w:p>
      <w:pPr>
        <w:ind w:left="1180" w:hanging="556"/>
        <w:spacing w:after="0"/>
        <w:tabs>
          <w:tab w:leader="none" w:pos="11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Replaced Award</w:t>
      </w:r>
      <w:r>
        <w:rPr>
          <w:rFonts w:ascii="Times New Roman" w:cs="Times New Roman" w:eastAsia="Times New Roman" w:hAnsi="Times New Roman"/>
          <w:sz w:val="17"/>
          <w:szCs w:val="17"/>
          <w:color w:val="auto"/>
        </w:rPr>
        <w:t>” has the meaning set forth in Section 11(b)</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Replacement Award</w:t>
      </w:r>
      <w:r>
        <w:rPr>
          <w:rFonts w:ascii="Times New Roman" w:cs="Times New Roman" w:eastAsia="Times New Roman" w:hAnsi="Times New Roman"/>
          <w:sz w:val="17"/>
          <w:szCs w:val="17"/>
          <w:color w:val="auto"/>
        </w:rPr>
        <w:t>” has the meaning set forth in Section 11(b).</w:t>
      </w:r>
    </w:p>
    <w:p>
      <w:pPr>
        <w:spacing w:after="0" w:line="27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Restatement Effective Date</w:t>
      </w:r>
      <w:r>
        <w:rPr>
          <w:rFonts w:ascii="Times New Roman" w:cs="Times New Roman" w:eastAsia="Times New Roman" w:hAnsi="Times New Roman"/>
          <w:sz w:val="17"/>
          <w:szCs w:val="17"/>
          <w:color w:val="auto"/>
        </w:rPr>
        <w:t>” has the meaning set forth in Section 13(a).</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means an Award granted under Section 6.</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Stock Unit</w:t>
      </w:r>
      <w:r>
        <w:rPr>
          <w:rFonts w:ascii="Times New Roman" w:cs="Times New Roman" w:eastAsia="Times New Roman" w:hAnsi="Times New Roman"/>
          <w:sz w:val="17"/>
          <w:szCs w:val="17"/>
          <w:color w:val="auto"/>
        </w:rPr>
        <w:t>” has the meaning set forth in Section 7(a).</w:t>
      </w:r>
    </w:p>
    <w:p>
      <w:pPr>
        <w:spacing w:after="0" w:line="270" w:lineRule="exact"/>
        <w:rPr>
          <w:rFonts w:ascii="Times New Roman" w:cs="Times New Roman" w:eastAsia="Times New Roman" w:hAnsi="Times New Roman"/>
          <w:sz w:val="17"/>
          <w:szCs w:val="17"/>
          <w:color w:val="auto"/>
        </w:rPr>
      </w:pPr>
    </w:p>
    <w:p>
      <w:pPr>
        <w:ind w:left="1020" w:hanging="396"/>
        <w:spacing w:after="0"/>
        <w:tabs>
          <w:tab w:leader="none" w:pos="10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Restriction Period</w:t>
      </w:r>
      <w:r>
        <w:rPr>
          <w:rFonts w:ascii="Times New Roman" w:cs="Times New Roman" w:eastAsia="Times New Roman" w:hAnsi="Times New Roman"/>
          <w:sz w:val="17"/>
          <w:szCs w:val="17"/>
          <w:color w:val="auto"/>
        </w:rPr>
        <w:t>” has the meaning set forth in Section 6(c)(ii).</w:t>
      </w:r>
    </w:p>
    <w:p>
      <w:pPr>
        <w:spacing w:after="0" w:line="257" w:lineRule="exact"/>
        <w:rPr>
          <w:rFonts w:ascii="Times New Roman" w:cs="Times New Roman" w:eastAsia="Times New Roman" w:hAnsi="Times New Roman"/>
          <w:sz w:val="17"/>
          <w:szCs w:val="17"/>
          <w:color w:val="auto"/>
        </w:rPr>
      </w:pPr>
    </w:p>
    <w:p>
      <w:pPr>
        <w:ind w:left="1040" w:hanging="416"/>
        <w:spacing w:after="0"/>
        <w:tabs>
          <w:tab w:leader="none" w:pos="10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Section 16(b)</w:t>
      </w:r>
      <w:r>
        <w:rPr>
          <w:rFonts w:ascii="Times New Roman" w:cs="Times New Roman" w:eastAsia="Times New Roman" w:hAnsi="Times New Roman"/>
          <w:sz w:val="17"/>
          <w:szCs w:val="17"/>
          <w:color w:val="auto"/>
        </w:rPr>
        <w:t>” has the meaning set forth in Section 12(d).</w:t>
      </w:r>
    </w:p>
    <w:p>
      <w:pPr>
        <w:spacing w:after="0" w:line="25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Share</w:t>
      </w:r>
      <w:r>
        <w:rPr>
          <w:rFonts w:ascii="Times New Roman" w:cs="Times New Roman" w:eastAsia="Times New Roman" w:hAnsi="Times New Roman"/>
          <w:sz w:val="17"/>
          <w:szCs w:val="17"/>
          <w:color w:val="auto"/>
        </w:rPr>
        <w:t>” means a share of Common Stock.</w:t>
      </w:r>
    </w:p>
    <w:p>
      <w:pPr>
        <w:spacing w:after="0" w:line="27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Appreciation Right</w:t>
      </w:r>
      <w:r>
        <w:rPr>
          <w:rFonts w:ascii="Times New Roman" w:cs="Times New Roman" w:eastAsia="Times New Roman" w:hAnsi="Times New Roman"/>
          <w:sz w:val="17"/>
          <w:szCs w:val="17"/>
          <w:color w:val="auto"/>
        </w:rPr>
        <w:t>” means an Award granted under Section 5(b) or 5(c).</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Option</w:t>
      </w:r>
      <w:r>
        <w:rPr>
          <w:rFonts w:ascii="Times New Roman" w:cs="Times New Roman" w:eastAsia="Times New Roman" w:hAnsi="Times New Roman"/>
          <w:sz w:val="17"/>
          <w:szCs w:val="17"/>
          <w:color w:val="auto"/>
        </w:rPr>
        <w:t>” means an Award granted under Section 5(a).</w:t>
      </w:r>
    </w:p>
    <w:p>
      <w:pPr>
        <w:spacing w:after="0" w:line="32" w:lineRule="exact"/>
        <w:rPr>
          <w:rFonts w:ascii="Times New Roman" w:cs="Times New Roman" w:eastAsia="Times New Roman" w:hAnsi="Times New Roman"/>
          <w:sz w:val="17"/>
          <w:szCs w:val="17"/>
          <w:color w:val="auto"/>
        </w:rPr>
      </w:pPr>
    </w:p>
    <w:p>
      <w:pPr>
        <w:ind w:left="1160" w:hanging="536"/>
        <w:spacing w:after="0"/>
        <w:tabs>
          <w:tab w:leader="none" w:pos="11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any corporation, partnership, joint venture, limited liability company or other entity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any period in which at least a 50% voting or profits interest is owned, directly or indirectly, by the Company or any successor to the Company.</w:t>
      </w:r>
    </w:p>
    <w:p>
      <w:pPr>
        <w:spacing w:after="0" w:line="255" w:lineRule="exact"/>
        <w:rPr>
          <w:sz w:val="20"/>
          <w:szCs w:val="20"/>
          <w:color w:val="auto"/>
        </w:rPr>
      </w:pPr>
    </w:p>
    <w:p>
      <w:pPr>
        <w:ind w:left="1080" w:hanging="456"/>
        <w:spacing w:after="0"/>
        <w:tabs>
          <w:tab w:leader="none" w:pos="10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Tandem SAR</w:t>
      </w:r>
      <w:r>
        <w:rPr>
          <w:rFonts w:ascii="Times New Roman" w:cs="Times New Roman" w:eastAsia="Times New Roman" w:hAnsi="Times New Roman"/>
          <w:sz w:val="17"/>
          <w:szCs w:val="17"/>
          <w:color w:val="auto"/>
        </w:rPr>
        <w:t>” has the meaning set forth in Section 5(b).</w:t>
      </w:r>
    </w:p>
    <w:p>
      <w:pPr>
        <w:spacing w:after="0" w:line="257"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means the maximum period during which a Stock Option or Stock Appreciation Right may remain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subject to earlier termination upon Termination of Employment or otherwise, as specified in the applicable Award Agreement.</w:t>
      </w:r>
    </w:p>
    <w:p>
      <w:pPr>
        <w:spacing w:after="0" w:line="255"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17"/>
          <w:szCs w:val="17"/>
          <w:color w:val="auto"/>
        </w:rPr>
        <w:t>(zz)</w:t>
        <w:tab/>
        <w:t>“</w:t>
      </w: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means the termination of the applicable Participant’s employment with, or</w:t>
      </w:r>
    </w:p>
    <w:p>
      <w:pPr>
        <w:spacing w:after="0" w:line="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Employment and (ii) a Participant employed by, or performing services for, a Subsidiary or an Affiliate or a division of the Company and its Affiliates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provisions of this definition, with respect to any Award that constitutes a “non-qualified deferred compensation plan” within the meaning of Section 409A of the Code, a Participant shall not be considered to have experienced a “Termination of Employment” unless the Participant has experienced a “separation from service” within the meaning of Section 409A of the Code (a “</w:t>
      </w: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certain other terms used herein have definitions given to them in the first place in which they are used.</w:t>
      </w:r>
    </w:p>
    <w:p>
      <w:pPr>
        <w:spacing w:after="0" w:line="2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2.</w:t>
        <w:tab/>
        <w:t>Administration</w:t>
      </w:r>
    </w:p>
    <w:p>
      <w:pPr>
        <w:spacing w:after="0" w:line="257" w:lineRule="exact"/>
        <w:rPr>
          <w:sz w:val="20"/>
          <w:szCs w:val="20"/>
          <w:color w:val="auto"/>
        </w:rPr>
      </w:pPr>
    </w:p>
    <w:p>
      <w:pPr>
        <w:ind w:firstLine="624"/>
        <w:spacing w:after="0" w:line="325" w:lineRule="auto"/>
        <w:tabs>
          <w:tab w:leader="none" w:pos="994" w:val="left"/>
        </w:tabs>
        <w:numPr>
          <w:ilvl w:val="0"/>
          <w:numId w:val="8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The Plan shall be administered by the Board directly, or if the Board elects, by the Compensation Committee or such other committee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Board as the Board may from time to time designate, which committee shall be</w:t>
      </w:r>
    </w:p>
    <w:p>
      <w:pPr>
        <w:sectPr>
          <w:pgSz w:w="11900" w:h="16838" w:orient="portrait"/>
          <w:cols w:equalWidth="0" w:num="1">
            <w:col w:w="11240"/>
          </w:cols>
          <w:pgMar w:left="320" w:top="114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Subject to the terms and conditions of this Plan, the Committee shall have absolute authority:</w:t>
      </w:r>
    </w:p>
    <w:p>
      <w:pPr>
        <w:spacing w:after="0" w:line="270" w:lineRule="exact"/>
        <w:rPr>
          <w:sz w:val="20"/>
          <w:szCs w:val="20"/>
          <w:color w:val="auto"/>
        </w:rPr>
      </w:pPr>
    </w:p>
    <w:p>
      <w:pPr>
        <w:ind w:left="1580" w:hanging="335"/>
        <w:spacing w:after="0"/>
        <w:tabs>
          <w:tab w:leader="none" w:pos="158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Eligible Individuals to whom Awards may from time to time be granted;</w:t>
      </w:r>
    </w:p>
    <w:p>
      <w:pPr>
        <w:spacing w:after="0" w:line="257" w:lineRule="exact"/>
        <w:rPr>
          <w:rFonts w:ascii="Times New Roman" w:cs="Times New Roman" w:eastAsia="Times New Roman" w:hAnsi="Times New Roman"/>
          <w:sz w:val="17"/>
          <w:szCs w:val="17"/>
          <w:color w:val="auto"/>
        </w:rPr>
      </w:pPr>
    </w:p>
    <w:p>
      <w:pPr>
        <w:jc w:val="both"/>
        <w:ind w:left="1240" w:firstLine="5"/>
        <w:spacing w:after="0" w:line="296" w:lineRule="auto"/>
        <w:tabs>
          <w:tab w:leader="none" w:pos="169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and to what extent Incentive Stock Options, Nonqualified Stock Options, Stock Appreciation Rights, Restricted Stock, Restricted Stock Units, Performance Units, Other Stock-Based Awards, Cash-Based Awards or any combination thereof are to be granted hereunder;</w:t>
      </w:r>
    </w:p>
    <w:p>
      <w:pPr>
        <w:spacing w:after="0" w:line="182" w:lineRule="exact"/>
        <w:rPr>
          <w:rFonts w:ascii="Times New Roman" w:cs="Times New Roman" w:eastAsia="Times New Roman" w:hAnsi="Times New Roman"/>
          <w:sz w:val="17"/>
          <w:szCs w:val="17"/>
          <w:color w:val="auto"/>
        </w:rPr>
      </w:pPr>
    </w:p>
    <w:p>
      <w:pPr>
        <w:ind w:left="1680" w:hanging="435"/>
        <w:spacing w:after="0"/>
        <w:tabs>
          <w:tab w:leader="none" w:pos="168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to be covered by each Award granted hereunder;</w:t>
      </w:r>
    </w:p>
    <w:p>
      <w:pPr>
        <w:spacing w:after="0" w:line="257" w:lineRule="exact"/>
        <w:rPr>
          <w:rFonts w:ascii="Times New Roman" w:cs="Times New Roman" w:eastAsia="Times New Roman" w:hAnsi="Times New Roman"/>
          <w:sz w:val="17"/>
          <w:szCs w:val="17"/>
          <w:color w:val="auto"/>
        </w:rPr>
      </w:pPr>
    </w:p>
    <w:p>
      <w:pPr>
        <w:jc w:val="both"/>
        <w:ind w:left="1240" w:firstLine="5"/>
        <w:spacing w:after="0" w:line="287" w:lineRule="auto"/>
        <w:tabs>
          <w:tab w:leader="none" w:pos="1666"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any vesting acceleration or forfeiture waiver regarding any Award and the shares of Common Stock relating thereto, based on such factors as the Committee shall determine;</w:t>
      </w:r>
    </w:p>
    <w:p>
      <w:pPr>
        <w:spacing w:after="0" w:line="203" w:lineRule="exact"/>
        <w:rPr>
          <w:rFonts w:ascii="Times New Roman" w:cs="Times New Roman" w:eastAsia="Times New Roman" w:hAnsi="Times New Roman"/>
          <w:sz w:val="17"/>
          <w:szCs w:val="17"/>
          <w:color w:val="auto"/>
        </w:rPr>
      </w:pPr>
    </w:p>
    <w:p>
      <w:pPr>
        <w:ind w:left="1240" w:firstLine="5"/>
        <w:spacing w:after="0" w:line="307" w:lineRule="auto"/>
        <w:tabs>
          <w:tab w:leader="none" w:pos="163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modify, amend or adjust the terms and conditions of any Award (subject to Sections 5(d) and 13(d)), at any time or from time to time, including, but not limited to, Performance Goals;</w:t>
      </w:r>
    </w:p>
    <w:p>
      <w:pPr>
        <w:spacing w:after="0" w:line="172" w:lineRule="exact"/>
        <w:rPr>
          <w:rFonts w:ascii="Times New Roman" w:cs="Times New Roman" w:eastAsia="Times New Roman" w:hAnsi="Times New Roman"/>
          <w:sz w:val="17"/>
          <w:szCs w:val="17"/>
          <w:color w:val="auto"/>
        </w:rPr>
      </w:pPr>
    </w:p>
    <w:p>
      <w:pPr>
        <w:ind w:left="1240" w:firstLine="5"/>
        <w:spacing w:after="0" w:line="322" w:lineRule="auto"/>
        <w:tabs>
          <w:tab w:leader="none" w:pos="1685"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to what extent and under what circumstances Common Stock and other amounts payable with respect to an Award shall be deferred;</w:t>
      </w:r>
    </w:p>
    <w:p>
      <w:pPr>
        <w:spacing w:after="0" w:line="161" w:lineRule="exact"/>
        <w:rPr>
          <w:rFonts w:ascii="Times New Roman" w:cs="Times New Roman" w:eastAsia="Times New Roman" w:hAnsi="Times New Roman"/>
          <w:sz w:val="17"/>
          <w:szCs w:val="17"/>
          <w:color w:val="auto"/>
        </w:rPr>
      </w:pPr>
    </w:p>
    <w:p>
      <w:pPr>
        <w:ind w:left="1720" w:hanging="475"/>
        <w:spacing w:after="0"/>
        <w:tabs>
          <w:tab w:leader="none" w:pos="17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under what circumstances an Award may be settled in cash, Shares, other property or a combination of the foregoing;</w:t>
      </w:r>
    </w:p>
    <w:p>
      <w:pPr>
        <w:spacing w:after="0" w:line="257" w:lineRule="exact"/>
        <w:rPr>
          <w:rFonts w:ascii="Times New Roman" w:cs="Times New Roman" w:eastAsia="Times New Roman" w:hAnsi="Times New Roman"/>
          <w:sz w:val="17"/>
          <w:szCs w:val="17"/>
          <w:color w:val="auto"/>
        </w:rPr>
      </w:pPr>
    </w:p>
    <w:p>
      <w:pPr>
        <w:ind w:left="1240" w:firstLine="5"/>
        <w:spacing w:after="0" w:line="322" w:lineRule="auto"/>
        <w:tabs>
          <w:tab w:leader="none" w:pos="181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61" w:lineRule="exact"/>
        <w:rPr>
          <w:rFonts w:ascii="Times New Roman" w:cs="Times New Roman" w:eastAsia="Times New Roman" w:hAnsi="Times New Roman"/>
          <w:sz w:val="17"/>
          <w:szCs w:val="17"/>
          <w:color w:val="auto"/>
        </w:rPr>
      </w:pPr>
    </w:p>
    <w:p>
      <w:pPr>
        <w:ind w:left="1240" w:firstLine="5"/>
        <w:spacing w:after="0" w:line="307" w:lineRule="auto"/>
        <w:tabs>
          <w:tab w:leader="none" w:pos="174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alter and repeal such administrative rules, guidelines and practices governing this Plan as it shall from time to time deem advisable;</w:t>
      </w:r>
    </w:p>
    <w:p>
      <w:pPr>
        <w:spacing w:after="0" w:line="185" w:lineRule="exact"/>
        <w:rPr>
          <w:rFonts w:ascii="Times New Roman" w:cs="Times New Roman" w:eastAsia="Times New Roman" w:hAnsi="Times New Roman"/>
          <w:sz w:val="17"/>
          <w:szCs w:val="17"/>
          <w:color w:val="auto"/>
        </w:rPr>
      </w:pPr>
    </w:p>
    <w:p>
      <w:pPr>
        <w:jc w:val="both"/>
        <w:ind w:left="1240" w:firstLine="5"/>
        <w:spacing w:after="0" w:line="288" w:lineRule="auto"/>
        <w:tabs>
          <w:tab w:leader="none" w:pos="1693"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any “blackout” period that the Committee in its sole discretion deems necessary or advisable, but in no event shall such blackout period conflict with or be more permissive than the blackout period determined under the Company’s Insider Trading Policy as may be in effect from time to time;</w:t>
      </w:r>
    </w:p>
    <w:p>
      <w:pPr>
        <w:spacing w:after="0" w:line="201" w:lineRule="exact"/>
        <w:rPr>
          <w:rFonts w:ascii="Times New Roman" w:cs="Times New Roman" w:eastAsia="Times New Roman" w:hAnsi="Times New Roman"/>
          <w:sz w:val="17"/>
          <w:szCs w:val="17"/>
          <w:color w:val="auto"/>
        </w:rPr>
      </w:pPr>
    </w:p>
    <w:p>
      <w:pPr>
        <w:ind w:left="1660" w:hanging="415"/>
        <w:spacing w:after="0"/>
        <w:tabs>
          <w:tab w:leader="none" w:pos="16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the terms and provisions of this Plan and any Award issued under this Plan (and any Award Agreement relating thereto);</w:t>
      </w:r>
    </w:p>
    <w:p>
      <w:pPr>
        <w:spacing w:after="0" w:line="257" w:lineRule="exact"/>
        <w:rPr>
          <w:rFonts w:ascii="Times New Roman" w:cs="Times New Roman" w:eastAsia="Times New Roman" w:hAnsi="Times New Roman"/>
          <w:sz w:val="17"/>
          <w:szCs w:val="17"/>
          <w:color w:val="auto"/>
        </w:rPr>
      </w:pPr>
    </w:p>
    <w:p>
      <w:pPr>
        <w:ind w:left="1720" w:hanging="475"/>
        <w:spacing w:after="0"/>
        <w:tabs>
          <w:tab w:leader="none" w:pos="17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decide all other matters that must be determined in connection with an Award; and</w:t>
      </w:r>
    </w:p>
    <w:p>
      <w:pPr>
        <w:spacing w:after="0" w:line="257" w:lineRule="exact"/>
        <w:rPr>
          <w:rFonts w:ascii="Times New Roman" w:cs="Times New Roman" w:eastAsia="Times New Roman" w:hAnsi="Times New Roman"/>
          <w:sz w:val="17"/>
          <w:szCs w:val="17"/>
          <w:color w:val="auto"/>
        </w:rPr>
      </w:pPr>
    </w:p>
    <w:p>
      <w:pPr>
        <w:ind w:left="1760" w:hanging="515"/>
        <w:spacing w:after="0"/>
        <w:tabs>
          <w:tab w:leader="none" w:pos="176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otherwise administer this Plan.</w:t>
      </w:r>
    </w:p>
    <w:p>
      <w:pPr>
        <w:spacing w:after="0" w:line="268"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8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Procedures</w:t>
      </w:r>
      <w:r>
        <w:rPr>
          <w:rFonts w:ascii="Times New Roman" w:cs="Times New Roman" w:eastAsia="Times New Roman" w:hAnsi="Times New Roman"/>
          <w:sz w:val="17"/>
          <w:szCs w:val="17"/>
          <w:color w:val="auto"/>
        </w:rPr>
        <w:t>.</w:t>
      </w:r>
    </w:p>
    <w:p>
      <w:pPr>
        <w:spacing w:after="0" w:line="259" w:lineRule="exact"/>
        <w:rPr>
          <w:rFonts w:ascii="Times New Roman" w:cs="Times New Roman" w:eastAsia="Times New Roman" w:hAnsi="Times New Roman"/>
          <w:sz w:val="17"/>
          <w:szCs w:val="17"/>
          <w:i w:val="1"/>
          <w:iCs w:val="1"/>
          <w:color w:val="auto"/>
        </w:rPr>
      </w:pPr>
    </w:p>
    <w:p>
      <w:pPr>
        <w:jc w:val="both"/>
        <w:ind w:left="1240" w:firstLine="5"/>
        <w:spacing w:after="0" w:line="296" w:lineRule="auto"/>
        <w:tabs>
          <w:tab w:leader="none" w:pos="157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w:t>
      </w:r>
    </w:p>
    <w:p>
      <w:pPr>
        <w:sectPr>
          <w:pgSz w:w="11900" w:h="16838" w:orient="portrait"/>
          <w:cols w:equalWidth="0" w:num="1">
            <w:col w:w="11240"/>
          </w:cols>
          <w:pgMar w:left="320" w:top="339" w:right="339" w:bottom="1440" w:gutter="0" w:footer="0" w:header="0"/>
        </w:sectPr>
      </w:pPr>
    </w:p>
    <w:bookmarkStart w:id="148" w:name="page149"/>
    <w:bookmarkEnd w:id="148"/>
    <w:p>
      <w:pPr>
        <w:ind w:left="1240"/>
        <w:spacing w:after="0" w:line="307" w:lineRule="auto"/>
        <w:rPr>
          <w:sz w:val="20"/>
          <w:szCs w:val="20"/>
          <w:color w:val="auto"/>
        </w:rPr>
      </w:pPr>
      <w:r>
        <w:rPr>
          <w:rFonts w:ascii="Times New Roman" w:cs="Times New Roman" w:eastAsia="Times New Roman" w:hAnsi="Times New Roman"/>
          <w:sz w:val="17"/>
          <w:szCs w:val="17"/>
          <w:color w:val="auto"/>
        </w:rPr>
        <w:t>members and may (to the extent permitted by applicable law) delegate all or any part of its responsibilities and powers to any person or persons selected by it. Any such allocation or delegation may be revoked by the Committee at any time.</w:t>
      </w:r>
    </w:p>
    <w:p>
      <w:pPr>
        <w:spacing w:after="0" w:line="173" w:lineRule="exact"/>
        <w:rPr>
          <w:sz w:val="20"/>
          <w:szCs w:val="20"/>
          <w:color w:val="auto"/>
        </w:rPr>
      </w:pPr>
    </w:p>
    <w:p>
      <w:pPr>
        <w:ind w:left="1240" w:firstLine="5"/>
        <w:spacing w:after="0" w:line="322" w:lineRule="auto"/>
        <w:tabs>
          <w:tab w:leader="none" w:pos="168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12(c), any authority granted to the Committee may be exercised by the full Board. To the extent that any permitted action taken by the Board conflicts with action taken by the Committee, the Board action shall control.</w:t>
      </w:r>
    </w:p>
    <w:p>
      <w:pPr>
        <w:spacing w:after="0" w:line="159" w:lineRule="exact"/>
        <w:rPr>
          <w:rFonts w:ascii="Times New Roman" w:cs="Times New Roman" w:eastAsia="Times New Roman" w:hAnsi="Times New Roman"/>
          <w:sz w:val="17"/>
          <w:szCs w:val="17"/>
          <w:color w:val="auto"/>
        </w:rPr>
      </w:pPr>
    </w:p>
    <w:p>
      <w:pPr>
        <w:jc w:val="both"/>
        <w:ind w:firstLine="624"/>
        <w:spacing w:after="0" w:line="288" w:lineRule="auto"/>
        <w:tabs>
          <w:tab w:leader="none" w:pos="993" w:val="left"/>
        </w:tabs>
        <w:numPr>
          <w:ilvl w:val="0"/>
          <w:numId w:val="9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Discretion of Committee</w:t>
      </w:r>
      <w:r>
        <w:rPr>
          <w:rFonts w:ascii="Times New Roman" w:cs="Times New Roman" w:eastAsia="Times New Roman" w:hAnsi="Times New Roman"/>
          <w:sz w:val="17"/>
          <w:szCs w:val="17"/>
          <w:color w:val="auto"/>
        </w:rPr>
        <w:t>. Subject to Section 1(i), any determination made by the Committee or pursuant to delegated authority under the provisions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87" w:lineRule="exact"/>
        <w:rPr>
          <w:rFonts w:ascii="Times New Roman" w:cs="Times New Roman" w:eastAsia="Times New Roman" w:hAnsi="Times New Roman"/>
          <w:sz w:val="17"/>
          <w:szCs w:val="17"/>
          <w:i w:val="1"/>
          <w:iCs w:val="1"/>
          <w:color w:val="auto"/>
        </w:rPr>
      </w:pPr>
    </w:p>
    <w:p>
      <w:pPr>
        <w:ind w:left="1000" w:hanging="376"/>
        <w:spacing w:after="0"/>
        <w:tabs>
          <w:tab w:leader="none" w:pos="1000" w:val="left"/>
        </w:tabs>
        <w:numPr>
          <w:ilvl w:val="0"/>
          <w:numId w:val="9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Cancellation or Suspension</w:t>
      </w:r>
      <w:r>
        <w:rPr>
          <w:rFonts w:ascii="Times New Roman" w:cs="Times New Roman" w:eastAsia="Times New Roman" w:hAnsi="Times New Roman"/>
          <w:sz w:val="17"/>
          <w:szCs w:val="17"/>
          <w:color w:val="auto"/>
        </w:rPr>
        <w:t>. Subject to Section 5(d), the Committee shall have full power and authority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 whether, to what extent and under what circumstances any Award shall be canceled or suspended.</w:t>
      </w:r>
    </w:p>
    <w:p>
      <w:pPr>
        <w:spacing w:after="0" w:line="255" w:lineRule="exact"/>
        <w:rPr>
          <w:sz w:val="20"/>
          <w:szCs w:val="20"/>
          <w:color w:val="auto"/>
        </w:rPr>
      </w:pPr>
    </w:p>
    <w:p>
      <w:pPr>
        <w:jc w:val="both"/>
        <w:ind w:firstLine="624"/>
        <w:spacing w:after="0" w:line="283" w:lineRule="auto"/>
        <w:tabs>
          <w:tab w:leader="none" w:pos="1002" w:val="left"/>
        </w:tabs>
        <w:numPr>
          <w:ilvl w:val="0"/>
          <w:numId w:val="9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Award Agreements</w:t>
      </w:r>
      <w:r>
        <w:rPr>
          <w:rFonts w:ascii="Times New Roman" w:cs="Times New Roman" w:eastAsia="Times New Roman" w:hAnsi="Times New Roman"/>
          <w:sz w:val="17"/>
          <w:szCs w:val="17"/>
          <w:color w:val="auto"/>
        </w:rPr>
        <w:t>. The terms and conditions of each Award, as determined by the Committee, shall be set forth in a written (or electronic)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which shall be delivered to the Participant receiving such Award upon, or as promptly as is reasonably practicable following, the grant of such Award;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terms of a Cash-Based Award may, but are not required to, be set forth in an Award Agreement. The effectiveness of an Award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the Award Agreement being signed by the Company and the Participant receiving the Award unless otherwise provided in the Award Agreement. Award Agreements may be amended only in accordance with Section 13(d) hereof.</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3.</w:t>
        <w:tab/>
        <w:t>Common Stock Subject to Plan</w:t>
      </w:r>
    </w:p>
    <w:p>
      <w:pPr>
        <w:spacing w:after="0" w:line="257" w:lineRule="exact"/>
        <w:rPr>
          <w:sz w:val="20"/>
          <w:szCs w:val="20"/>
          <w:color w:val="auto"/>
        </w:rPr>
      </w:pPr>
    </w:p>
    <w:p>
      <w:pPr>
        <w:jc w:val="both"/>
        <w:ind w:firstLine="624"/>
        <w:spacing w:after="0" w:line="288" w:lineRule="auto"/>
        <w:tabs>
          <w:tab w:leader="none" w:pos="994"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Plan Maximums</w:t>
      </w:r>
      <w:r>
        <w:rPr>
          <w:rFonts w:ascii="Times New Roman" w:cs="Times New Roman" w:eastAsia="Times New Roman" w:hAnsi="Times New Roman"/>
          <w:sz w:val="17"/>
          <w:szCs w:val="17"/>
          <w:color w:val="auto"/>
        </w:rPr>
        <w:t>. The maximum number of Shares that may be granted pursuant to Awards under this Plan shall be 8,250,000 Shares (which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includes, for the avoidance of doubt the number of Shares subject to outstanding awards and otherwise available for issuance under the Prior Plan). The maximum number of Shares that may be granted pursuant to Stock Options intended to be Incentive Stock Options shall be 6,000,000 Shares. Shares subject to an Award under this Plan may be authorized and unissued Shares.</w:t>
      </w:r>
    </w:p>
    <w:p>
      <w:pPr>
        <w:spacing w:after="0" w:line="187" w:lineRule="exact"/>
        <w:rPr>
          <w:rFonts w:ascii="Times New Roman" w:cs="Times New Roman" w:eastAsia="Times New Roman" w:hAnsi="Times New Roman"/>
          <w:sz w:val="17"/>
          <w:szCs w:val="17"/>
          <w:i w:val="1"/>
          <w:iCs w:val="1"/>
          <w:color w:val="auto"/>
        </w:rPr>
      </w:pPr>
    </w:p>
    <w:p>
      <w:pPr>
        <w:ind w:left="1000" w:hanging="376"/>
        <w:spacing w:after="0"/>
        <w:tabs>
          <w:tab w:leader="none" w:pos="1000"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Individual Limits</w:t>
      </w:r>
      <w:r>
        <w:rPr>
          <w:rFonts w:ascii="Times New Roman" w:cs="Times New Roman" w:eastAsia="Times New Roman" w:hAnsi="Times New Roman"/>
          <w:sz w:val="17"/>
          <w:szCs w:val="17"/>
          <w:color w:val="auto"/>
        </w:rPr>
        <w:t>.</w:t>
      </w:r>
    </w:p>
    <w:p>
      <w:pPr>
        <w:spacing w:after="0" w:line="272" w:lineRule="exact"/>
        <w:rPr>
          <w:rFonts w:ascii="Times New Roman" w:cs="Times New Roman" w:eastAsia="Times New Roman" w:hAnsi="Times New Roman"/>
          <w:sz w:val="17"/>
          <w:szCs w:val="17"/>
          <w:i w:val="1"/>
          <w:iCs w:val="1"/>
          <w:color w:val="auto"/>
        </w:rPr>
      </w:pPr>
    </w:p>
    <w:p>
      <w:pPr>
        <w:jc w:val="both"/>
        <w:ind w:left="1240" w:firstLine="5"/>
        <w:spacing w:after="0" w:line="288" w:lineRule="auto"/>
        <w:tabs>
          <w:tab w:leader="none" w:pos="1695"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be granted Performance Units (other than Stock Options and Stock Appreciation Rights) covering in excess of 1,000,000 Shares during any calendar year. No Participant may be granted Stock Options and Stock Appreciation Rights covering in excess of 1,000,000 Shares during any calendar year.</w:t>
      </w:r>
    </w:p>
    <w:p>
      <w:pPr>
        <w:spacing w:after="0" w:line="201" w:lineRule="exact"/>
        <w:rPr>
          <w:rFonts w:ascii="Times New Roman" w:cs="Times New Roman" w:eastAsia="Times New Roman" w:hAnsi="Times New Roman"/>
          <w:sz w:val="17"/>
          <w:szCs w:val="17"/>
          <w:color w:val="auto"/>
        </w:rPr>
      </w:pPr>
    </w:p>
    <w:p>
      <w:pPr>
        <w:jc w:val="both"/>
        <w:ind w:left="1240" w:firstLine="5"/>
        <w:spacing w:after="0" w:line="283" w:lineRule="auto"/>
        <w:tabs>
          <w:tab w:leader="none" w:pos="1675"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given calendar year, no Participant who is a non-employee member of the Board may be granted Awards (other than Cash-Based Awards) with a value in excess of $600,000 in respect of such Board service. For purposes of this Section 3(b)(ii), the value of an Option or Stock Appreciation right shall be determined in accordance with the Black-Scholes or other pricing model used to determine Option values in the Company’s most recent report on Form 10-K and the value of any Award of Restricted Stock, Restricted Stock Units or Performance Units or Other Stock-Based Awards shall be determined based on the Fair Market Value of the underlying Shares on the grant date of the Award.</w:t>
      </w:r>
    </w:p>
    <w:p>
      <w:pPr>
        <w:spacing w:after="0" w:line="190" w:lineRule="exact"/>
        <w:rPr>
          <w:rFonts w:ascii="Times New Roman" w:cs="Times New Roman" w:eastAsia="Times New Roman" w:hAnsi="Times New Roman"/>
          <w:sz w:val="17"/>
          <w:szCs w:val="17"/>
          <w:color w:val="auto"/>
        </w:rPr>
      </w:pPr>
    </w:p>
    <w:p>
      <w:pPr>
        <w:jc w:val="both"/>
        <w:ind w:firstLine="624"/>
        <w:spacing w:after="0" w:line="288" w:lineRule="auto"/>
        <w:tabs>
          <w:tab w:leader="none" w:pos="1025" w:val="left"/>
        </w:tabs>
        <w:numPr>
          <w:ilvl w:val="0"/>
          <w:numId w:val="9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Rules for Calculating Shares Delivered. </w:t>
      </w:r>
      <w:r>
        <w:rPr>
          <w:rFonts w:ascii="Times New Roman" w:cs="Times New Roman" w:eastAsia="Times New Roman" w:hAnsi="Times New Roman"/>
          <w:sz w:val="17"/>
          <w:szCs w:val="17"/>
          <w:color w:val="auto"/>
        </w:rPr>
        <w:t>To the extent that any Award is forfeited, terminates, expires or lapses instead of being exercised, 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is settled for cash, the Shares subject to such Awards not delivered as a result thereof shall again be available for Awards under this Plan. If the tax withholding obligations relating to any Award are satisfied by delivering Shares (either actually or through a signed document affirming the Participant’s ownership and delivery of such Shares) or withholding Shares relating to such Award, the net number of Shares subject to the Award after payment of</w:t>
      </w:r>
    </w:p>
    <w:p>
      <w:pPr>
        <w:sectPr>
          <w:pgSz w:w="11900" w:h="16838" w:orient="portrait"/>
          <w:cols w:equalWidth="0" w:num="1">
            <w:col w:w="11240"/>
          </w:cols>
          <w:pgMar w:left="320" w:top="114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tax withholding obligations shall be deemed to have been granted for purposes of the first sentence of Section 3(a), and the number of Shares delivered or withheld to satisfy the tax withholding obligations shall again be available for Awards under the Plan. If any Shares subject to a Stock Option or Stock Appreciation Right are not delivered to a Participant because the Stock Option or Stock Appreciation Right is exercised through a reduction of Shares subject to the Award (i.e., “net exercised”), the number of Shares that are not delivered to the Participant shall no longer be available for issuance under the Plan. If any Shares are reacquired by the Company as consideration for the exercise of a Stock Option or a Stock Appreciation Right, such Shares shall no longer be available for issuance under the Plan.</w:t>
      </w:r>
    </w:p>
    <w:p>
      <w:pPr>
        <w:spacing w:after="0" w:line="208" w:lineRule="exact"/>
        <w:rPr>
          <w:sz w:val="20"/>
          <w:szCs w:val="20"/>
          <w:color w:val="auto"/>
        </w:rPr>
      </w:pPr>
    </w:p>
    <w:p>
      <w:pPr>
        <w:ind w:left="1000" w:hanging="376"/>
        <w:spacing w:after="0"/>
        <w:tabs>
          <w:tab w:leader="none" w:pos="1000" w:val="left"/>
        </w:tabs>
        <w:numPr>
          <w:ilvl w:val="0"/>
          <w:numId w:val="9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Adjustment Provisions</w:t>
      </w:r>
      <w:r>
        <w:rPr>
          <w:rFonts w:ascii="Times New Roman" w:cs="Times New Roman" w:eastAsia="Times New Roman" w:hAnsi="Times New Roman"/>
          <w:sz w:val="17"/>
          <w:szCs w:val="17"/>
          <w:color w:val="auto"/>
        </w:rPr>
        <w:t>.</w:t>
      </w:r>
    </w:p>
    <w:p>
      <w:pPr>
        <w:spacing w:after="0" w:line="259" w:lineRule="exact"/>
        <w:rPr>
          <w:rFonts w:ascii="Times New Roman" w:cs="Times New Roman" w:eastAsia="Times New Roman" w:hAnsi="Times New Roman"/>
          <w:sz w:val="17"/>
          <w:szCs w:val="17"/>
          <w:i w:val="1"/>
          <w:iCs w:val="1"/>
          <w:color w:val="auto"/>
        </w:rPr>
      </w:pPr>
    </w:p>
    <w:p>
      <w:pPr>
        <w:jc w:val="both"/>
        <w:ind w:left="1240" w:firstLine="5"/>
        <w:spacing w:after="0" w:line="279" w:lineRule="auto"/>
        <w:tabs>
          <w:tab w:leader="none" w:pos="1598"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the Committee or the Board may in its discretion make such substitutions or adjustments as it deems appropriate and equitable to (i) the aggregate number and kind of Shares or other securities reserved for issuance and delivery under this Plan, (ii) the various maximum limitations set forth in Sections 3(a) and 3(b) upon certain types of Awards and upon the grants to individuals of certain types of Awards, (iii) the number of Shares considered delivered based on the type of Award granted as set forth in Section 3(c), (iv) the number and kind of Shares or other securities subject to outstanding Awards; (v) the Performance Goals applicable to outstanding Awards; and (vi) the exercise price of outstanding Awards.</w:t>
      </w:r>
    </w:p>
    <w:p>
      <w:pPr>
        <w:spacing w:after="0" w:line="212" w:lineRule="exact"/>
        <w:rPr>
          <w:rFonts w:ascii="Times New Roman" w:cs="Times New Roman" w:eastAsia="Times New Roman" w:hAnsi="Times New Roman"/>
          <w:sz w:val="17"/>
          <w:szCs w:val="17"/>
          <w:color w:val="auto"/>
        </w:rPr>
      </w:pPr>
    </w:p>
    <w:p>
      <w:pPr>
        <w:jc w:val="both"/>
        <w:ind w:left="1240" w:firstLine="5"/>
        <w:spacing w:after="0" w:line="281" w:lineRule="auto"/>
        <w:tabs>
          <w:tab w:leader="none" w:pos="169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Sections 3(a) and 3(b) upon certain types of Awards and upon the grants to individuals of certain types of Awards, (C) the number and kind of Shares or other securities subject to outstanding Awards; (D) the Performance Goals applicable to outstanding Awards; and (E) the exercise price of outstanding Awards.</w:t>
      </w:r>
    </w:p>
    <w:p>
      <w:pPr>
        <w:spacing w:after="0" w:line="195" w:lineRule="exact"/>
        <w:rPr>
          <w:rFonts w:ascii="Times New Roman" w:cs="Times New Roman" w:eastAsia="Times New Roman" w:hAnsi="Times New Roman"/>
          <w:sz w:val="17"/>
          <w:szCs w:val="17"/>
          <w:color w:val="auto"/>
        </w:rPr>
      </w:pPr>
    </w:p>
    <w:p>
      <w:pPr>
        <w:jc w:val="both"/>
        <w:ind w:left="1240" w:firstLine="5"/>
        <w:spacing w:after="0" w:line="278" w:lineRule="auto"/>
        <w:tabs>
          <w:tab w:leader="none" w:pos="172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(as determined by the Board) of the consideration being paid for each Share pursuant to such Corporate Transaction over the exercise price of such Stock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ectPr>
          <w:pgSz w:w="11900" w:h="16838" w:orient="portrait"/>
          <w:cols w:equalWidth="0" w:num="1">
            <w:col w:w="11240"/>
          </w:cols>
          <w:pgMar w:left="320" w:top="339" w:right="339" w:bottom="1440" w:gutter="0" w:footer="0" w:header="0"/>
        </w:sectPr>
      </w:pPr>
    </w:p>
    <w:bookmarkStart w:id="150" w:name="page151"/>
    <w:bookmarkEnd w:id="150"/>
    <w:p>
      <w:pPr>
        <w:ind w:left="1240"/>
        <w:spacing w:after="0" w:line="307" w:lineRule="auto"/>
        <w:rPr>
          <w:sz w:val="20"/>
          <w:szCs w:val="20"/>
          <w:color w:val="auto"/>
        </w:rPr>
      </w:pPr>
      <w:r>
        <w:rPr>
          <w:rFonts w:ascii="Times New Roman" w:cs="Times New Roman" w:eastAsia="Times New Roman" w:hAnsi="Times New Roman"/>
          <w:sz w:val="17"/>
          <w:szCs w:val="17"/>
          <w:color w:val="auto"/>
        </w:rPr>
        <w:t>identified in the Company’s financial statements, notes to the financial statements, management’s discussion and analysis or other the Company’s filings with the Commission.</w:t>
      </w:r>
    </w:p>
    <w:p>
      <w:pPr>
        <w:spacing w:after="0" w:line="173" w:lineRule="exact"/>
        <w:rPr>
          <w:sz w:val="20"/>
          <w:szCs w:val="20"/>
          <w:color w:val="auto"/>
        </w:rPr>
      </w:pPr>
    </w:p>
    <w:p>
      <w:pPr>
        <w:ind w:left="1660" w:hanging="415"/>
        <w:spacing w:after="0"/>
        <w:tabs>
          <w:tab w:leader="none" w:pos="16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adjustments made pursuant to this Section 3(d) to Awards that are considered “deferred compensation” within the meaning of Section</w:t>
      </w:r>
    </w:p>
    <w:p>
      <w:pPr>
        <w:spacing w:after="0" w:line="37" w:lineRule="exact"/>
        <w:rPr>
          <w:rFonts w:ascii="Times New Roman" w:cs="Times New Roman" w:eastAsia="Times New Roman" w:hAnsi="Times New Roman"/>
          <w:sz w:val="17"/>
          <w:szCs w:val="17"/>
          <w:color w:val="auto"/>
        </w:rPr>
      </w:pPr>
    </w:p>
    <w:p>
      <w:pPr>
        <w:jc w:val="both"/>
        <w:ind w:left="124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190" w:lineRule="exact"/>
        <w:rPr>
          <w:rFonts w:ascii="Times New Roman" w:cs="Times New Roman" w:eastAsia="Times New Roman" w:hAnsi="Times New Roman"/>
          <w:sz w:val="17"/>
          <w:szCs w:val="17"/>
          <w:color w:val="auto"/>
        </w:rPr>
      </w:pPr>
    </w:p>
    <w:p>
      <w:pPr>
        <w:ind w:left="1600" w:hanging="355"/>
        <w:spacing w:after="0"/>
        <w:tabs>
          <w:tab w:leader="none" w:pos="16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adjustment under this Section 3(d) need not be the same for all Participants.</w:t>
      </w:r>
    </w:p>
    <w:p>
      <w:pPr>
        <w:spacing w:after="0" w:line="2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Section 4.</w:t>
      </w:r>
      <w:r>
        <w:rPr>
          <w:sz w:val="20"/>
          <w:szCs w:val="20"/>
          <w:color w:val="auto"/>
        </w:rPr>
        <w:tab/>
      </w:r>
      <w:r>
        <w:rPr>
          <w:rFonts w:ascii="Times New Roman" w:cs="Times New Roman" w:eastAsia="Times New Roman" w:hAnsi="Times New Roman"/>
          <w:sz w:val="16"/>
          <w:szCs w:val="16"/>
          <w:b w:val="1"/>
          <w:bCs w:val="1"/>
          <w:color w:val="auto"/>
        </w:rPr>
        <w:t>Awards</w:t>
      </w:r>
    </w:p>
    <w:p>
      <w:pPr>
        <w:spacing w:after="0" w:line="270" w:lineRule="exact"/>
        <w:rPr>
          <w:sz w:val="20"/>
          <w:szCs w:val="20"/>
          <w:color w:val="auto"/>
        </w:rPr>
      </w:pPr>
    </w:p>
    <w:p>
      <w:pPr>
        <w:ind w:left="1000" w:hanging="376"/>
        <w:spacing w:after="0"/>
        <w:tabs>
          <w:tab w:leader="none" w:pos="1000" w:val="left"/>
        </w:tabs>
        <w:numPr>
          <w:ilvl w:val="0"/>
          <w:numId w:val="9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Awards may be granted under this Plan to Eligible Individuals;</w:t>
      </w:r>
      <w:r>
        <w:rPr>
          <w:rFonts w:ascii="Times New Roman" w:cs="Times New Roman" w:eastAsia="Times New Roman" w:hAnsi="Times New Roman"/>
          <w:sz w:val="17"/>
          <w:szCs w:val="17"/>
          <w:i w:val="1"/>
          <w:iCs w:val="1"/>
          <w:color w:val="auto"/>
        </w:rPr>
        <w:t xml:space="preserve"> 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Incentive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Options may be granted only to employees of the Company and its subsidiaries or parent corporation (within the meaning of Section 424(f) of the Code).</w:t>
      </w:r>
    </w:p>
    <w:p>
      <w:pPr>
        <w:spacing w:after="0" w:line="250" w:lineRule="exact"/>
        <w:rPr>
          <w:sz w:val="20"/>
          <w:szCs w:val="20"/>
          <w:color w:val="auto"/>
        </w:rPr>
      </w:pPr>
    </w:p>
    <w:p>
      <w:pPr>
        <w:ind w:left="1000" w:hanging="376"/>
        <w:spacing w:after="0"/>
        <w:tabs>
          <w:tab w:leader="none" w:pos="1000" w:val="left"/>
        </w:tabs>
        <w:numPr>
          <w:ilvl w:val="0"/>
          <w:numId w:val="9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Vesting</w:t>
      </w:r>
      <w:r>
        <w:rPr>
          <w:rFonts w:ascii="Times New Roman" w:cs="Times New Roman" w:eastAsia="Times New Roman" w:hAnsi="Times New Roman"/>
          <w:sz w:val="17"/>
          <w:szCs w:val="17"/>
          <w:color w:val="auto"/>
        </w:rPr>
        <w:t>. Notwithstanding anything contained in this Plan to the contrary, Awards granted under the Plan (i)</w:t>
      </w:r>
    </w:p>
    <w:p>
      <w:pPr>
        <w:spacing w:after="0" w:line="3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that vest based upon the continued service of the applicable Participant shall vest over a minimum service period of one year and (ii) that vest based on the attainment of Performance Goals shall vest over a minimum Performance Period of one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(x) the Committee may, in its discretion, determine that such restrictions may lapse (in whole or in part) in the event of a Participant’s death or disability or other termination of employment or services or upon a Change in Control and (y) up to 5% of the total number of Shares reserved for issuance under the Plan pursuant to Section 3(a) may be subject to Awards granted after the Restatement Effective Date which do not meet the preceding vesting or acceleration limitations.</w:t>
      </w:r>
    </w:p>
    <w:p>
      <w:pPr>
        <w:spacing w:after="0" w:line="191" w:lineRule="exact"/>
        <w:rPr>
          <w:sz w:val="20"/>
          <w:szCs w:val="20"/>
          <w:color w:val="auto"/>
        </w:rPr>
      </w:pPr>
    </w:p>
    <w:p>
      <w:pPr>
        <w:jc w:val="both"/>
        <w:ind w:firstLine="624"/>
        <w:spacing w:after="0" w:line="288" w:lineRule="auto"/>
        <w:tabs>
          <w:tab w:leader="none" w:pos="998" w:val="left"/>
        </w:tabs>
        <w:numPr>
          <w:ilvl w:val="0"/>
          <w:numId w:val="9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Notwithstanding anything contained in this Plan to the contrary, no dividends (whether payable in cash or Common Stock) shall be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respect of an Award of Restricted Stock, Restricted Stock Units or Performance Units or Other Stock-Based Awards until the restrictions and risks of forfeiture applicable to the underlying Award (or portion thereof) have lapsed;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Committee may, in its sole discretion, provide that any such dividends may be accumulated and paid upon the date on which such restrictions or risks of forfeiture have lapsed in respect of the associated Award.</w:t>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Section 5.</w:t>
        <w:tab/>
        <w:t>Stock Options and Stock Appreciation Rights</w:t>
      </w:r>
    </w:p>
    <w:p>
      <w:pPr>
        <w:spacing w:after="0" w:line="257" w:lineRule="exact"/>
        <w:rPr>
          <w:sz w:val="20"/>
          <w:szCs w:val="20"/>
          <w:color w:val="auto"/>
        </w:rPr>
      </w:pPr>
    </w:p>
    <w:p>
      <w:pPr>
        <w:jc w:val="both"/>
        <w:ind w:firstLine="624"/>
        <w:spacing w:after="0" w:line="297" w:lineRule="auto"/>
        <w:tabs>
          <w:tab w:leader="none" w:pos="1068" w:val="left"/>
        </w:tabs>
        <w:numPr>
          <w:ilvl w:val="0"/>
          <w:numId w:val="9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Types of Stock Options</w:t>
      </w:r>
      <w:r>
        <w:rPr>
          <w:rFonts w:ascii="Times New Roman" w:cs="Times New Roman" w:eastAsia="Times New Roman" w:hAnsi="Times New Roman"/>
          <w:sz w:val="17"/>
          <w:szCs w:val="17"/>
          <w:color w:val="auto"/>
        </w:rPr>
        <w:t>. Stock Options may be granted alone or in addition to other Awards granted under this Plan and may be of two types: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Stock Options and Nonqualified Stock Options. The Award Agreement for a Stock Option shall indicate whether the Stock Option is intended to be an Incentive Stock Option or a Nonqualified Stock Option.</w:t>
      </w:r>
    </w:p>
    <w:p>
      <w:pPr>
        <w:spacing w:after="0" w:line="179" w:lineRule="exact"/>
        <w:rPr>
          <w:rFonts w:ascii="Times New Roman" w:cs="Times New Roman" w:eastAsia="Times New Roman" w:hAnsi="Times New Roman"/>
          <w:sz w:val="17"/>
          <w:szCs w:val="17"/>
          <w:i w:val="1"/>
          <w:iCs w:val="1"/>
          <w:color w:val="auto"/>
        </w:rPr>
      </w:pPr>
    </w:p>
    <w:p>
      <w:pPr>
        <w:jc w:val="both"/>
        <w:ind w:firstLine="624"/>
        <w:spacing w:after="0" w:line="284" w:lineRule="auto"/>
        <w:tabs>
          <w:tab w:leader="none" w:pos="1010" w:val="left"/>
        </w:tabs>
        <w:numPr>
          <w:ilvl w:val="0"/>
          <w:numId w:val="9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Types and Nature of Stock Appreciation Rights</w:t>
      </w:r>
      <w:r>
        <w:rPr>
          <w:rFonts w:ascii="Times New Roman" w:cs="Times New Roman" w:eastAsia="Times New Roman" w:hAnsi="Times New Roman"/>
          <w:sz w:val="17"/>
          <w:szCs w:val="17"/>
          <w:color w:val="auto"/>
        </w:rPr>
        <w:t>. Stock Appreciation Rights may be “Tandem SARs,” which are granted in conjunction with a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or “Free-Standing SARs,” which are not granted in conjunction with a Stock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ectPr>
          <w:pgSz w:w="11900" w:h="16838" w:orient="portrait"/>
          <w:cols w:equalWidth="0" w:num="1">
            <w:col w:w="11240"/>
          </w:cols>
          <w:pgMar w:left="320" w:top="114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24"/>
        <w:spacing w:after="0" w:line="288" w:lineRule="auto"/>
        <w:tabs>
          <w:tab w:leader="none" w:pos="995" w:val="left"/>
        </w:tabs>
        <w:numPr>
          <w:ilvl w:val="0"/>
          <w:numId w:val="10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Tandem SARs</w:t>
      </w:r>
      <w:r>
        <w:rPr>
          <w:rFonts w:ascii="Times New Roman" w:cs="Times New Roman" w:eastAsia="Times New Roman" w:hAnsi="Times New Roman"/>
          <w:sz w:val="17"/>
          <w:szCs w:val="17"/>
          <w:color w:val="auto"/>
        </w:rPr>
        <w:t>. A Tandem SAR may be granted at the Grant Date of the related Stock Option. A Tandem SAR shall be exercisable only at such 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87" w:lineRule="exact"/>
        <w:rPr>
          <w:rFonts w:ascii="Times New Roman" w:cs="Times New Roman" w:eastAsia="Times New Roman" w:hAnsi="Times New Roman"/>
          <w:sz w:val="17"/>
          <w:szCs w:val="17"/>
          <w:i w:val="1"/>
          <w:iCs w:val="1"/>
          <w:color w:val="auto"/>
        </w:rPr>
      </w:pPr>
    </w:p>
    <w:p>
      <w:pPr>
        <w:jc w:val="both"/>
        <w:ind w:firstLine="624"/>
        <w:spacing w:after="0" w:line="284" w:lineRule="auto"/>
        <w:tabs>
          <w:tab w:leader="none" w:pos="994" w:val="left"/>
        </w:tabs>
        <w:numPr>
          <w:ilvl w:val="0"/>
          <w:numId w:val="10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The exercise price per Share subject to a Stock Option or Free-Standing SAR shall be determined by the Committee and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applicable Award Agreement, and shall not be less than the Fair Market Value of a share of the Common Stock on the applicable Grant Date. In no event may any Stock Option or Stock Appreciation Right granted under this Plan be amended, other than pursuant to Section 3(d), to decrease the exercise price thereof, be canceled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190"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24" w:val="left"/>
        </w:tabs>
        <w:numPr>
          <w:ilvl w:val="0"/>
          <w:numId w:val="10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The Term of each Stock Option and each Free-Standing SAR shall be fixed by the Committee, but no Stock Option or Free-Standing SAR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exercisable more than 10 years after its Grant Date.</w:t>
      </w:r>
    </w:p>
    <w:p>
      <w:pPr>
        <w:spacing w:after="0" w:line="182"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956" w:val="left"/>
        </w:tabs>
        <w:numPr>
          <w:ilvl w:val="0"/>
          <w:numId w:val="10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Exercisability</w:t>
      </w:r>
      <w:r>
        <w:rPr>
          <w:rFonts w:ascii="Times New Roman" w:cs="Times New Roman" w:eastAsia="Times New Roman" w:hAnsi="Times New Roman"/>
          <w:sz w:val="17"/>
          <w:szCs w:val="17"/>
          <w:color w:val="auto"/>
        </w:rPr>
        <w:t>. Except as otherwise provided herein, Stock Options and Free-Standing SARs shall be exercisable at such time or times and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terms and conditions as shall be determined by the Committee.</w:t>
      </w:r>
    </w:p>
    <w:p>
      <w:pPr>
        <w:spacing w:after="0" w:line="169"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994" w:val="left"/>
        </w:tabs>
        <w:numPr>
          <w:ilvl w:val="0"/>
          <w:numId w:val="10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Method of Exercise</w:t>
      </w:r>
      <w:r>
        <w:rPr>
          <w:rFonts w:ascii="Times New Roman" w:cs="Times New Roman" w:eastAsia="Times New Roman" w:hAnsi="Times New Roman"/>
          <w:sz w:val="17"/>
          <w:szCs w:val="17"/>
          <w:color w:val="auto"/>
        </w:rPr>
        <w:t>. Subject to the provisions of this Section 5, Stock Options and Free-Standing SARs may be exercised, in whole or in part, 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during the Term thereof by giving written notice of exercise to the Company specifying the number of shares of Common Stock subject to the Stock Option or Free-Standing SAR to be purchased.</w:t>
      </w:r>
    </w:p>
    <w:p>
      <w:pPr>
        <w:spacing w:after="0" w:line="182"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17"/>
          <w:szCs w:val="17"/>
          <w:color w:val="auto"/>
        </w:rPr>
        <w:t>In the case of the exercise of a Stock Option, such notice shall be accompanied by payment in full of the aggregate purchase price (which shall equal the product of such number of Shares subject to such Stock Options multiplied by the applicable exercise price) per Share by certified or bank check, wire transfer, or such other instrument or method as the Company may accept. If provided for in the applicable Award Agreement as approved by the Committee, payment in full or in part may also be made as follows:</w:t>
      </w:r>
    </w:p>
    <w:p>
      <w:pPr>
        <w:spacing w:after="0" w:line="203" w:lineRule="exact"/>
        <w:rPr>
          <w:sz w:val="20"/>
          <w:szCs w:val="20"/>
          <w:color w:val="auto"/>
        </w:rPr>
      </w:pPr>
    </w:p>
    <w:p>
      <w:pPr>
        <w:jc w:val="both"/>
        <w:ind w:left="1240" w:firstLine="5"/>
        <w:spacing w:after="0" w:line="283" w:lineRule="auto"/>
        <w:tabs>
          <w:tab w:leader="none" w:pos="158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192" w:lineRule="exact"/>
        <w:rPr>
          <w:rFonts w:ascii="Times New Roman" w:cs="Times New Roman" w:eastAsia="Times New Roman" w:hAnsi="Times New Roman"/>
          <w:sz w:val="17"/>
          <w:szCs w:val="17"/>
          <w:color w:val="auto"/>
        </w:rPr>
      </w:pPr>
    </w:p>
    <w:p>
      <w:pPr>
        <w:jc w:val="both"/>
        <w:ind w:left="1240" w:firstLine="5"/>
        <w:spacing w:after="0" w:line="287" w:lineRule="auto"/>
        <w:tabs>
          <w:tab w:leader="none" w:pos="169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by delivering a properly executed exercise notice to the Company, together with a copy of irrevocable instructions to a broker to deliver promptly to the Company the amount of sale necessary to pay the purchase price, and, if requested, by the amount of any federal, state, local or foreign withholding taxes. To facilitate the foregoing, the Company may, to the extent permitted by applicable law, enter into agreements for coordinated procedures with one or more brokerage firms.</w:t>
      </w:r>
    </w:p>
    <w:p>
      <w:pPr>
        <w:spacing w:after="0" w:line="203" w:lineRule="exact"/>
        <w:rPr>
          <w:rFonts w:ascii="Times New Roman" w:cs="Times New Roman" w:eastAsia="Times New Roman" w:hAnsi="Times New Roman"/>
          <w:sz w:val="17"/>
          <w:szCs w:val="17"/>
          <w:color w:val="auto"/>
        </w:rPr>
      </w:pPr>
    </w:p>
    <w:p>
      <w:pPr>
        <w:ind w:left="1680" w:hanging="435"/>
        <w:spacing w:after="0"/>
        <w:tabs>
          <w:tab w:leader="none" w:pos="16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instructing the Company to withhold a number of such shares having a Fair Market Value (based</w:t>
      </w:r>
    </w:p>
    <w:p>
      <w:pPr>
        <w:spacing w:after="0" w:line="3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191" w:lineRule="exact"/>
        <w:rPr>
          <w:sz w:val="20"/>
          <w:szCs w:val="20"/>
          <w:color w:val="auto"/>
        </w:rPr>
      </w:pPr>
    </w:p>
    <w:p>
      <w:pPr>
        <w:jc w:val="both"/>
        <w:ind w:firstLine="624"/>
        <w:spacing w:after="0" w:line="289" w:lineRule="auto"/>
        <w:tabs>
          <w:tab w:leader="none" w:pos="1068" w:val="left"/>
        </w:tabs>
        <w:numPr>
          <w:ilvl w:val="0"/>
          <w:numId w:val="10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Delivery; Rights of Shareholders</w:t>
      </w:r>
      <w:r>
        <w:rPr>
          <w:rFonts w:ascii="Times New Roman" w:cs="Times New Roman" w:eastAsia="Times New Roman" w:hAnsi="Times New Roman"/>
          <w:sz w:val="17"/>
          <w:szCs w:val="17"/>
          <w:color w:val="auto"/>
        </w:rPr>
        <w:t>. A Participant shall not be entitled to delivery of Shares pursuant to the exercise of a Stock Option or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 until the exercise price therefor has been fully paid and applicable taxes have been withheld. Except as otherwise provided in Section 5(l), a Participant shall have all of the rights of a shareholder of</w:t>
      </w:r>
    </w:p>
    <w:p>
      <w:pPr>
        <w:sectPr>
          <w:pgSz w:w="11900" w:h="16838" w:orient="portrait"/>
          <w:cols w:equalWidth="0" w:num="1">
            <w:col w:w="11240"/>
          </w:cols>
          <w:pgMar w:left="320" w:top="339" w:right="339" w:bottom="1440" w:gutter="0" w:footer="0" w:header="0"/>
        </w:sectPr>
      </w:pPr>
    </w:p>
    <w:bookmarkStart w:id="152" w:name="page153"/>
    <w:bookmarkEnd w:id="152"/>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holding the class or series of Common Stock that is subject to such Stock Option or Stock Appreciation Right (including, if applicable, the right to vote the applicable Shares), when the Participant (i) has given written notice of exercise, (ii) if requested, has given the representation described in Section 15(a) and (iii) in the case of a Stock Option, has paid in full for such Shares.</w:t>
      </w:r>
    </w:p>
    <w:p>
      <w:pPr>
        <w:spacing w:after="0" w:line="200" w:lineRule="exact"/>
        <w:rPr>
          <w:sz w:val="20"/>
          <w:szCs w:val="20"/>
          <w:color w:val="auto"/>
        </w:rPr>
      </w:pPr>
    </w:p>
    <w:p>
      <w:pPr>
        <w:jc w:val="both"/>
        <w:ind w:firstLine="624"/>
        <w:spacing w:after="0" w:line="280" w:lineRule="auto"/>
        <w:tabs>
          <w:tab w:leader="none" w:pos="1003" w:val="left"/>
        </w:tabs>
        <w:numPr>
          <w:ilvl w:val="0"/>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Nontransferability of Stock Options and Stock Appreciation Rights</w:t>
      </w:r>
      <w:r>
        <w:rPr>
          <w:rFonts w:ascii="Times New Roman" w:cs="Times New Roman" w:eastAsia="Times New Roman" w:hAnsi="Times New Roman"/>
          <w:sz w:val="17"/>
          <w:szCs w:val="17"/>
          <w:color w:val="auto"/>
        </w:rPr>
        <w:t>. No Stock Option or Free-Standing SAR shall be transferable by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Stock Appreciation Right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term “Termination of Employment” shall continue to refer to the Termination of Employment of the original Participant.</w:t>
      </w:r>
    </w:p>
    <w:p>
      <w:pPr>
        <w:spacing w:after="0" w:line="200" w:lineRule="exact"/>
        <w:rPr>
          <w:rFonts w:ascii="Times New Roman" w:cs="Times New Roman" w:eastAsia="Times New Roman" w:hAnsi="Times New Roman"/>
          <w:sz w:val="17"/>
          <w:szCs w:val="17"/>
          <w:i w:val="1"/>
          <w:iCs w:val="1"/>
          <w:color w:val="auto"/>
        </w:rPr>
      </w:pPr>
    </w:p>
    <w:p>
      <w:pPr>
        <w:spacing w:after="0" w:line="218"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991" w:val="left"/>
        </w:tabs>
        <w:numPr>
          <w:ilvl w:val="0"/>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determined by the Committee or provided in the applicable Award Agreement, upon a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or Employment, his or her Stock Options and Stock Appreciation Rights shall be treated as set forth below:</w:t>
      </w:r>
    </w:p>
    <w:p>
      <w:pPr>
        <w:spacing w:after="0" w:line="182" w:lineRule="exact"/>
        <w:rPr>
          <w:rFonts w:ascii="Times New Roman" w:cs="Times New Roman" w:eastAsia="Times New Roman" w:hAnsi="Times New Roman"/>
          <w:sz w:val="17"/>
          <w:szCs w:val="17"/>
          <w:i w:val="1"/>
          <w:iCs w:val="1"/>
          <w:color w:val="auto"/>
        </w:rPr>
      </w:pPr>
    </w:p>
    <w:p>
      <w:pPr>
        <w:jc w:val="both"/>
        <w:ind w:left="1240" w:firstLine="5"/>
        <w:spacing w:after="0" w:line="283" w:lineRule="auto"/>
        <w:tabs>
          <w:tab w:leader="none" w:pos="1653" w:val="left"/>
        </w:tabs>
        <w:numPr>
          <w:ilvl w:val="1"/>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Death</w:t>
      </w:r>
      <w:r>
        <w:rPr>
          <w:rFonts w:ascii="Times New Roman" w:cs="Times New Roman" w:eastAsia="Times New Roman" w:hAnsi="Times New Roman"/>
          <w:sz w:val="17"/>
          <w:szCs w:val="17"/>
          <w:color w:val="auto"/>
        </w:rPr>
        <w:t>. If a Participant incurs a Termination of Employment by reason of death, any Stock Option or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death, if an Incentive Stock Option is exercised after the expiration of the post-termination exercise periods that apply for purposes of Section 422 of the Code, such Stock Option will thereafter be treated as a Nonqualified Stock Option.</w:t>
      </w:r>
    </w:p>
    <w:p>
      <w:pPr>
        <w:spacing w:after="0" w:line="192" w:lineRule="exact"/>
        <w:rPr>
          <w:rFonts w:ascii="Times New Roman" w:cs="Times New Roman" w:eastAsia="Times New Roman" w:hAnsi="Times New Roman"/>
          <w:sz w:val="17"/>
          <w:szCs w:val="17"/>
          <w:i w:val="1"/>
          <w:iCs w:val="1"/>
          <w:color w:val="auto"/>
        </w:rPr>
      </w:pPr>
    </w:p>
    <w:p>
      <w:pPr>
        <w:jc w:val="both"/>
        <w:ind w:left="1240" w:firstLine="5"/>
        <w:spacing w:after="0" w:line="287" w:lineRule="auto"/>
        <w:tabs>
          <w:tab w:leader="none" w:pos="1675" w:val="left"/>
        </w:tabs>
        <w:numPr>
          <w:ilvl w:val="1"/>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Disability</w:t>
      </w:r>
      <w:r>
        <w:rPr>
          <w:rFonts w:ascii="Times New Roman" w:cs="Times New Roman" w:eastAsia="Times New Roman" w:hAnsi="Times New Roman"/>
          <w:sz w:val="17"/>
          <w:szCs w:val="17"/>
          <w:color w:val="auto"/>
        </w:rPr>
        <w:t>. If a Participant incurs a Termination of Employment by reason of Disability, any Stock Option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189" w:lineRule="exact"/>
        <w:rPr>
          <w:rFonts w:ascii="Times New Roman" w:cs="Times New Roman" w:eastAsia="Times New Roman" w:hAnsi="Times New Roman"/>
          <w:sz w:val="17"/>
          <w:szCs w:val="17"/>
          <w:i w:val="1"/>
          <w:iCs w:val="1"/>
          <w:color w:val="auto"/>
        </w:rPr>
      </w:pPr>
    </w:p>
    <w:p>
      <w:pPr>
        <w:ind w:left="1240" w:firstLine="5"/>
        <w:spacing w:after="0" w:line="309" w:lineRule="auto"/>
        <w:tabs>
          <w:tab w:leader="none" w:pos="1728" w:val="left"/>
        </w:tabs>
        <w:numPr>
          <w:ilvl w:val="1"/>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the Company for Cause</w:t>
      </w:r>
      <w:r>
        <w:rPr>
          <w:rFonts w:ascii="Times New Roman" w:cs="Times New Roman" w:eastAsia="Times New Roman" w:hAnsi="Times New Roman"/>
          <w:sz w:val="17"/>
          <w:szCs w:val="17"/>
          <w:color w:val="auto"/>
        </w:rPr>
        <w:t>. If a Participant incurs a Termination of Employment for Cause, any Stock Options and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Appreciation Rights held by such Participant, whether vested or unvested, shall thereupon terminate.</w:t>
      </w:r>
    </w:p>
    <w:p>
      <w:pPr>
        <w:spacing w:after="0" w:line="182" w:lineRule="exact"/>
        <w:rPr>
          <w:rFonts w:ascii="Times New Roman" w:cs="Times New Roman" w:eastAsia="Times New Roman" w:hAnsi="Times New Roman"/>
          <w:sz w:val="17"/>
          <w:szCs w:val="17"/>
          <w:i w:val="1"/>
          <w:iCs w:val="1"/>
          <w:color w:val="auto"/>
        </w:rPr>
      </w:pPr>
    </w:p>
    <w:p>
      <w:pPr>
        <w:jc w:val="both"/>
        <w:ind w:left="1240" w:firstLine="5"/>
        <w:spacing w:after="0" w:line="286" w:lineRule="auto"/>
        <w:tabs>
          <w:tab w:leader="none" w:pos="1714" w:val="left"/>
        </w:tabs>
        <w:numPr>
          <w:ilvl w:val="1"/>
          <w:numId w:val="10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Termination</w:t>
      </w:r>
      <w:r>
        <w:rPr>
          <w:rFonts w:ascii="Times New Roman" w:cs="Times New Roman" w:eastAsia="Times New Roman" w:hAnsi="Times New Roman"/>
          <w:sz w:val="17"/>
          <w:szCs w:val="17"/>
          <w:color w:val="auto"/>
        </w:rPr>
        <w:t>. If a Participant incurs a Termination of Employment for any reason other than death, Disability, or for Cause,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as otherwise set forth in this Section 5(j), any Stock Option or Stock Appreciation Right held by such Participant, to the extent it was then exercisable at the time of termination, or, subject to Section 4(b), on such accelerated basis as the Committee may determine, may be exercised for the lesser of (A) 90 days following the date of such Termination of Employment and (B) the balance of the stated full Term thereof.</w:t>
      </w:r>
    </w:p>
    <w:p>
      <w:pPr>
        <w:spacing w:after="0" w:line="200" w:lineRule="exact"/>
        <w:rPr>
          <w:rFonts w:ascii="Times New Roman" w:cs="Times New Roman" w:eastAsia="Times New Roman" w:hAnsi="Times New Roman"/>
          <w:sz w:val="17"/>
          <w:szCs w:val="17"/>
          <w:i w:val="1"/>
          <w:iCs w:val="1"/>
          <w:color w:val="auto"/>
        </w:rPr>
      </w:pPr>
    </w:p>
    <w:p>
      <w:pPr>
        <w:spacing w:after="0" w:line="215" w:lineRule="exact"/>
        <w:rPr>
          <w:rFonts w:ascii="Times New Roman" w:cs="Times New Roman" w:eastAsia="Times New Roman" w:hAnsi="Times New Roman"/>
          <w:sz w:val="17"/>
          <w:szCs w:val="17"/>
          <w:i w:val="1"/>
          <w:iCs w:val="1"/>
          <w:color w:val="auto"/>
        </w:rPr>
      </w:pPr>
    </w:p>
    <w:p>
      <w:pPr>
        <w:ind w:left="1240" w:firstLine="5"/>
        <w:spacing w:after="0" w:line="322" w:lineRule="auto"/>
        <w:tabs>
          <w:tab w:leader="none" w:pos="1622"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provisions of Section 5(j) and subject to Section 4(b), the Committee shall have the power, in its discretion, to apply different rules concerning the consequences of a Termination</w:t>
      </w:r>
    </w:p>
    <w:p>
      <w:pPr>
        <w:sectPr>
          <w:pgSz w:w="11900" w:h="16838" w:orient="portrait"/>
          <w:cols w:equalWidth="0" w:num="1">
            <w:col w:w="11240"/>
          </w:cols>
          <w:pgMar w:left="320" w:top="1143" w:right="339" w:bottom="1440" w:gutter="0" w:footer="0" w:header="0"/>
        </w:sectPr>
      </w:pPr>
    </w:p>
    <w:bookmarkStart w:id="153" w:name="page154"/>
    <w:bookmarkEnd w:id="153"/>
    <w:p>
      <w:pPr>
        <w:ind w:left="103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spacing w:after="0" w:line="309" w:lineRule="auto"/>
        <w:rPr>
          <w:sz w:val="20"/>
          <w:szCs w:val="20"/>
          <w:color w:val="auto"/>
        </w:rPr>
      </w:pPr>
      <w:r>
        <w:rPr>
          <w:rFonts w:ascii="Times New Roman" w:cs="Times New Roman" w:eastAsia="Times New Roman" w:hAnsi="Times New Roman"/>
          <w:sz w:val="17"/>
          <w:szCs w:val="17"/>
          <w:color w:val="auto"/>
        </w:rPr>
        <w:t xml:space="preserve">of Employment,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rules are less favorable to the Participant than those set forth above, such rules are set forth in the applicable Award Agreement.</w:t>
      </w:r>
    </w:p>
    <w:p>
      <w:pPr>
        <w:spacing w:after="0" w:line="169" w:lineRule="exact"/>
        <w:rPr>
          <w:sz w:val="20"/>
          <w:szCs w:val="20"/>
          <w:color w:val="auto"/>
        </w:rPr>
      </w:pPr>
    </w:p>
    <w:p>
      <w:pPr>
        <w:jc w:val="both"/>
        <w:ind w:firstLine="624"/>
        <w:spacing w:after="0" w:line="282" w:lineRule="auto"/>
        <w:tabs>
          <w:tab w:leader="none" w:pos="987" w:val="left"/>
        </w:tabs>
        <w:numPr>
          <w:ilvl w:val="0"/>
          <w:numId w:val="10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Additional Rules for Incentive Stock Options</w:t>
      </w:r>
      <w:r>
        <w:rPr>
          <w:rFonts w:ascii="Times New Roman" w:cs="Times New Roman" w:eastAsia="Times New Roman" w:hAnsi="Times New Roman"/>
          <w:sz w:val="17"/>
          <w:szCs w:val="17"/>
          <w:color w:val="auto"/>
        </w:rPr>
        <w:t>. Notwithstanding any other provision of this Plan to the contrary, no Stock Option which is intended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qualify as an Incentive Stock Option may be granted to any Eligible Employee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93"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08" w:val="left"/>
        </w:tabs>
        <w:numPr>
          <w:ilvl w:val="0"/>
          <w:numId w:val="10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Dividends and Dividend Equivalents</w:t>
      </w:r>
      <w:r>
        <w:rPr>
          <w:rFonts w:ascii="Times New Roman" w:cs="Times New Roman" w:eastAsia="Times New Roman" w:hAnsi="Times New Roman"/>
          <w:sz w:val="17"/>
          <w:szCs w:val="17"/>
          <w:color w:val="auto"/>
        </w:rPr>
        <w:t>. Dividends (whether paid in cash or Shares) and dividend equivalents may not be paid or accrued 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Options or Stock Appreciation Rights;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Stock Options and Stock Appreciation Rights may be adjusted under certain circumstances in accordance with the terms of Section 3(d).</w:t>
      </w:r>
    </w:p>
    <w:p>
      <w:pPr>
        <w:spacing w:after="0" w:line="1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6.</w:t>
        <w:tab/>
        <w:t>Restricted Stock</w:t>
      </w:r>
    </w:p>
    <w:p>
      <w:pPr>
        <w:spacing w:after="0" w:line="257" w:lineRule="exact"/>
        <w:rPr>
          <w:sz w:val="20"/>
          <w:szCs w:val="20"/>
          <w:color w:val="auto"/>
        </w:rPr>
      </w:pPr>
    </w:p>
    <w:p>
      <w:pPr>
        <w:jc w:val="both"/>
        <w:ind w:firstLine="624"/>
        <w:spacing w:after="0" w:line="288" w:lineRule="auto"/>
        <w:tabs>
          <w:tab w:leader="none" w:pos="1004" w:val="left"/>
        </w:tabs>
        <w:numPr>
          <w:ilvl w:val="0"/>
          <w:numId w:val="10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Shares of Restricted Stock are actual Shares issued to a Participant and may be awarded either alone or in addition to other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200" w:lineRule="exact"/>
        <w:rPr>
          <w:rFonts w:ascii="Times New Roman" w:cs="Times New Roman" w:eastAsia="Times New Roman" w:hAnsi="Times New Roman"/>
          <w:sz w:val="17"/>
          <w:szCs w:val="17"/>
          <w:i w:val="1"/>
          <w:iCs w:val="1"/>
          <w:color w:val="auto"/>
        </w:rPr>
      </w:pPr>
    </w:p>
    <w:p>
      <w:pPr>
        <w:jc w:val="both"/>
        <w:ind w:firstLine="624"/>
        <w:spacing w:after="0" w:line="288" w:lineRule="auto"/>
        <w:tabs>
          <w:tab w:leader="none" w:pos="1104" w:val="left"/>
        </w:tabs>
        <w:numPr>
          <w:ilvl w:val="0"/>
          <w:numId w:val="10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Book Entry Registration or Certificated Shares</w:t>
      </w:r>
      <w:r>
        <w:rPr>
          <w:rFonts w:ascii="Times New Roman" w:cs="Times New Roman" w:eastAsia="Times New Roman" w:hAnsi="Times New Roman"/>
          <w:sz w:val="17"/>
          <w:szCs w:val="17"/>
          <w:color w:val="auto"/>
        </w:rPr>
        <w:t>. Shares of Restricted Stock shall be evidenced in such manner as the Committee may deem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18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color w:val="auto"/>
        </w:rPr>
        <w:t>The transferability of this certificate and the shares of stock represented hereby are subject to the terms and conditions (including forfeiture) of the NMI Holdings, Inc. 2014 Amended and Restated Omnibus Incentive Plan and an Award Agreement. Copies of such Plan and Agreement are on file at the offices of NMI Holdings, Inc.</w:t>
      </w:r>
    </w:p>
    <w:p>
      <w:pPr>
        <w:spacing w:after="0" w:line="182"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80" w:lineRule="exact"/>
        <w:rPr>
          <w:sz w:val="20"/>
          <w:szCs w:val="20"/>
          <w:color w:val="auto"/>
        </w:rPr>
      </w:pPr>
    </w:p>
    <w:p>
      <w:pPr>
        <w:ind w:firstLine="624"/>
        <w:spacing w:after="0" w:line="309" w:lineRule="auto"/>
        <w:tabs>
          <w:tab w:leader="none" w:pos="1002" w:val="left"/>
        </w:tabs>
        <w:numPr>
          <w:ilvl w:val="0"/>
          <w:numId w:val="10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Terms and Conditions</w:t>
      </w:r>
      <w:r>
        <w:rPr>
          <w:rFonts w:ascii="Times New Roman" w:cs="Times New Roman" w:eastAsia="Times New Roman" w:hAnsi="Times New Roman"/>
          <w:sz w:val="17"/>
          <w:szCs w:val="17"/>
          <w:color w:val="auto"/>
        </w:rPr>
        <w:t>. Shares of Restricted Stock shall be subject to the following terms and conditions and such other terms and conditions as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set forth in the applicable Award Agreement (including the vesting or forfeiture provisions applicable upon a Termination of Employment):</w:t>
      </w:r>
    </w:p>
    <w:p>
      <w:pPr>
        <w:spacing w:after="0" w:line="184" w:lineRule="exact"/>
        <w:rPr>
          <w:rFonts w:ascii="Times New Roman" w:cs="Times New Roman" w:eastAsia="Times New Roman" w:hAnsi="Times New Roman"/>
          <w:sz w:val="17"/>
          <w:szCs w:val="17"/>
          <w:i w:val="1"/>
          <w:iCs w:val="1"/>
          <w:color w:val="auto"/>
        </w:rPr>
      </w:pPr>
    </w:p>
    <w:p>
      <w:pPr>
        <w:jc w:val="both"/>
        <w:ind w:left="1240" w:firstLine="5"/>
        <w:spacing w:after="0" w:line="283" w:lineRule="auto"/>
        <w:tabs>
          <w:tab w:leader="none" w:pos="1589"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(C) the grant or vesting of an Award of Restricted Stock upon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ectPr>
          <w:pgSz w:w="11900" w:h="16838" w:orient="portrait"/>
          <w:cols w:equalWidth="0" w:num="1">
            <w:col w:w="11240"/>
          </w:cols>
          <w:pgMar w:left="320" w:top="339" w:right="339" w:bottom="1440" w:gutter="0" w:footer="0" w:header="0"/>
        </w:sectPr>
      </w:pPr>
    </w:p>
    <w:bookmarkStart w:id="154" w:name="page155"/>
    <w:bookmarkEnd w:id="154"/>
    <w:p>
      <w:pPr>
        <w:jc w:val="both"/>
        <w:ind w:left="1240" w:firstLine="5"/>
        <w:spacing w:after="0" w:line="288" w:lineRule="auto"/>
        <w:tabs>
          <w:tab w:leader="none" w:pos="1654"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Plan and the applicable Award Agreement, during the period, if any, set by the Committee, commencing with the date of such Restricted Stock Award for which such vesting restrictions apply (the “</w:t>
      </w:r>
      <w:r>
        <w:rPr>
          <w:rFonts w:ascii="Times New Roman" w:cs="Times New Roman" w:eastAsia="Times New Roman" w:hAnsi="Times New Roman"/>
          <w:sz w:val="17"/>
          <w:szCs w:val="17"/>
          <w:u w:val="single" w:color="auto"/>
          <w:color w:val="auto"/>
        </w:rPr>
        <w:t>Restriction Period</w:t>
      </w:r>
      <w:r>
        <w:rPr>
          <w:rFonts w:ascii="Times New Roman" w:cs="Times New Roman" w:eastAsia="Times New Roman" w:hAnsi="Times New Roman"/>
          <w:sz w:val="17"/>
          <w:szCs w:val="17"/>
          <w:color w:val="auto"/>
        </w:rPr>
        <w:t>”), and until the expiration of the Restriction Period, the Participant shall not be permitted to sell, assign, transfer, pledge or otherwise encumber Shares of Restricted Stock.</w:t>
      </w:r>
    </w:p>
    <w:p>
      <w:pPr>
        <w:spacing w:after="0" w:line="199" w:lineRule="exact"/>
        <w:rPr>
          <w:rFonts w:ascii="Times New Roman" w:cs="Times New Roman" w:eastAsia="Times New Roman" w:hAnsi="Times New Roman"/>
          <w:sz w:val="17"/>
          <w:szCs w:val="17"/>
          <w:color w:val="auto"/>
        </w:rPr>
      </w:pPr>
    </w:p>
    <w:p>
      <w:pPr>
        <w:jc w:val="both"/>
        <w:ind w:firstLine="624"/>
        <w:spacing w:after="0" w:line="280" w:lineRule="auto"/>
        <w:tabs>
          <w:tab w:leader="none" w:pos="1068"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Rights of a Shareholder</w:t>
      </w:r>
      <w:r>
        <w:rPr>
          <w:rFonts w:ascii="Times New Roman" w:cs="Times New Roman" w:eastAsia="Times New Roman" w:hAnsi="Times New Roman"/>
          <w:sz w:val="17"/>
          <w:szCs w:val="17"/>
          <w:color w:val="auto"/>
        </w:rPr>
        <w:t>. Except as provided in this Section 6 and the applicable Award Agreement, the applicable Participant shall have,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the Shares of Restricted Stock, all of the rights of a shareholder of the Company holding the class or series of Common Stock that is the subject of the Restricted Stock, including, if applicable, the right to vote the Shares and the right to receive any dividends. As determined by the Committee in the applicable Award Agreement and subject to Section 15(e), (A) cash dividends on the class or series of Common Stock that is the subject of the Restricted Stock Award shall be payable in cash and shall be held subject to the vesting of the underlying Restricted Stock, or held subject to meeting Performance Goals applicable only to dividends, and (B) dividends payable in Common Stock shall be paid in the form of Restricted Stock of the same class as the Common Stock with which such dividend was paid, and shall be held subject to the vesting of the underlying Restricted Stock, or held subject to meeting Performance Goals applicable only to dividends.</w:t>
      </w:r>
    </w:p>
    <w:p>
      <w:pPr>
        <w:spacing w:after="0" w:line="193"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00"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Delivery of Unlegended Certificates</w:t>
      </w:r>
      <w:r>
        <w:rPr>
          <w:rFonts w:ascii="Times New Roman" w:cs="Times New Roman" w:eastAsia="Times New Roman" w:hAnsi="Times New Roman"/>
          <w:sz w:val="17"/>
          <w:szCs w:val="17"/>
          <w:color w:val="auto"/>
        </w:rPr>
        <w:t>. If and when any applicable Performance Goals are satisfied and the Restriction Period expires without a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forfeiture of the Shares of Restricted Stock for which legended certificates have been issued, unlegended certificates for such Shares shall be delivered to the Participant upon surrender of the legended certificates.</w:t>
      </w:r>
    </w:p>
    <w:p>
      <w:pPr>
        <w:spacing w:after="0" w:line="179" w:lineRule="exact"/>
        <w:rPr>
          <w:rFonts w:ascii="Times New Roman" w:cs="Times New Roman" w:eastAsia="Times New Roman" w:hAnsi="Times New Roman"/>
          <w:sz w:val="17"/>
          <w:szCs w:val="17"/>
          <w:i w:val="1"/>
          <w:iCs w:val="1"/>
          <w:color w:val="auto"/>
        </w:rPr>
      </w:pPr>
    </w:p>
    <w:p>
      <w:pPr>
        <w:ind w:firstLine="624"/>
        <w:spacing w:after="0" w:line="325" w:lineRule="auto"/>
        <w:tabs>
          <w:tab w:leader="none" w:pos="991" w:val="left"/>
        </w:tabs>
        <w:numPr>
          <w:ilvl w:val="0"/>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determined by the Committee or provided in the applicable Award Agreement, upon a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or Employment, his or her Restricted Stock shall be treated as set forth below:</w:t>
      </w:r>
    </w:p>
    <w:p>
      <w:pPr>
        <w:spacing w:after="0" w:line="156" w:lineRule="exact"/>
        <w:rPr>
          <w:rFonts w:ascii="Times New Roman" w:cs="Times New Roman" w:eastAsia="Times New Roman" w:hAnsi="Times New Roman"/>
          <w:sz w:val="17"/>
          <w:szCs w:val="17"/>
          <w:i w:val="1"/>
          <w:iCs w:val="1"/>
          <w:color w:val="auto"/>
        </w:rPr>
      </w:pPr>
    </w:p>
    <w:p>
      <w:pPr>
        <w:jc w:val="both"/>
        <w:ind w:left="1240" w:firstLine="5"/>
        <w:spacing w:after="0" w:line="288" w:lineRule="auto"/>
        <w:tabs>
          <w:tab w:leader="none" w:pos="1622" w:val="left"/>
        </w:tabs>
        <w:numPr>
          <w:ilvl w:val="1"/>
          <w:numId w:val="10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Death or Disability</w:t>
      </w:r>
      <w:r>
        <w:rPr>
          <w:rFonts w:ascii="Times New Roman" w:cs="Times New Roman" w:eastAsia="Times New Roman" w:hAnsi="Times New Roman"/>
          <w:sz w:val="17"/>
          <w:szCs w:val="17"/>
          <w:color w:val="auto"/>
        </w:rPr>
        <w:t>. If a Participant incurs a Termination of Employment by reason of death or Disability,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including any Performance Goals, applicable to any Restricted Stock shall lapse (with respect to Performance Goals, be deemed earned in full based on the applicable target level), and such Restricted Stock shall become free of all restrictions and become fully vested and transferable to the full extent of the original grant.</w:t>
      </w:r>
    </w:p>
    <w:p>
      <w:pPr>
        <w:spacing w:after="0" w:line="187" w:lineRule="exact"/>
        <w:rPr>
          <w:sz w:val="20"/>
          <w:szCs w:val="20"/>
          <w:color w:val="auto"/>
        </w:rPr>
      </w:pPr>
    </w:p>
    <w:p>
      <w:pPr>
        <w:jc w:val="both"/>
        <w:ind w:left="1240" w:firstLine="5"/>
        <w:spacing w:after="0" w:line="297" w:lineRule="auto"/>
        <w:tabs>
          <w:tab w:leader="none" w:pos="1757" w:val="left"/>
        </w:tabs>
        <w:numPr>
          <w:ilvl w:val="0"/>
          <w:numId w:val="10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Termination</w:t>
      </w:r>
      <w:r>
        <w:rPr>
          <w:rFonts w:ascii="Times New Roman" w:cs="Times New Roman" w:eastAsia="Times New Roman" w:hAnsi="Times New Roman"/>
          <w:sz w:val="17"/>
          <w:szCs w:val="17"/>
          <w:color w:val="auto"/>
        </w:rPr>
        <w:t>. If a Participant incurs a Termination of Employment for any reason other than death or Disability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 Period or before the requisite service period or applicable Performance Goals are satisfied, all Shares still subject to restriction shall be forfeited by the Participant.</w:t>
      </w:r>
    </w:p>
    <w:p>
      <w:pPr>
        <w:spacing w:after="0" w:line="18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7.</w:t>
        <w:tab/>
        <w:t>Restricted Stock Units</w:t>
      </w:r>
    </w:p>
    <w:p>
      <w:pPr>
        <w:spacing w:after="0" w:line="270" w:lineRule="exact"/>
        <w:rPr>
          <w:sz w:val="20"/>
          <w:szCs w:val="20"/>
          <w:color w:val="auto"/>
        </w:rPr>
      </w:pPr>
    </w:p>
    <w:p>
      <w:pPr>
        <w:jc w:val="both"/>
        <w:ind w:firstLine="624"/>
        <w:spacing w:after="0" w:line="289" w:lineRule="auto"/>
        <w:tabs>
          <w:tab w:leader="none" w:pos="1020" w:val="left"/>
        </w:tabs>
        <w:numPr>
          <w:ilvl w:val="0"/>
          <w:numId w:val="1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Nature of Awards</w:t>
      </w:r>
      <w:r>
        <w:rPr>
          <w:rFonts w:ascii="Times New Roman" w:cs="Times New Roman" w:eastAsia="Times New Roman" w:hAnsi="Times New Roman"/>
          <w:sz w:val="17"/>
          <w:szCs w:val="17"/>
          <w:color w:val="auto"/>
        </w:rPr>
        <w:t>. Restricted stock units and deferred share rights (together, “</w:t>
      </w:r>
      <w:r>
        <w:rPr>
          <w:rFonts w:ascii="Times New Roman" w:cs="Times New Roman" w:eastAsia="Times New Roman" w:hAnsi="Times New Roman"/>
          <w:sz w:val="17"/>
          <w:szCs w:val="17"/>
          <w:u w:val="single" w:color="auto"/>
          <w:color w:val="auto"/>
        </w:rPr>
        <w:t>Restricted Stock Units</w:t>
      </w:r>
      <w:r>
        <w:rPr>
          <w:rFonts w:ascii="Times New Roman" w:cs="Times New Roman" w:eastAsia="Times New Roman" w:hAnsi="Times New Roman"/>
          <w:sz w:val="17"/>
          <w:szCs w:val="17"/>
          <w:color w:val="auto"/>
        </w:rPr>
        <w:t>”) are Awards denominated in Shares that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settled, subject to the terms and conditions of the Restricted Stock Units, in an amount in cash, Shares, or both, based upon the Fair Market Value of a specified number of Shares.</w:t>
      </w:r>
    </w:p>
    <w:p>
      <w:pPr>
        <w:spacing w:after="0" w:line="199"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12" w:val="left"/>
        </w:tabs>
        <w:numPr>
          <w:ilvl w:val="0"/>
          <w:numId w:val="1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Terms and Conditions</w:t>
      </w:r>
      <w:r>
        <w:rPr>
          <w:rFonts w:ascii="Times New Roman" w:cs="Times New Roman" w:eastAsia="Times New Roman" w:hAnsi="Times New Roman"/>
          <w:sz w:val="17"/>
          <w:szCs w:val="17"/>
          <w:color w:val="auto"/>
        </w:rPr>
        <w:t>. Restricted Stock Units shall be subject to the following terms and conditions and such other terms and conditions as are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forth in the applicable Award Agreement (including the vesting or forfeiture provisions applicable upon a Termination of Employment):</w:t>
      </w:r>
    </w:p>
    <w:p>
      <w:pPr>
        <w:spacing w:after="0" w:line="171" w:lineRule="exact"/>
        <w:rPr>
          <w:rFonts w:ascii="Times New Roman" w:cs="Times New Roman" w:eastAsia="Times New Roman" w:hAnsi="Times New Roman"/>
          <w:sz w:val="17"/>
          <w:szCs w:val="17"/>
          <w:i w:val="1"/>
          <w:iCs w:val="1"/>
          <w:color w:val="auto"/>
        </w:rPr>
      </w:pPr>
    </w:p>
    <w:p>
      <w:pPr>
        <w:jc w:val="both"/>
        <w:ind w:left="1240" w:firstLine="5"/>
        <w:spacing w:after="0" w:line="283" w:lineRule="auto"/>
        <w:tabs>
          <w:tab w:leader="none" w:pos="1592"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(C) the grant or vesting of an Award of Restricted Stock Units upon the attainment of Performance Goals and the continued service of the applicable Participant. The conditions for grant or vesting and the other provisions of Restricted Stock Units (including without limitation any applicable Performance Goals) need not be the same with respect to each recipient. An Award of Restricted Stock Units shall be settled as and when the Restricted Stock Units vest, at a later time specified</w:t>
      </w:r>
    </w:p>
    <w:p>
      <w:pPr>
        <w:sectPr>
          <w:pgSz w:w="11900" w:h="16838" w:orient="portrait"/>
          <w:cols w:equalWidth="0" w:num="1">
            <w:col w:w="11240"/>
          </w:cols>
          <w:pgMar w:left="320" w:top="1143" w:right="339" w:bottom="1440" w:gutter="0" w:footer="0" w:header="0"/>
        </w:sectPr>
      </w:pPr>
    </w:p>
    <w:bookmarkStart w:id="155" w:name="page156"/>
    <w:bookmarkEnd w:id="155"/>
    <w:p>
      <w:pPr>
        <w:ind w:left="103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by the Committee in the applicable Award Agreement, or, if the Committee so permits, in accordance with an election of the Participant.</w:t>
      </w:r>
    </w:p>
    <w:p>
      <w:pPr>
        <w:spacing w:after="0" w:line="257" w:lineRule="exact"/>
        <w:rPr>
          <w:sz w:val="20"/>
          <w:szCs w:val="20"/>
          <w:color w:val="auto"/>
        </w:rPr>
      </w:pPr>
    </w:p>
    <w:p>
      <w:pPr>
        <w:ind w:left="1240" w:firstLine="5"/>
        <w:spacing w:after="0" w:line="307" w:lineRule="auto"/>
        <w:tabs>
          <w:tab w:leader="none" w:pos="1633"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Plan and the applicable Award Agreement, during the Restriction Period, if any, set by the Committee, the Participant shall not be permitted to sell, assign, transfer, pledge or otherwise encumber Restricted Stock Units.</w:t>
      </w:r>
    </w:p>
    <w:p>
      <w:pPr>
        <w:spacing w:after="0" w:line="185" w:lineRule="exact"/>
        <w:rPr>
          <w:rFonts w:ascii="Times New Roman" w:cs="Times New Roman" w:eastAsia="Times New Roman" w:hAnsi="Times New Roman"/>
          <w:sz w:val="17"/>
          <w:szCs w:val="17"/>
          <w:color w:val="auto"/>
        </w:rPr>
      </w:pPr>
    </w:p>
    <w:p>
      <w:pPr>
        <w:jc w:val="both"/>
        <w:ind w:left="1240" w:firstLine="5"/>
        <w:spacing w:after="0" w:line="288" w:lineRule="auto"/>
        <w:tabs>
          <w:tab w:leader="none" w:pos="170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 Agreement for Restricted Stock Units shall specify whether, to what extent and on what terms and conditions the applicable Participant shall be entitled to receive payments of cash, Common Stock or other property corresponding to the dividends payable on the Common Stock (subject to Section 15(e) below).</w:t>
      </w:r>
    </w:p>
    <w:p>
      <w:pPr>
        <w:spacing w:after="0" w:line="199" w:lineRule="exact"/>
        <w:rPr>
          <w:rFonts w:ascii="Times New Roman" w:cs="Times New Roman" w:eastAsia="Times New Roman" w:hAnsi="Times New Roman"/>
          <w:sz w:val="17"/>
          <w:szCs w:val="17"/>
          <w:color w:val="auto"/>
        </w:rPr>
      </w:pPr>
    </w:p>
    <w:p>
      <w:pPr>
        <w:jc w:val="both"/>
        <w:ind w:firstLine="624"/>
        <w:spacing w:after="0" w:line="281" w:lineRule="auto"/>
        <w:tabs>
          <w:tab w:leader="none" w:pos="1000"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Rights of a Shareholder</w:t>
      </w:r>
      <w:r>
        <w:rPr>
          <w:rFonts w:ascii="Times New Roman" w:cs="Times New Roman" w:eastAsia="Times New Roman" w:hAnsi="Times New Roman"/>
          <w:sz w:val="17"/>
          <w:szCs w:val="17"/>
          <w:color w:val="auto"/>
        </w:rPr>
        <w:t>. A Participant to whom Restricted Stock Units are awarded shall have no rights as a shareholder with respect to the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represented by the Restricted Stock Units unless and until Shares are actually delivered to the participant in settlement thereof. Unless otherwise determined by the Committee and subject to Section 15(e),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 Notwithstanding the immediately preceding sentence, if an adjustment to an Award of Restricted Stock Units is made pursuant to Section 3(d) as a result of any dividend or distribution, no increase to such Award (by means of deemed reinvestment in additional Restricted Stock Units) shall be made under this Section 7(c) as a result of the same dividend or distribution.</w:t>
      </w:r>
    </w:p>
    <w:p>
      <w:pPr>
        <w:spacing w:after="0" w:line="195"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20" w:val="left"/>
        </w:tabs>
        <w:numPr>
          <w:ilvl w:val="0"/>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Unless otherwise determined by the Committee or provided in the applicable Award Agreement, upon a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of Employment, his or her Restricted Stock Units shall be treated as set forth below:</w:t>
      </w:r>
    </w:p>
    <w:p>
      <w:pPr>
        <w:spacing w:after="0" w:line="182" w:lineRule="exact"/>
        <w:rPr>
          <w:rFonts w:ascii="Times New Roman" w:cs="Times New Roman" w:eastAsia="Times New Roman" w:hAnsi="Times New Roman"/>
          <w:sz w:val="17"/>
          <w:szCs w:val="17"/>
          <w:i w:val="1"/>
          <w:iCs w:val="1"/>
          <w:color w:val="auto"/>
        </w:rPr>
      </w:pPr>
    </w:p>
    <w:p>
      <w:pPr>
        <w:jc w:val="both"/>
        <w:ind w:left="1240" w:firstLine="5"/>
        <w:spacing w:after="0" w:line="288" w:lineRule="auto"/>
        <w:tabs>
          <w:tab w:leader="none" w:pos="1622" w:val="left"/>
        </w:tabs>
        <w:numPr>
          <w:ilvl w:val="1"/>
          <w:numId w:val="1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by Reason of Death or Disability</w:t>
      </w:r>
      <w:r>
        <w:rPr>
          <w:rFonts w:ascii="Times New Roman" w:cs="Times New Roman" w:eastAsia="Times New Roman" w:hAnsi="Times New Roman"/>
          <w:sz w:val="17"/>
          <w:szCs w:val="17"/>
          <w:color w:val="auto"/>
        </w:rPr>
        <w:t>. If a Participant incurs a Termination of Employment by reason of death or Disability,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including any Performance Goals, applicable to any Restricted Stock Units shall lapse (with respect to Performance Goals, be deemed earned in full based on the applicable target level), and such Restricted Stock Units shall become fully vested and settled to the full extent of the original grant.</w:t>
      </w:r>
    </w:p>
    <w:p>
      <w:pPr>
        <w:spacing w:after="0" w:line="187" w:lineRule="exact"/>
        <w:rPr>
          <w:rFonts w:ascii="Times New Roman" w:cs="Times New Roman" w:eastAsia="Times New Roman" w:hAnsi="Times New Roman"/>
          <w:sz w:val="17"/>
          <w:szCs w:val="17"/>
          <w:i w:val="1"/>
          <w:iCs w:val="1"/>
          <w:color w:val="auto"/>
        </w:rPr>
      </w:pPr>
    </w:p>
    <w:p>
      <w:pPr>
        <w:ind w:left="1240" w:firstLine="5"/>
        <w:spacing w:after="0" w:line="309" w:lineRule="auto"/>
        <w:tabs>
          <w:tab w:leader="none" w:pos="1623"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If a Participant incurs a Termination of Employment for any reason other than death or Disability during the Restriction Period or before the applicable Performance Goals are satisfied, all unvested Restricted Stock Units shall be forfeited by the Participant.</w:t>
      </w:r>
    </w:p>
    <w:p>
      <w:pPr>
        <w:spacing w:after="0" w:line="18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8.</w:t>
        <w:tab/>
        <w:t>Performance Units</w:t>
      </w:r>
    </w:p>
    <w:p>
      <w:pPr>
        <w:spacing w:after="0" w:line="259" w:lineRule="exact"/>
        <w:rPr>
          <w:sz w:val="20"/>
          <w:szCs w:val="20"/>
          <w:color w:val="auto"/>
        </w:rPr>
      </w:pPr>
    </w:p>
    <w:p>
      <w:pPr>
        <w:jc w:val="both"/>
        <w:ind w:firstLine="1242"/>
        <w:spacing w:after="0" w:line="283" w:lineRule="auto"/>
        <w:rPr>
          <w:sz w:val="20"/>
          <w:szCs w:val="20"/>
          <w:color w:val="auto"/>
        </w:rPr>
      </w:pPr>
      <w:r>
        <w:rPr>
          <w:rFonts w:ascii="Times New Roman" w:cs="Times New Roman" w:eastAsia="Times New Roman" w:hAnsi="Times New Roman"/>
          <w:sz w:val="17"/>
          <w:szCs w:val="17"/>
          <w:color w:val="auto"/>
        </w:rPr>
        <w:t>Performance Units may be issued hereunder to Eligible Individuals, for no cash consideration or for such minimum consideration as may be required by applicable law, either alone or in addition to other Awards granted under this Plan. The Performance Goals to be achieved during any Performance Period and the length of the Performance Period shall be determined by the Committee upon the grant of each Performance Unit. The conditions for grant or vesting and the other provisions of Performance Units (including without limitation any applicable Performance Goals) need not be the same with respect to each recipient. Performance Units may be paid in cash, Shares, other property or any combination thereof, in the sole discretion of the Committee as set forth in the applicable Award Agreement.</w:t>
      </w:r>
    </w:p>
    <w:p>
      <w:pPr>
        <w:spacing w:after="0" w:line="19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Section 9.</w:t>
        <w:tab/>
        <w:t>Other Stock-Based Awards</w:t>
      </w:r>
    </w:p>
    <w:p>
      <w:pPr>
        <w:spacing w:after="0" w:line="259"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17"/>
          <w:szCs w:val="17"/>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w:t>
      </w:r>
    </w:p>
    <w:p>
      <w:pPr>
        <w:sectPr>
          <w:pgSz w:w="11900" w:h="16838" w:orient="portrait"/>
          <w:cols w:equalWidth="0" w:num="1">
            <w:col w:w="11240"/>
          </w:cols>
          <w:pgMar w:left="320" w:top="339" w:right="339" w:bottom="1440" w:gutter="0" w:footer="0" w:header="0"/>
        </w:sectPr>
      </w:pPr>
    </w:p>
    <w:bookmarkStart w:id="156" w:name="page157"/>
    <w:bookmarkEnd w:id="156"/>
    <w:p>
      <w:pPr>
        <w:jc w:val="both"/>
        <w:spacing w:after="0" w:line="287" w:lineRule="auto"/>
        <w:rPr>
          <w:sz w:val="20"/>
          <w:szCs w:val="20"/>
          <w:color w:val="auto"/>
        </w:rPr>
      </w:pPr>
      <w:r>
        <w:rPr>
          <w:rFonts w:ascii="Times New Roman" w:cs="Times New Roman" w:eastAsia="Times New Roman" w:hAnsi="Times New Roman"/>
          <w:sz w:val="17"/>
          <w:szCs w:val="17"/>
          <w:color w:val="auto"/>
        </w:rPr>
        <w:t>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10.</w:t>
      </w:r>
      <w:r>
        <w:rPr>
          <w:sz w:val="20"/>
          <w:szCs w:val="20"/>
          <w:color w:val="auto"/>
        </w:rPr>
        <w:tab/>
      </w:r>
      <w:r>
        <w:rPr>
          <w:rFonts w:ascii="Times New Roman" w:cs="Times New Roman" w:eastAsia="Times New Roman" w:hAnsi="Times New Roman"/>
          <w:sz w:val="16"/>
          <w:szCs w:val="16"/>
          <w:b w:val="1"/>
          <w:bCs w:val="1"/>
          <w:color w:val="auto"/>
        </w:rPr>
        <w:t>Cash-Based Awards</w:t>
      </w:r>
    </w:p>
    <w:p>
      <w:pPr>
        <w:spacing w:after="0" w:line="259"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17"/>
          <w:szCs w:val="17"/>
          <w:color w:val="auto"/>
        </w:rPr>
        <w:t>The Committee may grant Awards to Eligible Individuals that are denominated and payable in cash in such amounts and subject to such terms and conditions consistent with the terms of this Plan as the Committee shall determine. With respect to a Cash-Based Award subject to Performance Goals, the Performance Goals to be achieved during any performance period and the length of the performance period shall be determined by the Committee upon the grant of such Cash-Based Award, or (b) the grant or vesting of Cash-Based Awards upon the attainment of Performance Goals or (c) the grant or vesting of a Cash-Based Awards upon the attainment of Performance Goals and the continued service of the applicable Participant.</w:t>
      </w:r>
    </w:p>
    <w:p>
      <w:pPr>
        <w:spacing w:after="0" w:line="1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Section 11.</w:t>
        <w:tab/>
        <w:t>Change-in-Control Provisions</w:t>
      </w:r>
    </w:p>
    <w:p>
      <w:pPr>
        <w:spacing w:after="0" w:line="257" w:lineRule="exact"/>
        <w:rPr>
          <w:sz w:val="20"/>
          <w:szCs w:val="20"/>
          <w:color w:val="auto"/>
        </w:rPr>
      </w:pPr>
    </w:p>
    <w:p>
      <w:pPr>
        <w:ind w:firstLine="624"/>
        <w:spacing w:after="0" w:line="325" w:lineRule="auto"/>
        <w:tabs>
          <w:tab w:leader="none" w:pos="1046" w:val="left"/>
        </w:tabs>
        <w:numPr>
          <w:ilvl w:val="1"/>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The provisions of this Section 11 shall, subject to Section 3(d), apply notwithstanding any other provision of this Plan to the contrary,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to the extent the Committee specifically provides otherwise in an Award Agreement.</w:t>
      </w:r>
    </w:p>
    <w:p>
      <w:pPr>
        <w:spacing w:after="0" w:line="156" w:lineRule="exact"/>
        <w:rPr>
          <w:rFonts w:ascii="Times New Roman" w:cs="Times New Roman" w:eastAsia="Times New Roman" w:hAnsi="Times New Roman"/>
          <w:sz w:val="17"/>
          <w:szCs w:val="17"/>
          <w:i w:val="1"/>
          <w:iCs w:val="1"/>
          <w:color w:val="auto"/>
        </w:rPr>
      </w:pPr>
    </w:p>
    <w:p>
      <w:pPr>
        <w:jc w:val="both"/>
        <w:ind w:firstLine="624"/>
        <w:spacing w:after="0" w:line="276" w:lineRule="auto"/>
        <w:tabs>
          <w:tab w:leader="none" w:pos="1033" w:val="left"/>
        </w:tabs>
        <w:numPr>
          <w:ilvl w:val="1"/>
          <w:numId w:val="1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Impact of Change in Control</w:t>
      </w:r>
      <w:r>
        <w:rPr>
          <w:rFonts w:ascii="Times New Roman" w:cs="Times New Roman" w:eastAsia="Times New Roman" w:hAnsi="Times New Roman"/>
          <w:sz w:val="17"/>
          <w:szCs w:val="17"/>
          <w:color w:val="auto"/>
        </w:rPr>
        <w:t>. Upon the occurrence of a Change in Control, unless otherwise provided in the applicable Award Agreement: (i)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then-outstanding Stock Options and Stock Appreciation Rights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11(c) (any award meeting the requirements of Section 11(c), a “</w:t>
      </w:r>
      <w:r>
        <w:rPr>
          <w:rFonts w:ascii="Times New Roman" w:cs="Times New Roman" w:eastAsia="Times New Roman" w:hAnsi="Times New Roman"/>
          <w:sz w:val="17"/>
          <w:szCs w:val="17"/>
          <w:u w:val="single" w:color="auto"/>
          <w:color w:val="auto"/>
        </w:rPr>
        <w:t>Replacement Award</w:t>
      </w:r>
      <w:r>
        <w:rPr>
          <w:rFonts w:ascii="Times New Roman" w:cs="Times New Roman" w:eastAsia="Times New Roman" w:hAnsi="Times New Roman"/>
          <w:sz w:val="17"/>
          <w:szCs w:val="17"/>
          <w:color w:val="auto"/>
        </w:rPr>
        <w:t>”) is provided to the Participant pursuant to Section 3(d) to replace such Award (any award intended to be replaced by a Replacement Award, a “</w:t>
      </w:r>
      <w:r>
        <w:rPr>
          <w:rFonts w:ascii="Times New Roman" w:cs="Times New Roman" w:eastAsia="Times New Roman" w:hAnsi="Times New Roman"/>
          <w:sz w:val="17"/>
          <w:szCs w:val="17"/>
          <w:u w:val="single" w:color="auto"/>
          <w:color w:val="auto"/>
        </w:rPr>
        <w:t>Replaced Award</w:t>
      </w:r>
      <w:r>
        <w:rPr>
          <w:rFonts w:ascii="Times New Roman" w:cs="Times New Roman" w:eastAsia="Times New Roman" w:hAnsi="Times New Roman"/>
          <w:sz w:val="17"/>
          <w:szCs w:val="17"/>
          <w:color w:val="auto"/>
        </w:rPr>
        <w:t>”),and</w:t>
      </w:r>
    </w:p>
    <w:p>
      <w:pPr>
        <w:spacing w:after="0" w:line="3" w:lineRule="exact"/>
        <w:rPr>
          <w:rFonts w:ascii="Times New Roman" w:cs="Times New Roman" w:eastAsia="Times New Roman" w:hAnsi="Times New Roman"/>
          <w:sz w:val="17"/>
          <w:szCs w:val="17"/>
          <w:i w:val="1"/>
          <w:iCs w:val="1"/>
          <w:color w:val="auto"/>
        </w:rPr>
      </w:pPr>
    </w:p>
    <w:p>
      <w:pPr>
        <w:jc w:val="both"/>
        <w:ind w:firstLine="3"/>
        <w:spacing w:after="0" w:line="283" w:lineRule="auto"/>
        <w:tabs>
          <w:tab w:leader="none" w:pos="25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90" w:lineRule="exact"/>
        <w:rPr>
          <w:rFonts w:ascii="Times New Roman" w:cs="Times New Roman" w:eastAsia="Times New Roman" w:hAnsi="Times New Roman"/>
          <w:sz w:val="17"/>
          <w:szCs w:val="17"/>
          <w:color w:val="auto"/>
        </w:rPr>
      </w:pPr>
    </w:p>
    <w:p>
      <w:pPr>
        <w:jc w:val="both"/>
        <w:ind w:firstLine="624"/>
        <w:spacing w:after="0" w:line="280" w:lineRule="auto"/>
        <w:tabs>
          <w:tab w:leader="none" w:pos="1005" w:val="left"/>
        </w:tabs>
        <w:numPr>
          <w:ilvl w:val="1"/>
          <w:numId w:val="1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Replacement Awards</w:t>
      </w:r>
      <w:r>
        <w:rPr>
          <w:rFonts w:ascii="Times New Roman" w:cs="Times New Roman" w:eastAsia="Times New Roman" w:hAnsi="Times New Roman"/>
          <w:sz w:val="17"/>
          <w:szCs w:val="17"/>
          <w:color w:val="auto"/>
        </w:rPr>
        <w:t>. An Award shall meet the conditions of this Section 11(c) (and hence qualify as a Replacement Award) if: (i) it is of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type as the Replaced Award; (ii) it has a value equal to the value of the Replaced Award as of the date of the Change in Control, as determined by the Committee in its sole discretion consistent with Section 3(d);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The determination whether the conditions of this Section 11(c) are satisfied shall be made by the Committee, as constituted immediately before the Change in Control, in its sole discretion.</w:t>
      </w:r>
    </w:p>
    <w:p>
      <w:pPr>
        <w:spacing w:after="0" w:line="198" w:lineRule="exact"/>
        <w:rPr>
          <w:rFonts w:ascii="Times New Roman" w:cs="Times New Roman" w:eastAsia="Times New Roman" w:hAnsi="Times New Roman"/>
          <w:sz w:val="17"/>
          <w:szCs w:val="17"/>
          <w:i w:val="1"/>
          <w:iCs w:val="1"/>
          <w:color w:val="auto"/>
        </w:rPr>
      </w:pPr>
    </w:p>
    <w:p>
      <w:pPr>
        <w:jc w:val="both"/>
        <w:ind w:firstLine="624"/>
        <w:spacing w:after="0" w:line="287" w:lineRule="auto"/>
        <w:tabs>
          <w:tab w:leader="none" w:pos="1038" w:val="left"/>
        </w:tabs>
        <w:numPr>
          <w:ilvl w:val="1"/>
          <w:numId w:val="1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 of Employment</w:t>
      </w:r>
      <w:r>
        <w:rPr>
          <w:rFonts w:ascii="Times New Roman" w:cs="Times New Roman" w:eastAsia="Times New Roman" w:hAnsi="Times New Roman"/>
          <w:sz w:val="17"/>
          <w:szCs w:val="17"/>
          <w:color w:val="auto"/>
        </w:rPr>
        <w:t>. Notwithstanding any other provision of this Plan to the contrary and unless otherwise determined by the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set forth in the applicable Award Agreement (or other severance, change in control or employment agreement), upon a Termination of Employment of a Participant by the Company other than for Cause within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w:t>
      </w:r>
    </w:p>
    <w:p>
      <w:pPr>
        <w:sectPr>
          <w:pgSz w:w="11900" w:h="16838" w:orient="portrait"/>
          <w:cols w:equalWidth="0" w:num="1">
            <w:col w:w="11240"/>
          </w:cols>
          <w:pgMar w:left="320" w:top="114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Employment may thereafter be exercised until the expiration of the stated full Term of such Stock Option or Stock Appreciation Right.</w:t>
      </w:r>
    </w:p>
    <w:p>
      <w:pPr>
        <w:spacing w:after="0" w:line="191" w:lineRule="exact"/>
        <w:rPr>
          <w:sz w:val="20"/>
          <w:szCs w:val="20"/>
          <w:color w:val="auto"/>
        </w:rPr>
      </w:pPr>
    </w:p>
    <w:p>
      <w:pPr>
        <w:ind w:left="980" w:hanging="356"/>
        <w:spacing w:after="0"/>
        <w:tabs>
          <w:tab w:leader="none" w:pos="980" w:val="left"/>
        </w:tabs>
        <w:numPr>
          <w:ilvl w:val="0"/>
          <w:numId w:val="1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Definition of Change in Control</w:t>
      </w:r>
      <w:r>
        <w:rPr>
          <w:rFonts w:ascii="Times New Roman" w:cs="Times New Roman" w:eastAsia="Times New Roman" w:hAnsi="Times New Roman"/>
          <w:sz w:val="17"/>
          <w:szCs w:val="17"/>
          <w:color w:val="auto"/>
        </w:rPr>
        <w:t>. For purposes of this Plan, a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the happening of any of the following events:</w:t>
      </w:r>
    </w:p>
    <w:p>
      <w:pPr>
        <w:spacing w:after="0" w:line="272" w:lineRule="exact"/>
        <w:rPr>
          <w:sz w:val="20"/>
          <w:szCs w:val="20"/>
          <w:color w:val="auto"/>
        </w:rPr>
      </w:pPr>
    </w:p>
    <w:p>
      <w:pPr>
        <w:jc w:val="both"/>
        <w:ind w:left="620" w:firstLine="4"/>
        <w:spacing w:after="0" w:line="279" w:lineRule="auto"/>
        <w:tabs>
          <w:tab w:leader="none" w:pos="94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by any individual, entity or group (within the meaning of Section 13(d)(3) or 14(d)(2) of the Exchange Act) (a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of beneficial ownership (within the meaning of Rule 13d-3 promulgated under the Exchange Act) of 30% or more of either (1) the then outstanding shares of common stock of the Company (the “</w:t>
      </w:r>
      <w:r>
        <w:rPr>
          <w:rFonts w:ascii="Times New Roman" w:cs="Times New Roman" w:eastAsia="Times New Roman" w:hAnsi="Times New Roman"/>
          <w:sz w:val="17"/>
          <w:szCs w:val="17"/>
          <w:u w:val="single" w:color="auto"/>
          <w:color w:val="auto"/>
        </w:rPr>
        <w:t>Outstanding Company Common Stock</w:t>
      </w:r>
      <w:r>
        <w:rPr>
          <w:rFonts w:ascii="Times New Roman" w:cs="Times New Roman" w:eastAsia="Times New Roman" w:hAnsi="Times New Roman"/>
          <w:sz w:val="17"/>
          <w:szCs w:val="17"/>
          <w:color w:val="auto"/>
        </w:rPr>
        <w:t>”) or (2) the combined voting power of the then outstanding voting securities of the Company entitled to vote generally in the election of directors (the “</w:t>
      </w:r>
      <w:r>
        <w:rPr>
          <w:rFonts w:ascii="Times New Roman" w:cs="Times New Roman" w:eastAsia="Times New Roman" w:hAnsi="Times New Roman"/>
          <w:sz w:val="17"/>
          <w:szCs w:val="17"/>
          <w:u w:val="single" w:color="auto"/>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entity controlled by the Company, or (4) any acquisition by any entity pursuant to a transaction which complies with clauses (1), (2) and (3) of subsection (iii) of this Section 11(e); or</w:t>
      </w:r>
    </w:p>
    <w:p>
      <w:pPr>
        <w:spacing w:after="0" w:line="199" w:lineRule="exact"/>
        <w:rPr>
          <w:rFonts w:ascii="Times New Roman" w:cs="Times New Roman" w:eastAsia="Times New Roman" w:hAnsi="Times New Roman"/>
          <w:sz w:val="17"/>
          <w:szCs w:val="17"/>
          <w:color w:val="auto"/>
        </w:rPr>
      </w:pPr>
    </w:p>
    <w:p>
      <w:pPr>
        <w:jc w:val="both"/>
        <w:ind w:left="620" w:firstLine="4"/>
        <w:spacing w:after="0" w:line="282" w:lineRule="auto"/>
        <w:tabs>
          <w:tab w:leader="none" w:pos="104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such that the individuals who, as of the Effective Date, constitute the Board (the “</w:t>
      </w:r>
      <w:r>
        <w:rPr>
          <w:rFonts w:ascii="Times New Roman" w:cs="Times New Roman" w:eastAsia="Times New Roman" w:hAnsi="Times New Roman"/>
          <w:sz w:val="17"/>
          <w:szCs w:val="17"/>
          <w:u w:val="single" w:color="auto"/>
          <w:color w:val="auto"/>
        </w:rPr>
        <w:t>Incumbent Board</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for purposes of this Section 11(e),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93" w:lineRule="exact"/>
        <w:rPr>
          <w:rFonts w:ascii="Times New Roman" w:cs="Times New Roman" w:eastAsia="Times New Roman" w:hAnsi="Times New Roman"/>
          <w:sz w:val="17"/>
          <w:szCs w:val="17"/>
          <w:color w:val="auto"/>
        </w:rPr>
      </w:pPr>
    </w:p>
    <w:p>
      <w:pPr>
        <w:jc w:val="both"/>
        <w:ind w:left="620" w:firstLine="4"/>
        <w:spacing w:after="0" w:line="277" w:lineRule="auto"/>
        <w:tabs>
          <w:tab w:leader="none" w:pos="107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 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w:t>
      </w:r>
    </w:p>
    <w:p>
      <w:pPr>
        <w:sectPr>
          <w:pgSz w:w="11900" w:h="16838" w:orient="portrait"/>
          <w:cols w:equalWidth="0" w:num="1">
            <w:col w:w="11240"/>
          </w:cols>
          <w:pgMar w:left="320" w:top="339" w:right="339" w:bottom="1440" w:gutter="0" w:footer="0" w:header="0"/>
        </w:sectPr>
      </w:pPr>
    </w:p>
    <w:bookmarkStart w:id="158" w:name="page159"/>
    <w:bookmarkEnd w:id="158"/>
    <w:p>
      <w:pPr>
        <w:ind w:left="620"/>
        <w:spacing w:after="0" w:line="307" w:lineRule="auto"/>
        <w:rPr>
          <w:sz w:val="20"/>
          <w:szCs w:val="20"/>
          <w:color w:val="auto"/>
        </w:rPr>
      </w:pPr>
      <w:r>
        <w:rPr>
          <w:rFonts w:ascii="Times New Roman" w:cs="Times New Roman" w:eastAsia="Times New Roman" w:hAnsi="Times New Roman"/>
          <w:sz w:val="17"/>
          <w:szCs w:val="17"/>
          <w:color w:val="auto"/>
        </w:rPr>
        <w:t>Business Combination were members of the Incumbent Board at the time of the execution of the initial agreement, or of the action of the Board, providing for such Business Combination; or</w:t>
      </w:r>
    </w:p>
    <w:p>
      <w:pPr>
        <w:spacing w:after="0" w:line="17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7"/>
          <w:szCs w:val="17"/>
          <w:color w:val="auto"/>
        </w:rPr>
        <w:t>(iv)</w:t>
        <w:tab/>
        <w:t>The approval by the shareholders of the Company of a complete liquidation or dissolution of the Company.</w:t>
      </w:r>
    </w:p>
    <w:p>
      <w:pPr>
        <w:spacing w:after="0" w:line="2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12.</w:t>
        <w:tab/>
        <w:t>Section 16(b); Section 409A</w:t>
      </w:r>
    </w:p>
    <w:p>
      <w:pPr>
        <w:spacing w:after="0" w:line="259" w:lineRule="exact"/>
        <w:rPr>
          <w:sz w:val="20"/>
          <w:szCs w:val="20"/>
          <w:color w:val="auto"/>
        </w:rPr>
      </w:pPr>
    </w:p>
    <w:p>
      <w:pPr>
        <w:jc w:val="both"/>
        <w:ind w:firstLine="624"/>
        <w:spacing w:after="0" w:line="283" w:lineRule="auto"/>
        <w:tabs>
          <w:tab w:leader="none" w:pos="98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Plan are intended to ensure that no transaction under this Plan is subject to (and all such transactions will be exempt from) the short-swing recovery rules of Section 16(b) of the Exchange Act (“</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05" w:lineRule="exact"/>
        <w:rPr>
          <w:rFonts w:ascii="Times New Roman" w:cs="Times New Roman" w:eastAsia="Times New Roman" w:hAnsi="Times New Roman"/>
          <w:sz w:val="17"/>
          <w:szCs w:val="17"/>
          <w:color w:val="auto"/>
        </w:rPr>
      </w:pPr>
    </w:p>
    <w:p>
      <w:pPr>
        <w:jc w:val="both"/>
        <w:ind w:firstLine="624"/>
        <w:spacing w:after="0" w:line="278" w:lineRule="auto"/>
        <w:tabs>
          <w:tab w:leader="none" w:pos="104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Section 13.</w:t>
        <w:tab/>
        <w:t>Term, Amendment and Termination</w:t>
      </w:r>
    </w:p>
    <w:p>
      <w:pPr>
        <w:spacing w:after="0" w:line="270" w:lineRule="exact"/>
        <w:rPr>
          <w:sz w:val="20"/>
          <w:szCs w:val="20"/>
          <w:color w:val="auto"/>
        </w:rPr>
      </w:pPr>
    </w:p>
    <w:p>
      <w:pPr>
        <w:jc w:val="both"/>
        <w:ind w:firstLine="624"/>
        <w:spacing w:after="0" w:line="288" w:lineRule="auto"/>
        <w:tabs>
          <w:tab w:leader="none" w:pos="1046" w:val="left"/>
        </w:tabs>
        <w:numPr>
          <w:ilvl w:val="0"/>
          <w:numId w:val="1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Effectiveness</w:t>
      </w:r>
      <w:r>
        <w:rPr>
          <w:rFonts w:ascii="Times New Roman" w:cs="Times New Roman" w:eastAsia="Times New Roman" w:hAnsi="Times New Roman"/>
          <w:sz w:val="17"/>
          <w:szCs w:val="17"/>
          <w:color w:val="auto"/>
        </w:rPr>
        <w:t>. The Plan was approved by the Board on March 21, 2014, and became effective upon approval by the Company’s shareholders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8, 2014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The first amendment and restatement of the Plan was approved by the Board on February 9, 2017 and became effective upon approval by the Company’s shareholders on May 11, 2017. This second amendment and restatement of the Plan was approved by the Board on March 16, 2022, and it will be effective as of the date of such approval by the Company’s shareholders (the “</w:t>
      </w:r>
      <w:r>
        <w:rPr>
          <w:rFonts w:ascii="Times New Roman" w:cs="Times New Roman" w:eastAsia="Times New Roman" w:hAnsi="Times New Roman"/>
          <w:sz w:val="17"/>
          <w:szCs w:val="17"/>
          <w:u w:val="single" w:color="auto"/>
          <w:color w:val="auto"/>
        </w:rPr>
        <w:t>Restatement Effective Date</w:t>
      </w:r>
      <w:r>
        <w:rPr>
          <w:rFonts w:ascii="Times New Roman" w:cs="Times New Roman" w:eastAsia="Times New Roman" w:hAnsi="Times New Roman"/>
          <w:sz w:val="17"/>
          <w:szCs w:val="17"/>
          <w:color w:val="auto"/>
        </w:rPr>
        <w:t>”).</w:t>
      </w:r>
    </w:p>
    <w:p>
      <w:pPr>
        <w:spacing w:after="0" w:line="187" w:lineRule="exact"/>
        <w:rPr>
          <w:rFonts w:ascii="Times New Roman" w:cs="Times New Roman" w:eastAsia="Times New Roman" w:hAnsi="Times New Roman"/>
          <w:sz w:val="17"/>
          <w:szCs w:val="17"/>
          <w:i w:val="1"/>
          <w:iCs w:val="1"/>
          <w:color w:val="auto"/>
        </w:rPr>
      </w:pPr>
    </w:p>
    <w:p>
      <w:pPr>
        <w:ind w:firstLine="624"/>
        <w:spacing w:after="0" w:line="309" w:lineRule="auto"/>
        <w:tabs>
          <w:tab w:leader="none" w:pos="1033" w:val="left"/>
        </w:tabs>
        <w:numPr>
          <w:ilvl w:val="0"/>
          <w:numId w:val="1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Plan will terminate on the tenth anniversary of the Restatement Effective Date. Awards outstanding as of such date shall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affected or impaired by the termination of this Plan.</w:t>
      </w:r>
    </w:p>
    <w:p>
      <w:pPr>
        <w:spacing w:after="0" w:line="182" w:lineRule="exact"/>
        <w:rPr>
          <w:rFonts w:ascii="Times New Roman" w:cs="Times New Roman" w:eastAsia="Times New Roman" w:hAnsi="Times New Roman"/>
          <w:sz w:val="17"/>
          <w:szCs w:val="17"/>
          <w:i w:val="1"/>
          <w:iCs w:val="1"/>
          <w:color w:val="auto"/>
        </w:rPr>
      </w:pPr>
    </w:p>
    <w:p>
      <w:pPr>
        <w:jc w:val="both"/>
        <w:ind w:firstLine="624"/>
        <w:spacing w:after="0" w:line="283" w:lineRule="auto"/>
        <w:tabs>
          <w:tab w:leader="none" w:pos="999" w:val="left"/>
        </w:tabs>
        <w:numPr>
          <w:ilvl w:val="0"/>
          <w:numId w:val="1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Amendment of Plan</w:t>
      </w:r>
      <w:r>
        <w:rPr>
          <w:rFonts w:ascii="Times New Roman" w:cs="Times New Roman" w:eastAsia="Times New Roman" w:hAnsi="Times New Roman"/>
          <w:sz w:val="17"/>
          <w:szCs w:val="17"/>
          <w:color w:val="auto"/>
        </w:rPr>
        <w:t>. The Board or the Committee may amend, alter, or discontinue this Plan, but no amendment, alteration or discontinuation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w:t>
      </w:r>
    </w:p>
    <w:p>
      <w:pPr>
        <w:spacing w:after="0" w:line="192"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43" w:val="left"/>
        </w:tabs>
        <w:numPr>
          <w:ilvl w:val="0"/>
          <w:numId w:val="1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Amendment of Awards</w:t>
      </w:r>
      <w:r>
        <w:rPr>
          <w:rFonts w:ascii="Times New Roman" w:cs="Times New Roman" w:eastAsia="Times New Roman" w:hAnsi="Times New Roman"/>
          <w:sz w:val="17"/>
          <w:szCs w:val="17"/>
          <w:color w:val="auto"/>
        </w:rPr>
        <w:t>. Subject to Section 5(d), the Committee may unilaterally amend the terms of any Award theretofore granted, but no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shall without the Participant’s consent materially impair the rights of any Participant with respect to an Award, except such an amendment made to cause this Plan or Award to comply with applicable law, Applicable Exchange listing standards or accounting rules.</w:t>
      </w:r>
    </w:p>
    <w:p>
      <w:pPr>
        <w:sectPr>
          <w:pgSz w:w="11900" w:h="16838" w:orient="portrait"/>
          <w:cols w:equalWidth="0" w:num="1">
            <w:col w:w="11240"/>
          </w:cols>
          <w:pgMar w:left="320" w:top="114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14.</w:t>
        <w:tab/>
        <w:t>Unfunded Status of Plan</w:t>
      </w:r>
    </w:p>
    <w:p>
      <w:pPr>
        <w:spacing w:after="0" w:line="25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unless the Committee otherwise determines, the existence of such trusts or other arrangements is consistent with the “unfunded” status of this Plan.</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Section 15.</w:t>
        <w:tab/>
        <w:t>General Provisions</w:t>
      </w:r>
    </w:p>
    <w:p>
      <w:pPr>
        <w:spacing w:after="0" w:line="257" w:lineRule="exact"/>
        <w:rPr>
          <w:sz w:val="20"/>
          <w:szCs w:val="20"/>
          <w:color w:val="auto"/>
        </w:rPr>
      </w:pPr>
    </w:p>
    <w:p>
      <w:pPr>
        <w:jc w:val="both"/>
        <w:ind w:firstLine="624"/>
        <w:spacing w:after="0" w:line="281" w:lineRule="auto"/>
        <w:tabs>
          <w:tab w:leader="none" w:pos="1038" w:val="left"/>
        </w:tabs>
        <w:numPr>
          <w:ilvl w:val="0"/>
          <w:numId w:val="1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Conditions for Issuance</w:t>
      </w:r>
      <w:r>
        <w:rPr>
          <w:rFonts w:ascii="Times New Roman" w:cs="Times New Roman" w:eastAsia="Times New Roman" w:hAnsi="Times New Roman"/>
          <w:sz w:val="17"/>
          <w:szCs w:val="17"/>
          <w:color w:val="auto"/>
        </w:rPr>
        <w:t>. The Committee may require each person purchasing or receiving Shares pursuant to an Award to represent to and agree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200" w:lineRule="exact"/>
        <w:rPr>
          <w:rFonts w:ascii="Times New Roman" w:cs="Times New Roman" w:eastAsia="Times New Roman" w:hAnsi="Times New Roman"/>
          <w:sz w:val="17"/>
          <w:szCs w:val="17"/>
          <w:i w:val="1"/>
          <w:iCs w:val="1"/>
          <w:color w:val="auto"/>
        </w:rPr>
      </w:pPr>
    </w:p>
    <w:p>
      <w:pPr>
        <w:spacing w:after="0" w:line="219" w:lineRule="exact"/>
        <w:rPr>
          <w:rFonts w:ascii="Times New Roman" w:cs="Times New Roman" w:eastAsia="Times New Roman" w:hAnsi="Times New Roman"/>
          <w:sz w:val="17"/>
          <w:szCs w:val="17"/>
          <w:i w:val="1"/>
          <w:iCs w:val="1"/>
          <w:color w:val="auto"/>
        </w:rPr>
      </w:pPr>
    </w:p>
    <w:p>
      <w:pPr>
        <w:ind w:firstLine="624"/>
        <w:spacing w:after="0" w:line="325" w:lineRule="auto"/>
        <w:tabs>
          <w:tab w:leader="none" w:pos="1043" w:val="left"/>
        </w:tabs>
        <w:numPr>
          <w:ilvl w:val="0"/>
          <w:numId w:val="1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Additional Compensation Arrangements</w:t>
      </w:r>
      <w:r>
        <w:rPr>
          <w:rFonts w:ascii="Times New Roman" w:cs="Times New Roman" w:eastAsia="Times New Roman" w:hAnsi="Times New Roman"/>
          <w:sz w:val="17"/>
          <w:szCs w:val="17"/>
          <w:color w:val="auto"/>
        </w:rPr>
        <w:t>. Nothing contained in this Plan shall prevent the Company or any Subsidiary or Affiliate from adopting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or additional compensation arrangements for its employees.</w:t>
      </w:r>
    </w:p>
    <w:p>
      <w:pPr>
        <w:spacing w:after="0" w:line="156" w:lineRule="exact"/>
        <w:rPr>
          <w:rFonts w:ascii="Times New Roman" w:cs="Times New Roman" w:eastAsia="Times New Roman" w:hAnsi="Times New Roman"/>
          <w:sz w:val="17"/>
          <w:szCs w:val="17"/>
          <w:i w:val="1"/>
          <w:iCs w:val="1"/>
          <w:color w:val="auto"/>
        </w:rPr>
      </w:pPr>
    </w:p>
    <w:p>
      <w:pPr>
        <w:jc w:val="both"/>
        <w:ind w:firstLine="624"/>
        <w:spacing w:after="0" w:line="297" w:lineRule="auto"/>
        <w:tabs>
          <w:tab w:leader="none" w:pos="1000" w:val="left"/>
        </w:tabs>
        <w:numPr>
          <w:ilvl w:val="0"/>
          <w:numId w:val="1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 Contract of Employment</w:t>
      </w:r>
      <w:r>
        <w:rPr>
          <w:rFonts w:ascii="Times New Roman" w:cs="Times New Roman" w:eastAsia="Times New Roman" w:hAnsi="Times New Roman"/>
          <w:sz w:val="17"/>
          <w:szCs w:val="17"/>
          <w:color w:val="auto"/>
        </w:rPr>
        <w:t>. The Plan shall not constitute a contract of employment, and adoption of this Plan shall not confer upon any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right to continued employment, nor shall it interfere in any way with the right of the Company or any Subsidiary or Affiliate to terminate the employment of any employee at any time.</w:t>
      </w:r>
    </w:p>
    <w:p>
      <w:pPr>
        <w:spacing w:after="0" w:line="179" w:lineRule="exact"/>
        <w:rPr>
          <w:rFonts w:ascii="Times New Roman" w:cs="Times New Roman" w:eastAsia="Times New Roman" w:hAnsi="Times New Roman"/>
          <w:sz w:val="17"/>
          <w:szCs w:val="17"/>
          <w:i w:val="1"/>
          <w:iCs w:val="1"/>
          <w:color w:val="auto"/>
        </w:rPr>
      </w:pPr>
    </w:p>
    <w:p>
      <w:pPr>
        <w:jc w:val="both"/>
        <w:ind w:firstLine="624"/>
        <w:spacing w:after="0" w:line="278" w:lineRule="auto"/>
        <w:tabs>
          <w:tab w:leader="none" w:pos="994" w:val="left"/>
        </w:tabs>
        <w:numPr>
          <w:ilvl w:val="0"/>
          <w:numId w:val="1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Required Taxes</w:t>
      </w:r>
      <w:r>
        <w:rPr>
          <w:rFonts w:ascii="Times New Roman" w:cs="Times New Roman" w:eastAsia="Times New Roman" w:hAnsi="Times New Roman"/>
          <w:sz w:val="17"/>
          <w:szCs w:val="17"/>
          <w:color w:val="auto"/>
        </w:rPr>
        <w:t>. No later than the date as of which an amount first becomes includible in the gross income of a Participant for federal, state, local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of up to the maximum amount permitted to be withheld for tax purposes, but in no event less than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212" w:lineRule="exact"/>
        <w:rPr>
          <w:rFonts w:ascii="Times New Roman" w:cs="Times New Roman" w:eastAsia="Times New Roman" w:hAnsi="Times New Roman"/>
          <w:sz w:val="17"/>
          <w:szCs w:val="17"/>
          <w:i w:val="1"/>
          <w:iCs w:val="1"/>
          <w:color w:val="auto"/>
        </w:rPr>
      </w:pPr>
    </w:p>
    <w:p>
      <w:pPr>
        <w:jc w:val="both"/>
        <w:ind w:firstLine="624"/>
        <w:spacing w:after="0" w:line="281" w:lineRule="auto"/>
        <w:tabs>
          <w:tab w:leader="none" w:pos="1088" w:val="left"/>
        </w:tabs>
        <w:numPr>
          <w:ilvl w:val="0"/>
          <w:numId w:val="1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Limitation on Dividend Reinvestment and Dividend Equivalents</w:t>
      </w:r>
      <w:r>
        <w:rPr>
          <w:rFonts w:ascii="Times New Roman" w:cs="Times New Roman" w:eastAsia="Times New Roman" w:hAnsi="Times New Roman"/>
          <w:sz w:val="17"/>
          <w:szCs w:val="17"/>
          <w:color w:val="auto"/>
        </w:rPr>
        <w:t>. Reinvestment of dividends in additional Restricted Stock at the time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15(e).</w:t>
      </w:r>
    </w:p>
    <w:p>
      <w:pPr>
        <w:sectPr>
          <w:pgSz w:w="11900" w:h="16838" w:orient="portrait"/>
          <w:cols w:equalWidth="0" w:num="1">
            <w:col w:w="11240"/>
          </w:cols>
          <w:pgMar w:left="320" w:top="339" w:right="339" w:bottom="1440" w:gutter="0" w:footer="0" w:header="0"/>
        </w:sectPr>
      </w:pPr>
    </w:p>
    <w:bookmarkStart w:id="160" w:name="page161"/>
    <w:bookmarkEnd w:id="160"/>
    <w:p>
      <w:pPr>
        <w:jc w:val="both"/>
        <w:ind w:left="-624" w:firstLine="624"/>
        <w:spacing w:after="0" w:line="289" w:lineRule="auto"/>
        <w:tabs>
          <w:tab w:leader="none" w:pos="332" w:val="left"/>
        </w:tabs>
        <w:numPr>
          <w:ilvl w:val="0"/>
          <w:numId w:val="1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Designation of Death Beneficiary</w:t>
      </w:r>
      <w:r>
        <w:rPr>
          <w:rFonts w:ascii="Times New Roman" w:cs="Times New Roman" w:eastAsia="Times New Roman" w:hAnsi="Times New Roman"/>
          <w:sz w:val="17"/>
          <w:szCs w:val="17"/>
          <w:color w:val="auto"/>
        </w:rPr>
        <w:t>. The Committee shall establish such procedures as it deems appropriate for a Participant to designate a beneficiary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whom any amounts payable in the event of such Participant’s death are to be paid or by whom any rights of such eligible Individual, after such Participant’s death, may be exercised.</w:t>
      </w:r>
    </w:p>
    <w:p>
      <w:pPr>
        <w:spacing w:after="0" w:line="199" w:lineRule="exact"/>
        <w:rPr>
          <w:rFonts w:ascii="Times New Roman" w:cs="Times New Roman" w:eastAsia="Times New Roman" w:hAnsi="Times New Roman"/>
          <w:sz w:val="17"/>
          <w:szCs w:val="17"/>
          <w:i w:val="1"/>
          <w:iCs w:val="1"/>
          <w:color w:val="auto"/>
        </w:rPr>
      </w:pPr>
    </w:p>
    <w:p>
      <w:pPr>
        <w:jc w:val="both"/>
        <w:ind w:left="-624" w:firstLine="624"/>
        <w:spacing w:after="0" w:line="288" w:lineRule="auto"/>
        <w:tabs>
          <w:tab w:leader="none" w:pos="380" w:val="left"/>
        </w:tabs>
        <w:numPr>
          <w:ilvl w:val="0"/>
          <w:numId w:val="1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Subsidiary Employees</w:t>
      </w:r>
      <w:r>
        <w:rPr>
          <w:rFonts w:ascii="Times New Roman" w:cs="Times New Roman" w:eastAsia="Times New Roman" w:hAnsi="Times New Roman"/>
          <w:sz w:val="17"/>
          <w:szCs w:val="17"/>
          <w:color w:val="auto"/>
        </w:rPr>
        <w:t>. In the case of a grant of an Award to any employee of a Subsidiary, the Company may, if the Committee so directs, issue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187" w:lineRule="exact"/>
        <w:rPr>
          <w:rFonts w:ascii="Times New Roman" w:cs="Times New Roman" w:eastAsia="Times New Roman" w:hAnsi="Times New Roman"/>
          <w:sz w:val="17"/>
          <w:szCs w:val="17"/>
          <w:i w:val="1"/>
          <w:iCs w:val="1"/>
          <w:color w:val="auto"/>
        </w:rPr>
      </w:pPr>
    </w:p>
    <w:p>
      <w:pPr>
        <w:jc w:val="both"/>
        <w:ind w:left="-624" w:firstLine="624"/>
        <w:spacing w:after="0" w:line="297" w:lineRule="auto"/>
        <w:tabs>
          <w:tab w:leader="none" w:pos="392" w:val="left"/>
        </w:tabs>
        <w:numPr>
          <w:ilvl w:val="0"/>
          <w:numId w:val="1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Governing Law and Interpretation</w:t>
      </w:r>
      <w:r>
        <w:rPr>
          <w:rFonts w:ascii="Times New Roman" w:cs="Times New Roman" w:eastAsia="Times New Roman" w:hAnsi="Times New Roman"/>
          <w:sz w:val="17"/>
          <w:szCs w:val="17"/>
          <w:color w:val="auto"/>
        </w:rPr>
        <w:t>. The Plan and all Awards made and actions taken thereunder shall be governed by and construed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laws of the State of Delaware, without reference to principles of conflict of laws. The captions of this Plan are not part of the provisions hereof and shall have no force or effect.</w:t>
      </w:r>
    </w:p>
    <w:p>
      <w:pPr>
        <w:spacing w:after="0" w:line="179" w:lineRule="exact"/>
        <w:rPr>
          <w:rFonts w:ascii="Times New Roman" w:cs="Times New Roman" w:eastAsia="Times New Roman" w:hAnsi="Times New Roman"/>
          <w:sz w:val="17"/>
          <w:szCs w:val="17"/>
          <w:i w:val="1"/>
          <w:iCs w:val="1"/>
          <w:color w:val="auto"/>
        </w:rPr>
      </w:pPr>
    </w:p>
    <w:p>
      <w:pPr>
        <w:ind w:left="-624" w:firstLine="624"/>
        <w:spacing w:after="0" w:line="309" w:lineRule="auto"/>
        <w:tabs>
          <w:tab w:leader="none" w:pos="345" w:val="left"/>
        </w:tabs>
        <w:numPr>
          <w:ilvl w:val="0"/>
          <w:numId w:val="1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Non-Transferability</w:t>
      </w:r>
      <w:r>
        <w:rPr>
          <w:rFonts w:ascii="Times New Roman" w:cs="Times New Roman" w:eastAsia="Times New Roman" w:hAnsi="Times New Roman"/>
          <w:sz w:val="17"/>
          <w:szCs w:val="17"/>
          <w:color w:val="auto"/>
        </w:rPr>
        <w:t>. Except as otherwise provided in Sections 5(i), 6(c)(ii) and 7(b)(ii) or as determined by the Committee, Awards under this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not transferable except by will or by laws of descent and distribution.</w:t>
      </w:r>
    </w:p>
    <w:p>
      <w:pPr>
        <w:spacing w:after="0" w:line="182" w:lineRule="exact"/>
        <w:rPr>
          <w:rFonts w:ascii="Times New Roman" w:cs="Times New Roman" w:eastAsia="Times New Roman" w:hAnsi="Times New Roman"/>
          <w:sz w:val="17"/>
          <w:szCs w:val="17"/>
          <w:i w:val="1"/>
          <w:iCs w:val="1"/>
          <w:color w:val="auto"/>
        </w:rPr>
      </w:pPr>
    </w:p>
    <w:p>
      <w:pPr>
        <w:ind w:left="-624" w:firstLine="624"/>
        <w:spacing w:after="0" w:line="309" w:lineRule="auto"/>
        <w:tabs>
          <w:tab w:leader="none" w:pos="332" w:val="left"/>
        </w:tabs>
        <w:numPr>
          <w:ilvl w:val="0"/>
          <w:numId w:val="1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Recoupment Policy</w:t>
      </w:r>
      <w:r>
        <w:rPr>
          <w:rFonts w:ascii="Times New Roman" w:cs="Times New Roman" w:eastAsia="Times New Roman" w:hAnsi="Times New Roman"/>
          <w:sz w:val="17"/>
          <w:szCs w:val="17"/>
          <w:color w:val="auto"/>
        </w:rPr>
        <w:t>. Awards shall be subject to any incentive compensation recoupment policy established from time to time by the Company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events shall be subject to such forfeiture and recoupment provisions as may be required by applicable law or exchange rule or regulation.</w:t>
      </w:r>
    </w:p>
    <w:p>
      <w:pPr>
        <w:sectPr>
          <w:pgSz w:w="11900" w:h="16838" w:orient="portrait"/>
          <w:cols w:equalWidth="0" w:num="1">
            <w:col w:w="10616"/>
          </w:cols>
          <w:pgMar w:left="944" w:top="137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Guaranteed Securities by Subsidiary Guarantor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securities issued by the Company and guaranteed by NMI Services, Inc., a wholly-owned subsidiary of the Company (Subsidiary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129780" cy="6242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7129780" cy="624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7.375% senior secured notes due June 19, 2025.</w:t>
      </w:r>
    </w:p>
    <w:p>
      <w:pPr>
        <w:spacing w:after="0" w:line="63" w:lineRule="exact"/>
        <w:rPr>
          <w:sz w:val="20"/>
          <w:szCs w:val="20"/>
          <w:color w:val="auto"/>
        </w:rPr>
      </w:pPr>
    </w:p>
    <w:p>
      <w:pPr>
        <w:ind w:left="40" w:right="40"/>
        <w:spacing w:after="0" w:line="275" w:lineRule="auto"/>
        <w:rPr>
          <w:sz w:val="20"/>
          <w:szCs w:val="20"/>
          <w:color w:val="auto"/>
        </w:rPr>
      </w:pPr>
      <w:r>
        <w:rPr>
          <w:rFonts w:ascii="Times New Roman" w:cs="Times New Roman" w:eastAsia="Times New Roman" w:hAnsi="Times New Roman"/>
          <w:sz w:val="17"/>
          <w:szCs w:val="17"/>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1038" w:right="339" w:bottom="1440" w:gutter="0" w:footer="0" w:header="0"/>
        </w:sectPr>
      </w:pPr>
    </w:p>
    <w:bookmarkStart w:id="162" w:name="page163"/>
    <w:bookmarkEnd w:id="162"/>
    <w:p>
      <w:pPr>
        <w:ind w:left="684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 333-264951, 333-192540, 333-218050 and 333-198835) of NMI Holdings, Inc. of our reports dated February 14, 2023, relating to the consolidated financial statements and schedules, and the effectiveness of NMI Holdings, Inc.’s internal control over financial reporting, which appear in this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ectPr>
          <w:pgSz w:w="11900" w:h="16838" w:orient="portrait"/>
          <w:cols w:equalWidth="0" w:num="1">
            <w:col w:w="11240"/>
          </w:cols>
          <w:pgMar w:left="320" w:top="352"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 Pollitzer, certify that:</w:t>
      </w:r>
    </w:p>
    <w:p>
      <w:pPr>
        <w:spacing w:after="0" w:line="218" w:lineRule="exact"/>
        <w:rPr>
          <w:sz w:val="20"/>
          <w:szCs w:val="20"/>
          <w:color w:val="auto"/>
        </w:rPr>
      </w:pPr>
    </w:p>
    <w:p>
      <w:pPr>
        <w:ind w:left="180" w:hanging="177"/>
        <w:spacing w:after="0"/>
        <w:tabs>
          <w:tab w:leader="none" w:pos="1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NMI Holdings, Inc.;</w:t>
      </w:r>
    </w:p>
    <w:p>
      <w:pPr>
        <w:spacing w:after="0" w:line="218" w:lineRule="exact"/>
        <w:rPr>
          <w:rFonts w:ascii="Times New Roman" w:cs="Times New Roman" w:eastAsia="Times New Roman" w:hAnsi="Times New Roman"/>
          <w:sz w:val="17"/>
          <w:szCs w:val="17"/>
          <w:color w:val="auto"/>
        </w:rPr>
      </w:pPr>
    </w:p>
    <w:p>
      <w:pPr>
        <w:ind w:right="260" w:firstLine="3"/>
        <w:spacing w:after="0" w:line="259" w:lineRule="auto"/>
        <w:tabs>
          <w:tab w:leader="none" w:pos="17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7"/>
          <w:szCs w:val="17"/>
          <w:color w:val="auto"/>
        </w:rPr>
      </w:pPr>
    </w:p>
    <w:p>
      <w:pPr>
        <w:ind w:right="360" w:firstLine="3"/>
        <w:spacing w:after="0" w:line="259" w:lineRule="auto"/>
        <w:tabs>
          <w:tab w:leader="none" w:pos="17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right="20" w:firstLine="3"/>
        <w:spacing w:after="0" w:line="251" w:lineRule="auto"/>
        <w:tabs>
          <w:tab w:leader="none" w:pos="17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0" w:lineRule="exact"/>
        <w:rPr>
          <w:sz w:val="20"/>
          <w:szCs w:val="20"/>
          <w:color w:val="auto"/>
        </w:rPr>
      </w:pPr>
    </w:p>
    <w:p>
      <w:pPr>
        <w:jc w:val="both"/>
        <w:ind w:left="620" w:right="3280" w:firstLine="4"/>
        <w:spacing w:after="0" w:line="239" w:lineRule="auto"/>
        <w:tabs>
          <w:tab w:leader="none" w:pos="797"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820" w:hanging="196"/>
        <w:spacing w:after="0"/>
        <w:tabs>
          <w:tab w:leader="none" w:pos="82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w:t>
      </w:r>
    </w:p>
    <w:p>
      <w:pPr>
        <w:spacing w:after="0" w:line="5" w:lineRule="exact"/>
        <w:rPr>
          <w:rFonts w:ascii="Times New Roman" w:cs="Times New Roman" w:eastAsia="Times New Roman" w:hAnsi="Times New Roman"/>
          <w:sz w:val="17"/>
          <w:szCs w:val="17"/>
          <w:color w:val="auto"/>
        </w:rPr>
      </w:pPr>
    </w:p>
    <w:p>
      <w:pPr>
        <w:ind w:left="620" w:right="3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620" w:right="3180" w:firstLine="4"/>
        <w:spacing w:after="0" w:line="248" w:lineRule="auto"/>
        <w:tabs>
          <w:tab w:leader="none" w:pos="797"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20" w:right="3260" w:firstLine="4"/>
        <w:spacing w:after="0" w:line="239" w:lineRule="auto"/>
        <w:tabs>
          <w:tab w:leader="none" w:pos="807"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right="740" w:firstLine="3"/>
        <w:spacing w:after="0" w:line="259" w:lineRule="auto"/>
        <w:tabs>
          <w:tab w:leader="none" w:pos="172"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800" w:hanging="176"/>
        <w:spacing w:after="0"/>
        <w:tabs>
          <w:tab w:leader="none" w:pos="80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w:t>
      </w:r>
    </w:p>
    <w:p>
      <w:pPr>
        <w:spacing w:after="0" w:line="19" w:lineRule="exact"/>
        <w:rPr>
          <w:sz w:val="20"/>
          <w:szCs w:val="20"/>
          <w:color w:val="auto"/>
        </w:rPr>
      </w:pPr>
    </w:p>
    <w:p>
      <w:pPr>
        <w:ind w:left="620" w:right="3220"/>
        <w:spacing w:after="0" w:line="237" w:lineRule="auto"/>
        <w:rPr>
          <w:sz w:val="20"/>
          <w:szCs w:val="20"/>
          <w:color w:val="auto"/>
        </w:rPr>
      </w:pPr>
      <w:r>
        <w:rPr>
          <w:rFonts w:ascii="Times New Roman" w:cs="Times New Roman" w:eastAsia="Times New Roman" w:hAnsi="Times New Roman"/>
          <w:sz w:val="17"/>
          <w:szCs w:val="17"/>
          <w:color w:val="auto"/>
        </w:rPr>
        <w:t>financial reporting which are reasonably likely to adversely affect the registrant’s ability to record, process, summarize and report financial information; and</w:t>
      </w:r>
    </w:p>
    <w:p>
      <w:pPr>
        <w:spacing w:after="0" w:line="189" w:lineRule="exact"/>
        <w:rPr>
          <w:sz w:val="20"/>
          <w:szCs w:val="20"/>
          <w:color w:val="auto"/>
        </w:rPr>
      </w:pPr>
    </w:p>
    <w:p>
      <w:pPr>
        <w:ind w:left="620" w:right="3160" w:firstLine="4"/>
        <w:spacing w:after="0" w:line="275" w:lineRule="auto"/>
        <w:tabs>
          <w:tab w:leader="none" w:pos="807"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640"/>
        <w:spacing w:after="0"/>
        <w:tabs>
          <w:tab w:leader="none" w:pos="5260" w:val="left"/>
        </w:tabs>
        <w:rPr>
          <w:sz w:val="20"/>
          <w:szCs w:val="20"/>
          <w:color w:val="auto"/>
        </w:rPr>
      </w:pPr>
      <w:r>
        <w:rPr>
          <w:rFonts w:ascii="Times New Roman" w:cs="Times New Roman" w:eastAsia="Times New Roman" w:hAnsi="Times New Roman"/>
          <w:sz w:val="17"/>
          <w:szCs w:val="17"/>
          <w:color w:val="auto"/>
        </w:rPr>
        <w:t>February 14, 2023</w:t>
      </w:r>
      <w:r>
        <w:rPr>
          <w:sz w:val="20"/>
          <w:szCs w:val="20"/>
          <w:color w:val="auto"/>
        </w:rPr>
        <w:tab/>
      </w:r>
      <w:r>
        <w:rPr>
          <w:rFonts w:ascii="Times New Roman" w:cs="Times New Roman" w:eastAsia="Times New Roman" w:hAnsi="Times New Roman"/>
          <w:sz w:val="17"/>
          <w:szCs w:val="17"/>
          <w:u w:val="single" w:color="auto"/>
          <w:color w:val="auto"/>
        </w:rPr>
        <w:t>/s/ Adam S. Pollitzer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352"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Ravi Mallela, certify that:</w:t>
      </w:r>
    </w:p>
    <w:p>
      <w:pPr>
        <w:spacing w:after="0" w:line="218" w:lineRule="exact"/>
        <w:rPr>
          <w:sz w:val="20"/>
          <w:szCs w:val="20"/>
          <w:color w:val="auto"/>
        </w:rPr>
      </w:pPr>
    </w:p>
    <w:p>
      <w:pPr>
        <w:ind w:left="180" w:hanging="177"/>
        <w:spacing w:after="0"/>
        <w:tabs>
          <w:tab w:leader="none" w:pos="1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NMI Holdings, Inc.;</w:t>
      </w:r>
    </w:p>
    <w:p>
      <w:pPr>
        <w:spacing w:after="0" w:line="218" w:lineRule="exact"/>
        <w:rPr>
          <w:rFonts w:ascii="Times New Roman" w:cs="Times New Roman" w:eastAsia="Times New Roman" w:hAnsi="Times New Roman"/>
          <w:sz w:val="17"/>
          <w:szCs w:val="17"/>
          <w:color w:val="auto"/>
        </w:rPr>
      </w:pPr>
    </w:p>
    <w:p>
      <w:pPr>
        <w:ind w:right="260" w:firstLine="3"/>
        <w:spacing w:after="0" w:line="259" w:lineRule="auto"/>
        <w:tabs>
          <w:tab w:leader="none" w:pos="17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7"/>
          <w:szCs w:val="17"/>
          <w:color w:val="auto"/>
        </w:rPr>
      </w:pPr>
    </w:p>
    <w:p>
      <w:pPr>
        <w:ind w:right="360" w:firstLine="3"/>
        <w:spacing w:after="0" w:line="259" w:lineRule="auto"/>
        <w:tabs>
          <w:tab w:leader="none" w:pos="17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right="20" w:firstLine="3"/>
        <w:spacing w:after="0" w:line="259" w:lineRule="auto"/>
        <w:tabs>
          <w:tab w:leader="none" w:pos="17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86" w:lineRule="exact"/>
        <w:rPr>
          <w:sz w:val="20"/>
          <w:szCs w:val="20"/>
          <w:color w:val="auto"/>
        </w:rPr>
      </w:pPr>
    </w:p>
    <w:p>
      <w:pPr>
        <w:jc w:val="both"/>
        <w:ind w:left="620" w:right="3280" w:firstLine="4"/>
        <w:spacing w:after="0" w:line="236" w:lineRule="auto"/>
        <w:tabs>
          <w:tab w:leader="none" w:pos="797"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17"/>
          <w:szCs w:val="17"/>
          <w:color w:val="auto"/>
        </w:rPr>
      </w:pPr>
    </w:p>
    <w:p>
      <w:pPr>
        <w:ind w:left="820" w:hanging="196"/>
        <w:spacing w:after="0"/>
        <w:tabs>
          <w:tab w:leader="none" w:pos="82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w:t>
      </w:r>
    </w:p>
    <w:p>
      <w:pPr>
        <w:spacing w:after="0" w:line="5" w:lineRule="exact"/>
        <w:rPr>
          <w:rFonts w:ascii="Times New Roman" w:cs="Times New Roman" w:eastAsia="Times New Roman" w:hAnsi="Times New Roman"/>
          <w:sz w:val="17"/>
          <w:szCs w:val="17"/>
          <w:color w:val="auto"/>
        </w:rPr>
      </w:pPr>
    </w:p>
    <w:p>
      <w:pPr>
        <w:ind w:left="620" w:right="3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620" w:right="3180" w:firstLine="4"/>
        <w:spacing w:after="0"/>
        <w:tabs>
          <w:tab w:leader="none" w:pos="797"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7"/>
          <w:szCs w:val="17"/>
          <w:color w:val="auto"/>
        </w:rPr>
      </w:pPr>
    </w:p>
    <w:p>
      <w:pPr>
        <w:ind w:left="620" w:right="3260" w:firstLine="4"/>
        <w:spacing w:after="0" w:line="236" w:lineRule="auto"/>
        <w:tabs>
          <w:tab w:leader="none" w:pos="807"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17"/>
          <w:szCs w:val="17"/>
          <w:color w:val="auto"/>
        </w:rPr>
      </w:pPr>
    </w:p>
    <w:p>
      <w:pPr>
        <w:ind w:right="740" w:firstLine="3"/>
        <w:spacing w:after="0" w:line="259" w:lineRule="auto"/>
        <w:tabs>
          <w:tab w:leader="none" w:pos="17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800" w:hanging="176"/>
        <w:spacing w:after="0"/>
        <w:tabs>
          <w:tab w:leader="none" w:pos="80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w:t>
      </w:r>
    </w:p>
    <w:p>
      <w:pPr>
        <w:spacing w:after="0" w:line="6" w:lineRule="exact"/>
        <w:rPr>
          <w:sz w:val="20"/>
          <w:szCs w:val="20"/>
          <w:color w:val="auto"/>
        </w:rPr>
      </w:pPr>
    </w:p>
    <w:p>
      <w:pPr>
        <w:ind w:left="620" w:right="3220"/>
        <w:spacing w:after="0" w:line="250" w:lineRule="auto"/>
        <w:rPr>
          <w:sz w:val="20"/>
          <w:szCs w:val="20"/>
          <w:color w:val="auto"/>
        </w:rPr>
      </w:pPr>
      <w:r>
        <w:rPr>
          <w:rFonts w:ascii="Times New Roman" w:cs="Times New Roman" w:eastAsia="Times New Roman" w:hAnsi="Times New Roman"/>
          <w:sz w:val="17"/>
          <w:szCs w:val="17"/>
          <w:color w:val="auto"/>
        </w:rPr>
        <w:t>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620" w:right="3160" w:firstLine="4"/>
        <w:spacing w:after="0" w:line="259" w:lineRule="auto"/>
        <w:tabs>
          <w:tab w:leader="none" w:pos="807"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4" w:lineRule="exact"/>
        <w:rPr>
          <w:sz w:val="20"/>
          <w:szCs w:val="20"/>
          <w:color w:val="auto"/>
        </w:rPr>
      </w:pPr>
    </w:p>
    <w:p>
      <w:pPr>
        <w:ind w:left="5280" w:right="4860" w:hanging="4630"/>
        <w:spacing w:after="0" w:line="301" w:lineRule="auto"/>
        <w:tabs>
          <w:tab w:leader="none" w:pos="5260" w:val="left"/>
        </w:tabs>
        <w:rPr>
          <w:sz w:val="20"/>
          <w:szCs w:val="20"/>
          <w:color w:val="auto"/>
        </w:rPr>
      </w:pPr>
      <w:r>
        <w:rPr>
          <w:rFonts w:ascii="Times New Roman" w:cs="Times New Roman" w:eastAsia="Times New Roman" w:hAnsi="Times New Roman"/>
          <w:sz w:val="17"/>
          <w:szCs w:val="17"/>
          <w:color w:val="auto"/>
        </w:rPr>
        <w:t>February 14, 2023</w:t>
      </w:r>
      <w:r>
        <w:rPr>
          <w:sz w:val="20"/>
          <w:szCs w:val="20"/>
          <w:color w:val="auto"/>
        </w:rPr>
        <w:tab/>
      </w:r>
      <w:r>
        <w:rPr>
          <w:rFonts w:ascii="Times New Roman" w:cs="Times New Roman" w:eastAsia="Times New Roman" w:hAnsi="Times New Roman"/>
          <w:sz w:val="17"/>
          <w:szCs w:val="17"/>
          <w:u w:val="single" w:color="auto"/>
          <w:color w:val="auto"/>
        </w:rPr>
        <w:t xml:space="preserve">/s/ Ravi Mallela </w:t>
      </w:r>
      <w:r>
        <w:rPr>
          <w:rFonts w:ascii="Times New Roman" w:cs="Times New Roman" w:eastAsia="Times New Roman" w:hAnsi="Times New Roman"/>
          <w:sz w:val="17"/>
          <w:szCs w:val="17"/>
          <w:color w:val="auto"/>
        </w:rPr>
        <w:t>Ravi Mallela</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352"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In connection with the Annual Report of NMI Holdings, Inc. (the “Company”) on Form 10-K for the year ended December 31,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83" w:lineRule="exact"/>
        <w:rPr>
          <w:sz w:val="20"/>
          <w:szCs w:val="20"/>
          <w:color w:val="auto"/>
        </w:rPr>
      </w:pPr>
    </w:p>
    <w:p>
      <w:pPr>
        <w:ind w:left="620" w:right="3360" w:firstLine="4"/>
        <w:spacing w:after="0" w:line="259" w:lineRule="auto"/>
        <w:tabs>
          <w:tab w:leader="none" w:pos="864"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3" w:lineRule="exact"/>
        <w:rPr>
          <w:rFonts w:ascii="Times New Roman" w:cs="Times New Roman" w:eastAsia="Times New Roman" w:hAnsi="Times New Roman"/>
          <w:sz w:val="17"/>
          <w:szCs w:val="17"/>
          <w:color w:val="auto"/>
        </w:rPr>
      </w:pPr>
    </w:p>
    <w:p>
      <w:pPr>
        <w:ind w:left="620" w:right="3280" w:firstLine="4"/>
        <w:spacing w:after="0" w:line="275" w:lineRule="auto"/>
        <w:tabs>
          <w:tab w:leader="none" w:pos="864"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4640" w:val="left"/>
        </w:tabs>
        <w:rPr>
          <w:sz w:val="20"/>
          <w:szCs w:val="20"/>
          <w:color w:val="auto"/>
        </w:rPr>
      </w:pPr>
      <w:r>
        <w:rPr>
          <w:rFonts w:ascii="Times New Roman" w:cs="Times New Roman" w:eastAsia="Times New Roman" w:hAnsi="Times New Roman"/>
          <w:sz w:val="17"/>
          <w:szCs w:val="17"/>
          <w:color w:val="auto"/>
        </w:rPr>
        <w:t>February 14, 2023</w:t>
      </w:r>
      <w:r>
        <w:rPr>
          <w:sz w:val="20"/>
          <w:szCs w:val="20"/>
          <w:color w:val="auto"/>
        </w:rPr>
        <w:tab/>
      </w:r>
      <w:r>
        <w:rPr>
          <w:rFonts w:ascii="Times New Roman" w:cs="Times New Roman" w:eastAsia="Times New Roman" w:hAnsi="Times New Roman"/>
          <w:sz w:val="17"/>
          <w:szCs w:val="17"/>
          <w:u w:val="single" w:color="auto"/>
          <w:color w:val="auto"/>
        </w:rPr>
        <w:t>/s/ Adam S. Pollitzer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right="5480" w:hanging="4630"/>
        <w:spacing w:after="0" w:line="301" w:lineRule="auto"/>
        <w:tabs>
          <w:tab w:leader="none" w:pos="4640" w:val="left"/>
        </w:tabs>
        <w:rPr>
          <w:sz w:val="20"/>
          <w:szCs w:val="20"/>
          <w:color w:val="auto"/>
        </w:rPr>
      </w:pPr>
      <w:r>
        <w:rPr>
          <w:rFonts w:ascii="Times New Roman" w:cs="Times New Roman" w:eastAsia="Times New Roman" w:hAnsi="Times New Roman"/>
          <w:sz w:val="17"/>
          <w:szCs w:val="17"/>
          <w:color w:val="auto"/>
        </w:rPr>
        <w:t>February 14, 2023</w:t>
      </w:r>
      <w:r>
        <w:rPr>
          <w:sz w:val="20"/>
          <w:szCs w:val="20"/>
          <w:color w:val="auto"/>
        </w:rPr>
        <w:tab/>
      </w:r>
      <w:r>
        <w:rPr>
          <w:rFonts w:ascii="Times New Roman" w:cs="Times New Roman" w:eastAsia="Times New Roman" w:hAnsi="Times New Roman"/>
          <w:sz w:val="17"/>
          <w:szCs w:val="17"/>
          <w:u w:val="single" w:color="auto"/>
          <w:color w:val="auto"/>
        </w:rPr>
        <w:t xml:space="preserve">/s/ Ravi Mallela </w:t>
      </w:r>
      <w:r>
        <w:rPr>
          <w:rFonts w:ascii="Times New Roman" w:cs="Times New Roman" w:eastAsia="Times New Roman" w:hAnsi="Times New Roman"/>
          <w:sz w:val="17"/>
          <w:szCs w:val="17"/>
          <w:color w:val="auto"/>
        </w:rPr>
        <w:t>Ravi Mallela</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35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1)"/>
      <w:numFmt w:val="decimal"/>
      <w:start w:val="1"/>
    </w:lvl>
  </w:abstractNum>
  <w:abstractNum w:abstractNumId="6">
    <w:nsid w:val="5DB70AE5"/>
    <w:multiLevelType w:val="hybridMultilevel"/>
    <w:lvl w:ilvl="0">
      <w:lvlJc w:val="left"/>
      <w:lvlText w:val="(%1)"/>
      <w:numFmt w:val="decimal"/>
      <w:start w:val="1"/>
    </w:lvl>
  </w:abstractNum>
  <w:abstractNum w:abstractNumId="7">
    <w:nsid w:val="100F8FCA"/>
    <w:multiLevelType w:val="hybridMultilevel"/>
    <w:lvl w:ilvl="0">
      <w:lvlJc w:val="left"/>
      <w:lvlText w:val="(%1)"/>
      <w:numFmt w:val="decimal"/>
      <w:start w:val="2"/>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1)"/>
      <w:numFmt w:val="lowerRoman"/>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1."/>
      <w:numFmt w:val="lowerLetter"/>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1)"/>
      <w:numFmt w:val="lowerRoman"/>
      <w:start w:val="3"/>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1)"/>
      <w:numFmt w:val="lowerRoman"/>
      <w:start w:val="2"/>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1)"/>
      <w:numFmt w:val="decimal"/>
      <w:start w:val="1"/>
    </w:lvl>
  </w:abstractNum>
  <w:abstractNum w:abstractNumId="38">
    <w:nsid w:val="100F59DC"/>
    <w:multiLevelType w:val="hybridMultilevel"/>
    <w:lvl w:ilvl="0">
      <w:lvlJc w:val="left"/>
      <w:lvlText w:val="(%1)"/>
      <w:numFmt w:val="decimal"/>
      <w:start w:val="6"/>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1)"/>
      <w:numFmt w:val="decimal"/>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1)"/>
      <w:numFmt w:val="decimal"/>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decimal"/>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1)"/>
      <w:numFmt w:val="decimal"/>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1)"/>
      <w:numFmt w:val="decimal"/>
      <w:start w:val="2"/>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2"/>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1"/>
    </w:lvl>
  </w:abstractNum>
  <w:abstractNum w:abstractNumId="66">
    <w:nsid w:val="5FB8011C"/>
    <w:multiLevelType w:val="hybridMultilevel"/>
    <w:lvl w:ilvl="0">
      <w:lvlJc w:val="left"/>
      <w:lvlText w:val="%1."/>
      <w:numFmt w:val="decimal"/>
      <w:start w:val="14"/>
    </w:lvl>
  </w:abstractNum>
  <w:abstractNum w:abstractNumId="67">
    <w:nsid w:val="6AA78F7F"/>
    <w:multiLevelType w:val="hybridMultilevel"/>
    <w:lvl w:ilvl="0">
      <w:lvlJc w:val="left"/>
      <w:lvlText w:val="(%1)"/>
      <w:numFmt w:val="decimal"/>
      <w:start w:val="1"/>
    </w:lvl>
  </w:abstractNum>
  <w:abstractNum w:abstractNumId="68">
    <w:nsid w:val="7672BD23"/>
    <w:multiLevelType w:val="hybridMultilevel"/>
    <w:lvl w:ilvl="0">
      <w:lvlJc w:val="left"/>
      <w:lvlText w:val="(%1)"/>
      <w:numFmt w:val="decimal"/>
      <w:start w:val="1"/>
    </w:lvl>
  </w:abstractNum>
  <w:abstractNum w:abstractNumId="69">
    <w:nsid w:val="6FC75AF8"/>
    <w:multiLevelType w:val="hybridMultilevel"/>
    <w:lvl w:ilvl="0">
      <w:lvlJc w:val="left"/>
      <w:lvlText w:val="(%1)"/>
      <w:numFmt w:val="decimal"/>
      <w:start w:val="1"/>
    </w:lvl>
  </w:abstractNum>
  <w:abstractNum w:abstractNumId="70">
    <w:nsid w:val="6A5F7029"/>
    <w:multiLevelType w:val="hybridMultilevel"/>
    <w:lvl w:ilvl="0">
      <w:lvlJc w:val="left"/>
      <w:lvlText w:val="%1."/>
      <w:numFmt w:val="decimal"/>
      <w:start w:val="1"/>
    </w:lvl>
  </w:abstractNum>
  <w:abstractNum w:abstractNumId="71">
    <w:nsid w:val="7D5E18F8"/>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1)"/>
      <w:numFmt w:val="decimal"/>
      <w:start w:val="1"/>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Letter"/>
      <w:start w:val="10"/>
    </w:lvl>
  </w:abstractNum>
  <w:abstractNum w:abstractNumId="78">
    <w:nsid w:val="6A3DD3E8"/>
    <w:multiLevelType w:val="hybridMultilevel"/>
    <w:lvl w:ilvl="0">
      <w:lvlJc w:val="left"/>
      <w:lvlText w:val="(%1)"/>
      <w:numFmt w:val="lowerLetter"/>
      <w:start w:val="13"/>
    </w:lvl>
  </w:abstractNum>
  <w:abstractNum w:abstractNumId="79">
    <w:nsid w:val="71C91298"/>
    <w:multiLevelType w:val="hybridMultilevel"/>
    <w:lvl w:ilvl="0">
      <w:lvlJc w:val="left"/>
      <w:lvlText w:val="(%1)"/>
      <w:numFmt w:val="lowerLetter"/>
      <w:start w:val="22"/>
    </w:lvl>
  </w:abstractNum>
  <w:abstractNum w:abstractNumId="80">
    <w:nsid w:val="9DAF632"/>
    <w:multiLevelType w:val="hybridMultilevel"/>
    <w:lvl w:ilvl="0">
      <w:lvlJc w:val="left"/>
      <w:lvlText w:val="(%1)"/>
      <w:numFmt w:val="lowerLetter"/>
      <w:start w:val="25"/>
    </w:lvl>
  </w:abstractNum>
  <w:abstractNum w:abstractNumId="81">
    <w:nsid w:val="53299938"/>
    <w:multiLevelType w:val="hybridMultilevel"/>
    <w:lvl w:ilvl="0">
      <w:lvlJc w:val="left"/>
      <w:lvlText w:val="(%1)"/>
      <w:numFmt w:val="lowerLetter"/>
      <w:start w:val="26"/>
    </w:lvl>
  </w:abstractNum>
  <w:abstractNum w:abstractNumId="82">
    <w:nsid w:val="1FBFE8E0"/>
    <w:multiLevelType w:val="hybridMultilevel"/>
    <w:lvl w:ilvl="0">
      <w:lvlJc w:val="left"/>
      <w:lvlText w:val="(%1)"/>
      <w:numFmt w:val="lowerLetter"/>
      <w:start w:val="27"/>
    </w:lvl>
  </w:abstractNum>
  <w:abstractNum w:abstractNumId="83">
    <w:nsid w:val="5092CA79"/>
    <w:multiLevelType w:val="hybridMultilevel"/>
    <w:lvl w:ilvl="0">
      <w:lvlJc w:val="left"/>
      <w:lvlText w:val="(%1)"/>
      <w:numFmt w:val="lowerLetter"/>
      <w:start w:val="29"/>
    </w:lvl>
  </w:abstractNum>
  <w:abstractNum w:abstractNumId="84">
    <w:nsid w:val="1D545C4D"/>
    <w:multiLevelType w:val="hybridMultilevel"/>
    <w:lvl w:ilvl="0">
      <w:lvlJc w:val="left"/>
      <w:lvlText w:val="(%1)"/>
      <w:numFmt w:val="lowerLetter"/>
      <w:start w:val="39"/>
    </w:lvl>
  </w:abstractNum>
  <w:abstractNum w:abstractNumId="85">
    <w:nsid w:val="59ADEA3D"/>
    <w:multiLevelType w:val="hybridMultilevel"/>
    <w:lvl w:ilvl="0">
      <w:lvlJc w:val="left"/>
      <w:lvlText w:val="(%1)"/>
      <w:numFmt w:val="lowerLetter"/>
      <w:start w:val="50"/>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1"/>
    </w:lvl>
    <w:lvl w:ilvl="1">
      <w:lvlJc w:val="left"/>
      <w:lvlText w:val="(%2)"/>
      <w:numFmt w:val="lowerRoman"/>
      <w:start w:val="1"/>
    </w:lvl>
  </w:abstractNum>
  <w:abstractNum w:abstractNumId="88">
    <w:nsid w:val="1D9F6E5F"/>
    <w:multiLevelType w:val="hybridMultilevel"/>
    <w:lvl w:ilvl="0">
      <w:lvlJc w:val="left"/>
      <w:lvlText w:val="(%1)"/>
      <w:numFmt w:val="lowerLetter"/>
      <w:start w:val="2"/>
    </w:lvl>
    <w:lvl w:ilvl="1">
      <w:lvlJc w:val="left"/>
      <w:lvlText w:val="(%2)"/>
      <w:numFmt w:val="lowerRoman"/>
      <w:start w:val="1"/>
    </w:lvl>
  </w:abstractNum>
  <w:abstractNum w:abstractNumId="89">
    <w:nsid w:val="97E1B4E"/>
    <w:multiLevelType w:val="hybridMultilevel"/>
    <w:lvl w:ilvl="0">
      <w:lvlJc w:val="left"/>
      <w:lvlText w:val="%1"/>
      <w:numFmt w:val="lowerLetter"/>
      <w:start w:val="1"/>
    </w:lvl>
    <w:lvl w:ilvl="1">
      <w:lvlJc w:val="left"/>
      <w:lvlText w:val="(%2)"/>
      <w:numFmt w:val="lowerLetter"/>
      <w:start w:val="35"/>
    </w:lvl>
  </w:abstractNum>
  <w:abstractNum w:abstractNumId="90">
    <w:nsid w:val="51088277"/>
    <w:multiLevelType w:val="hybridMultilevel"/>
    <w:lvl w:ilvl="0">
      <w:lvlJc w:val="left"/>
      <w:lvlText w:val="(%1)"/>
      <w:numFmt w:val="lowerLetter"/>
      <w:start w:val="3"/>
    </w:lvl>
    <w:lvl w:ilvl="1">
      <w:lvlJc w:val="left"/>
      <w:lvlText w:val="%2"/>
      <w:numFmt w:val="lowerLetter"/>
      <w:start w:val="1"/>
    </w:lvl>
  </w:abstractNum>
  <w:abstractNum w:abstractNumId="91">
    <w:nsid w:val="1CA0C5FA"/>
    <w:multiLevelType w:val="hybridMultilevel"/>
    <w:lvl w:ilvl="0">
      <w:lvlJc w:val="left"/>
      <w:lvlText w:val="(%1)"/>
      <w:numFmt w:val="lowerLetter"/>
      <w:start w:val="5"/>
    </w:lvl>
  </w:abstractNum>
  <w:abstractNum w:abstractNumId="92">
    <w:nsid w:val="53584BCB"/>
    <w:multiLevelType w:val="hybridMultilevel"/>
    <w:lvl w:ilvl="0">
      <w:lvlJc w:val="left"/>
      <w:lvlText w:val="(%1)"/>
      <w:numFmt w:val="lowerLetter"/>
      <w:start w:val="1"/>
    </w:lvl>
    <w:lvl w:ilvl="1">
      <w:lvlJc w:val="left"/>
      <w:lvlText w:val="(%2)"/>
      <w:numFmt w:val="lowerRoman"/>
      <w:start w:val="1"/>
    </w:lvl>
  </w:abstractNum>
  <w:abstractNum w:abstractNumId="93">
    <w:nsid w:val="415E286C"/>
    <w:multiLevelType w:val="hybridMultilevel"/>
    <w:lvl w:ilvl="0">
      <w:lvlJc w:val="left"/>
      <w:lvlText w:val="(%1)"/>
      <w:numFmt w:val="lowerLetter"/>
      <w:start w:val="4"/>
    </w:lvl>
    <w:lvl w:ilvl="1">
      <w:lvlJc w:val="left"/>
      <w:lvlText w:val="(%2)"/>
      <w:numFmt w:val="lowerRoman"/>
      <w:start w:val="1"/>
    </w:lvl>
  </w:abstractNum>
  <w:abstractNum w:abstractNumId="94">
    <w:nsid w:val="7C58FD05"/>
    <w:multiLevelType w:val="hybridMultilevel"/>
    <w:lvl w:ilvl="0">
      <w:lvlJc w:val="left"/>
      <w:lvlText w:val="(%1)"/>
      <w:numFmt w:val="lowerRoman"/>
      <w:start w:val="4"/>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lowerLetter"/>
      <w:start w:val="2"/>
    </w:lvl>
  </w:abstractNum>
  <w:abstractNum w:abstractNumId="97">
    <w:nsid w:val="5C10FE21"/>
    <w:multiLevelType w:val="hybridMultilevel"/>
    <w:lvl w:ilvl="0">
      <w:lvlJc w:val="left"/>
      <w:lvlText w:val="(%1)"/>
      <w:numFmt w:val="lowerLetter"/>
      <w:start w:val="3"/>
    </w:lvl>
  </w:abstractNum>
  <w:abstractNum w:abstractNumId="98">
    <w:nsid w:val="E7FFA2B"/>
    <w:multiLevelType w:val="hybridMultilevel"/>
    <w:lvl w:ilvl="0">
      <w:lvlJc w:val="left"/>
      <w:lvlText w:val="(%1)"/>
      <w:numFmt w:val="lowerLetter"/>
      <w:start w:val="1"/>
    </w:lvl>
  </w:abstractNum>
  <w:abstractNum w:abstractNumId="99">
    <w:nsid w:val="3C5991AA"/>
    <w:multiLevelType w:val="hybridMultilevel"/>
    <w:lvl w:ilvl="0">
      <w:lvlJc w:val="left"/>
      <w:lvlText w:val="(%1)"/>
      <w:numFmt w:val="lowerLetter"/>
      <w:start w:val="3"/>
    </w:lvl>
  </w:abstractNum>
  <w:abstractNum w:abstractNumId="100">
    <w:nsid w:val="4BD8591A"/>
    <w:multiLevelType w:val="hybridMultilevel"/>
    <w:lvl w:ilvl="0">
      <w:lvlJc w:val="left"/>
      <w:lvlText w:val="(%1)"/>
      <w:numFmt w:val="lowerRoman"/>
      <w:start w:val="1"/>
    </w:lvl>
  </w:abstractNum>
  <w:abstractNum w:abstractNumId="101">
    <w:nsid w:val="78DF6A55"/>
    <w:multiLevelType w:val="hybridMultilevel"/>
    <w:lvl w:ilvl="0">
      <w:lvlJc w:val="left"/>
      <w:lvlText w:val="(%1)"/>
      <w:numFmt w:val="lowerLetter"/>
      <w:start w:val="8"/>
    </w:lvl>
  </w:abstractNum>
  <w:abstractNum w:abstractNumId="102">
    <w:nsid w:val="39B7AAA2"/>
    <w:multiLevelType w:val="hybridMultilevel"/>
    <w:lvl w:ilvl="0">
      <w:lvlJc w:val="left"/>
      <w:lvlText w:val="(%1)"/>
      <w:numFmt w:val="lowerLetter"/>
      <w:start w:val="9"/>
    </w:lvl>
    <w:lvl w:ilvl="1">
      <w:lvlJc w:val="left"/>
      <w:lvlText w:val="(%2)"/>
      <w:numFmt w:val="lowerRoman"/>
      <w:start w:val="1"/>
    </w:lvl>
  </w:abstractNum>
  <w:abstractNum w:abstractNumId="103">
    <w:nsid w:val="2B0D8DBE"/>
    <w:multiLevelType w:val="hybridMultilevel"/>
    <w:lvl w:ilvl="0">
      <w:lvlJc w:val="left"/>
      <w:lvlText w:val="(%1)"/>
      <w:numFmt w:val="lowerLetter"/>
      <w:start w:val="11"/>
    </w:lvl>
  </w:abstractNum>
  <w:abstractNum w:abstractNumId="104">
    <w:nsid w:val="6C80EC70"/>
    <w:multiLevelType w:val="hybridMultilevel"/>
    <w:lvl w:ilvl="0">
      <w:lvlJc w:val="left"/>
      <w:lvlText w:val="(%1)"/>
      <w:numFmt w:val="lowerLetter"/>
      <w:start w:val="1"/>
    </w:lvl>
  </w:abstractNum>
  <w:abstractNum w:abstractNumId="105">
    <w:nsid w:val="379E21B5"/>
    <w:multiLevelType w:val="hybridMultilevel"/>
    <w:lvl w:ilvl="0">
      <w:lvlJc w:val="left"/>
      <w:lvlText w:val="(%1)"/>
      <w:numFmt w:val="lowerLetter"/>
      <w:start w:val="3"/>
    </w:lvl>
    <w:lvl w:ilvl="1">
      <w:lvlJc w:val="left"/>
      <w:lvlText w:val="(%2)"/>
      <w:numFmt w:val="lowerLetter"/>
      <w:start w:val="9"/>
    </w:lvl>
  </w:abstractNum>
  <w:abstractNum w:abstractNumId="106">
    <w:nsid w:val="69E373"/>
    <w:multiLevelType w:val="hybridMultilevel"/>
    <w:lvl w:ilvl="0">
      <w:lvlJc w:val="left"/>
      <w:lvlText w:val="%1"/>
      <w:numFmt w:val="lowerLetter"/>
      <w:start w:val="1"/>
    </w:lvl>
    <w:lvl w:ilvl="1">
      <w:lvlJc w:val="left"/>
      <w:lvlText w:val="(%2)"/>
      <w:numFmt w:val="lowerLetter"/>
      <w:start w:val="35"/>
    </w:lvl>
  </w:abstractNum>
  <w:abstractNum w:abstractNumId="107">
    <w:nsid w:val="2C27173B"/>
    <w:multiLevelType w:val="hybridMultilevel"/>
    <w:lvl w:ilvl="0">
      <w:lvlJc w:val="left"/>
      <w:lvlText w:val="(%1)"/>
      <w:numFmt w:val="lowerLetter"/>
      <w:start w:val="4"/>
    </w:lvl>
    <w:lvl w:ilvl="1">
      <w:lvlJc w:val="left"/>
      <w:lvlText w:val="(%2)"/>
      <w:numFmt w:val="lowerLetter"/>
      <w:start w:val="9"/>
    </w:lvl>
  </w:abstractNum>
  <w:abstractNum w:abstractNumId="108">
    <w:nsid w:val="4C9B0904"/>
    <w:multiLevelType w:val="hybridMultilevel"/>
    <w:lvl w:ilvl="0">
      <w:lvlJc w:val="left"/>
      <w:lvlText w:val="(%1)"/>
      <w:numFmt w:val="lowerRoman"/>
      <w:start w:val="2"/>
    </w:lvl>
  </w:abstractNum>
  <w:abstractNum w:abstractNumId="109">
    <w:nsid w:val="6AA7B75C"/>
    <w:multiLevelType w:val="hybridMultilevel"/>
    <w:lvl w:ilvl="0">
      <w:lvlJc w:val="left"/>
      <w:lvlText w:val="(%1)"/>
      <w:numFmt w:val="lowerLetter"/>
      <w:start w:val="1"/>
    </w:lvl>
    <w:lvl w:ilvl="1">
      <w:lvlJc w:val="left"/>
      <w:lvlText w:val="(%2)"/>
      <w:numFmt w:val="lowerLetter"/>
      <w:start w:val="9"/>
    </w:lvl>
  </w:abstractNum>
  <w:abstractNum w:abstractNumId="110">
    <w:nsid w:val="1DF029D3"/>
    <w:multiLevelType w:val="hybridMultilevel"/>
    <w:lvl w:ilvl="0">
      <w:lvlJc w:val="left"/>
      <w:lvlText w:val="%1"/>
      <w:numFmt w:val="lowerLetter"/>
      <w:start w:val="1"/>
    </w:lvl>
    <w:lvl w:ilvl="1">
      <w:lvlJc w:val="left"/>
      <w:lvlText w:val="(%2)"/>
      <w:numFmt w:val="lowerRoman"/>
      <w:start w:val="2"/>
    </w:lvl>
  </w:abstractNum>
  <w:abstractNum w:abstractNumId="111">
    <w:nsid w:val="5675FF36"/>
    <w:multiLevelType w:val="hybridMultilevel"/>
    <w:lvl w:ilvl="0">
      <w:lvlJc w:val="left"/>
      <w:lvlText w:val="(%1)"/>
      <w:numFmt w:val="lowerLetter"/>
      <w:start w:val="3"/>
    </w:lvl>
    <w:lvl w:ilvl="1">
      <w:lvlJc w:val="left"/>
      <w:lvlText w:val="(%2)"/>
      <w:numFmt w:val="lowerRoman"/>
      <w:start w:val="1"/>
    </w:lvl>
  </w:abstractNum>
  <w:abstractNum w:abstractNumId="112">
    <w:nsid w:val="3DD15094"/>
    <w:multiLevelType w:val="hybridMultilevel"/>
    <w:lvl w:ilvl="0">
      <w:lvlJc w:val="left"/>
      <w:lvlText w:val="%1"/>
      <w:numFmt w:val="lowerLetter"/>
      <w:start w:val="1"/>
    </w:lvl>
    <w:lvl w:ilvl="1">
      <w:lvlJc w:val="left"/>
      <w:lvlText w:val="(%2)"/>
      <w:numFmt w:val="lowerLetter"/>
      <w:start w:val="1"/>
    </w:lvl>
  </w:abstractNum>
  <w:abstractNum w:abstractNumId="113">
    <w:nsid w:val="3DB012B3"/>
    <w:multiLevelType w:val="hybridMultilevel"/>
    <w:lvl w:ilvl="0">
      <w:lvlJc w:val="left"/>
      <w:lvlText w:val="(%1)"/>
      <w:numFmt w:val="lowerLetter"/>
      <w:start w:val="35"/>
    </w:lvl>
    <w:lvl w:ilvl="1">
      <w:lvlJc w:val="left"/>
      <w:lvlText w:val="(%2)"/>
      <w:numFmt w:val="lowerLetter"/>
      <w:start w:val="3"/>
    </w:lvl>
  </w:abstractNum>
  <w:abstractNum w:abstractNumId="114">
    <w:nsid w:val="2708C9AF"/>
    <w:multiLevelType w:val="hybridMultilevel"/>
    <w:lvl w:ilvl="0">
      <w:lvlJc w:val="left"/>
      <w:lvlText w:val="(%1)"/>
      <w:numFmt w:val="lowerLetter"/>
      <w:start w:val="5"/>
    </w:lvl>
  </w:abstractNum>
  <w:abstractNum w:abstractNumId="115">
    <w:nsid w:val="5B25ACE2"/>
    <w:multiLevelType w:val="hybridMultilevel"/>
    <w:lvl w:ilvl="0">
      <w:lvlJc w:val="left"/>
      <w:lvlText w:val="(%1)"/>
      <w:numFmt w:val="lowerRoman"/>
      <w:start w:val="1"/>
    </w:lvl>
  </w:abstractNum>
  <w:abstractNum w:abstractNumId="116">
    <w:nsid w:val="175DFCF0"/>
    <w:multiLevelType w:val="hybridMultilevel"/>
    <w:lvl w:ilvl="0">
      <w:lvlJc w:val="left"/>
      <w:lvlText w:val="(%1)"/>
      <w:numFmt w:val="lowerLetter"/>
      <w:start w:val="1"/>
    </w:lvl>
  </w:abstractNum>
  <w:abstractNum w:abstractNumId="117">
    <w:nsid w:val="4F97E3E4"/>
    <w:multiLevelType w:val="hybridMultilevel"/>
    <w:lvl w:ilvl="0">
      <w:lvlJc w:val="left"/>
      <w:lvlText w:val="(%1)"/>
      <w:numFmt w:val="lowerLetter"/>
      <w:start w:val="1"/>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6"/>
    </w:lvl>
  </w:abstractNum>
  <w:abstractNum w:abstractNumId="120">
    <w:nsid w:val="5915FF32"/>
    <w:multiLevelType w:val="hybridMultilevel"/>
    <w:lvl w:ilvl="0">
      <w:lvlJc w:val="left"/>
      <w:lvlText w:val="%1."/>
      <w:numFmt w:val="decimal"/>
      <w:start w:val="1"/>
    </w:lvl>
  </w:abstractNum>
  <w:abstractNum w:abstractNumId="121">
    <w:nsid w:val="56438D15"/>
    <w:multiLevelType w:val="hybridMultilevel"/>
    <w:lvl w:ilvl="0">
      <w:lvlJc w:val="left"/>
      <w:lvlText w:val="%1"/>
      <w:numFmt w:val="decimal"/>
      <w:start w:val="1"/>
    </w:lvl>
    <w:lvl w:ilvl="1">
      <w:lvlJc w:val="left"/>
      <w:lvlText w:val="%2)"/>
      <w:numFmt w:val="lowerLetter"/>
      <w:start w:val="1"/>
    </w:lvl>
  </w:abstractNum>
  <w:abstractNum w:abstractNumId="122">
    <w:nsid w:val="519E3149"/>
    <w:multiLevelType w:val="hybridMultilevel"/>
    <w:lvl w:ilvl="0">
      <w:lvlJc w:val="left"/>
      <w:lvlText w:val="%1."/>
      <w:numFmt w:val="decimal"/>
      <w:start w:val="5"/>
    </w:lvl>
    <w:lvl w:ilvl="1">
      <w:lvlJc w:val="left"/>
      <w:lvlText w:val="%2)"/>
      <w:numFmt w:val="lowerLetter"/>
      <w:start w:val="1"/>
    </w:lvl>
  </w:abstractNum>
  <w:abstractNum w:abstractNumId="123">
    <w:nsid w:val="2C6E4AFD"/>
    <w:multiLevelType w:val="hybridMultilevel"/>
    <w:lvl w:ilvl="0">
      <w:lvlJc w:val="left"/>
      <w:lvlText w:val="%1)"/>
      <w:numFmt w:val="lowerLetter"/>
      <w:start w:val="2"/>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5"/>
    </w:lvl>
    <w:lvl w:ilvl="1">
      <w:lvlJc w:val="left"/>
      <w:lvlText w:val="%2)"/>
      <w:numFmt w:val="lowerLetter"/>
      <w:start w:val="1"/>
    </w:lvl>
  </w:abstractNum>
  <w:abstractNum w:abstractNumId="127">
    <w:nsid w:val="5D888A08"/>
    <w:multiLevelType w:val="hybridMultilevel"/>
    <w:lvl w:ilvl="0">
      <w:lvlJc w:val="left"/>
      <w:lvlText w:val="%1)"/>
      <w:numFmt w:val="lowerLetter"/>
      <w:start w:val="2"/>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143" Type="http://schemas.openxmlformats.org/officeDocument/2006/relationships/hyperlink" Target="http://www.sec.gov/Archives/edgar/data/1547903/000154790313000020/a31secondamendedandrestate.htm" TargetMode="External"/><Relationship Id="rId144" Type="http://schemas.openxmlformats.org/officeDocument/2006/relationships/hyperlink" Target="https://www.sec.gov/Archives/edgar/data/1547903/000154790322000175/exhibit32-nmihx4tharbylaws.htm" TargetMode="External"/><Relationship Id="rId145" Type="http://schemas.openxmlformats.org/officeDocument/2006/relationships/hyperlink" Target="https://www.sec.gov/Archives/edgar/data/1547903/000119312520174237/d949308dex41.htm" TargetMode="External"/><Relationship Id="rId146" Type="http://schemas.openxmlformats.org/officeDocument/2006/relationships/hyperlink" Target="https://www.sec.gov/Archives/edgar/data/1547903/000154790321000055/exhibit48nmihdescriptionof.htm" TargetMode="External"/><Relationship Id="rId147" Type="http://schemas.openxmlformats.org/officeDocument/2006/relationships/hyperlink" Target="https://www.sec.gov/Archives/edgar/data/1547903/000154790313000020/a101nmiholdingsinc2012stoc.htm" TargetMode="External"/><Relationship Id="rId148" Type="http://schemas.openxmlformats.org/officeDocument/2006/relationships/hyperlink" Target="https://www.sec.gov/Archives/edgar/data/1547903/000154790313000020/a103formofnmiholdingsinc20.htm" TargetMode="External"/><Relationship Id="rId149" Type="http://schemas.openxmlformats.org/officeDocument/2006/relationships/hyperlink" Target="https://www.sec.gov/Archives/edgar/data/1547903/000154790313000020/a105formofnonqualifiedstoc.htm" TargetMode="External"/><Relationship Id="rId150" Type="http://schemas.openxmlformats.org/officeDocument/2006/relationships/hyperlink" Target="https://www.sec.gov/Archives/edgar/data/1547903/000154790313000020/a106formofnonqualifiedstoc.htm" TargetMode="External"/><Relationship Id="rId151" Type="http://schemas.openxmlformats.org/officeDocument/2006/relationships/hyperlink" Target="https://www.sec.gov/Archives/edgar/data/1547903/000154790313000020/a107formofnonqualifiedstoc.htm" TargetMode="External"/><Relationship Id="rId152" Type="http://schemas.openxmlformats.org/officeDocument/2006/relationships/hyperlink" Target="https://www.sec.gov/Archives/edgar/data/1547903/000154790317000032/exhibit108-2012stockincent.htm" TargetMode="External"/><Relationship Id="rId153" Type="http://schemas.openxmlformats.org/officeDocument/2006/relationships/hyperlink" Target="https://www.sec.gov/Archives/edgar/data/1547903/000154790317000032/exhibit109-2012stockincent.htm" TargetMode="External"/><Relationship Id="rId154" Type="http://schemas.openxmlformats.org/officeDocument/2006/relationships/hyperlink" Target="https://www.sec.gov/Archives/edgar/data/1547903/000154790319000064/exhibit1030.htm" TargetMode="External"/><Relationship Id="rId155" Type="http://schemas.openxmlformats.org/officeDocument/2006/relationships/hyperlink" Target="https://www.sec.gov/Archives/edgar/data/1547903/000154790319000064/exhibit1031.htm" TargetMode="External"/><Relationship Id="rId156" Type="http://schemas.openxmlformats.org/officeDocument/2006/relationships/hyperlink" Target="https://www.sec.gov/Archives/edgar/data/1547903/000154790319000064/exhibit1032.htm" TargetMode="External"/><Relationship Id="rId157" Type="http://schemas.openxmlformats.org/officeDocument/2006/relationships/hyperlink" Target="http://www.sec.gov/Archives/edgar/data/1547903/000154790317000100/ex1019rsuceo.htm" TargetMode="External"/><Relationship Id="rId158" Type="http://schemas.openxmlformats.org/officeDocument/2006/relationships/hyperlink" Target="http://www.sec.gov/Archives/edgar/data/1547903/000154790317000100/ex1020rsueo.htm" TargetMode="External"/><Relationship Id="rId163" Type="http://schemas.openxmlformats.org/officeDocument/2006/relationships/hyperlink" Target="http://www.sec.gov/Archives/edgar/data/1547903/000154790317000100/ex1021rsuee.htm" TargetMode="External"/><Relationship Id="rId164" Type="http://schemas.openxmlformats.org/officeDocument/2006/relationships/hyperlink" Target="http://www.sec.gov/Archives/edgar/data/1547903/000154790317000100/ex1022rsuindependentdirect.htm" TargetMode="External"/><Relationship Id="rId165" Type="http://schemas.openxmlformats.org/officeDocument/2006/relationships/hyperlink" Target="http://www.sec.gov/Archives/edgar/data/1547903/000154790317000100/ex1023nqsceo.htm" TargetMode="External"/><Relationship Id="rId166" Type="http://schemas.openxmlformats.org/officeDocument/2006/relationships/hyperlink" Target="http://www.sec.gov/Archives/edgar/data/1547903/000154790317000100/ex1024nqseoee.htm" TargetMode="External"/><Relationship Id="rId167" Type="http://schemas.openxmlformats.org/officeDocument/2006/relationships/hyperlink" Target="https://www.sec.gov/Archives/edgar/data/1547903/000154790317000032/exhibit1026-2014omnibusinc.htm" TargetMode="External"/><Relationship Id="rId168" Type="http://schemas.openxmlformats.org/officeDocument/2006/relationships/hyperlink" Target="https://www.sec.gov/Archives/edgar/data/1547903/000154790320000045/ex1038202010q.htm" TargetMode="External"/><Relationship Id="rId169" Type="http://schemas.openxmlformats.org/officeDocument/2006/relationships/hyperlink" Target="http://www.sec.gov/Archives/edgar/data/1547903/000154790319000064/exhibit1033.htm" TargetMode="External"/><Relationship Id="rId170" Type="http://schemas.openxmlformats.org/officeDocument/2006/relationships/hyperlink" Target="http://www.sec.gov/Archives/edgar/data/1547903/000154790319000064/exhibit1034.htm" TargetMode="External"/><Relationship Id="rId171" Type="http://schemas.openxmlformats.org/officeDocument/2006/relationships/hyperlink" Target="http://www.sec.gov/Archives/edgar/data/1547903/000154790319000064/exhibit1035.htm" TargetMode="External"/><Relationship Id="rId172" Type="http://schemas.openxmlformats.org/officeDocument/2006/relationships/hyperlink" Target="http://www.sec.gov/Archives/edgar/data/1547903/000154790314000146/exhibit101november252014.htm" TargetMode="External"/><Relationship Id="rId173" Type="http://schemas.openxmlformats.org/officeDocument/2006/relationships/hyperlink" Target="http://www.sec.gov/Archives/edgar/data/1547903/000154790316000185/ex101severancebenefitplan.htm" TargetMode="External"/><Relationship Id="rId174" Type="http://schemas.openxmlformats.org/officeDocument/2006/relationships/hyperlink" Target="https://www.sec.gov/Archives/edgar/data/1547903/000154790318000133/exhibit1030arcicsbp.htm" TargetMode="External"/><Relationship Id="rId175" Type="http://schemas.openxmlformats.org/officeDocument/2006/relationships/hyperlink" Target="http://www.sec.gov/Archives/edgar/data/1547903/000154790317000035/exhibit102.htm" TargetMode="External"/><Relationship Id="rId176" Type="http://schemas.openxmlformats.org/officeDocument/2006/relationships/hyperlink" Target="http://www.sec.gov/Archives/edgar/data/1547903/000154790316000230/exhibit1010leatherberrybil.htm" TargetMode="External"/><Relationship Id="rId177" Type="http://schemas.openxmlformats.org/officeDocument/2006/relationships/hyperlink" Target="http://www.sec.gov/Archives/edgar/data/1547903/000154790318000137/exhibit101shuster.htm" TargetMode="External"/><Relationship Id="rId178" Type="http://schemas.openxmlformats.org/officeDocument/2006/relationships/hyperlink" Target="https://www.sec.gov/Archives/edgar/data/0001547903/000154790321000153/exhibit101-nmihxapollitz.htm" TargetMode="External"/><Relationship Id="rId179" Type="http://schemas.openxmlformats.org/officeDocument/2006/relationships/hyperlink" Target="https://www.sec.gov/Archives/edgar/data/1547903/000154790321000188/rmallelaofferletter.htm" TargetMode="External"/><Relationship Id="rId180" Type="http://schemas.openxmlformats.org/officeDocument/2006/relationships/hyperlink" Target="http://www.sec.gov/Archives/edgar/data/1547903/000154790313000020/a1014commitmentletterforbu.htm" TargetMode="External"/><Relationship Id="rId181" Type="http://schemas.openxmlformats.org/officeDocument/2006/relationships/hyperlink" Target="https://www.sec.gov/Archives/edgar/data/1547903/000154790321000180/nmiholdingsinc-creditagree.htm" TargetMode="External"/><Relationship Id="rId182"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2023-02-15T05:25:07Z</dcterms:created>
  <dcterms:modified xsi:type="dcterms:W3CDTF">2023-02-15T05:25:07Z</dcterms:modified>
</cp:coreProperties>
</file>