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176" w:lineRule="exact"/>
        <w:rPr>
          <w:sz w:val="24"/>
          <w:szCs w:val="24"/>
          <w:color w:val="auto"/>
        </w:rPr>
      </w:pPr>
    </w:p>
    <w:p>
      <w:pPr>
        <w:ind w:left="88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1440" w:right="1320" w:hanging="392"/>
        <w:spacing w:after="0" w:line="294" w:lineRule="auto"/>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2019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p>
      <w:pPr>
        <w:ind w:left="1420" w:right="1320" w:hanging="379"/>
        <w:spacing w:after="0" w:line="340" w:lineRule="auto"/>
        <w:tabs>
          <w:tab w:leader="none" w:pos="1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001-36174</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-232410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20955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71"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jc w:val="right"/>
              <w:ind w:right="579"/>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4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220" w:type="dxa"/>
            <w:vAlign w:val="bottom"/>
          </w:tcPr>
          <w:p>
            <w:pPr>
              <w:jc w:val="center"/>
              <w:ind w:left="9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4740" w:type="dxa"/>
            <w:vAlign w:val="bottom"/>
          </w:tcPr>
          <w:p>
            <w:pPr>
              <w:ind w:left="440"/>
              <w:spacing w:after="0"/>
              <w:rPr>
                <w:sz w:val="20"/>
                <w:szCs w:val="20"/>
                <w:color w:val="auto"/>
              </w:rPr>
            </w:pPr>
            <w:r>
              <w:rPr>
                <w:rFonts w:ascii="Arial" w:cs="Arial" w:eastAsia="Arial" w:hAnsi="Arial"/>
                <w:sz w:val="18"/>
                <w:szCs w:val="18"/>
                <w:b w:val="1"/>
                <w:bCs w:val="1"/>
                <w:color w:val="auto"/>
              </w:rPr>
              <w:t>2100 Powell Street ,   Emeryville , CA</w:t>
            </w:r>
          </w:p>
        </w:tc>
        <w:tc>
          <w:tcPr>
            <w:tcW w:w="3220" w:type="dxa"/>
            <w:vAlign w:val="bottom"/>
          </w:tcPr>
          <w:p>
            <w:pPr>
              <w:jc w:val="right"/>
              <w:ind w:right="779"/>
              <w:spacing w:after="0"/>
              <w:rPr>
                <w:sz w:val="20"/>
                <w:szCs w:val="20"/>
                <w:color w:val="auto"/>
              </w:rPr>
            </w:pPr>
            <w:r>
              <w:rPr>
                <w:rFonts w:ascii="Arial" w:cs="Arial" w:eastAsia="Arial" w:hAnsi="Arial"/>
                <w:sz w:val="18"/>
                <w:szCs w:val="18"/>
                <w:b w:val="1"/>
                <w:bCs w:val="1"/>
                <w:color w:val="auto"/>
              </w:rPr>
              <w:t>94608</w:t>
            </w:r>
          </w:p>
        </w:tc>
      </w:tr>
      <w:tr>
        <w:trPr>
          <w:trHeight w:val="285"/>
        </w:trPr>
        <w:tc>
          <w:tcPr>
            <w:tcW w:w="4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20" w:type="dxa"/>
            <w:vAlign w:val="bottom"/>
          </w:tcPr>
          <w:p>
            <w:pPr>
              <w:jc w:val="center"/>
              <w:ind w:left="959"/>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(855) 530-6642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237"/>
        </w:trPr>
        <w:tc>
          <w:tcPr>
            <w:tcW w:w="4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NMIH</w:t>
            </w: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jc w:val="both"/>
        <w:ind w:right="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160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74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00" w:type="dxa"/>
            <w:vAlign w:val="bottom"/>
          </w:tcPr>
          <w:p>
            <w:pPr>
              <w:ind w:left="74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55"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November 4, 2019 was 67,980,992 shares.</w:t>
      </w:r>
    </w:p>
    <w:p>
      <w:pPr>
        <w:sectPr>
          <w:pgSz w:w="11900" w:h="16838" w:orient="portrait"/>
          <w:cols w:equalWidth="0" w:num="1">
            <w:col w:w="11440"/>
          </w:cols>
          <w:pgMar w:left="240" w:top="684"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4"/>
            <w:shd w:val="clear" w:color="auto" w:fill="CCEEFF"/>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9"/>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9"/>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w:t>
              </w:r>
            </w:hyperlink>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9"/>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87"/>
                <w:shd w:val="clear" w:color="auto" w:fill="CCEEFF"/>
              </w:rPr>
            </w:pPr>
            <w:hyperlink w:anchor="page48">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9"/>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Signatures</w:t>
              </w:r>
            </w:hyperlink>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891"/>
        </w:trPr>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440" w:type="dxa"/>
            <w:vAlign w:val="bottom"/>
            <w:tcBorders>
              <w:top w:val="single" w:sz="8" w:color="CCEEFF"/>
            </w:tcBorders>
            <w:gridSpan w:val="8"/>
          </w:tcPr>
          <w:p>
            <w:pPr>
              <w:ind w:left="4580"/>
              <w:spacing w:after="0"/>
              <w:rPr>
                <w:sz w:val="20"/>
                <w:szCs w:val="20"/>
                <w:color w:val="auto"/>
              </w:rPr>
            </w:pPr>
            <w:r>
              <w:rPr>
                <w:rFonts w:ascii="Arial" w:cs="Arial" w:eastAsia="Arial" w:hAnsi="Arial"/>
                <w:sz w:val="18"/>
                <w:szCs w:val="18"/>
                <w:color w:val="auto"/>
              </w:rPr>
              <w:t>2</w:t>
            </w:r>
          </w:p>
        </w:tc>
        <w:tc>
          <w:tcPr>
            <w:tcW w:w="37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actions of existing competitors, including other private mortgage insurers and government mortgage insurers like the Federal Housing Administration (FHA), the U.S. Department of Agriculture's Rural Housing Service (USDA) and the Veterans Administration (VA) (collectively, government MIs), and potential market entry by new competitors or consolidation of existing competitors;</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adoption of new or changes to existing laws and regulations that impact our business or financial condition directly or the mortgage insurance industry generally or their enforcement and implementation by regulators, including any action by the Consumer Financial Protection Bureau to address the planned expiration of the "QM Patch" under the Dodd-Frank Act Ability to Repay/Qualified Mortgage rule;</w:t>
      </w:r>
    </w:p>
    <w:p>
      <w:pPr>
        <w:spacing w:after="0" w:line="57"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7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year ended December 31, 2018 (2018 10-K), as subsequently updated in other reports we file from time to time with the U.S. Securities and Exchange Commission (SEC).</w:t>
      </w:r>
    </w:p>
    <w:p>
      <w:pPr>
        <w:spacing w:after="0" w:line="1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the "Company" in this document refer to NMI Holdings, Inc., a Delaware corporation, and its wholly owned subsidiaries on a consolidated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September 30, 2019 (Unaudited) and December 31, 2018</w:t>
            </w:r>
          </w:p>
        </w:tc>
        <w:tc>
          <w:tcPr>
            <w:tcW w:w="180" w:type="dxa"/>
            <w:vAlign w:val="bottom"/>
            <w:gridSpan w:val="2"/>
            <w:shd w:val="clear" w:color="auto" w:fill="CCEEFF"/>
          </w:tcPr>
          <w:p>
            <w:pPr>
              <w:jc w:val="right"/>
              <w:spacing w:after="0"/>
              <w:rPr>
                <w:rFonts w:ascii="Arial" w:cs="Arial" w:eastAsia="Arial" w:hAnsi="Arial"/>
                <w:sz w:val="18"/>
                <w:szCs w:val="18"/>
                <w:color w:val="0000EE"/>
                <w:shd w:val="clear" w:color="auto" w:fill="CCEEFF"/>
              </w:rPr>
            </w:pPr>
            <w:hyperlink w:anchor="page6">
              <w:r>
                <w:rPr>
                  <w:rFonts w:ascii="Arial" w:cs="Arial" w:eastAsia="Arial" w:hAnsi="Arial"/>
                  <w:sz w:val="18"/>
                  <w:szCs w:val="18"/>
                  <w:color w:val="0000EE"/>
                  <w:shd w:val="clear" w:color="auto" w:fill="CCEEFF"/>
                </w:rPr>
                <w:t>6</w:t>
              </w:r>
            </w:hyperlink>
          </w:p>
        </w:tc>
        <w:tc>
          <w:tcPr>
            <w:tcW w:w="20" w:type="dxa"/>
            <w:vAlign w:val="bottom"/>
            <w:shd w:val="clear" w:color="auto" w:fill="CCEEFF"/>
          </w:tcPr>
          <w:p>
            <w:pPr>
              <w:spacing w:after="0"/>
              <w:rPr>
                <w:sz w:val="22"/>
                <w:szCs w:val="22"/>
                <w:color w:val="auto"/>
              </w:rPr>
            </w:pPr>
          </w:p>
        </w:tc>
      </w:tr>
      <w:tr>
        <w:trPr>
          <w:trHeight w:val="229"/>
        </w:trPr>
        <w:tc>
          <w:tcPr>
            <w:tcW w:w="112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w w:val="93"/>
              </w:rPr>
              <w:t>Condensed Consolidated Statements of Operations and Comprehensive Income (Loss) for the three and nine months ended September 30, 2019 and</w:t>
            </w: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90"/>
        </w:trPr>
        <w:tc>
          <w:tcPr>
            <w:tcW w:w="11220" w:type="dxa"/>
            <w:vAlign w:val="bottom"/>
          </w:tcPr>
          <w:p>
            <w:pPr>
              <w:ind w:left="40"/>
              <w:spacing w:after="0" w:line="190" w:lineRule="exact"/>
              <w:rPr>
                <w:sz w:val="20"/>
                <w:szCs w:val="20"/>
                <w:color w:val="auto"/>
              </w:rPr>
            </w:pPr>
            <w:r>
              <w:rPr>
                <w:rFonts w:ascii="Arial" w:cs="Arial" w:eastAsia="Arial" w:hAnsi="Arial"/>
                <w:sz w:val="18"/>
                <w:szCs w:val="18"/>
                <w:color w:val="auto"/>
              </w:rPr>
              <w:t>2018 (Unaudited)</w:t>
            </w:r>
          </w:p>
        </w:tc>
        <w:tc>
          <w:tcPr>
            <w:tcW w:w="200" w:type="dxa"/>
            <w:vAlign w:val="bottom"/>
            <w:gridSpan w:val="3"/>
          </w:tcPr>
          <w:p>
            <w:pPr>
              <w:jc w:val="right"/>
              <w:ind w:right="20"/>
              <w:spacing w:after="0" w:line="190"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w w:val="97"/>
              </w:rPr>
              <w:t>Condensed Consolidated Statements of Changes in Shareholders' Equity for the nine months ended September 30, 2019 and 2018 (Unaudited)</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8">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nine months ended September 30, 2019 and 2018 (Unaudited)</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48"/>
        </w:trPr>
        <w:tc>
          <w:tcPr>
            <w:tcW w:w="1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 (Unaudited)</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11">
              <w:r>
                <w:rPr>
                  <w:rFonts w:ascii="Arial" w:cs="Arial" w:eastAsia="Arial" w:hAnsi="Arial"/>
                  <w:sz w:val="18"/>
                  <w:szCs w:val="18"/>
                  <w:color w:val="0000EE"/>
                  <w:w w:val="79"/>
                  <w:shd w:val="clear" w:color="auto" w:fill="CCEEFF"/>
                </w:rPr>
                <w:t>11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2018</w:t>
            </w:r>
          </w:p>
        </w:tc>
      </w:tr>
      <w:tr>
        <w:trPr>
          <w:trHeight w:val="251"/>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334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Fixed maturities, available-for-sale, at fair value (amortized cost of $1,043,639 and $924,987 as of</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September 30, 2019 and December 31, 2018, respectively)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1,073,176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911,490</w:t>
            </w:r>
          </w:p>
        </w:tc>
      </w:tr>
      <w:tr>
        <w:trPr>
          <w:trHeight w:val="229"/>
        </w:trPr>
        <w:tc>
          <w:tcPr>
            <w:tcW w:w="7900" w:type="dxa"/>
            <w:vAlign w:val="bottom"/>
            <w:gridSpan w:val="2"/>
          </w:tcPr>
          <w:p>
            <w:pPr>
              <w:ind w:left="280"/>
              <w:spacing w:after="0"/>
              <w:rPr>
                <w:sz w:val="20"/>
                <w:szCs w:val="20"/>
                <w:color w:val="auto"/>
              </w:rPr>
            </w:pPr>
            <w:r>
              <w:rPr>
                <w:rFonts w:ascii="Arial" w:cs="Arial" w:eastAsia="Arial" w:hAnsi="Arial"/>
                <w:sz w:val="18"/>
                <w:szCs w:val="18"/>
                <w:color w:val="auto"/>
                <w:w w:val="90"/>
              </w:rPr>
              <w:t>Cash and cash equivalents (including restricted cash of $2,933 and $1,414 as of September 30, 2019 and</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December 31, 2018, 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45,889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25,294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36,007</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Accrued investment income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5,694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Deferred policy acquisition costs, net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56,642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46,840</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24,765</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Intangible assets and goodwill</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reinsurance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30,370</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20,768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4,708</w:t>
            </w:r>
          </w:p>
        </w:tc>
      </w:tr>
      <w:tr>
        <w:trPr>
          <w:trHeight w:val="27"/>
        </w:trPr>
        <w:tc>
          <w:tcPr>
            <w:tcW w:w="13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1,301,462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1,092,043</w:t>
            </w:r>
          </w:p>
        </w:tc>
      </w:tr>
      <w:tr>
        <w:trPr>
          <w:trHeight w:val="20"/>
        </w:trPr>
        <w:tc>
          <w:tcPr>
            <w:tcW w:w="13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11"/>
        </w:trPr>
        <w:tc>
          <w:tcPr>
            <w:tcW w:w="13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Term loan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146,007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146,757</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158,893</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39,296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31,141</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12,811</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Reinsurance funds withheld</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16,072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27,114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7,296</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Deferred tax liability, net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43,769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2,740</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1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w w:val="96"/>
                <w:shd w:val="clear" w:color="auto" w:fill="CCEEFF"/>
              </w:rPr>
              <w:t>Other liabilities</w:t>
            </w:r>
          </w:p>
        </w:tc>
        <w:tc>
          <w:tcPr>
            <w:tcW w:w="6520" w:type="dxa"/>
            <w:vAlign w:val="bottom"/>
            <w:tcBorders>
              <w:bottom w:val="single" w:sz="8" w:color="CCEEFF"/>
            </w:tcBorders>
            <w:shd w:val="clear" w:color="auto" w:fill="CCEEFF"/>
          </w:tcPr>
          <w:p>
            <w:pPr>
              <w:jc w:val="right"/>
              <w:ind w:right="6269"/>
              <w:spacing w:after="0"/>
              <w:rPr>
                <w:sz w:val="20"/>
                <w:szCs w:val="20"/>
                <w:color w:val="auto"/>
              </w:rPr>
            </w:pPr>
            <w:r>
              <w:rPr>
                <w:rFonts w:ascii="Arial" w:cs="Arial" w:eastAsia="Arial" w:hAnsi="Arial"/>
                <w:sz w:val="14"/>
                <w:szCs w:val="14"/>
                <w:color w:val="auto"/>
                <w:w w:val="93"/>
                <w:shd w:val="clear" w:color="auto" w:fill="CCEEFF"/>
              </w:rPr>
              <w:t>(1)</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3,791</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427,975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390,543</w:t>
            </w:r>
          </w:p>
        </w:tc>
      </w:tr>
      <w:tr>
        <w:trPr>
          <w:trHeight w:val="27"/>
        </w:trPr>
        <w:tc>
          <w:tcPr>
            <w:tcW w:w="13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13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gridSpan w:val="2"/>
          </w:tcPr>
          <w:p>
            <w:pPr>
              <w:ind w:left="280"/>
              <w:spacing w:after="0"/>
              <w:rPr>
                <w:sz w:val="20"/>
                <w:szCs w:val="20"/>
                <w:color w:val="auto"/>
              </w:rPr>
            </w:pPr>
            <w:r>
              <w:rPr>
                <w:rFonts w:ascii="Arial" w:cs="Arial" w:eastAsia="Arial" w:hAnsi="Arial"/>
                <w:sz w:val="18"/>
                <w:szCs w:val="18"/>
                <w:color w:val="auto"/>
                <w:w w:val="98"/>
              </w:rPr>
              <w:t>Common stock - class A shares, $0.01 par value; 67,927,370 and 66,318,849 shares issued and</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gridSpan w:val="2"/>
          </w:tcPr>
          <w:p>
            <w:pPr>
              <w:ind w:left="280"/>
              <w:spacing w:after="0"/>
              <w:rPr>
                <w:sz w:val="20"/>
                <w:szCs w:val="20"/>
                <w:color w:val="auto"/>
              </w:rPr>
            </w:pPr>
            <w:r>
              <w:rPr>
                <w:rFonts w:ascii="Arial" w:cs="Arial" w:eastAsia="Arial" w:hAnsi="Arial"/>
                <w:sz w:val="18"/>
                <w:szCs w:val="18"/>
                <w:color w:val="auto"/>
                <w:w w:val="97"/>
              </w:rPr>
              <w:t>outstanding as of September 30, 2019 and December 31, 2018, respectively (250,000,000 shares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authorized)</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663</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682,181</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 (loss), net of tax</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19,165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(14,832)</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155,250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33,488</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873,487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701,500</w:t>
            </w:r>
          </w:p>
        </w:tc>
      </w:tr>
      <w:tr>
        <w:trPr>
          <w:trHeight w:val="27"/>
        </w:trPr>
        <w:tc>
          <w:tcPr>
            <w:tcW w:w="13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1,301,462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1,092,043</w:t>
            </w:r>
          </w:p>
        </w:tc>
      </w:tr>
      <w:tr>
        <w:trPr>
          <w:trHeight w:val="20"/>
        </w:trPr>
        <w:tc>
          <w:tcPr>
            <w:tcW w:w="13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Deferred Ceding Commissions have been reclassified to "Other liabilities" in prior periods.</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6"/>
          <w:szCs w:val="16"/>
          <w:i w:val="1"/>
          <w:iCs w:val="1"/>
          <w:color w:val="auto"/>
        </w:rPr>
        <w:t>See accompanying notes to condensed consolidated financial statements (unaudited).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(LOSS)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 September 30,</w:t>
            </w:r>
          </w:p>
        </w:tc>
        <w:tc>
          <w:tcPr>
            <w:tcW w:w="260" w:type="dxa"/>
            <w:vAlign w:val="bottom"/>
          </w:tcPr>
          <w:p>
            <w:pPr>
              <w:spacing w:after="0"/>
              <w:rPr>
                <w:sz w:val="16"/>
                <w:szCs w:val="16"/>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20" w:type="dxa"/>
            <w:vAlign w:val="bottom"/>
            <w:gridSpan w:val="5"/>
          </w:tcPr>
          <w:p>
            <w:pPr>
              <w:ind w:left="180"/>
              <w:spacing w:after="0"/>
              <w:rPr>
                <w:sz w:val="20"/>
                <w:szCs w:val="20"/>
                <w:color w:val="auto"/>
              </w:rPr>
            </w:pPr>
            <w:r>
              <w:rPr>
                <w:rFonts w:ascii="Arial" w:cs="Arial" w:eastAsia="Arial" w:hAnsi="Arial"/>
                <w:sz w:val="14"/>
                <w:szCs w:val="14"/>
                <w:i w:val="1"/>
                <w:iCs w:val="1"/>
                <w:color w:val="auto"/>
              </w:rPr>
              <w:t>(In Thousands, except for per share data)</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249,499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181,936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22,894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16,586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198,766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33,244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30,379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96,636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87,852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153,864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14,169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7,036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18,310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49,763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24,811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121,762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67,849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65,948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67,381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64,584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gains (losses) in accumulated other</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comprehensive income, net of tax expense (benefit) of</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$1,376 and ($337) for the three months ended September 30,</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2019 and 2018, respectively and $8,991 and ($3,676) for the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nine months ended September 30, 2019 and 2018,</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rPr>
              <w:t>Reclassification adjustment for realized (gains) losses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80"/>
              <w:spacing w:after="0"/>
              <w:rPr>
                <w:sz w:val="20"/>
                <w:szCs w:val="20"/>
                <w:color w:val="auto"/>
              </w:rPr>
            </w:pPr>
            <w:r>
              <w:rPr>
                <w:rFonts w:ascii="Arial" w:cs="Arial" w:eastAsia="Arial" w:hAnsi="Arial"/>
                <w:sz w:val="18"/>
                <w:szCs w:val="18"/>
                <w:color w:val="auto"/>
                <w:w w:val="95"/>
              </w:rPr>
              <w:t>included in net income, net of tax expense (benefit) of $17</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80"/>
              <w:spacing w:after="0"/>
              <w:rPr>
                <w:sz w:val="20"/>
                <w:szCs w:val="20"/>
                <w:color w:val="auto"/>
              </w:rPr>
            </w:pPr>
            <w:r>
              <w:rPr>
                <w:rFonts w:ascii="Arial" w:cs="Arial" w:eastAsia="Arial" w:hAnsi="Arial"/>
                <w:sz w:val="18"/>
                <w:szCs w:val="18"/>
                <w:color w:val="auto"/>
                <w:w w:val="89"/>
              </w:rPr>
              <w:t>and ($2) for the three months ended September 30, 2019 and</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80"/>
              <w:spacing w:after="0"/>
              <w:rPr>
                <w:sz w:val="20"/>
                <w:szCs w:val="20"/>
                <w:color w:val="auto"/>
              </w:rPr>
            </w:pPr>
            <w:r>
              <w:rPr>
                <w:rFonts w:ascii="Arial" w:cs="Arial" w:eastAsia="Arial" w:hAnsi="Arial"/>
                <w:sz w:val="18"/>
                <w:szCs w:val="18"/>
                <w:color w:val="auto"/>
                <w:w w:val="93"/>
              </w:rPr>
              <w:t>2018, respectively and ($46) and ($27) for the nine months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ended September 30, 2019 and 2018, respectively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54,876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23,551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155,759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58,681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340"/>
              <w:spacing w:after="0"/>
              <w:rPr>
                <w:sz w:val="20"/>
                <w:szCs w:val="20"/>
                <w:color w:val="auto"/>
              </w:rPr>
            </w:pPr>
            <w:r>
              <w:rPr>
                <w:rFonts w:ascii="Arial" w:cs="Arial" w:eastAsia="Arial" w:hAnsi="Arial"/>
                <w:sz w:val="18"/>
                <w:szCs w:val="18"/>
                <w:i w:val="1"/>
                <w:iCs w:val="1"/>
                <w:color w:val="auto"/>
                <w:w w:val="73"/>
              </w:rPr>
              <w:t>See accompanying</w:t>
            </w:r>
          </w:p>
        </w:tc>
        <w:tc>
          <w:tcPr>
            <w:tcW w:w="1600" w:type="dxa"/>
            <w:vAlign w:val="bottom"/>
            <w:gridSpan w:val="2"/>
          </w:tcPr>
          <w:p>
            <w:pPr>
              <w:jc w:val="right"/>
              <w:spacing w:after="0"/>
              <w:rPr>
                <w:sz w:val="20"/>
                <w:szCs w:val="20"/>
                <w:color w:val="auto"/>
              </w:rPr>
            </w:pPr>
            <w:r>
              <w:rPr>
                <w:rFonts w:ascii="Arial" w:cs="Arial" w:eastAsia="Arial" w:hAnsi="Arial"/>
                <w:sz w:val="18"/>
                <w:szCs w:val="18"/>
                <w:i w:val="1"/>
                <w:iCs w:val="1"/>
                <w:color w:val="auto"/>
              </w:rPr>
              <w:t>notes to condensed</w:t>
            </w:r>
          </w:p>
        </w:tc>
        <w:tc>
          <w:tcPr>
            <w:tcW w:w="100" w:type="dxa"/>
            <w:vAlign w:val="bottom"/>
            <w:vMerge w:val="continue"/>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i w:val="1"/>
                <w:iCs w:val="1"/>
                <w:color w:val="auto"/>
                <w:w w:val="89"/>
              </w:rPr>
              <w:t>consolidated financial</w:t>
            </w:r>
          </w:p>
        </w:tc>
        <w:tc>
          <w:tcPr>
            <w:tcW w:w="100" w:type="dxa"/>
            <w:vAlign w:val="bottom"/>
            <w:vMerge w:val="continue"/>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i w:val="1"/>
                <w:iCs w:val="1"/>
                <w:color w:val="auto"/>
                <w:w w:val="83"/>
              </w:rPr>
              <w:t>statements (unaudited).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80" w:type="dxa"/>
            <w:vAlign w:val="bottom"/>
            <w:gridSpan w:val="3"/>
            <w:vMerge w:val="restart"/>
          </w:tcPr>
          <w:p>
            <w:pPr>
              <w:jc w:val="right"/>
              <w:ind w:right="271"/>
              <w:spacing w:after="0"/>
              <w:rPr>
                <w:sz w:val="20"/>
                <w:szCs w:val="20"/>
                <w:color w:val="auto"/>
              </w:rPr>
            </w:pPr>
            <w:r>
              <w:rPr>
                <w:rFonts w:ascii="Arial" w:cs="Arial" w:eastAsia="Arial" w:hAnsi="Arial"/>
                <w:sz w:val="14"/>
                <w:szCs w:val="14"/>
                <w:b w:val="1"/>
                <w:bCs w:val="1"/>
                <w:color w:val="auto"/>
              </w:rPr>
              <w:t>Common Stock - Class A</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right"/>
              <w:ind w:right="152"/>
              <w:spacing w:after="0" w:line="14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line="20" w:lineRule="exact"/>
              <w:rPr>
                <w:sz w:val="1"/>
                <w:szCs w:val="1"/>
                <w:color w:val="auto"/>
              </w:rPr>
            </w:pPr>
          </w:p>
        </w:tc>
        <w:tc>
          <w:tcPr>
            <w:tcW w:w="1120" w:type="dxa"/>
            <w:vAlign w:val="bottom"/>
            <w:vMerge w:val="restart"/>
          </w:tcPr>
          <w:p>
            <w:pPr>
              <w:jc w:val="center"/>
              <w:ind w:right="33"/>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line="20" w:lineRule="exact"/>
              <w:rPr>
                <w:sz w:val="1"/>
                <w:szCs w:val="1"/>
                <w:color w:val="auto"/>
              </w:rPr>
            </w:pPr>
          </w:p>
        </w:tc>
        <w:tc>
          <w:tcPr>
            <w:tcW w:w="880" w:type="dxa"/>
            <w:vAlign w:val="bottom"/>
            <w:vMerge w:val="restart"/>
          </w:tcPr>
          <w:p>
            <w:pPr>
              <w:jc w:val="right"/>
              <w:ind w:right="152"/>
              <w:spacing w:after="0" w:line="149" w:lineRule="exact"/>
              <w:rPr>
                <w:sz w:val="20"/>
                <w:szCs w:val="20"/>
                <w:color w:val="auto"/>
              </w:rPr>
            </w:pPr>
            <w:r>
              <w:rPr>
                <w:rFonts w:ascii="Arial" w:cs="Arial" w:eastAsia="Arial" w:hAnsi="Arial"/>
                <w:sz w:val="14"/>
                <w:szCs w:val="14"/>
                <w:b w:val="1"/>
                <w:bCs w:val="1"/>
                <w:color w:val="auto"/>
              </w:rPr>
              <w:t>Retained</w:t>
            </w: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4360" w:type="dxa"/>
            <w:vAlign w:val="bottom"/>
          </w:tcPr>
          <w:p>
            <w:pPr>
              <w:spacing w:after="0"/>
              <w:rPr>
                <w:sz w:val="9"/>
                <w:szCs w:val="9"/>
                <w:color w:val="auto"/>
              </w:rPr>
            </w:pPr>
          </w:p>
        </w:tc>
        <w:tc>
          <w:tcPr>
            <w:tcW w:w="11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9"/>
                <w:szCs w:val="9"/>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Earnings</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3"/>
          </w:tcPr>
          <w:p>
            <w:pPr>
              <w:jc w:val="right"/>
              <w:ind w:right="593"/>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682,181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701,500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3"/>
              </w:rPr>
              <w:t>Common stock: class A shares issued related to 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2,981</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of $3,992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15,016</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32,899</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32,899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684,635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751,881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w w:val="93"/>
              </w:rPr>
              <w:t>Common stock: class A shares issued related to 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3,835</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3,475</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of $3,686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13,868</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39,100</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39,100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June 30,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692,163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14,052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812,379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w w:val="93"/>
              </w:rPr>
              <w:t>Common stock: class A shares issued related to 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3,399</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of $1,359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5,113</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49,763</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49,763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September 30,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698,393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19,165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873,487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three months ended March 31, 2019, we issued 39,195 common shares with a par value of $0.01 in connection with the exercise of warrants,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280" w:type="dxa"/>
            <w:vAlign w:val="bottom"/>
            <w:gridSpan w:val="3"/>
            <w:vMerge w:val="restart"/>
          </w:tcPr>
          <w:p>
            <w:pPr>
              <w:jc w:val="right"/>
              <w:ind w:right="271"/>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restart"/>
          </w:tcPr>
          <w:p>
            <w:pPr>
              <w:jc w:val="right"/>
              <w:ind w:right="212"/>
              <w:spacing w:after="0" w:line="14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line="20" w:lineRule="exact"/>
              <w:rPr>
                <w:sz w:val="1"/>
                <w:szCs w:val="1"/>
                <w:color w:val="auto"/>
              </w:rPr>
            </w:pPr>
          </w:p>
        </w:tc>
        <w:tc>
          <w:tcPr>
            <w:tcW w:w="1120" w:type="dxa"/>
            <w:vAlign w:val="bottom"/>
            <w:vMerge w:val="restart"/>
          </w:tcPr>
          <w:p>
            <w:pPr>
              <w:jc w:val="center"/>
              <w:ind w:right="33"/>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line="20" w:lineRule="exact"/>
              <w:rPr>
                <w:sz w:val="1"/>
                <w:szCs w:val="1"/>
                <w:color w:val="auto"/>
              </w:rPr>
            </w:pPr>
          </w:p>
        </w:tc>
        <w:tc>
          <w:tcPr>
            <w:tcW w:w="1080" w:type="dxa"/>
            <w:vAlign w:val="bottom"/>
            <w:vMerge w:val="restart"/>
          </w:tcPr>
          <w:p>
            <w:pPr>
              <w:jc w:val="right"/>
              <w:ind w:right="132"/>
              <w:spacing w:after="0" w:line="149" w:lineRule="exact"/>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4120" w:type="dxa"/>
            <w:vAlign w:val="bottom"/>
          </w:tcPr>
          <w:p>
            <w:pPr>
              <w:spacing w:after="0"/>
              <w:rPr>
                <w:sz w:val="9"/>
                <w:szCs w:val="9"/>
                <w:color w:val="auto"/>
              </w:rPr>
            </w:pPr>
          </w:p>
        </w:tc>
        <w:tc>
          <w:tcPr>
            <w:tcW w:w="11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9"/>
                <w:szCs w:val="9"/>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Paid-in 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60" w:type="dxa"/>
            <w:vAlign w:val="bottom"/>
            <w:gridSpan w:val="3"/>
          </w:tcPr>
          <w:p>
            <w:pPr>
              <w:jc w:val="right"/>
              <w:ind w:right="593"/>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60,518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585,488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509,077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9"/>
              </w:rPr>
              <w:t>Cumulative effect of change in accounting principle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Common stock: class A shares issued related to public</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offering</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79,122</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79,165</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Common stock: class A shares issued related to</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2,805</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of $423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22,355</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666,905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601,944</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Common stock: class A shares issued related to</w:t>
            </w: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3,017</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of $2,891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25,241</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25,241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June 30, 2018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670,870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629,642</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Common stock: class A shares issued related to</w:t>
            </w: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3,092</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2,959</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of $335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24,811</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24,811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September 30, 2018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678,165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660,493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the three months ended March 31, 2018 and June 30, 2018, we issued 25,686 and 3,751 common shares, respectively, with a par value of $0.01 in connection with the exercise of warrants, which is not identifiable in this schedule due to rounding.</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w w:val="99"/>
              </w:rPr>
              <w:t>For the nine months ended September 30,</w:t>
            </w:r>
          </w:p>
        </w:tc>
      </w:tr>
      <w:tr>
        <w:trPr>
          <w:trHeight w:val="263"/>
        </w:trPr>
        <w:tc>
          <w:tcPr>
            <w:tcW w:w="77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r>
      <w:tr>
        <w:trPr>
          <w:trHeight w:val="237"/>
        </w:trPr>
        <w:tc>
          <w:tcPr>
            <w:tcW w:w="778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320" w:type="dxa"/>
            <w:vAlign w:val="bottom"/>
          </w:tcPr>
          <w:p>
            <w:pPr>
              <w:spacing w:after="0"/>
              <w:rPr>
                <w:sz w:val="20"/>
                <w:szCs w:val="20"/>
                <w:color w:val="auto"/>
              </w:rPr>
            </w:pPr>
          </w:p>
        </w:tc>
        <w:tc>
          <w:tcPr>
            <w:tcW w:w="2100" w:type="dxa"/>
            <w:vAlign w:val="bottom"/>
            <w:gridSpan w:val="3"/>
          </w:tcPr>
          <w:p>
            <w:pPr>
              <w:jc w:val="right"/>
              <w:ind w:right="75"/>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0"/>
                <w:szCs w:val="20"/>
                <w:color w:val="auto"/>
              </w:rPr>
            </w:pPr>
          </w:p>
        </w:tc>
      </w:tr>
      <w:tr>
        <w:trPr>
          <w:trHeight w:val="256"/>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121,762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72,407</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losses (gains)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Loss from change in fair value of warrant liability</w:t>
            </w:r>
          </w:p>
        </w:tc>
        <w:tc>
          <w:tcPr>
            <w:tcW w:w="3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6,025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4,935</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6,661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5,825</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Net amortization of premium on investment securities</w:t>
            </w:r>
          </w:p>
        </w:tc>
        <w:tc>
          <w:tcPr>
            <w:tcW w:w="3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943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1,176</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3,141</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3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9,855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8,781</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31,991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16,698</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(9,723)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(9,496)</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(1,191)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(1,669)</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(980)</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(9,802)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(6,512)</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(8,428)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927</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(13,747)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(273)</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7,694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2,147</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Reinsurance balances, net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(779)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565</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1,728</w:t>
            </w:r>
          </w:p>
        </w:tc>
      </w:tr>
      <w:tr>
        <w:trPr>
          <w:trHeight w:val="219"/>
        </w:trPr>
        <w:tc>
          <w:tcPr>
            <w:tcW w:w="7780" w:type="dxa"/>
            <w:vAlign w:val="bottom"/>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139,567</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99,349</w:t>
            </w:r>
          </w:p>
        </w:tc>
      </w:tr>
      <w:tr>
        <w:trPr>
          <w:trHeight w:val="31"/>
        </w:trPr>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Purchase of short-term investments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(190,122)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(168,751)</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fixed-maturity investments, available-for-sale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(186,793)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(310,286)</w:t>
            </w:r>
          </w:p>
        </w:tc>
      </w:tr>
      <w:tr>
        <w:trPr>
          <w:trHeight w:val="243"/>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maturity of short-term investments</w:t>
            </w: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200,105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148,997</w:t>
            </w:r>
          </w:p>
        </w:tc>
      </w:tr>
      <w:tr>
        <w:trPr>
          <w:trHeight w:val="27"/>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66,996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154,438</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Additions to software and equipment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(7,449)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(5,326)</w:t>
            </w:r>
          </w:p>
        </w:tc>
      </w:tr>
      <w:tr>
        <w:trPr>
          <w:trHeight w:val="31"/>
        </w:trPr>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(117,263)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(180,928)</w:t>
            </w:r>
          </w:p>
        </w:tc>
      </w:tr>
      <w:tr>
        <w:trPr>
          <w:trHeight w:val="233"/>
        </w:trPr>
        <w:tc>
          <w:tcPr>
            <w:tcW w:w="778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public offering, net of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79,165</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3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13,733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12,557</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warrants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320</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(14,317)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(10,113)</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senior note, net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149,250</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Repayments of term loan</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(1,125)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(147,000)</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of debt issuance/modification costs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(3,609)</w:t>
            </w:r>
          </w:p>
        </w:tc>
      </w:tr>
      <w:tr>
        <w:trPr>
          <w:trHeight w:val="219"/>
        </w:trPr>
        <w:tc>
          <w:tcPr>
            <w:tcW w:w="7780" w:type="dxa"/>
            <w:vAlign w:val="bottom"/>
          </w:tcPr>
          <w:p>
            <w:pPr>
              <w:ind w:left="40"/>
              <w:spacing w:after="0"/>
              <w:rPr>
                <w:sz w:val="20"/>
                <w:szCs w:val="20"/>
                <w:color w:val="auto"/>
              </w:rPr>
            </w:pPr>
            <w:r>
              <w:rPr>
                <w:rFonts w:ascii="Arial" w:cs="Arial" w:eastAsia="Arial" w:hAnsi="Arial"/>
                <w:sz w:val="17"/>
                <w:szCs w:val="17"/>
                <w:color w:val="auto"/>
              </w:rPr>
              <w:t>Net cash (used in) provided by financing activities</w:t>
            </w: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(1,709)</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80,570</w:t>
            </w:r>
          </w:p>
        </w:tc>
      </w:tr>
      <w:tr>
        <w:trPr>
          <w:trHeight w:val="31"/>
        </w:trPr>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9"/>
        </w:trPr>
        <w:tc>
          <w:tcPr>
            <w:tcW w:w="7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39"/>
        </w:trPr>
        <w:tc>
          <w:tcPr>
            <w:tcW w:w="7780" w:type="dxa"/>
            <w:vAlign w:val="bottom"/>
          </w:tcPr>
          <w:p>
            <w:pPr>
              <w:ind w:left="4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20,595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(1,009)</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25,294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19,196</w:t>
            </w:r>
          </w:p>
        </w:tc>
      </w:tr>
      <w:tr>
        <w:trPr>
          <w:trHeight w:val="28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cash equivalents and restricted cash, end of period</w:t>
            </w: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45,889</w:t>
            </w:r>
          </w:p>
        </w:tc>
        <w:tc>
          <w:tcPr>
            <w:tcW w:w="1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18,187</w:t>
            </w:r>
          </w:p>
        </w:tc>
      </w:tr>
      <w:tr>
        <w:trPr>
          <w:trHeight w:val="122"/>
        </w:trPr>
        <w:tc>
          <w:tcPr>
            <w:tcW w:w="7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39"/>
        </w:trPr>
        <w:tc>
          <w:tcPr>
            <w:tcW w:w="7780" w:type="dxa"/>
            <w:vAlign w:val="bottom"/>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Interest paid</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8,060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9,233</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Income tax (refunded) paid, net</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20"/>
                <w:szCs w:val="20"/>
                <w:color w:val="auto"/>
              </w:rPr>
            </w:pPr>
          </w:p>
        </w:tc>
        <w:tc>
          <w:tcPr>
            <w:tcW w:w="600" w:type="dxa"/>
            <w:vAlign w:val="bottom"/>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687</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ectPr>
          <w:pgSz w:w="11900" w:h="16838" w:orient="portrait"/>
          <w:cols w:equalWidth="0" w:num="1">
            <w:col w:w="11420"/>
          </w:cols>
          <w:pgMar w:left="240" w:top="125"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Our common stock is listed on the NASDAQ exchange under the ticker symbol "NMIH."</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2018, included in our 2018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our previously reported financial information have been made to conform to current period presentation. The results of operations for the interim period may not be indicative of the results that may be expected for the full year ending December 31, 2019.</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 Notes</w:t>
      </w:r>
      <w:r>
        <w:rPr>
          <w:rFonts w:ascii="Arial" w:cs="Arial" w:eastAsia="Arial" w:hAnsi="Arial"/>
          <w:sz w:val="18"/>
          <w:szCs w:val="18"/>
          <w:color w:val="auto"/>
        </w:rPr>
        <w:t xml:space="preserve"> </w:t>
      </w:r>
      <w:r>
        <w:rPr>
          <w:rFonts w:ascii="Arial" w:cs="Arial" w:eastAsia="Arial" w:hAnsi="Arial"/>
          <w:sz w:val="18"/>
          <w:szCs w:val="18"/>
          <w:i w:val="1"/>
          <w:iCs w:val="1"/>
          <w:color w:val="auto"/>
        </w:rPr>
        <w:t>to Consolidated Financial Statements - Note 2 - Summary of Accounting Principles</w:t>
      </w:r>
      <w:r>
        <w:rPr>
          <w:rFonts w:ascii="Arial" w:cs="Arial" w:eastAsia="Arial" w:hAnsi="Arial"/>
          <w:sz w:val="18"/>
          <w:szCs w:val="18"/>
          <w:color w:val="auto"/>
        </w:rPr>
        <w:t>" of our 2018 10-K, other than as noted in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Interest Entities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NMIC is a party to reinsurance agreements with three special purpose reinsurance entities - Oaktown Re Ltd., Oaktown Re II Ltd. and Oaktown Re</w:t>
      </w:r>
    </w:p>
    <w:p>
      <w:pPr>
        <w:spacing w:after="0" w:line="46" w:lineRule="exact"/>
        <w:rPr>
          <w:sz w:val="20"/>
          <w:szCs w:val="20"/>
          <w:color w:val="auto"/>
        </w:rPr>
      </w:pPr>
    </w:p>
    <w:p>
      <w:pPr>
        <w:jc w:val="both"/>
        <w:ind w:firstLine="8"/>
        <w:spacing w:after="0" w:line="268" w:lineRule="auto"/>
        <w:tabs>
          <w:tab w:leader="none" w:pos="252"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Ltd. - respectively dated May 2, 2017, July 25, 2018 and July 30, 2019. At inception of the respective reinsurance agreements, we determined that Oaktown Re Ltd., Oaktown Re II, Ltd. and Oaktown Re III, Ltd, were variable interest entities (VIEs), as defined under GAAP Accounting Standards Codification (ASC) 810,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Arial" w:cs="Arial" w:eastAsia="Arial" w:hAnsi="Arial"/>
          <w:sz w:val="17"/>
          <w:szCs w:val="17"/>
          <w:i w:val="1"/>
          <w:iCs w:val="1"/>
          <w:color w:val="auto"/>
        </w:rPr>
        <w:t>i.e.,</w:t>
      </w:r>
      <w:r>
        <w:rPr>
          <w:rFonts w:ascii="Arial" w:cs="Arial" w:eastAsia="Arial" w:hAnsi="Arial"/>
          <w:sz w:val="17"/>
          <w:szCs w:val="17"/>
          <w:color w:val="auto"/>
        </w:rPr>
        <w:t xml:space="preserve">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We adopted this ASU on January 1, 2019 using the modified-retrospective method and applied it prospectively as of the effective date, without adjusting comparative periods presented as permitted by ASU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Adoption of this new standard increased our assets and liabilities by $7.6 million in connection with the recognition of right-of-use (ROU) assets and lease liabilities, primarily related to the operating lease on our corporate headquarters. Adoption of this standard did not impact our consolidated statements of operations or cash flows. See Note 10, "</w:t>
      </w:r>
      <w:r>
        <w:rPr>
          <w:rFonts w:ascii="Arial" w:cs="Arial" w:eastAsia="Arial" w:hAnsi="Arial"/>
          <w:sz w:val="16"/>
          <w:szCs w:val="16"/>
          <w:i w:val="1"/>
          <w:iCs w:val="1"/>
          <w:color w:val="auto"/>
        </w:rPr>
        <w:t>Leases</w:t>
      </w:r>
      <w:r>
        <w:rPr>
          <w:rFonts w:ascii="Arial" w:cs="Arial" w:eastAsia="Arial" w:hAnsi="Arial"/>
          <w:sz w:val="16"/>
          <w:szCs w:val="16"/>
          <w:color w:val="auto"/>
        </w:rPr>
        <w:t>" for additional information related to our leases.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702"/>
        <w:spacing w:after="0" w:line="264"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(Topic 480), and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(Topic 815). This update is intended to simplify the accounting for certain equity-linked financial instruments. We adopted this ASU on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 2019. Adoption of this standard had no impact on our consolidated financial statements.</w:t>
      </w:r>
    </w:p>
    <w:p>
      <w:pPr>
        <w:spacing w:after="0" w:line="141" w:lineRule="exact"/>
        <w:rPr>
          <w:sz w:val="20"/>
          <w:szCs w:val="20"/>
          <w:color w:val="auto"/>
        </w:rPr>
      </w:pPr>
    </w:p>
    <w:p>
      <w:pPr>
        <w:jc w:val="both"/>
        <w:ind w:firstLine="702"/>
        <w:spacing w:after="0" w:line="312"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718). This update expands the scope of Topic 718 to include share-based payments made to non-employees in connection with the acquisition of goods and services. We adopted this ASU on January 1, 2019. Adoption of this standard had no impact on our financial results as we have not made any share-based grants to non-employees as defined in ASC 718-10-20.</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and subsequently issued amendments to the initial</w:t>
      </w:r>
    </w:p>
    <w:p>
      <w:pPr>
        <w:spacing w:after="0" w:line="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guidance: ASU 2019-04, </w:t>
      </w:r>
      <w:r>
        <w:rPr>
          <w:rFonts w:ascii="Arial" w:cs="Arial" w:eastAsia="Arial" w:hAnsi="Arial"/>
          <w:sz w:val="16"/>
          <w:szCs w:val="16"/>
          <w:i w:val="1"/>
          <w:iCs w:val="1"/>
          <w:color w:val="auto"/>
        </w:rPr>
        <w:t>Codification Improvements to Topic 326, Financial Instruments-Credit Losses, Topic 815, Derivatives and Hedging,</w:t>
      </w:r>
      <w:r>
        <w:rPr>
          <w:rFonts w:ascii="Arial" w:cs="Arial" w:eastAsia="Arial" w:hAnsi="Arial"/>
          <w:sz w:val="16"/>
          <w:szCs w:val="16"/>
          <w:color w:val="auto"/>
        </w:rPr>
        <w:t xml:space="preserve"> and </w:t>
      </w:r>
      <w:r>
        <w:rPr>
          <w:rFonts w:ascii="Arial" w:cs="Arial" w:eastAsia="Arial" w:hAnsi="Arial"/>
          <w:sz w:val="16"/>
          <w:szCs w:val="16"/>
          <w:i w:val="1"/>
          <w:iCs w:val="1"/>
          <w:color w:val="auto"/>
        </w:rPr>
        <w:t>Topic 825,</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and ASU 2019-05,</w:t>
      </w:r>
      <w:r>
        <w:rPr>
          <w:rFonts w:ascii="Arial" w:cs="Arial" w:eastAsia="Arial" w:hAnsi="Arial"/>
          <w:sz w:val="16"/>
          <w:szCs w:val="16"/>
          <w:i w:val="1"/>
          <w:iCs w:val="1"/>
          <w:color w:val="auto"/>
        </w:rPr>
        <w:t xml:space="preserve"> Financial Instruments – Credit Losses: Targeted Transition Relief</w:t>
      </w:r>
      <w:r>
        <w:rPr>
          <w:rFonts w:ascii="Arial" w:cs="Arial" w:eastAsia="Arial" w:hAnsi="Arial"/>
          <w:sz w:val="16"/>
          <w:szCs w:val="16"/>
          <w:color w:val="auto"/>
        </w:rPr>
        <w:t>. These updates will require companies to</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and establish reserves for lifetime expected credit losses on many financial assets held at a given reporting date. Under the guidance, the methodology for measuring lifetime credit losses will generally shift from an incurred loss model, whereby losses are only recognized once probable and estimable, to a current expected credit loss (CECL) model, whereby losses are recognized upfront based on a future economic forecast. Credit losses relating to available-for-sale fixed maturity securities will be recorded through an allowance for credit losses, rather than a write-down of the asset as is currently required, with the amount of the allowance limited to the amount by which fair value is less than amortized cost. The length of time an available-for sale fixed maturity security has been held in an unrealized loss position will no longer impact its credit loss determination. The standard will take effect for public business entities for fiscal years, and interim periods within those fiscal years, beginning after December 15, 2019. The impact of this guidance and the extent of the impact will depend on, among other things, economic conditions and the composition and credit quality of our financial assets as of the date of adoption. While we are still evaluating the impact of this guidance, we do not expect it to have a material impact on our consolidated financial statements. This standard will not impact our accounting for insurance claims and claim expenses as these items are not in the scope of this ASU.</w:t>
      </w:r>
    </w:p>
    <w:p>
      <w:pPr>
        <w:spacing w:after="0" w:line="173" w:lineRule="exact"/>
        <w:rPr>
          <w:sz w:val="20"/>
          <w:szCs w:val="20"/>
          <w:color w:val="auto"/>
        </w:rPr>
      </w:pPr>
    </w:p>
    <w:p>
      <w:pPr>
        <w:jc w:val="both"/>
        <w:ind w:firstLine="702"/>
        <w:spacing w:after="0" w:line="279" w:lineRule="auto"/>
        <w:rPr>
          <w:sz w:val="20"/>
          <w:szCs w:val="20"/>
          <w:color w:val="auto"/>
        </w:rPr>
      </w:pPr>
      <w:r>
        <w:rPr>
          <w:rFonts w:ascii="Arial" w:cs="Arial" w:eastAsia="Arial" w:hAnsi="Arial"/>
          <w:sz w:val="17"/>
          <w:szCs w:val="17"/>
          <w:color w:val="auto"/>
        </w:rPr>
        <w:t xml:space="preserve">In August 2018, the FASB issued ASU 2018-12, </w:t>
      </w:r>
      <w:r>
        <w:rPr>
          <w:rFonts w:ascii="Arial" w:cs="Arial" w:eastAsia="Arial" w:hAnsi="Arial"/>
          <w:sz w:val="17"/>
          <w:szCs w:val="17"/>
          <w:i w:val="1"/>
          <w:iCs w:val="1"/>
          <w:color w:val="auto"/>
        </w:rPr>
        <w:t>Targeted Improvements to the Accounting for Long-Duration Contracts</w:t>
      </w:r>
      <w:r>
        <w:rPr>
          <w:rFonts w:ascii="Arial" w:cs="Arial" w:eastAsia="Arial" w:hAnsi="Arial"/>
          <w:sz w:val="17"/>
          <w:szCs w:val="17"/>
          <w:color w:val="auto"/>
        </w:rPr>
        <w:t>. This update provides guidance to the existing recognition, measurement, presentation and disclosure requirements for long-duration contracts issued by an insurance entity. The standard will take effect for public business entities for fiscal years, and interim periods within those fiscal years, beginning after December 15, 2020. We are currently evaluating the impact the adoption of this ASU will have, if any, on our consolidated financial statements.</w:t>
      </w:r>
    </w:p>
    <w:p>
      <w:pPr>
        <w:spacing w:after="0" w:line="131" w:lineRule="exact"/>
        <w:rPr>
          <w:sz w:val="20"/>
          <w:szCs w:val="20"/>
          <w:color w:val="auto"/>
        </w:rPr>
      </w:pPr>
    </w:p>
    <w:p>
      <w:pPr>
        <w:jc w:val="both"/>
        <w:ind w:firstLine="702"/>
        <w:spacing w:after="0" w:line="312"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(Topic 820). This update modifies the fair value measurement disclosure requirements of ASC 820. The standard will take effect for public business entities for fiscal years, and interim periods within those fiscal years, beginning after December 15, 2019. We do not expect the revised disclosure requirements to have a material impact on our consolidated financial statements.</w:t>
      </w:r>
    </w:p>
    <w:p>
      <w:pPr>
        <w:spacing w:after="0" w:line="106" w:lineRule="exact"/>
        <w:rPr>
          <w:sz w:val="20"/>
          <w:szCs w:val="20"/>
          <w:color w:val="auto"/>
        </w:rPr>
      </w:pPr>
    </w:p>
    <w:p>
      <w:pPr>
        <w:jc w:val="both"/>
        <w:ind w:left="120" w:firstLine="594"/>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This update applies to cloud computing arrangements structured as service contracts, and provides companies with guidance on the criteria for capitalizing implementation, set-up and other up-front costs incurred in association with these arrangements. The standard will take effect for public business entities for fiscal years, and interim periods within those fiscal years, beginning after December 15, 2019, and we have elected to adopt this ASU prospectively for eligible costs incurred after the effective date of January 1, 2020. While we are still finalizing our analysis of this guidance, we do not expect it to have a material impact on our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designated our investment portfolio as available-for-sale and report it at fair value. The related unrealized gains and losses are, after considering the related tax expense or benefit, recognized through comprehensive income and loss, and on an accumulated basis in shareholders' equity. Net realized investment gains and losses are reported in earnings based on specific identification of securities sold or other-than-temporarily impaired.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2019</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48,198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103,974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105,631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663,066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685,978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179,651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183,385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994,889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30,082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1,024,247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48,750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48,929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1,043,639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30,261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1,073,176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48,171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92,014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91,257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554,079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171,990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866,254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852,650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58,733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58,840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924,987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911,490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own any mortgage-backed securities in our asset-backed securities portfolio at September 30, 2019 or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breakdown of the fair value of our corporate debt securities by issuer industry group as of September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8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2019</w:t>
            </w:r>
          </w:p>
        </w:tc>
        <w:tc>
          <w:tcPr>
            <w:tcW w:w="176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Consumer</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27</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Utilities</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6</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2019 and December 31, 2018, approximately $5.5 million and $5.3 million, respectively, of our cash and investments were held in the form of U.S. Treasury securities on deposit with various state insurance departments to satisfy regulatory requirements.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amortized cost and fair values of available-for-sale securities as of September 30, 2019 and December 31, 2018,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September 30, 2019</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102,581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102,787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424,455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434,248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313,804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329,061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23,148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23,695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179,651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183,385</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1,043,639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1,073,176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76,087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76,104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352,282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347,701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318,728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310,633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171,990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924,987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911,490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September 30, 2019, the investment portfolio had gross unrealized losses of $0.7 million, of which $0.4 million had been in an unrealized loss position for a period of 12 months or greater. We did not consider these securities to be other-than-temporarily impaired as of September 30, 2019. We based our conclusion that these investments were not other-than-temporarily impaired as of September 30, 2019 on the following facts: (i) the unrealized losses were primarily caused by interest rate movements and market fluctuations in credit spreads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2019</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15,720</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4,337</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20,057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30,812</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57,624</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13,451</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3,583</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17,034</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Short-term investments</w:t>
            </w:r>
            <w:r>
              <w:rPr>
                <w:rFonts w:ascii="Arial" w:cs="Arial" w:eastAsia="Arial" w:hAnsi="Arial"/>
                <w:sz w:val="25"/>
                <w:szCs w:val="25"/>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79,804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38,732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118,536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6"/>
          <w:szCs w:val="16"/>
          <w:color w:val="auto"/>
        </w:rPr>
        <w:t>Includes securities with unrealized losses of less than 12 months which are not identifiable in the schedule due to rounding.</w:t>
      </w:r>
    </w:p>
    <w:p>
      <w:pPr>
        <w:spacing w:after="0" w:line="200" w:lineRule="exact"/>
        <w:rPr>
          <w:rFonts w:ascii="Arial" w:cs="Arial" w:eastAsia="Arial" w:hAnsi="Arial"/>
          <w:sz w:val="18"/>
          <w:szCs w:val="18"/>
          <w:color w:val="auto"/>
          <w:vertAlign w:val="superscript"/>
        </w:rPr>
      </w:pPr>
    </w:p>
    <w:p>
      <w:pPr>
        <w:spacing w:after="0" w:line="210"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right"/>
              <w:ind w:right="155"/>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58,658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66,067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226,477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221,675</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448,152</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36,017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33,988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6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three months ended September 30,</w:t>
            </w:r>
          </w:p>
        </w:tc>
        <w:tc>
          <w:tcPr>
            <w:tcW w:w="440" w:type="dxa"/>
            <w:vAlign w:val="bottom"/>
          </w:tcPr>
          <w:p>
            <w:pPr>
              <w:spacing w:after="0"/>
              <w:rPr>
                <w:sz w:val="16"/>
                <w:szCs w:val="16"/>
                <w:color w:val="auto"/>
              </w:rPr>
            </w:pPr>
          </w:p>
        </w:tc>
        <w:tc>
          <w:tcPr>
            <w:tcW w:w="308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264"/>
        </w:trPr>
        <w:tc>
          <w:tcPr>
            <w:tcW w:w="42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6,473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23,240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17,192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Investment expenses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7,882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6,277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22,894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16,586</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realized investment losses: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264"/>
        </w:trPr>
        <w:tc>
          <w:tcPr>
            <w:tcW w:w="4240" w:type="dxa"/>
            <w:vAlign w:val="bottom"/>
          </w:tcPr>
          <w:p>
            <w:pPr>
              <w:spacing w:after="0"/>
              <w:rPr>
                <w:sz w:val="22"/>
                <w:szCs w:val="22"/>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4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i w:val="1"/>
                <w:iCs w:val="1"/>
                <w:color w:val="auto"/>
                <w:w w:val="95"/>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2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(469)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7"/>
        </w:trPr>
        <w:tc>
          <w:tcPr>
            <w:tcW w:w="42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0"/>
        </w:trPr>
        <w:tc>
          <w:tcPr>
            <w:tcW w:w="4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2019, we held no other-than-temporarily impaired securities. During the nine months ended September 30, 2019, we recognized a $0.4 million OTTI loss in earnings related to the planned sale of a security in a loss position that was disposed of in April 2019. We did not recognize any OTTI losses for the three months ended September 30, 2019 or the three and nine months ended September 30, 2018. There were no credit losses recognized in earnings for which a portion of an OTTI loss was recognized in accumulated other comprehensive income (loss) for the three or nine months ended September 30,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Fair value measurements based on quoted prices in active markets that we have the ability to access for identical assets or liabilities.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5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prices that are observable for the asset or liability, such as interest rates and yield curves that are observable at commonly quoted intervals.</w:t>
      </w:r>
    </w:p>
    <w:p>
      <w:pPr>
        <w:spacing w:after="0" w:line="18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September 30, 2019</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105,631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105,631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685,978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685,978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183,385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183,385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94,818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94,818</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144,071</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974,994</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1,119,065</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91,257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91,257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543,238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171,325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84,134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84,134</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130,964</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805,820</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936,784</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transfers between Level 1 and Level 2, nor any transfers in or out of Level 3, of the fair value hierarchy during the nine months ended September 30, 2019 and the year ended December 31, 2018.</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8"/>
              </w:rPr>
              <w:t>For the nine months ended September 30,</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300" w:type="dxa"/>
            <w:vAlign w:val="bottom"/>
          </w:tcPr>
          <w:p>
            <w:pPr>
              <w:spacing w:after="0"/>
              <w:rPr>
                <w:sz w:val="21"/>
                <w:szCs w:val="21"/>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6,025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4,935</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Balance, September 30</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10,930</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outlines the key inputs and assumptions used to calculate the fair value of the warrant liability in the Black-Scholes option-pricing model as of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78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price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22.65</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2.86 - 2.90%</w:t>
            </w:r>
          </w:p>
        </w:tc>
      </w:tr>
      <w:tr>
        <w:trPr>
          <w:trHeight w:val="27"/>
        </w:trPr>
        <w:tc>
          <w:tcPr>
            <w:tcW w:w="7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0.92 years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3"/>
              </w:rPr>
              <w:t>2.50 - 3.56 years</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39.9 - 41.5%</w:t>
            </w:r>
          </w:p>
        </w:tc>
      </w:tr>
      <w:tr>
        <w:trPr>
          <w:trHeight w:val="27"/>
        </w:trPr>
        <w:tc>
          <w:tcPr>
            <w:tcW w:w="7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7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changes in fair value of the warrant liability for the nine months ended September 30, 2019 and 2018 are primarily attributable to changes in the price of our common stock and exercises of outstanding warrants during the respective periods, with additional impact related to changes in other Black-Scholes model inputs.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75" w:lineRule="exact"/>
        <w:rPr>
          <w:sz w:val="20"/>
          <w:szCs w:val="20"/>
          <w:color w:val="auto"/>
        </w:rPr>
      </w:pPr>
    </w:p>
    <w:p>
      <w:pPr>
        <w:jc w:val="both"/>
        <w:ind w:firstLine="702"/>
        <w:spacing w:after="0" w:line="302" w:lineRule="auto"/>
        <w:rPr>
          <w:sz w:val="20"/>
          <w:szCs w:val="20"/>
          <w:color w:val="auto"/>
        </w:rPr>
      </w:pPr>
      <w:r>
        <w:rPr>
          <w:rFonts w:ascii="Arial" w:cs="Arial" w:eastAsia="Arial" w:hAnsi="Arial"/>
          <w:sz w:val="16"/>
          <w:szCs w:val="16"/>
          <w:color w:val="auto"/>
        </w:rPr>
        <w:t>On May 24, 2018, we entered into a credit agreement (2018 Credit Agreement), which provides for (i) a $150 million 5-year senior secured term loan facility (2018 Term Loan) that matures on May 24, 2023; and (ii) a $85 million three-year secured revolving credit facility (2018 Revolving Credit Facility) that matures on May 24, 2021. Proceeds from the 2018 Term Loan were used to repay in full the outstanding amount due under our $150 million amended term loan (2015 Term Loan) due on November 10, 2019, and to pay fees and expenses incurred in connection with the 2018 Credit Agreement.</w:t>
      </w:r>
    </w:p>
    <w:p>
      <w:pPr>
        <w:sectPr>
          <w:pgSz w:w="11900" w:h="16838" w:orient="portrait"/>
          <w:cols w:equalWidth="0" w:num="1">
            <w:col w:w="11420"/>
          </w:cols>
          <w:pgMar w:left="240" w:top="125"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Term Loan</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2018 Term Loan bears interest at the Eurodollar Rate, as defined in the 2018 Credit Agreement and subject to a 1.00% floor, plus an annual margin rate of 4.75%, representing an all-in rate of 6.95% as of September 30, 2019, payable quarterly based on our current interest period election. Quarterly principal payments of $375 thousand are also required. As of September 30, 2019, the outstanding principal balance of the 2018 Term Loan was $148.1 million.</w:t>
      </w:r>
    </w:p>
    <w:p>
      <w:pPr>
        <w:spacing w:after="0" w:line="13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Interest expense for the 2018 Term Loan includes interest and the amortization of issuance costs, an original issue discount and capitalized modification costs related to the 2015 Term Loan. For the three and nine months ended September 30, 2019, interest expense was $2.8 million and $8.4 million, respectively. Remaining unamortized issuance costs and original issue discount were $2.1 million as of September 30, 2019 and are being amortized to interest expense using the effective interest method over the contractual life of the 2018 Term Loan.</w:t>
      </w:r>
    </w:p>
    <w:p>
      <w:pPr>
        <w:spacing w:after="0" w:line="11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are subject to certain covenants under the 2018 Term Loan (as defined in the 2018 Credit Agreement), including (but not limited to) a maximum debt-to-total capitalization ratio (as defined in the 2018 Credit Agreement) of 35% under the 2018 Term Loan. We were in compliance with all covenants as of September 30, 2019.</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due under the 2018 Term Loan as of September 30, 2019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2019</w:t>
            </w: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Principal</w:t>
            </w:r>
          </w:p>
        </w:tc>
      </w:tr>
      <w:tr>
        <w:trPr>
          <w:trHeight w:val="223"/>
        </w:trPr>
        <w:tc>
          <w:tcPr>
            <w:tcW w:w="9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593"/>
              <w:spacing w:after="0"/>
              <w:rPr>
                <w:sz w:val="20"/>
                <w:szCs w:val="20"/>
                <w:color w:val="auto"/>
              </w:rPr>
            </w:pPr>
            <w:r>
              <w:rPr>
                <w:rFonts w:ascii="Arial" w:cs="Arial" w:eastAsia="Arial" w:hAnsi="Arial"/>
                <w:sz w:val="16"/>
                <w:szCs w:val="16"/>
                <w:i w:val="1"/>
                <w:iCs w:val="1"/>
                <w:color w:val="auto"/>
              </w:rPr>
              <w:t>(In thousands)</w:t>
            </w:r>
          </w:p>
        </w:tc>
      </w:tr>
      <w:tr>
        <w:trPr>
          <w:trHeight w:val="33"/>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1,500</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1,500</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143,250</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148,125</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Revolving Credit Facility</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Borrowings under the 2018 Revolving Credit Facility may be used for general corporate purposes and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As of September 30, 2019, no borrowings had been made under the 2018 Revolving Credit Facility.</w:t>
      </w:r>
    </w:p>
    <w:p>
      <w:pPr>
        <w:spacing w:after="0" w:line="13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are required to pay a quarterly commitment fee on the average daily undrawn amount of the 2018 Revolving Credit Facility, which ranges from 0.30% to 0.60%, based on the applicable corporate credit rating at the time. As of September 30, 2019, the applicable commitment fee was 0.40%. For the three and nine months ended September 30, 2019, we recorded $0.1 million and $0.3 million of commitment fees in interest expense, respectively.</w:t>
      </w:r>
    </w:p>
    <w:p>
      <w:pPr>
        <w:spacing w:after="0" w:line="93"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incurred issuance costs of $1.5 million in connection with the establishment of the 2018 Revolving Credit Facility, which were deferred and recorded within "Other assets". These costs are being amortized through interest expense over the three-year life of the 2018 Revolving Credit Facility on a straight-line basis. For the three and nine months ended September 30, 2019, we recognized $0.1 million and $0.4 million, respectively, of interest expense from the amortization of deferred issuance costs. At September 30, 2019, remaining deferred issuance costs were $0.8 million, net of accumulated amortization.</w:t>
      </w:r>
    </w:p>
    <w:p>
      <w:pPr>
        <w:spacing w:after="0" w:line="13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subject to certain covenants under the 2018 Revolving Credit Facility, including (but not limited to) the following: a maximum debt-to-total capitalization ratio of 35%, a minimum liquidity requirement, compliance with the PMIERs financial requirements (subject to any GSE-approved waivers), and minimum consolidated net worth and statutory capital requirements (respectively, as defined therein). We were in compliance with all covenants as of September 30, 2019.</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enter into third-party reinsurance transactions to actively manage our risk, ensure compliance with PMIERs, state regulatory and other applicable capital requirements, and support the growth of our business. The GSEs and the Wisconsin Office of the Commissioner of Insurance (Wisconsin OCI) have approved all such transactions (subject to certain conditions and ongoing review, including levels of approved capital credit).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5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September 30, 2018</w:t>
            </w:r>
          </w:p>
        </w:tc>
      </w:tr>
      <w:tr>
        <w:trPr>
          <w:trHeight w:val="250"/>
        </w:trPr>
        <w:tc>
          <w:tcPr>
            <w:tcW w:w="5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gridSpan w:val="5"/>
          </w:tcPr>
          <w:p>
            <w:pPr>
              <w:ind w:left="98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5100" w:type="dxa"/>
            <w:vAlign w:val="bottom"/>
          </w:tcPr>
          <w:p>
            <w:pPr>
              <w:ind w:left="160"/>
              <w:spacing w:after="0"/>
              <w:rPr>
                <w:sz w:val="20"/>
                <w:szCs w:val="20"/>
                <w:color w:val="auto"/>
              </w:rPr>
            </w:pPr>
            <w:r>
              <w:rPr>
                <w:rFonts w:ascii="Arial" w:cs="Arial" w:eastAsia="Arial" w:hAnsi="Arial"/>
                <w:sz w:val="18"/>
                <w:szCs w:val="18"/>
                <w:color w:val="auto"/>
              </w:rPr>
              <w:t>Direct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100,475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73,748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274,418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210,452</w:t>
            </w:r>
          </w:p>
        </w:tc>
      </w:tr>
      <w:tr>
        <w:trPr>
          <w:trHeight w:val="27"/>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1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(21,598)</w:t>
            </w:r>
          </w:p>
        </w:tc>
      </w:tr>
      <w:tr>
        <w:trPr>
          <w:trHeight w:val="297"/>
        </w:trPr>
        <w:tc>
          <w:tcPr>
            <w:tcW w:w="51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premiums written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88,679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65,381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243,211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188,854</w:t>
            </w:r>
          </w:p>
        </w:tc>
      </w:tr>
      <w:tr>
        <w:trPr>
          <w:trHeight w:val="257"/>
        </w:trPr>
        <w:tc>
          <w:tcPr>
            <w:tcW w:w="5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106,687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76,513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288,165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210,725</w:t>
            </w:r>
          </w:p>
        </w:tc>
      </w:tr>
      <w:tr>
        <w:trPr>
          <w:trHeight w:val="270"/>
        </w:trPr>
        <w:tc>
          <w:tcPr>
            <w:tcW w:w="510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(28,789)</w:t>
            </w:r>
          </w:p>
        </w:tc>
      </w:tr>
      <w:tr>
        <w:trPr>
          <w:trHeight w:val="257"/>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premiums earned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92,381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65,407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249,499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181,936</w:t>
            </w:r>
          </w:p>
        </w:tc>
      </w:tr>
      <w:tr>
        <w:trPr>
          <w:trHeight w:val="20"/>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of profit commission.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NMIC entered into excess-of-loss reinsurance agreements with Oaktown Re Ltd., Oaktown Re II Ltd. and Oaktown Re III Ltd. (special purpose reinsurance entities collectively referred to as the Oaktown Re Vehicles) effective May 2, 2017, July 25, 2018 and July 30, 2019, respectively. Each agreement provides NMIC with aggregate excess-of-loss reinsurance coverage on a defined portfolio of mortgage insurance policies written during a discrete period.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The respective outstanding reinsurance coverage amounts stop amortizing if certain credit enhancement or delinquency thresholds, as defined in each agreement, are triggered.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makes risk premium payments to the Oaktown Re Vehicles for the applicable outstanding reinsurance coverage amount and pays an additional premium amount for anticipated operating expenses (capped at $300 thousand per year to Oaktown Re Ltd. and $250 thousand per year to Oaktown Re II, Ltd. and Oaktown Re III, Ltd.). NMIC ceded aggregate premiums to the Oaktown Re Vehicles of $4.4 million and $10.3 million during the three and nine months ended September 30, 2019, respectively, and $3.1 million and $6.4 million during the three and nine months ended September 30, 2018.</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NMIC applies claims paid on covered policies against its first layer aggregate retained loss exposure under each excess-of-loss agreement. NMIC did not cede any incurred losses on covered policies to the Oaktown Re Vehicles during the three and nine months ended September 30, 2019 and 2018, as the aggregate first layer risk retention was not exhausted for each agreement during such periods.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We refer to NMIC's reinsurance agreements with and the insurance-linked note issuances by Oaktown Re Ltd., Oaktown Re II, Ltd. and Oaktown Re III, Ltd. individually as the 2017 ILN Transaction, 2018 ILN Transaction and 2019 ILN Transaction, and collectively as the ILN Transactions.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inception date, covered production period, initial and current reinsurance coverage amount, and initial and current first layer retained aggregate loss under each of the ILN Transactions.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Initial First Layer</w:t>
            </w:r>
          </w:p>
        </w:tc>
        <w:tc>
          <w:tcPr>
            <w:tcW w:w="140" w:type="dxa"/>
            <w:vAlign w:val="bottom"/>
          </w:tcPr>
          <w:p>
            <w:pPr>
              <w:spacing w:after="0"/>
              <w:rPr>
                <w:sz w:val="14"/>
                <w:szCs w:val="14"/>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Current First</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Inception Date</w:t>
            </w:r>
          </w:p>
        </w:tc>
        <w:tc>
          <w:tcPr>
            <w:tcW w:w="120" w:type="dxa"/>
            <w:vAlign w:val="bottom"/>
            <w:vMerge w:val="restart"/>
          </w:tcPr>
          <w:p>
            <w:pPr>
              <w:spacing w:after="0"/>
              <w:rPr>
                <w:sz w:val="12"/>
                <w:szCs w:val="12"/>
                <w:color w:val="auto"/>
              </w:rPr>
            </w:pPr>
          </w:p>
        </w:tc>
        <w:tc>
          <w:tcPr>
            <w:tcW w:w="23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Covered Production</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Reinsurance</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Reinsurance</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Layer Retained</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Coverage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Retained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ILN Transaction</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2, 2017</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1/1/2013 - 12/31/2016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75,639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124,074</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2018 ILN Transaction</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July 25, 2018</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264,545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231,604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125,312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125,025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 ILN Transaction</w:t>
            </w: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July 30, 2019</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326,905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326,905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123,424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123,424</w:t>
            </w: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holds optional termination rights under each ILN Transaction in the event of certain occurrences,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2018 ILN Transaction and the 2019 ILN Transaction, we are required to maintain a certain level of restricted funds in premium deposit accounts with Bank of New York Mellon until the respective notes have been redeemed in full. "Cash and cash equivalents" on our condensed consolidated balance sheet includes restricted amounts of $2.9 million as of September 30, 2019. We are not required to deposit additional funds into the premium deposit accounts in the future and the restricted balances will decrease over time as the outstanding principal balances of the respective insurance-linked notes decline.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 of reinsurance premiums ceded under each ILN Transaction fluctuates based on changes in one-month LIBOR and changes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earned rate on the money market funds in which the assets of the reinsurance trusts are invested. As the reinsurance premiums will vary based on changes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rates, we have concluded that the ILN Transactions each contain an embedded derivative that must be treated separately as a freestanding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The total fair value of such derivatives at September 30, 2019 and December 31, 2018, and the change in fair value of the derivatives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and nine months ended September 30, 2019 and 2018, were not material to our condensed consolidated financial statements.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NMIC entered into quota share reinsurance treaties effective September 1, 2016 (the 2016 QSR Transaction) and January 1, 2018 (the 2018 QSR Transaction), which we refer to collectively as the QSR Transactions.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(A.M.Best) or both.</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Under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8"/>
          <w:szCs w:val="18"/>
          <w:color w:val="212529"/>
        </w:rPr>
        <w:t>The 2016 QSR Transaction is scheduled to terminate on</w:t>
      </w:r>
      <w:r>
        <w:rPr>
          <w:rFonts w:ascii="Arial" w:cs="Arial" w:eastAsia="Arial" w:hAnsi="Arial"/>
          <w:sz w:val="18"/>
          <w:szCs w:val="18"/>
          <w:color w:val="auto"/>
        </w:rPr>
        <w:t xml:space="preserve"> </w:t>
      </w:r>
      <w:r>
        <w:rPr>
          <w:rFonts w:ascii="Arial" w:cs="Arial" w:eastAsia="Arial" w:hAnsi="Arial"/>
          <w:sz w:val="18"/>
          <w:szCs w:val="18"/>
          <w:color w:val="212529"/>
        </w:rPr>
        <w:t>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reassuming the related risk.</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reassuming the related risk.</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may terminate either or both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702"/>
        <w:spacing w:after="0" w:line="279"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amounts related to the QSR Transactions: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September 30, 2019</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September 30, 2019</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September 30, 2018</w:t>
            </w:r>
          </w:p>
        </w:tc>
      </w:tr>
      <w:tr>
        <w:trPr>
          <w:trHeight w:val="250"/>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80" w:type="dxa"/>
            <w:vAlign w:val="bottom"/>
            <w:gridSpan w:val="4"/>
          </w:tcPr>
          <w:p>
            <w:pPr>
              <w:jc w:val="right"/>
              <w:ind w:right="1175"/>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risk-in-force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4,901,809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3,960,461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4,901,809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3,960,461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Ceded premiums earned</w:t>
            </w:r>
          </w:p>
        </w:tc>
        <w:tc>
          <w:tcPr>
            <w:tcW w:w="16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(23,151)</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(65,538)</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(53,581)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claims and claim expenses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766</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2,435</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Ceding commission earned</w:t>
            </w:r>
          </w:p>
        </w:tc>
        <w:tc>
          <w:tcPr>
            <w:tcW w:w="16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4,584</w:t>
            </w:r>
          </w:p>
        </w:tc>
        <w:tc>
          <w:tcPr>
            <w:tcW w:w="22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12,961</w:t>
            </w:r>
          </w:p>
        </w:tc>
        <w:tc>
          <w:tcPr>
            <w:tcW w:w="2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10,501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 commission</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13,254</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11,272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37,199</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31,180</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Ceded premiums written under the 2016 QSR Transaction are recorded on the balance sheet as prepaid reinsurance premiums and amortized to ceded premiums earned in a manner consistent with the recognition of revenue on direct premiums. Under the 2018 QSR Transaction,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QSR Transaction and 2018 QSR Transaction generally remain below 60% and 61%, respectively, as measured annually. Ceded claims and claim expenses under each of the QSR Transactions reduce the respective profit commission received by NMIC on a dollar-for-dollar basis.</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our 2016 QSR Transaction was $2.6 million as of September 30, 2019.</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2018 QSR Transaction, cash payments for ceded premiums earned are settled on a quarterly basis, offset by amounts due to NMIC for ceding and profit commissions. Any loss recoveries and any potential profit commission to NMIC are also settled quarterly. NMIC's reinsurance recoverable balance is supported by trust accounts established and maintained by each reinsurer in accordance with the PMIERs funding requirements for risk ceded to non-affiliates. The reinsurance recoverable on loss reserves related to our 2018 QSR Transaction was $1.7 million as of September 30,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establish reserves to recognize the estimated liability for insurance claims and claim expenses related to defaults on insured mortgage loans. Consistent with industry practice, we establish reserves for loans that have been reported to us by servicers as having been in default for at least 60 days, referred to as case reserves, and additional loans that we estimate (based on actuarial review) have been in default for at least 60 days that have not yet been reported to us by servicers, referred to as incurred but not reported (IBNR) reserves. We also establish claim expense reserves, which represent the estimated cost of the claim administration process, including legal and other fees, as well as other general expenses of administering the claims settlement process. As of September 30, 2019, we had reserves for insurance claims and claim expenses of $20.5 million for 1,230 primary loans in default. During the nine months ended September 30, 2019, we paid 98 claims totaling $3.0 million, including 91 claims covered under the QSR Transactions representing $0.6 million of ceded claims and claim expenses.</w:t>
      </w:r>
    </w:p>
    <w:p>
      <w:pPr>
        <w:spacing w:after="0" w:line="1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September 30, 2019, 49 loans in the pool were past due by 60 days or more. These 49 loans represented approximately $3.4 million of RIF. Due to the size of the remaining deductible, the low level of notices of default (NODs) reported on loans in the pool through September 30, 2019 and the expected severity (all loans in the pool have loan-to-value ratios (LTV) ratios under 80%), we did not establish any case or IBNR reserves for pool risk at September 30, 2019. In connection with the settlement of pool claims, we applied $0.8 million to the pool deductible through September 30, 2019. At September 30, 2019, the remaining pool deductible was $9.6 million. We have not paid any pool claims to date. 100% of our pool RIF is reinsured under the 2016 QSR Transaction.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64"/>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12,811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8,761</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6,859</w:t>
            </w:r>
          </w:p>
        </w:tc>
      </w:tr>
      <w:tr>
        <w:trPr>
          <w:trHeight w:val="169"/>
        </w:trPr>
        <w:tc>
          <w:tcPr>
            <w:tcW w:w="79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4"/>
              </w:rPr>
              <w:t>10,948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5,090</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incurred</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3,311</w:t>
            </w:r>
          </w:p>
        </w:tc>
      </w:tr>
      <w:tr>
        <w:trPr>
          <w:trHeight w:val="183"/>
        </w:trPr>
        <w:tc>
          <w:tcPr>
            <w:tcW w:w="79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70"/>
        </w:trPr>
        <w:tc>
          <w:tcPr>
            <w:tcW w:w="790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1,742</w:t>
            </w: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Reinsurance terminations </w:t>
            </w:r>
            <w:r>
              <w:rPr>
                <w:rFonts w:ascii="Arial" w:cs="Arial" w:eastAsia="Arial" w:hAnsi="Arial"/>
                <w:sz w:val="25"/>
                <w:szCs w:val="25"/>
                <w:color w:val="auto"/>
                <w:vertAlign w:val="superscript"/>
              </w:rPr>
              <w:t>(4)</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claims and claim expenses paid</w:t>
            </w:r>
          </w:p>
        </w:tc>
        <w:tc>
          <w:tcPr>
            <w:tcW w:w="106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1,779</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6"/>
        </w:trPr>
        <w:tc>
          <w:tcPr>
            <w:tcW w:w="79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16,196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8,391</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4,309</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2,517</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20,505</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10,908</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00" w:right="560" w:hanging="492"/>
        <w:spacing w:after="0" w:line="250" w:lineRule="auto"/>
        <w:tabs>
          <w:tab w:leader="none" w:pos="500" w:val="left"/>
        </w:tabs>
        <w:numPr>
          <w:ilvl w:val="0"/>
          <w:numId w:val="11"/>
        </w:numPr>
        <w:rPr>
          <w:rFonts w:ascii="Arial" w:cs="Arial" w:eastAsia="Arial" w:hAnsi="Arial"/>
          <w:sz w:val="9"/>
          <w:szCs w:val="9"/>
          <w:color w:val="auto"/>
        </w:rPr>
      </w:pPr>
      <w:r>
        <w:rPr>
          <w:rFonts w:ascii="Arial" w:cs="Arial" w:eastAsia="Arial" w:hAnsi="Arial"/>
          <w:sz w:val="14"/>
          <w:szCs w:val="14"/>
          <w:color w:val="auto"/>
        </w:rPr>
        <w:t xml:space="preserve">Related to ceded losses recoverable under the QSR Transactions, included in "Other assets" on the condensed consolidated balance sheets. See Note 5, </w:t>
      </w:r>
      <w:r>
        <w:rPr>
          <w:rFonts w:ascii="Arial" w:cs="Arial" w:eastAsia="Arial" w:hAnsi="Arial"/>
          <w:sz w:val="14"/>
          <w:szCs w:val="14"/>
          <w:i w:val="1"/>
          <w:iCs w:val="1"/>
          <w:color w:val="auto"/>
        </w:rPr>
        <w:t>"Reinsurance"</w:t>
      </w:r>
      <w:r>
        <w:rPr>
          <w:rFonts w:ascii="Arial" w:cs="Arial" w:eastAsia="Arial" w:hAnsi="Arial"/>
          <w:sz w:val="14"/>
          <w:szCs w:val="14"/>
          <w:color w:val="auto"/>
        </w:rPr>
        <w:t xml:space="preserve"> for additional information.</w:t>
      </w:r>
    </w:p>
    <w:p>
      <w:pPr>
        <w:ind w:left="500" w:right="80" w:hanging="492"/>
        <w:spacing w:after="0" w:line="241" w:lineRule="auto"/>
        <w:tabs>
          <w:tab w:leader="none" w:pos="500" w:val="left"/>
        </w:tabs>
        <w:numPr>
          <w:ilvl w:val="0"/>
          <w:numId w:val="11"/>
        </w:numPr>
        <w:rPr>
          <w:rFonts w:ascii="Arial" w:cs="Arial" w:eastAsia="Arial" w:hAnsi="Arial"/>
          <w:sz w:val="9"/>
          <w:szCs w:val="9"/>
          <w:color w:val="auto"/>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ind w:left="500" w:hanging="492"/>
        <w:spacing w:after="0"/>
        <w:tabs>
          <w:tab w:leader="none" w:pos="500" w:val="left"/>
        </w:tabs>
        <w:numPr>
          <w:ilvl w:val="0"/>
          <w:numId w:val="11"/>
        </w:numPr>
        <w:rPr>
          <w:rFonts w:ascii="Arial" w:cs="Arial" w:eastAsia="Arial" w:hAnsi="Arial"/>
          <w:sz w:val="8"/>
          <w:szCs w:val="8"/>
          <w:color w:val="auto"/>
        </w:rPr>
      </w:pPr>
      <w:r>
        <w:rPr>
          <w:rFonts w:ascii="Arial" w:cs="Arial" w:eastAsia="Arial" w:hAnsi="Arial"/>
          <w:sz w:val="13"/>
          <w:szCs w:val="13"/>
          <w:color w:val="auto"/>
        </w:rPr>
        <w:t>Related to insured loans with defaults occurring in prior years, which have been continuously in default before the start of the current year. Amounts are presented net of reinsurance.</w:t>
      </w:r>
    </w:p>
    <w:p>
      <w:pPr>
        <w:spacing w:after="0" w:line="12" w:lineRule="exact"/>
        <w:rPr>
          <w:rFonts w:ascii="Arial" w:cs="Arial" w:eastAsia="Arial" w:hAnsi="Arial"/>
          <w:sz w:val="8"/>
          <w:szCs w:val="8"/>
          <w:color w:val="auto"/>
        </w:rPr>
      </w:pPr>
    </w:p>
    <w:p>
      <w:pPr>
        <w:ind w:left="500" w:right="60" w:hanging="492"/>
        <w:spacing w:after="0" w:line="255" w:lineRule="auto"/>
        <w:tabs>
          <w:tab w:leader="none" w:pos="50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settlement of reinsurance recoverables in conjunction with the termination of one reinsurer under the 2016 QSR Transaction on a cut-off basis. See Note 5,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spacing w:after="0" w:line="13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"claims incurred" section of the table above shows claims and claim expenses incurred on NODs for current and prior years, including IBNR reserves and is presented net of reinsurance. The amount of claims incurred relating to current year NODs represents the estimated amount of claims and claim expenses to be ultimately paid on such loans in default. We recognized $2.7 million and $1.8 million of favorable prior year development during the nine months ended September 30, 2019 and 2018, respectively, due to NOD cures and ongoing analysis of recent loss development trends. We may increase or decrease our original estimates as we learn additional information about individual defaults and claims and continue to observe and analyze loss development trends in our portfolio. Gross reserves of $6.6 million related to prior year defaults remained as of September 30,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75" w:lineRule="exact"/>
        <w:rPr>
          <w:sz w:val="20"/>
          <w:szCs w:val="20"/>
          <w:color w:val="auto"/>
        </w:rPr>
      </w:pPr>
    </w:p>
    <w:p>
      <w:pPr>
        <w:jc w:val="both"/>
        <w:ind w:firstLine="702"/>
        <w:spacing w:after="0" w:line="293" w:lineRule="auto"/>
        <w:rPr>
          <w:sz w:val="20"/>
          <w:szCs w:val="20"/>
          <w:color w:val="auto"/>
        </w:rPr>
      </w:pPr>
      <w:r>
        <w:rPr>
          <w:rFonts w:ascii="Arial" w:cs="Arial" w:eastAsia="Arial" w:hAnsi="Arial"/>
          <w:sz w:val="16"/>
          <w:szCs w:val="16"/>
          <w:color w:val="auto"/>
        </w:rPr>
        <w:t>Basic earnings per share is based on the weighted average number of shares of common stock outstanding. Diluted earnings per share is based on the weighted average number of shares of common stock outstanding and common stock equivalents that would be issuable upon the vesting of service based and performance and service 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earnings per share of common stock.</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20" w:type="dxa"/>
            <w:vAlign w:val="bottom"/>
            <w:gridSpan w:val="6"/>
          </w:tcPr>
          <w:p>
            <w:pPr>
              <w:ind w:left="360"/>
              <w:spacing w:after="0"/>
              <w:rPr>
                <w:sz w:val="20"/>
                <w:szCs w:val="20"/>
                <w:color w:val="auto"/>
              </w:rPr>
            </w:pPr>
            <w:r>
              <w:rPr>
                <w:rFonts w:ascii="Arial" w:cs="Arial" w:eastAsia="Arial" w:hAnsi="Arial"/>
                <w:sz w:val="14"/>
                <w:szCs w:val="14"/>
                <w:b w:val="1"/>
                <w:bCs w:val="1"/>
                <w:color w:val="auto"/>
              </w:rPr>
              <w:t>For the three months ended September 30,</w:t>
            </w:r>
          </w:p>
        </w:tc>
        <w:tc>
          <w:tcPr>
            <w:tcW w:w="260" w:type="dxa"/>
            <w:vAlign w:val="bottom"/>
          </w:tcPr>
          <w:p>
            <w:pPr>
              <w:spacing w:after="0"/>
              <w:rPr>
                <w:sz w:val="16"/>
                <w:szCs w:val="16"/>
                <w:color w:val="auto"/>
              </w:rPr>
            </w:pPr>
          </w:p>
        </w:tc>
        <w:tc>
          <w:tcPr>
            <w:tcW w:w="30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264"/>
        </w:trPr>
        <w:tc>
          <w:tcPr>
            <w:tcW w:w="47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4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20" w:type="dxa"/>
            <w:vAlign w:val="bottom"/>
            <w:gridSpan w:val="5"/>
          </w:tcPr>
          <w:p>
            <w:pPr>
              <w:ind w:left="180"/>
              <w:spacing w:after="0"/>
              <w:rPr>
                <w:sz w:val="20"/>
                <w:szCs w:val="20"/>
                <w:color w:val="auto"/>
              </w:rPr>
            </w:pPr>
            <w:r>
              <w:rPr>
                <w:rFonts w:ascii="Arial" w:cs="Arial" w:eastAsia="Arial" w:hAnsi="Arial"/>
                <w:sz w:val="14"/>
                <w:szCs w:val="14"/>
                <w:i w:val="1"/>
                <w:iCs w:val="1"/>
                <w:color w:val="auto"/>
              </w:rPr>
              <w:t>(In Thousands, except for per share data)</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49,763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67,849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65,948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67,381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64,584</w:t>
            </w: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49,763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from change in fair value of warrant liability</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48,624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72,407</w:t>
            </w:r>
          </w:p>
        </w:tc>
      </w:tr>
      <w:tr>
        <w:trPr>
          <w:trHeight w:val="297"/>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67,849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65,948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64,584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Dilutive effect of issuable shares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2,928</w:t>
            </w: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70,137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67,512</w:t>
            </w:r>
          </w:p>
        </w:tc>
      </w:tr>
      <w:tr>
        <w:trPr>
          <w:trHeight w:val="297"/>
        </w:trPr>
        <w:tc>
          <w:tcPr>
            <w:tcW w:w="47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Anti-dilutive shares</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r>
      <w:tr>
        <w:trPr>
          <w:trHeight w:val="27"/>
        </w:trPr>
        <w:tc>
          <w:tcPr>
            <w:tcW w:w="47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issued 992 thousand warrants in connection with a private placement of our common stock in April 2012. Each warrant gives the holder thereof the right to purchase one share of common stock at an exercise price equal to $10.00. The warrants were issued with an aggregate fair value of $5.1 million.</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September 30, 2019, 130 thousand warrants were exercised resulting in the issuance of 82 thousand shares of common stock. Upon exercise, we reclassified approximately $2.2 million of warrant fair value from warrant liability to additional paid-in capital, of which $0.9 million related to changes in fair value during the three months ended September 30, 2019. During the nine months ended September 30, 2019, 390 thousand warrants were exercised resulting in the issuance of 249 thousand shares of common stock. Upon exercise, we reclassified approximately $7.0 million of warrant fair value from warrant liability to additional paid-in capital, of which $3.2 million related to changes in fair value during the nine months ended September 30, 2019.</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September 30, 2018, 79 thousand warrants were exercised resulting in the issuance of 57 thousand shares of common stock. Upon exercise, we reclassified approximately $0.9 million of warrant fair value from warrant liability to additional paid-in capital, of which $0.3 million related to changes in fair value during the three months ended September 30, 2018. During the nine months ended September 30, 2018, 142 thousand warrants were exercised resulting in the issuance of 87 thousand shares of common stock. Upon exercise, we reclassified approximately $1.5 million of warrant fair value from warrant liability to additional paid-in capital, of which $0.3 million related to changes in fair value during the nine months ended September 30, 2018.</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U.S. taxpayer and are subject to a statutory U.S. federal corporate income tax rate of 21%. NMIH files a consolidated U.S. federal and various state income tax returns on behalf of itself and its subsidiaries. Our effective tax rate on our pre-tax income was 22.2% and 20.9% for the three and nine months ended September 30, 2019, respectively, compared to 22.1% and 20.2% for the three and nine months ended September 30, 2018,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and the change in fair value of our warrant liability. Such items are treated on a discrete basis in the reporting period in which they occur.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nine months ended September 30, 2019 represents a change in our net deferred tax liability. During the three and nine months ended September 30, 2019, we had net purchases of $7.6 million of tax and loss bonds, and, as of September 30, 2019, we held $7.6 million of tax and loss bonds in "Other assets" in our condensed consolidated balance sheet.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two operating lease agreements related to our corporate headquarters and a data center facility for which we recognized operating ROU assets and lease liabilities of $6.9 million and $7.9 million, which are included in "Other assets" and "Other liabilities" on the condensed consolidated balance sheet, respectively, as of September 30, 2019. As of September 30, 2019, we did not have any finance leases.</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recognize ROU assets and lease liabilities in connection with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ROU assets and lease liabilities are established based on the estimated present value of lease payments over the relevant lease term. We estimate a discount rate for each lease based on our estimated incremental borrowing rate at the commencement date of the relevant lease.</w:t>
      </w:r>
    </w:p>
    <w:p>
      <w:pPr>
        <w:spacing w:after="0" w:line="12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ROU assets obtained in exchange for new operating lease liabilities for the nine months ended September 30, 2019 were $8.1 million. The following table provides a summary of our ROU asset and lease liability assumptions as of September 30, 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remaining lease term</w:t>
            </w:r>
          </w:p>
        </w:tc>
        <w:tc>
          <w:tcPr>
            <w:tcW w:w="4680" w:type="dxa"/>
            <w:vAlign w:val="bottom"/>
          </w:tcPr>
          <w:p>
            <w:pPr>
              <w:jc w:val="right"/>
              <w:ind w:right="90"/>
              <w:spacing w:after="0"/>
              <w:rPr>
                <w:sz w:val="20"/>
                <w:szCs w:val="20"/>
                <w:color w:val="auto"/>
              </w:rPr>
            </w:pPr>
            <w:r>
              <w:rPr>
                <w:rFonts w:ascii="Arial" w:cs="Arial" w:eastAsia="Arial" w:hAnsi="Arial"/>
                <w:sz w:val="18"/>
                <w:szCs w:val="18"/>
                <w:color w:val="auto"/>
              </w:rPr>
              <w:t>3.5 years</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674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paid on our operating lease liabilities for the three and nine months ended September 30, 2019 was $0.6 million and $1.8 million, respectively. Lease expenses recognized on our operating lease liabilities for the three and nine months ended September 30, 2019 were $0.6 million and $1.7 million, respectively. Future payments due under our existing operating leases as of September 30, 2019 are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40" w:type="dxa"/>
            <w:vAlign w:val="bottom"/>
          </w:tcPr>
          <w:p>
            <w:pPr>
              <w:jc w:val="right"/>
              <w:ind w:right="1072"/>
              <w:spacing w:after="0"/>
              <w:rPr>
                <w:sz w:val="20"/>
                <w:szCs w:val="20"/>
                <w:color w:val="auto"/>
              </w:rPr>
            </w:pPr>
            <w:r>
              <w:rPr>
                <w:rFonts w:ascii="Arial" w:cs="Arial" w:eastAsia="Arial" w:hAnsi="Arial"/>
                <w:sz w:val="14"/>
                <w:szCs w:val="14"/>
                <w:i w:val="1"/>
                <w:iCs w:val="1"/>
                <w:color w:val="auto"/>
              </w:rPr>
              <w:t>(In Thousands)</w:t>
            </w:r>
          </w:p>
        </w:tc>
      </w:tr>
      <w:tr>
        <w:trPr>
          <w:trHeight w:val="222"/>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2019</w:t>
            </w:r>
          </w:p>
        </w:tc>
        <w:tc>
          <w:tcPr>
            <w:tcW w:w="64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56"/>
        </w:trPr>
        <w:tc>
          <w:tcPr>
            <w:tcW w:w="8180" w:type="dxa"/>
            <w:vAlign w:val="bottom"/>
            <w:tcBorders>
              <w:bottom w:val="single" w:sz="8" w:color="CCEEFF"/>
            </w:tcBorders>
            <w:shd w:val="clear" w:color="auto" w:fill="CCEEFF"/>
          </w:tcPr>
          <w:p>
            <w:pPr>
              <w:jc w:val="right"/>
              <w:ind w:right="7472"/>
              <w:spacing w:after="0"/>
              <w:rPr>
                <w:sz w:val="20"/>
                <w:szCs w:val="20"/>
                <w:color w:val="auto"/>
              </w:rPr>
            </w:pPr>
            <w:r>
              <w:rPr>
                <w:rFonts w:ascii="Arial" w:cs="Arial" w:eastAsia="Arial" w:hAnsi="Arial"/>
                <w:sz w:val="18"/>
                <w:szCs w:val="18"/>
                <w:color w:val="auto"/>
              </w:rPr>
              <w:t>2019</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w:t>
            </w:r>
          </w:p>
        </w:tc>
      </w:tr>
      <w:tr>
        <w:trPr>
          <w:trHeight w:val="243"/>
        </w:trPr>
        <w:tc>
          <w:tcPr>
            <w:tcW w:w="8180" w:type="dxa"/>
            <w:vAlign w:val="bottom"/>
          </w:tcPr>
          <w:p>
            <w:pPr>
              <w:jc w:val="right"/>
              <w:ind w:right="7472"/>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1"/>
                <w:szCs w:val="21"/>
                <w:color w:val="auto"/>
              </w:rPr>
            </w:pPr>
          </w:p>
        </w:tc>
        <w:tc>
          <w:tcPr>
            <w:tcW w:w="2540" w:type="dxa"/>
            <w:vAlign w:val="bottom"/>
          </w:tcPr>
          <w:p>
            <w:pPr>
              <w:jc w:val="right"/>
              <w:ind w:right="32"/>
              <w:spacing w:after="0"/>
              <w:rPr>
                <w:sz w:val="20"/>
                <w:szCs w:val="20"/>
                <w:color w:val="auto"/>
              </w:rPr>
            </w:pPr>
            <w:r>
              <w:rPr>
                <w:rFonts w:ascii="Arial" w:cs="Arial" w:eastAsia="Arial" w:hAnsi="Arial"/>
                <w:sz w:val="18"/>
                <w:szCs w:val="18"/>
                <w:color w:val="auto"/>
              </w:rPr>
              <w:t>2,537</w:t>
            </w:r>
          </w:p>
        </w:tc>
      </w:tr>
      <w:tr>
        <w:trPr>
          <w:trHeight w:val="27"/>
        </w:trPr>
        <w:tc>
          <w:tcPr>
            <w:tcW w:w="8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jc w:val="right"/>
              <w:ind w:right="7472"/>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2,609</w:t>
            </w:r>
          </w:p>
        </w:tc>
      </w:tr>
      <w:tr>
        <w:trPr>
          <w:trHeight w:val="243"/>
        </w:trPr>
        <w:tc>
          <w:tcPr>
            <w:tcW w:w="8180" w:type="dxa"/>
            <w:vAlign w:val="bottom"/>
          </w:tcPr>
          <w:p>
            <w:pPr>
              <w:jc w:val="right"/>
              <w:ind w:right="7472"/>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21"/>
                <w:szCs w:val="21"/>
                <w:color w:val="auto"/>
              </w:rPr>
            </w:pPr>
          </w:p>
        </w:tc>
        <w:tc>
          <w:tcPr>
            <w:tcW w:w="2540" w:type="dxa"/>
            <w:vAlign w:val="bottom"/>
          </w:tcPr>
          <w:p>
            <w:pPr>
              <w:jc w:val="right"/>
              <w:ind w:right="32"/>
              <w:spacing w:after="0"/>
              <w:rPr>
                <w:sz w:val="20"/>
                <w:szCs w:val="20"/>
                <w:color w:val="auto"/>
              </w:rPr>
            </w:pPr>
            <w:r>
              <w:rPr>
                <w:rFonts w:ascii="Arial" w:cs="Arial" w:eastAsia="Arial" w:hAnsi="Arial"/>
                <w:sz w:val="18"/>
                <w:szCs w:val="18"/>
                <w:color w:val="auto"/>
              </w:rPr>
              <w:t>2,574</w:t>
            </w:r>
          </w:p>
        </w:tc>
      </w:tr>
      <w:tr>
        <w:trPr>
          <w:trHeight w:val="27"/>
        </w:trPr>
        <w:tc>
          <w:tcPr>
            <w:tcW w:w="8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jc w:val="right"/>
              <w:ind w:right="7472"/>
              <w:spacing w:after="0"/>
              <w:rPr>
                <w:sz w:val="20"/>
                <w:szCs w:val="20"/>
                <w:color w:val="auto"/>
              </w:rPr>
            </w:pPr>
            <w:r>
              <w:rPr>
                <w:rFonts w:ascii="Arial" w:cs="Arial" w:eastAsia="Arial" w:hAnsi="Arial"/>
                <w:sz w:val="18"/>
                <w:szCs w:val="18"/>
                <w:color w:val="auto"/>
              </w:rPr>
              <w:t>2023</w:t>
            </w:r>
          </w:p>
        </w:tc>
        <w:tc>
          <w:tcPr>
            <w:tcW w:w="64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Total undiscounted lease payments</w:t>
            </w:r>
          </w:p>
        </w:tc>
        <w:tc>
          <w:tcPr>
            <w:tcW w:w="64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8,807</w:t>
            </w:r>
          </w:p>
        </w:tc>
      </w:tr>
      <w:tr>
        <w:trPr>
          <w:trHeight w:val="27"/>
        </w:trPr>
        <w:tc>
          <w:tcPr>
            <w:tcW w:w="8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effects of discounting</w:t>
            </w:r>
          </w:p>
        </w:tc>
        <w:tc>
          <w:tcPr>
            <w:tcW w:w="64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2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7,907</w:t>
            </w:r>
          </w:p>
        </w:tc>
      </w:tr>
      <w:tr>
        <w:trPr>
          <w:trHeight w:val="20"/>
        </w:trPr>
        <w:tc>
          <w:tcPr>
            <w:tcW w:w="8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Lease expense is recorded in underwriting and operating expenses on the consolidated statements of operations. Our existing operating leases have terms that range from three to five years. The lease for our corporate headquarters includes an option to renew for an additional five years at prevailing market rates at time of renewal. We have not included this renewal option in our calculation of minimum lease payments as it is not reasonably certain to be exercised.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As of December 31, 2018, the future minimum lease payments as accounted for prior to our adoption of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Year ending December 31, 2018</w:t>
            </w:r>
          </w:p>
        </w:tc>
        <w:tc>
          <w:tcPr>
            <w:tcW w:w="6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Pr>
          <w:p>
            <w:pPr>
              <w:jc w:val="right"/>
              <w:ind w:right="113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120" w:type="dxa"/>
            <w:vAlign w:val="bottom"/>
            <w:tcBorders>
              <w:bottom w:val="single" w:sz="8" w:color="CCEEFF"/>
            </w:tcBorders>
            <w:shd w:val="clear" w:color="auto" w:fill="CCEEFF"/>
          </w:tcPr>
          <w:p>
            <w:pPr>
              <w:jc w:val="right"/>
              <w:ind w:right="7393"/>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2,346</w:t>
            </w:r>
          </w:p>
        </w:tc>
      </w:tr>
      <w:tr>
        <w:trPr>
          <w:trHeight w:val="243"/>
        </w:trPr>
        <w:tc>
          <w:tcPr>
            <w:tcW w:w="8120" w:type="dxa"/>
            <w:vAlign w:val="bottom"/>
          </w:tcPr>
          <w:p>
            <w:pPr>
              <w:jc w:val="right"/>
              <w:ind w:right="7393"/>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1"/>
                <w:szCs w:val="21"/>
                <w:color w:val="auto"/>
              </w:rPr>
            </w:pPr>
          </w:p>
        </w:tc>
        <w:tc>
          <w:tcPr>
            <w:tcW w:w="2640" w:type="dxa"/>
            <w:vAlign w:val="bottom"/>
          </w:tcPr>
          <w:p>
            <w:pPr>
              <w:jc w:val="right"/>
              <w:ind w:right="13"/>
              <w:spacing w:after="0"/>
              <w:rPr>
                <w:sz w:val="20"/>
                <w:szCs w:val="20"/>
                <w:color w:val="auto"/>
              </w:rPr>
            </w:pPr>
            <w:r>
              <w:rPr>
                <w:rFonts w:ascii="Arial" w:cs="Arial" w:eastAsia="Arial" w:hAnsi="Arial"/>
                <w:sz w:val="18"/>
                <w:szCs w:val="18"/>
                <w:color w:val="auto"/>
              </w:rPr>
              <w:t>2,417</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jc w:val="right"/>
              <w:ind w:right="7393"/>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2,489</w:t>
            </w:r>
          </w:p>
        </w:tc>
      </w:tr>
      <w:tr>
        <w:trPr>
          <w:trHeight w:val="243"/>
        </w:trPr>
        <w:tc>
          <w:tcPr>
            <w:tcW w:w="8120" w:type="dxa"/>
            <w:vAlign w:val="bottom"/>
          </w:tcPr>
          <w:p>
            <w:pPr>
              <w:jc w:val="right"/>
              <w:ind w:right="7393"/>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21"/>
                <w:szCs w:val="21"/>
                <w:color w:val="auto"/>
              </w:rPr>
            </w:pPr>
          </w:p>
        </w:tc>
        <w:tc>
          <w:tcPr>
            <w:tcW w:w="2640" w:type="dxa"/>
            <w:vAlign w:val="bottom"/>
          </w:tcPr>
          <w:p>
            <w:pPr>
              <w:jc w:val="right"/>
              <w:ind w:right="13"/>
              <w:spacing w:after="0"/>
              <w:rPr>
                <w:sz w:val="20"/>
                <w:szCs w:val="20"/>
                <w:color w:val="auto"/>
              </w:rPr>
            </w:pPr>
            <w:r>
              <w:rPr>
                <w:rFonts w:ascii="Arial" w:cs="Arial" w:eastAsia="Arial" w:hAnsi="Arial"/>
                <w:sz w:val="18"/>
                <w:szCs w:val="18"/>
                <w:color w:val="auto"/>
              </w:rPr>
              <w:t>2,564</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jc w:val="right"/>
              <w:ind w:right="7393"/>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Totals</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2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10,279</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60" w:right="9080" w:hanging="652"/>
        <w:spacing w:after="0" w:line="528" w:lineRule="auto"/>
        <w:tabs>
          <w:tab w:leader="none" w:pos="272"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Regulatory Information </w:t>
      </w:r>
      <w:r>
        <w:rPr>
          <w:rFonts w:ascii="Arial" w:cs="Arial" w:eastAsia="Arial" w:hAnsi="Arial"/>
          <w:sz w:val="15"/>
          <w:szCs w:val="15"/>
          <w:i w:val="1"/>
          <w:iCs w:val="1"/>
          <w:color w:val="auto"/>
        </w:rPr>
        <w:t>Statutory Requirements</w:t>
      </w:r>
    </w:p>
    <w:p>
      <w:pPr>
        <w:spacing w:after="0" w:line="1"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net income (loss)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6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three months ended September 30,</w:t>
            </w:r>
          </w:p>
        </w:tc>
        <w:tc>
          <w:tcPr>
            <w:tcW w:w="320" w:type="dxa"/>
            <w:vAlign w:val="bottom"/>
          </w:tcPr>
          <w:p>
            <w:pPr>
              <w:spacing w:after="0"/>
              <w:rPr>
                <w:sz w:val="16"/>
                <w:szCs w:val="16"/>
                <w:color w:val="auto"/>
              </w:rPr>
            </w:pPr>
          </w:p>
        </w:tc>
        <w:tc>
          <w:tcPr>
            <w:tcW w:w="298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264"/>
        </w:trPr>
        <w:tc>
          <w:tcPr>
            <w:tcW w:w="44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r>
      <w:tr>
        <w:trPr>
          <w:trHeight w:val="250"/>
        </w:trPr>
        <w:tc>
          <w:tcPr>
            <w:tcW w:w="4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8,055</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13,594</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(22,022)</w:t>
            </w:r>
          </w:p>
        </w:tc>
      </w:tr>
      <w:tr>
        <w:trPr>
          <w:trHeight w:val="27"/>
        </w:trPr>
        <w:tc>
          <w:tcPr>
            <w:tcW w:w="4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surplus, contingency reserve and risk-to-capital (RTC) ratio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September 30, 2019</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3"/>
          </w:tcPr>
          <w:p>
            <w:pPr>
              <w:jc w:val="right"/>
              <w:ind w:right="994"/>
              <w:spacing w:after="0"/>
              <w:rPr>
                <w:sz w:val="20"/>
                <w:szCs w:val="20"/>
                <w:color w:val="auto"/>
              </w:rPr>
            </w:pPr>
            <w:r>
              <w:rPr>
                <w:rFonts w:ascii="Arial" w:cs="Arial" w:eastAsia="Arial" w:hAnsi="Arial"/>
                <w:sz w:val="14"/>
                <w:szCs w:val="14"/>
                <w:i w:val="1"/>
                <w:iCs w:val="1"/>
                <w:color w:val="auto"/>
              </w:rPr>
              <w:t>(Dollars 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surplus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447,304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430,785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Contingency reserve</w:t>
            </w:r>
          </w:p>
        </w:tc>
        <w:tc>
          <w:tcPr>
            <w:tcW w:w="180" w:type="dxa"/>
            <w:vAlign w:val="bottom"/>
          </w:tcPr>
          <w:p>
            <w:pPr>
              <w:spacing w:after="0"/>
              <w:rPr>
                <w:sz w:val="21"/>
                <w:szCs w:val="21"/>
                <w:color w:val="auto"/>
              </w:rPr>
            </w:pP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476,756</w:t>
            </w:r>
          </w:p>
        </w:tc>
        <w:tc>
          <w:tcPr>
            <w:tcW w:w="3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332,702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RTC ratio</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14.3:1</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13.1:1</w:t>
            </w:r>
          </w:p>
        </w:tc>
      </w:tr>
      <w:tr>
        <w:trPr>
          <w:trHeight w:val="27"/>
        </w:trPr>
        <w:tc>
          <w:tcPr>
            <w:tcW w:w="7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702"/>
        <w:spacing w:after="0" w:line="302" w:lineRule="auto"/>
        <w:rPr>
          <w:sz w:val="20"/>
          <w:szCs w:val="20"/>
          <w:color w:val="auto"/>
        </w:rPr>
      </w:pPr>
      <w:r>
        <w:rPr>
          <w:rFonts w:ascii="Arial" w:cs="Arial" w:eastAsia="Arial" w:hAnsi="Arial"/>
          <w:sz w:val="16"/>
          <w:szCs w:val="16"/>
          <w:color w:val="auto"/>
        </w:rPr>
        <w:t>NMIH is not subject to any limitations on its ability to pay dividends except those generally applicable to corporations that are incorporated in Delaware. Delaware corporate law provides that dividends are only payable out of a corporation's capital surplus or, subject to certain limitations, recent net profits. NMIC and Re One's ability to pay dividends to NMIH is subject to Wisconsin OCI notice or approval. Certain other states in which NMIC is licensed also have statutes or regulations that restrict its ability to pay dividends. Since inception, NMIC and Re One have not paid any dividends to NMIH.</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2018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2018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private MI through our wholly 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after giving effect to third-party reinsurance. Our subsidiary, NMIS, provides outsourced loan review services to mortgage loan originators.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September 30, 2019, we had master policies with 1,450 customers, including national and regional mortgage banks, money center banks, credit unions, community banks, builder-owned mortgage lenders, internet-sourced lenders and other non-bank lenders. As of September 30, 2019, we had $92.4 billion of total insurance-in-force (IIF), including primary IIF of $89.7 billion, and $22.9 billion of gross RIF, including primary RIF of $22.8 billion.</w:t>
      </w:r>
    </w:p>
    <w:p>
      <w:pPr>
        <w:spacing w:after="0" w:line="11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financial strength and profitability.</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Our common stock trades on the NASDAQ under the symbol "NMIH." Our headquarters is located in Emeryville, California. As of September 30, 2019, we had 318 full time employees.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2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New insurance written (NIW)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7"/>
          <w:szCs w:val="17"/>
          <w:color w:val="auto"/>
        </w:rPr>
        <w:t>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71" w:lineRule="exact"/>
        <w:rPr>
          <w:sz w:val="20"/>
          <w:szCs w:val="20"/>
          <w:color w:val="auto"/>
        </w:rPr>
      </w:pPr>
    </w:p>
    <w:p>
      <w:pPr>
        <w:jc w:val="both"/>
        <w:ind w:firstLine="702"/>
        <w:spacing w:after="0" w:line="264" w:lineRule="auto"/>
        <w:rPr>
          <w:sz w:val="20"/>
          <w:szCs w:val="20"/>
          <w:color w:val="auto"/>
        </w:rPr>
      </w:pPr>
      <w:r>
        <w:rPr>
          <w:rFonts w:ascii="Arial" w:cs="Arial" w:eastAsia="Arial" w:hAnsi="Arial"/>
          <w:sz w:val="17"/>
          <w:szCs w:val="17"/>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Arial" w:cs="Arial" w:eastAsia="Arial" w:hAnsi="Arial"/>
          <w:sz w:val="20"/>
          <w:szCs w:val="20"/>
          <w:color w:val="auto"/>
          <w:vertAlign w:val="superscript"/>
        </w:rPr>
        <w:t>SM</w:t>
      </w:r>
      <w:r>
        <w:rPr>
          <w:rFonts w:ascii="Arial" w:cs="Arial" w:eastAsia="Arial" w:hAnsi="Arial"/>
          <w:sz w:val="17"/>
          <w:szCs w:val="17"/>
          <w:color w:val="auto"/>
        </w:rPr>
        <w:t>.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4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Premiums are generally fixed for the duration of our coverage of the underlying loans. Net premiums written are equal to gross premiums written minus ceded premiums written under our reinsurance arrangements, less premium refunds. As a result, net premiums written are generally influenced by:</w:t>
      </w:r>
    </w:p>
    <w:p>
      <w:pPr>
        <w:spacing w:after="0" w:line="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NIW;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17" w:lineRule="exact"/>
        <w:rPr>
          <w:rFonts w:ascii="Arial" w:cs="Arial" w:eastAsia="Arial" w:hAnsi="Arial"/>
          <w:sz w:val="18"/>
          <w:szCs w:val="18"/>
          <w:color w:val="auto"/>
        </w:rPr>
      </w:pPr>
    </w:p>
    <w:p>
      <w:pPr>
        <w:jc w:val="both"/>
        <w:ind w:left="660" w:right="42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September 30, 2019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72" w:lineRule="auto"/>
        <w:rPr>
          <w:sz w:val="20"/>
          <w:szCs w:val="20"/>
          <w:color w:val="auto"/>
        </w:rPr>
      </w:pPr>
      <w:r>
        <w:rPr>
          <w:rFonts w:ascii="Arial" w:cs="Arial" w:eastAsia="Arial" w:hAnsi="Arial"/>
          <w:sz w:val="17"/>
          <w:szCs w:val="17"/>
          <w:color w:val="auto"/>
        </w:rPr>
        <w:t>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September 1, 2016, NMIC entered into the 2016 QSR Transaction with a syndicate of third-party reinsurers. 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2018, NMIC entered into the 2018 QSR Transaction with a syndicate of third-party reinsurers. Under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3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Under the terms of the QSR Transactions, NMIC may elect to selectively terminate its engagement with individual reinsurers on a run-off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reinsurers continue providing coverage on all risk ceded prior to the termination date, with no new cessions going forward) or cut-off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NMIC has secured aggregate excess-of-loss reinsurance coverage on defined portfolios of mortgage insurance policies written during discrete periods through a series of mortgage insurance-linked note offerings by the Oaktown Re Vehicles.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2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NMIC applies claims paid on covered policies against its first layer aggregate retained loss exposure under each excess-of-loss agreement. The respective reinsurance coverage amounts provided by the Oaktown Re Vehicles decrease from the inception of each agreement over a ten-year period as the underlying insured mortgages are amortized or repaid, and/or the mortgage insurance coverage is canceled.</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inception date, covered production period, initial and current reinsurance coverage amount, and initial and current first layer retained aggregate loss under each of the ILN Transactions.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Initial First Layer</w:t>
            </w:r>
          </w:p>
        </w:tc>
        <w:tc>
          <w:tcPr>
            <w:tcW w:w="140" w:type="dxa"/>
            <w:vAlign w:val="bottom"/>
          </w:tcPr>
          <w:p>
            <w:pPr>
              <w:spacing w:after="0"/>
              <w:rPr>
                <w:sz w:val="14"/>
                <w:szCs w:val="14"/>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Current First</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Inception Date</w:t>
            </w:r>
          </w:p>
        </w:tc>
        <w:tc>
          <w:tcPr>
            <w:tcW w:w="120" w:type="dxa"/>
            <w:vAlign w:val="bottom"/>
            <w:vMerge w:val="restart"/>
          </w:tcPr>
          <w:p>
            <w:pPr>
              <w:spacing w:after="0"/>
              <w:rPr>
                <w:sz w:val="12"/>
                <w:szCs w:val="12"/>
                <w:color w:val="auto"/>
              </w:rPr>
            </w:pPr>
          </w:p>
        </w:tc>
        <w:tc>
          <w:tcPr>
            <w:tcW w:w="23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Covered Production</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Reinsurance</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Reinsurance</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Layer Retained</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Coverage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Retained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ILN Transaction</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2, 2017</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1/1/2013 - 12/31/2016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75,639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124,074</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2018 ILN Transaction</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July 25, 2018</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264,545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231,604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125,312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125,025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ILN Transaction</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July 30, 2019</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326,905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326,905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123,424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123,424</w:t>
            </w:r>
          </w:p>
        </w:tc>
        <w:tc>
          <w:tcPr>
            <w:tcW w:w="0" w:type="dxa"/>
            <w:vAlign w:val="bottom"/>
          </w:tcPr>
          <w:p>
            <w:pPr>
              <w:spacing w:after="0"/>
              <w:rPr>
                <w:sz w:val="1"/>
                <w:szCs w:val="1"/>
                <w:color w:val="auto"/>
              </w:rPr>
            </w:pPr>
          </w:p>
        </w:tc>
      </w:tr>
      <w:tr>
        <w:trPr>
          <w:trHeight w:val="621"/>
        </w:trPr>
        <w:tc>
          <w:tcPr>
            <w:tcW w:w="2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9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8" w:name="page29"/>
    <w:bookmarkEnd w:id="28"/>
    <w:p>
      <w:pPr>
        <w:jc w:val="both"/>
        <w:ind w:firstLine="648"/>
        <w:spacing w:after="0" w:line="277"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for further discussion of these third-party reinsurance arrangements.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As of and for the three months ended</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5"/>
          </w:tcPr>
          <w:p>
            <w:pPr>
              <w:jc w:val="right"/>
              <w:ind w:right="275"/>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4"/>
            <w:vMerge w:val="restart"/>
          </w:tcPr>
          <w:p>
            <w:pPr>
              <w:jc w:val="right"/>
              <w:ind w:right="533"/>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4"/>
            <w:vMerge w:val="restart"/>
          </w:tcPr>
          <w:p>
            <w:pPr>
              <w:jc w:val="right"/>
              <w:ind w:right="493"/>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NIW</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IIF</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NIW</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NIW</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71,814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46,967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17,827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Single</w:t>
            </w:r>
          </w:p>
        </w:tc>
        <w:tc>
          <w:tcPr>
            <w:tcW w:w="30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17,899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89,713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20,334</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92,381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66,501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7,361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33,192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20,334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2019, NIW increased 92% and 63%, respectively, compared to the three and nine months ended September 30, 2018, primarily due to growth in our monthly premium policy volume tied to increased penetration of existing customer accounts and new customer account activations. For the three and nine months ended September 30, 2019, monthly premium NIW increased 95% and 70%, respectively, compared to the three and nine months ended September 30, 2018.</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September 30, 2019, monthly premium polices accounted for 92% of our NIW. As of September 30, 2019, monthly premium policies accounted for 80% of our primary IIF, as compared to 74% at September 30, 2018. We expect the break-down of monthly premium policies and single premium policies (which we refer to as "mix") in our primary IIF to continue to trend toward an increased monthly mix over time given the composition of our NIW.</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IIF increased 41% as of September 30, 2019 compared to September 30, 2018, primarily due to the NIW generated between such measurement dates, partially offset by the run-off of our in-force policies. Our persistency rate decreased to 82.4% at September 30, 2019 from 86.1% at September 30, 2018, reflecting the impact of increased refinancing activity tied to record low interest rates.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September 30, 2019</w:t>
            </w:r>
          </w:p>
        </w:tc>
        <w:tc>
          <w:tcPr>
            <w:tcW w:w="15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3"/>
                <w:szCs w:val="13"/>
                <w:color w:val="auto"/>
              </w:rPr>
            </w:pPr>
          </w:p>
        </w:tc>
        <w:tc>
          <w:tcPr>
            <w:tcW w:w="112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gridSpan w:val="4"/>
          </w:tcPr>
          <w:p>
            <w:pPr>
              <w:ind w:left="54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88,679</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65,381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243,211</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188,854</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92,381</w:t>
            </w:r>
          </w:p>
        </w:tc>
        <w:tc>
          <w:tcPr>
            <w:tcW w:w="5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65,407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249,499</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181,936</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three and nine months ended September 30, 2019, net premiums written increased 36% and 29%, respectively, and net premiums earned increased 41% and 37%, respectively, compared to the three and nine months ended September 30, 2018. The increases in net premiums written and earned are due to the growth of our IIF and increased monthly policy production, partially offset by increased cessions under the QSR Transactions tied to the growth of our direct premium volume and the inception of the 2018 and 2019 ILN Transactions. Single premium policy cancellations also contributed to the increases in net premiums earned for the three and nine months ended September 30, 2019 compared to the same periods in 2018.</w:t>
      </w:r>
    </w:p>
    <w:p>
      <w:pPr>
        <w:spacing w:after="0" w:line="1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Pool premiums written and earned for the three and nine months ended September 30, 2019, were $0.7 million and $2.3 million, respectively, before giving effect to the 2016 QSR Transaction, under which all of our written and earned pool premiums have been ceded. A portion of our ceded pool premiums written and earned are recouped through profit commission under the 2016 QSR Transaction.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80" w:type="dxa"/>
            <w:vAlign w:val="bottom"/>
            <w:gridSpan w:val="5"/>
          </w:tcPr>
          <w:p>
            <w:pPr>
              <w:jc w:val="right"/>
              <w:ind w:right="1011"/>
              <w:spacing w:after="0"/>
              <w:rPr>
                <w:sz w:val="20"/>
                <w:szCs w:val="20"/>
                <w:color w:val="auto"/>
              </w:rPr>
            </w:pPr>
            <w:r>
              <w:rPr>
                <w:rFonts w:ascii="Arial" w:cs="Arial" w:eastAsia="Arial" w:hAnsi="Arial"/>
                <w:sz w:val="14"/>
                <w:szCs w:val="14"/>
                <w:b w:val="1"/>
                <w:bCs w:val="1"/>
                <w:color w:val="auto"/>
              </w:rPr>
              <w:t>As of and for the three months ended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76"/>
        </w:trPr>
        <w:tc>
          <w:tcPr>
            <w:tcW w:w="3900" w:type="dxa"/>
            <w:vAlign w:val="bottom"/>
          </w:tcPr>
          <w:p>
            <w:pPr>
              <w:spacing w:after="0"/>
              <w:rPr>
                <w:sz w:val="24"/>
                <w:szCs w:val="24"/>
                <w:color w:val="auto"/>
              </w:rPr>
            </w:pPr>
          </w:p>
        </w:tc>
        <w:tc>
          <w:tcPr>
            <w:tcW w:w="14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7"/>
              </w:rPr>
              <w:t>September 30, 2019</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June 30, 2019</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4"/>
              </w:rPr>
              <w:t>March 31, 2019</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0"/>
              </w:rPr>
              <w:t>December 31, 2018</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0"/>
              </w:rPr>
              <w:t>September 30, 2018</w:t>
            </w:r>
          </w:p>
        </w:tc>
      </w:tr>
      <w:tr>
        <w:trPr>
          <w:trHeight w:val="250"/>
        </w:trPr>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240" w:type="dxa"/>
            <w:vAlign w:val="bottom"/>
          </w:tcPr>
          <w:p>
            <w:pPr>
              <w:jc w:val="right"/>
              <w:ind w:right="12"/>
              <w:spacing w:after="0"/>
              <w:rPr>
                <w:sz w:val="20"/>
                <w:szCs w:val="20"/>
                <w:color w:val="auto"/>
              </w:rPr>
            </w:pPr>
            <w:r>
              <w:rPr>
                <w:rFonts w:ascii="Arial" w:cs="Arial" w:eastAsia="Arial" w:hAnsi="Arial"/>
                <w:sz w:val="14"/>
                <w:szCs w:val="14"/>
                <w:i w:val="1"/>
                <w:iCs w:val="1"/>
                <w:color w:val="auto"/>
                <w:w w:val="98"/>
              </w:rPr>
              <w:t>Values In Millions)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New insurance written</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14,100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12,179</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6,913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6,962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7,361</w:t>
            </w:r>
          </w:p>
        </w:tc>
      </w:tr>
      <w:tr>
        <w:trPr>
          <w:trHeight w:val="243"/>
        </w:trPr>
        <w:tc>
          <w:tcPr>
            <w:tcW w:w="3900" w:type="dxa"/>
            <w:vAlign w:val="bottom"/>
          </w:tcPr>
          <w:p>
            <w:pPr>
              <w:ind w:left="700"/>
              <w:spacing w:after="0"/>
              <w:rPr>
                <w:sz w:val="20"/>
                <w:szCs w:val="20"/>
                <w:color w:val="auto"/>
              </w:rPr>
            </w:pPr>
            <w:r>
              <w:rPr>
                <w:rFonts w:ascii="Arial" w:cs="Arial" w:eastAsia="Arial" w:hAnsi="Arial"/>
                <w:sz w:val="18"/>
                <w:szCs w:val="18"/>
                <w:color w:val="auto"/>
              </w:rPr>
              <w:t>Percentage of monthly premium</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Percentage of single premium</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New risk written</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3,651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3,183</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1,799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1,799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1,883</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Insurance-in-force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89,713</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81,708</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73,234</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68,551</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63,527</w:t>
            </w:r>
          </w:p>
        </w:tc>
      </w:tr>
      <w:tr>
        <w:trPr>
          <w:trHeight w:val="243"/>
        </w:trPr>
        <w:tc>
          <w:tcPr>
            <w:tcW w:w="3900" w:type="dxa"/>
            <w:vAlign w:val="bottom"/>
          </w:tcPr>
          <w:p>
            <w:pPr>
              <w:ind w:left="700"/>
              <w:spacing w:after="0"/>
              <w:rPr>
                <w:sz w:val="20"/>
                <w:szCs w:val="20"/>
                <w:color w:val="auto"/>
              </w:rPr>
            </w:pPr>
            <w:r>
              <w:rPr>
                <w:rFonts w:ascii="Arial" w:cs="Arial" w:eastAsia="Arial" w:hAnsi="Arial"/>
                <w:sz w:val="18"/>
                <w:szCs w:val="18"/>
                <w:color w:val="auto"/>
              </w:rPr>
              <w:t>Percentage of monthly premium</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Percentage of single premium</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39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Risk-in-force </w:t>
            </w:r>
            <w:r>
              <w:rPr>
                <w:rFonts w:ascii="Arial" w:cs="Arial" w:eastAsia="Arial" w:hAnsi="Arial"/>
                <w:sz w:val="25"/>
                <w:szCs w:val="25"/>
                <w:color w:val="auto"/>
                <w:vertAlign w:val="superscript"/>
              </w:rPr>
              <w:t>(1)</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22,810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20,661</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18,373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17,091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15,744</w:t>
            </w: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350,395</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324,876</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297,232</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280,825</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262,485</w:t>
            </w:r>
          </w:p>
        </w:tc>
      </w:tr>
      <w:tr>
        <w:trPr>
          <w:trHeight w:val="270"/>
        </w:trPr>
        <w:tc>
          <w:tcPr>
            <w:tcW w:w="39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25"/>
                <w:szCs w:val="25"/>
                <w:color w:val="auto"/>
                <w:vertAlign w:val="superscript"/>
              </w:rPr>
              <w:t>(1)</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0.256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0.252</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0.246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0.244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0.242</w:t>
            </w: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Coverage percentage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70"/>
        </w:trPr>
        <w:tc>
          <w:tcPr>
            <w:tcW w:w="39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1,230</w:t>
            </w:r>
          </w:p>
        </w:tc>
        <w:tc>
          <w:tcPr>
            <w:tcW w:w="26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1,028</w:t>
            </w:r>
          </w:p>
        </w:tc>
        <w:tc>
          <w:tcPr>
            <w:tcW w:w="28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940</w:t>
            </w:r>
          </w:p>
        </w:tc>
        <w:tc>
          <w:tcPr>
            <w:tcW w:w="180" w:type="dxa"/>
            <w:vAlign w:val="bottom"/>
          </w:tcPr>
          <w:p>
            <w:pPr>
              <w:spacing w:after="0"/>
              <w:rPr>
                <w:sz w:val="23"/>
                <w:szCs w:val="23"/>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746</w:t>
            </w: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Percentage of loans in default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70"/>
        </w:trPr>
        <w:tc>
          <w:tcPr>
            <w:tcW w:w="39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Risk-in-force on defaulted loans </w:t>
            </w:r>
            <w:r>
              <w:rPr>
                <w:rFonts w:ascii="Arial" w:cs="Arial" w:eastAsia="Arial" w:hAnsi="Arial"/>
                <w:sz w:val="25"/>
                <w:szCs w:val="25"/>
                <w:color w:val="auto"/>
                <w:vertAlign w:val="superscript"/>
              </w:rPr>
              <w:t>(1)</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58</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42</w:t>
            </w: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Earnings from cancellations</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2.6</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(4)</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87.2%</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317"/>
        </w:trPr>
        <w:tc>
          <w:tcPr>
            <w:tcW w:w="3900" w:type="dxa"/>
            <w:vAlign w:val="bottom"/>
          </w:tcPr>
          <w:p>
            <w:pPr>
              <w:ind w:left="26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5"/>
                <w:szCs w:val="25"/>
                <w:color w:val="auto"/>
                <w:vertAlign w:val="superscript"/>
              </w:rPr>
              <w:t>(5)</w:t>
            </w:r>
          </w:p>
        </w:tc>
        <w:tc>
          <w:tcPr>
            <w:tcW w:w="3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bl>
    <w:p>
      <w:pPr>
        <w:ind w:left="500" w:hanging="249"/>
        <w:spacing w:after="0"/>
        <w:tabs>
          <w:tab w:leader="none" w:pos="500" w:val="left"/>
        </w:tabs>
        <w:numPr>
          <w:ilvl w:val="0"/>
          <w:numId w:val="14"/>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 w:lineRule="exact"/>
        <w:rPr>
          <w:rFonts w:ascii="Arial" w:cs="Arial" w:eastAsia="Arial" w:hAnsi="Arial"/>
          <w:sz w:val="9"/>
          <w:szCs w:val="9"/>
          <w:color w:val="auto"/>
        </w:rPr>
      </w:pPr>
    </w:p>
    <w:p>
      <w:pPr>
        <w:ind w:left="500" w:hanging="249"/>
        <w:spacing w:after="0"/>
        <w:tabs>
          <w:tab w:leader="none" w:pos="500" w:val="left"/>
        </w:tabs>
        <w:numPr>
          <w:ilvl w:val="0"/>
          <w:numId w:val="14"/>
        </w:numPr>
        <w:rPr>
          <w:rFonts w:ascii="Arial" w:cs="Arial" w:eastAsia="Arial" w:hAnsi="Arial"/>
          <w:sz w:val="9"/>
          <w:szCs w:val="9"/>
          <w:color w:val="auto"/>
        </w:rPr>
      </w:pPr>
      <w:r>
        <w:rPr>
          <w:rFonts w:ascii="Arial" w:cs="Arial" w:eastAsia="Arial" w:hAnsi="Arial"/>
          <w:sz w:val="14"/>
          <w:szCs w:val="14"/>
          <w:color w:val="auto"/>
        </w:rPr>
        <w:t>Calculated as end of period RIF divided by end of period IIF.</w:t>
      </w:r>
    </w:p>
    <w:p>
      <w:pPr>
        <w:spacing w:after="0" w:line="1" w:lineRule="exact"/>
        <w:rPr>
          <w:rFonts w:ascii="Arial" w:cs="Arial" w:eastAsia="Arial" w:hAnsi="Arial"/>
          <w:sz w:val="9"/>
          <w:szCs w:val="9"/>
          <w:color w:val="auto"/>
        </w:rPr>
      </w:pPr>
    </w:p>
    <w:p>
      <w:pPr>
        <w:ind w:left="500" w:hanging="249"/>
        <w:spacing w:after="0"/>
        <w:tabs>
          <w:tab w:leader="none" w:pos="500" w:val="left"/>
        </w:tabs>
        <w:numPr>
          <w:ilvl w:val="0"/>
          <w:numId w:val="14"/>
        </w:numPr>
        <w:rPr>
          <w:rFonts w:ascii="Arial" w:cs="Arial" w:eastAsia="Arial" w:hAnsi="Arial"/>
          <w:sz w:val="9"/>
          <w:szCs w:val="9"/>
          <w:color w:val="auto"/>
        </w:rPr>
      </w:pPr>
      <w:r>
        <w:rPr>
          <w:rFonts w:ascii="Arial" w:cs="Arial" w:eastAsia="Arial" w:hAnsi="Arial"/>
          <w:sz w:val="14"/>
          <w:szCs w:val="14"/>
          <w:color w:val="auto"/>
        </w:rPr>
        <w:t>Calculated as net premiums earned divided by average primary IIF for the period, annualized.</w:t>
      </w:r>
    </w:p>
    <w:p>
      <w:pPr>
        <w:spacing w:after="0" w:line="1" w:lineRule="exact"/>
        <w:rPr>
          <w:rFonts w:ascii="Arial" w:cs="Arial" w:eastAsia="Arial" w:hAnsi="Arial"/>
          <w:sz w:val="9"/>
          <w:szCs w:val="9"/>
          <w:color w:val="auto"/>
        </w:rPr>
      </w:pPr>
    </w:p>
    <w:p>
      <w:pPr>
        <w:ind w:left="500" w:hanging="249"/>
        <w:spacing w:after="0"/>
        <w:tabs>
          <w:tab w:leader="none" w:pos="500" w:val="left"/>
        </w:tabs>
        <w:numPr>
          <w:ilvl w:val="0"/>
          <w:numId w:val="14"/>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 given 12-month period.</w:t>
      </w:r>
    </w:p>
    <w:p>
      <w:pPr>
        <w:spacing w:after="0" w:line="1" w:lineRule="exact"/>
        <w:rPr>
          <w:rFonts w:ascii="Arial" w:cs="Arial" w:eastAsia="Arial" w:hAnsi="Arial"/>
          <w:sz w:val="9"/>
          <w:szCs w:val="9"/>
          <w:color w:val="auto"/>
        </w:rPr>
      </w:pPr>
    </w:p>
    <w:p>
      <w:pPr>
        <w:ind w:left="500" w:hanging="249"/>
        <w:spacing w:after="0"/>
        <w:tabs>
          <w:tab w:leader="none" w:pos="500" w:val="left"/>
        </w:tabs>
        <w:numPr>
          <w:ilvl w:val="0"/>
          <w:numId w:val="14"/>
        </w:numPr>
        <w:rPr>
          <w:rFonts w:ascii="Arial" w:cs="Arial" w:eastAsia="Arial" w:hAnsi="Arial"/>
          <w:sz w:val="9"/>
          <w:szCs w:val="9"/>
          <w:color w:val="auto"/>
        </w:rPr>
      </w:pPr>
      <w:r>
        <w:rPr>
          <w:rFonts w:ascii="Arial" w:cs="Arial" w:eastAsia="Arial" w:hAnsi="Arial"/>
          <w:sz w:val="14"/>
          <w:szCs w:val="14"/>
          <w:color w:val="auto"/>
        </w:rPr>
        <w:t>Defined as the percentage of IIF that is no longer on our books after a given three month period.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3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264"/>
        </w:trPr>
        <w:tc>
          <w:tcPr>
            <w:tcW w:w="5620" w:type="dxa"/>
            <w:vAlign w:val="bottom"/>
          </w:tcPr>
          <w:p>
            <w:pPr>
              <w:spacing w:after="0"/>
              <w:rPr>
                <w:sz w:val="22"/>
                <w:szCs w:val="22"/>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5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3"/>
          </w:tcPr>
          <w:p>
            <w:pPr>
              <w:jc w:val="right"/>
              <w:ind w:right="56"/>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81,708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58,089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68,551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48,465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NIW</w:t>
            </w:r>
          </w:p>
        </w:tc>
        <w:tc>
          <w:tcPr>
            <w:tcW w:w="3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14,100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7,361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33,192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20,334</w:t>
            </w:r>
          </w:p>
        </w:tc>
      </w:tr>
      <w:tr>
        <w:trPr>
          <w:trHeight w:val="27"/>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principal repayments and other reductions</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89,713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63,527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89,713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63,527</w:t>
            </w:r>
          </w:p>
        </w:tc>
      </w:tr>
      <w:tr>
        <w:trPr>
          <w:trHeight w:val="20"/>
        </w:trPr>
        <w:tc>
          <w:tcPr>
            <w:tcW w:w="5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08"/>
        </w:trPr>
        <w:tc>
          <w:tcPr>
            <w:tcW w:w="56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30</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0" w:name="page31"/>
    <w:bookmarkEnd w:id="30"/>
    <w:p>
      <w:pPr>
        <w:jc w:val="both"/>
        <w:ind w:firstLine="648"/>
        <w:spacing w:after="0" w:line="276"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As of September 30, 2019</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As of September 30, 2018</w:t>
            </w:r>
          </w:p>
        </w:tc>
      </w:tr>
      <w:tr>
        <w:trPr>
          <w:trHeight w:val="264"/>
        </w:trPr>
        <w:tc>
          <w:tcPr>
            <w:tcW w:w="42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RIF</w:t>
            </w: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RIF</w:t>
            </w:r>
          </w:p>
        </w:tc>
      </w:tr>
      <w:tr>
        <w:trPr>
          <w:trHeight w:val="250"/>
        </w:trPr>
        <w:tc>
          <w:tcPr>
            <w:tcW w:w="4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September 30, 2019</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31,844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8,283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2018</w:t>
            </w:r>
          </w:p>
        </w:tc>
        <w:tc>
          <w:tcPr>
            <w:tcW w:w="106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w w:val="98"/>
              </w:rPr>
              <w:t>21,932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5,571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19,804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4,980</w:t>
            </w:r>
          </w:p>
        </w:tc>
      </w:tr>
      <w:tr>
        <w:trPr>
          <w:trHeight w:val="27"/>
        </w:trPr>
        <w:tc>
          <w:tcPr>
            <w:tcW w:w="4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16,283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4,731</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2016</w:t>
            </w:r>
          </w:p>
        </w:tc>
        <w:tc>
          <w:tcPr>
            <w:tcW w:w="106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w w:val="98"/>
              </w:rPr>
              <w:t>12,944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16,086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3,948</w:t>
            </w:r>
          </w:p>
        </w:tc>
      </w:tr>
      <w:tr>
        <w:trPr>
          <w:trHeight w:val="27"/>
        </w:trPr>
        <w:tc>
          <w:tcPr>
            <w:tcW w:w="4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5,792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1,790</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2014 and before</w:t>
            </w:r>
          </w:p>
        </w:tc>
        <w:tc>
          <w:tcPr>
            <w:tcW w:w="106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295</w:t>
            </w:r>
          </w:p>
        </w:tc>
      </w:tr>
      <w:tr>
        <w:trPr>
          <w:trHeight w:val="27"/>
        </w:trPr>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89,713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22,810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63,527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15,744</w:t>
            </w:r>
          </w:p>
        </w:tc>
      </w:tr>
      <w:tr>
        <w:trPr>
          <w:trHeight w:val="20"/>
        </w:trPr>
        <w:tc>
          <w:tcPr>
            <w:tcW w:w="4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702"/>
        <w:spacing w:after="0" w:line="254" w:lineRule="auto"/>
        <w:rPr>
          <w:sz w:val="20"/>
          <w:szCs w:val="20"/>
          <w:color w:val="auto"/>
        </w:rPr>
      </w:pPr>
      <w:r>
        <w:rPr>
          <w:rFonts w:ascii="Arial" w:cs="Arial" w:eastAsia="Arial" w:hAnsi="Arial"/>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49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September 30, 2018</w:t>
            </w:r>
          </w:p>
        </w:tc>
      </w:tr>
      <w:tr>
        <w:trPr>
          <w:trHeight w:val="250"/>
        </w:trPr>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gridSpan w:val="5"/>
          </w:tcPr>
          <w:p>
            <w:pPr>
              <w:ind w:left="104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&gt;= 760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6,994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8,617</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740-759</w:t>
            </w:r>
          </w:p>
        </w:tc>
        <w:tc>
          <w:tcPr>
            <w:tcW w:w="160" w:type="dxa"/>
            <w:vAlign w:val="bottom"/>
          </w:tcPr>
          <w:p>
            <w:pPr>
              <w:spacing w:after="0"/>
              <w:rPr>
                <w:sz w:val="21"/>
                <w:szCs w:val="21"/>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3,431</w:t>
            </w:r>
          </w:p>
        </w:tc>
      </w:tr>
      <w:tr>
        <w:trPr>
          <w:trHeight w:val="27"/>
        </w:trPr>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720-739</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2,973</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700-719</w:t>
            </w:r>
          </w:p>
        </w:tc>
        <w:tc>
          <w:tcPr>
            <w:tcW w:w="160" w:type="dxa"/>
            <w:vAlign w:val="bottom"/>
          </w:tcPr>
          <w:p>
            <w:pPr>
              <w:spacing w:after="0"/>
              <w:rPr>
                <w:sz w:val="21"/>
                <w:szCs w:val="21"/>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2,435</w:t>
            </w:r>
          </w:p>
        </w:tc>
      </w:tr>
      <w:tr>
        <w:trPr>
          <w:trHeight w:val="27"/>
        </w:trPr>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680-699</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1,668</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&lt;=679</w:t>
            </w:r>
          </w:p>
        </w:tc>
        <w:tc>
          <w:tcPr>
            <w:tcW w:w="160" w:type="dxa"/>
            <w:vAlign w:val="bottom"/>
          </w:tcPr>
          <w:p>
            <w:pPr>
              <w:spacing w:after="0"/>
              <w:rPr>
                <w:sz w:val="21"/>
                <w:szCs w:val="21"/>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1,210</w:t>
            </w:r>
          </w:p>
        </w:tc>
      </w:tr>
      <w:tr>
        <w:trPr>
          <w:trHeight w:val="27"/>
        </w:trPr>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20,334</w:t>
            </w: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FICO</w:t>
            </w:r>
          </w:p>
        </w:tc>
        <w:tc>
          <w:tcPr>
            <w:tcW w:w="1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746</w:t>
            </w: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08"/>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67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ind w:left="40"/>
              <w:spacing w:after="0"/>
              <w:rPr>
                <w:sz w:val="20"/>
                <w:szCs w:val="20"/>
                <w:color w:val="auto"/>
              </w:rPr>
            </w:pPr>
            <w:r>
              <w:rPr>
                <w:rFonts w:ascii="Arial" w:cs="Arial" w:eastAsia="Arial" w:hAnsi="Arial"/>
                <w:sz w:val="14"/>
                <w:szCs w:val="14"/>
                <w:b w:val="1"/>
                <w:bCs w:val="1"/>
                <w:color w:val="auto"/>
              </w:rPr>
              <w:t>Primary NIW by LTV</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63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For the nine months ended</w:t>
            </w:r>
          </w:p>
        </w:tc>
        <w:tc>
          <w:tcPr>
            <w:tcW w:w="680" w:type="dxa"/>
            <w:vAlign w:val="bottom"/>
            <w:tcBorders>
              <w:bottom w:val="single" w:sz="8" w:color="auto"/>
            </w:tcBorders>
          </w:tcPr>
          <w:p>
            <w:pPr>
              <w:spacing w:after="0"/>
              <w:rPr>
                <w:sz w:val="16"/>
                <w:szCs w:val="16"/>
                <w:color w:val="auto"/>
              </w:rPr>
            </w:pPr>
          </w:p>
        </w:tc>
      </w:tr>
      <w:tr>
        <w:trPr>
          <w:trHeight w:val="264"/>
        </w:trPr>
        <w:tc>
          <w:tcPr>
            <w:tcW w:w="4960" w:type="dxa"/>
            <w:vAlign w:val="bottom"/>
          </w:tcPr>
          <w:p>
            <w:pPr>
              <w:spacing w:after="0"/>
              <w:rPr>
                <w:sz w:val="22"/>
                <w:szCs w:val="22"/>
                <w:color w:val="auto"/>
              </w:rPr>
            </w:pPr>
          </w:p>
        </w:tc>
        <w:tc>
          <w:tcPr>
            <w:tcW w:w="16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September 30, 2019</w:t>
            </w: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3"/>
              </w:rPr>
              <w:t>September 30, 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 2019</w:t>
            </w:r>
          </w:p>
        </w:tc>
        <w:tc>
          <w:tcPr>
            <w:tcW w:w="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9"/>
              </w:rPr>
              <w:t>September 30, 2018</w:t>
            </w:r>
          </w:p>
        </w:tc>
      </w:tr>
      <w:tr>
        <w:trPr>
          <w:trHeight w:val="250"/>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5"/>
          </w:tcPr>
          <w:p>
            <w:pPr>
              <w:ind w:left="940"/>
              <w:spacing w:after="0"/>
              <w:rPr>
                <w:sz w:val="20"/>
                <w:szCs w:val="20"/>
                <w:color w:val="auto"/>
              </w:rPr>
            </w:pPr>
            <w:r>
              <w:rPr>
                <w:rFonts w:ascii="Arial" w:cs="Arial" w:eastAsia="Arial" w:hAnsi="Arial"/>
                <w:sz w:val="14"/>
                <w:szCs w:val="14"/>
                <w:i w:val="1"/>
                <w:iCs w:val="1"/>
                <w:color w:val="auto"/>
              </w:rPr>
              <w:t>($ In Millions)</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2,529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2,644</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15,947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9,249</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4,933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11,259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6,017</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3,457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2,424</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14,100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7,361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33,192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20,334</w:t>
            </w:r>
          </w:p>
        </w:tc>
      </w:tr>
      <w:tr>
        <w:trPr>
          <w:trHeight w:val="257"/>
        </w:trPr>
        <w:tc>
          <w:tcPr>
            <w:tcW w:w="4960" w:type="dxa"/>
            <w:vAlign w:val="bottom"/>
          </w:tcPr>
          <w:p>
            <w:pPr>
              <w:ind w:left="40"/>
              <w:spacing w:after="0"/>
              <w:rPr>
                <w:sz w:val="20"/>
                <w:szCs w:val="20"/>
                <w:color w:val="auto"/>
              </w:rPr>
            </w:pPr>
            <w:r>
              <w:rPr>
                <w:rFonts w:ascii="Arial" w:cs="Arial" w:eastAsia="Arial" w:hAnsi="Arial"/>
                <w:sz w:val="18"/>
                <w:szCs w:val="18"/>
                <w:color w:val="auto"/>
              </w:rPr>
              <w:t>Weighted average LTV</w:t>
            </w:r>
          </w:p>
        </w:tc>
        <w:tc>
          <w:tcPr>
            <w:tcW w:w="2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548"/>
        </w:trPr>
        <w:tc>
          <w:tcPr>
            <w:tcW w:w="4960" w:type="dxa"/>
            <w:vAlign w:val="bottom"/>
          </w:tcPr>
          <w:p>
            <w:pPr>
              <w:ind w:left="40"/>
              <w:spacing w:after="0"/>
              <w:rPr>
                <w:sz w:val="20"/>
                <w:szCs w:val="20"/>
                <w:color w:val="auto"/>
              </w:rPr>
            </w:pPr>
            <w:r>
              <w:rPr>
                <w:rFonts w:ascii="Arial" w:cs="Arial" w:eastAsia="Arial" w:hAnsi="Arial"/>
                <w:sz w:val="14"/>
                <w:szCs w:val="14"/>
                <w:b w:val="1"/>
                <w:bCs w:val="1"/>
                <w:color w:val="auto"/>
              </w:rPr>
              <w:t>Primary NIW by purchase/refinance mix</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680" w:type="dxa"/>
            <w:vAlign w:val="bottom"/>
            <w:tcBorders>
              <w:bottom w:val="single" w:sz="8" w:color="auto"/>
            </w:tcBorders>
          </w:tcPr>
          <w:p>
            <w:pPr>
              <w:spacing w:after="0"/>
              <w:rPr>
                <w:sz w:val="24"/>
                <w:szCs w:val="24"/>
                <w:color w:val="auto"/>
              </w:rPr>
            </w:pPr>
          </w:p>
        </w:tc>
      </w:tr>
      <w:tr>
        <w:trPr>
          <w:trHeight w:val="264"/>
        </w:trPr>
        <w:tc>
          <w:tcPr>
            <w:tcW w:w="4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September 30, 2019</w:t>
            </w: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0"/>
              </w:rPr>
              <w:t>September 30, 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September 30, 2019</w:t>
            </w:r>
          </w:p>
        </w:tc>
        <w:tc>
          <w:tcPr>
            <w:tcW w:w="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5"/>
          </w:tcPr>
          <w:p>
            <w:pPr>
              <w:ind w:left="1080"/>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11,284</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18,584</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Refinance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1,750</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20,334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our total primary IIF and RIF by FICO and LTV and total primary RIF by loan type as of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Primary IIF by FICO</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September 30, 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September 30, 2018</w:t>
            </w:r>
          </w:p>
        </w:tc>
        <w:tc>
          <w:tcPr>
            <w:tcW w:w="700" w:type="dxa"/>
            <w:vAlign w:val="bottom"/>
            <w:tcBorders>
              <w:bottom w:val="single" w:sz="8" w:color="auto"/>
            </w:tcBorders>
          </w:tcPr>
          <w:p>
            <w:pPr>
              <w:spacing w:after="0"/>
              <w:rPr>
                <w:sz w:val="22"/>
                <w:szCs w:val="22"/>
                <w:color w:val="auto"/>
              </w:rPr>
            </w:pPr>
          </w:p>
        </w:tc>
      </w:tr>
      <w:tr>
        <w:trPr>
          <w:trHeight w:val="250"/>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6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 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41,855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29,627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740-759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15,028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10,386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700-719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9,822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7,008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&lt;=679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89,713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63,527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73"/>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Primary RIF by FICO</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September 30, 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September 30, 2018</w:t>
            </w:r>
          </w:p>
        </w:tc>
        <w:tc>
          <w:tcPr>
            <w:tcW w:w="700" w:type="dxa"/>
            <w:vAlign w:val="bottom"/>
            <w:tcBorders>
              <w:bottom w:val="single" w:sz="8" w:color="auto"/>
            </w:tcBorders>
          </w:tcPr>
          <w:p>
            <w:pPr>
              <w:spacing w:after="0"/>
              <w:rPr>
                <w:sz w:val="22"/>
                <w:szCs w:val="22"/>
                <w:color w:val="auto"/>
              </w:rPr>
            </w:pPr>
          </w:p>
        </w:tc>
      </w:tr>
      <w:tr>
        <w:trPr>
          <w:trHeight w:val="250"/>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6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 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10,611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740-759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700-719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&lt;=679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22,810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15,744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00"/>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65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September 30, 2019</w:t>
            </w:r>
          </w:p>
        </w:tc>
        <w:tc>
          <w:tcPr>
            <w:tcW w:w="3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5"/>
          </w:tcPr>
          <w:p>
            <w:pPr>
              <w:jc w:val="right"/>
              <w:ind w:right="871"/>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In Millions)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95.01% and above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90.01% to 95.00%</w:t>
            </w: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42,255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28,879</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45</w:t>
            </w: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85.01% to 90.00%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28,083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r>
      <w:tr>
        <w:trPr>
          <w:trHeight w:val="243"/>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85.00% and below</w:t>
            </w: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10,875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9,265</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89,713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63,527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September 30, 2019</w:t>
            </w:r>
          </w:p>
        </w:tc>
        <w:tc>
          <w:tcPr>
            <w:tcW w:w="3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5"/>
          </w:tcPr>
          <w:p>
            <w:pPr>
              <w:jc w:val="right"/>
              <w:ind w:right="871"/>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In Millions)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95.01% and above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90.01% to 95.00%</w:t>
            </w: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12,358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8,416</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53</w:t>
            </w: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85.01% to 90.00%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85.00% and below</w:t>
            </w: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22,810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15,744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gridSpan w:val="7"/>
          </w:tcPr>
          <w:p>
            <w:pPr>
              <w:ind w:left="260"/>
              <w:spacing w:after="0"/>
              <w:rPr>
                <w:sz w:val="20"/>
                <w:szCs w:val="20"/>
                <w:color w:val="auto"/>
              </w:rPr>
            </w:pPr>
            <w:r>
              <w:rPr>
                <w:rFonts w:ascii="Arial" w:cs="Arial" w:eastAsia="Arial" w:hAnsi="Arial"/>
                <w:sz w:val="14"/>
                <w:szCs w:val="14"/>
                <w:b w:val="1"/>
                <w:bCs w:val="1"/>
                <w:color w:val="auto"/>
              </w:rPr>
              <w:t>September 30, 2019</w:t>
            </w:r>
          </w:p>
        </w:tc>
        <w:tc>
          <w:tcPr>
            <w:tcW w:w="156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September 30, 2018</w:t>
            </w:r>
          </w:p>
        </w:tc>
      </w:tr>
      <w:tr>
        <w:trPr>
          <w:trHeight w:val="32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Fixed</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2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Adjustable rate mortgages: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than five years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Five years and longer</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111"/>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selected primary portfolio statistics, by book year, as of September 30,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 September 30, 2019</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Incurred Loss</w:t>
            </w: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Book</w:t>
            </w:r>
          </w:p>
        </w:tc>
        <w:tc>
          <w:tcPr>
            <w:tcW w:w="240" w:type="dxa"/>
            <w:vAlign w:val="bottom"/>
          </w:tcPr>
          <w:p>
            <w:pPr>
              <w:spacing w:after="0"/>
              <w:rPr>
                <w:sz w:val="16"/>
                <w:szCs w:val="16"/>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Original</w:t>
            </w:r>
          </w:p>
        </w:tc>
        <w:tc>
          <w:tcPr>
            <w:tcW w:w="120" w:type="dxa"/>
            <w:vAlign w:val="bottom"/>
          </w:tcPr>
          <w:p>
            <w:pPr>
              <w:spacing w:after="0"/>
              <w:rPr>
                <w:sz w:val="16"/>
                <w:szCs w:val="16"/>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Remaining</w:t>
            </w:r>
          </w:p>
        </w:tc>
        <w:tc>
          <w:tcPr>
            <w:tcW w:w="1300" w:type="dxa"/>
            <w:vAlign w:val="bottom"/>
          </w:tcPr>
          <w:p>
            <w:pPr>
              <w:jc w:val="right"/>
              <w:ind w:right="55"/>
              <w:spacing w:after="0"/>
              <w:rPr>
                <w:sz w:val="20"/>
                <w:szCs w:val="20"/>
                <w:color w:val="auto"/>
              </w:rPr>
            </w:pPr>
            <w:r>
              <w:rPr>
                <w:rFonts w:ascii="Arial" w:cs="Arial" w:eastAsia="Arial" w:hAnsi="Arial"/>
                <w:sz w:val="14"/>
                <w:szCs w:val="14"/>
                <w:b w:val="1"/>
                <w:bCs w:val="1"/>
                <w:color w:val="auto"/>
              </w:rPr>
              <w:t>% Remaining of</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Policies Ever</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 of</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c>
          <w:tcPr>
            <w:tcW w:w="12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Cumulative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49"/>
        </w:trPr>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Insurance in</w:t>
            </w:r>
          </w:p>
        </w:tc>
        <w:tc>
          <w:tcPr>
            <w:tcW w:w="1300" w:type="dxa"/>
            <w:vAlign w:val="bottom"/>
          </w:tcPr>
          <w:p>
            <w:pPr>
              <w:jc w:val="right"/>
              <w:ind w:right="295"/>
              <w:spacing w:after="0" w:line="149" w:lineRule="exact"/>
              <w:rPr>
                <w:sz w:val="20"/>
                <w:szCs w:val="20"/>
                <w:color w:val="auto"/>
              </w:rPr>
            </w:pPr>
            <w:r>
              <w:rPr>
                <w:rFonts w:ascii="Arial" w:cs="Arial" w:eastAsia="Arial" w:hAnsi="Arial"/>
                <w:sz w:val="14"/>
                <w:szCs w:val="14"/>
                <w:b w:val="1"/>
                <w:bCs w:val="1"/>
                <w:color w:val="auto"/>
              </w:rPr>
              <w:t>Original</w:t>
            </w: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Loans in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Claims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120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Default Rate</w:t>
            </w:r>
          </w:p>
        </w:tc>
        <w:tc>
          <w:tcPr>
            <w:tcW w:w="0" w:type="dxa"/>
            <w:vAlign w:val="bottom"/>
          </w:tcPr>
          <w:p>
            <w:pPr>
              <w:spacing w:after="0"/>
              <w:rPr>
                <w:sz w:val="1"/>
                <w:szCs w:val="1"/>
                <w:color w:val="auto"/>
              </w:rPr>
            </w:pPr>
          </w:p>
        </w:tc>
      </w:tr>
      <w:tr>
        <w:trPr>
          <w:trHeight w:val="162"/>
        </w:trPr>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year</w:t>
            </w: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Insurance Written</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Force</w:t>
            </w:r>
          </w:p>
        </w:tc>
        <w:tc>
          <w:tcPr>
            <w:tcW w:w="13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Insurance</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in Force</w:t>
            </w: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Force</w:t>
            </w: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Default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Paid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Date) </w:t>
            </w:r>
            <w:r>
              <w:rPr>
                <w:rFonts w:ascii="Arial" w:cs="Arial" w:eastAsia="Arial" w:hAnsi="Arial"/>
                <w:sz w:val="8"/>
                <w:szCs w:val="8"/>
                <w:b w:val="1"/>
                <w:bCs w:val="1"/>
                <w:color w:val="auto"/>
                <w:w w:val="98"/>
              </w:rPr>
              <w:t>(1)</w:t>
            </w: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8"/>
                <w:szCs w:val="8"/>
                <w:b w:val="1"/>
                <w:bCs w:val="1"/>
                <w:color w:val="auto"/>
              </w:rPr>
              <w:t>(2)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(3)</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4"/>
          </w:tcPr>
          <w:p>
            <w:pPr>
              <w:ind w:left="60"/>
              <w:spacing w:after="0"/>
              <w:rPr>
                <w:sz w:val="20"/>
                <w:szCs w:val="20"/>
                <w:color w:val="auto"/>
              </w:rPr>
            </w:pPr>
            <w:r>
              <w:rPr>
                <w:rFonts w:ascii="Arial" w:cs="Arial" w:eastAsia="Arial" w:hAnsi="Arial"/>
                <w:sz w:val="14"/>
                <w:szCs w:val="14"/>
                <w:i w:val="1"/>
                <w:iCs w:val="1"/>
                <w:color w:val="auto"/>
              </w:rPr>
              <w:t>($ Values in Millions)</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893</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26%</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14,786</w:t>
            </w:r>
          </w:p>
        </w:tc>
        <w:tc>
          <w:tcPr>
            <w:tcW w:w="10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4,758</w:t>
            </w: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3.9%</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5,792</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47%</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52,548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27,230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21,187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12,944</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61%</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83,626</w:t>
            </w:r>
          </w:p>
        </w:tc>
        <w:tc>
          <w:tcPr>
            <w:tcW w:w="10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55,060</w:t>
            </w: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74</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16,283</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75%</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85,897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68,744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21,932</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80%</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104,014</w:t>
            </w:r>
          </w:p>
        </w:tc>
        <w:tc>
          <w:tcPr>
            <w:tcW w:w="10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88,130</w:t>
            </w: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3.7%</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2019</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31,844</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96%</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109,954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106,335</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0.8%</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119,284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89,713</w:t>
            </w:r>
          </w:p>
        </w:tc>
        <w:tc>
          <w:tcPr>
            <w:tcW w:w="13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451,480</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350,395</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228</w:t>
            </w:r>
          </w:p>
        </w:tc>
        <w:tc>
          <w:tcPr>
            <w:tcW w:w="1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9"/>
          <w:szCs w:val="9"/>
          <w:color w:val="auto"/>
        </w:rPr>
      </w:pPr>
      <w:r>
        <w:rPr>
          <w:rFonts w:ascii="Arial" w:cs="Arial" w:eastAsia="Arial" w:hAnsi="Arial"/>
          <w:sz w:val="14"/>
          <w:szCs w:val="14"/>
          <w:color w:val="auto"/>
        </w:rPr>
        <w:t>Calculated as total claims incurred (paid and reserved) divided by cumulative premiums earned, net of reinsurance.</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15"/>
        </w:numPr>
        <w:rPr>
          <w:rFonts w:ascii="Arial" w:cs="Arial" w:eastAsia="Arial" w:hAnsi="Arial"/>
          <w:sz w:val="9"/>
          <w:szCs w:val="9"/>
          <w:color w:val="auto"/>
        </w:rPr>
      </w:pPr>
      <w:r>
        <w:rPr>
          <w:rFonts w:ascii="Arial" w:cs="Arial" w:eastAsia="Arial" w:hAnsi="Arial"/>
          <w:sz w:val="14"/>
          <w:szCs w:val="14"/>
          <w:color w:val="auto"/>
        </w:rPr>
        <w:t>Calculated as the sum of the number of claims paid ever to date and number of loans in default divided by policies ever in force.</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15"/>
        </w:numPr>
        <w:rPr>
          <w:rFonts w:ascii="Arial" w:cs="Arial" w:eastAsia="Arial" w:hAnsi="Arial"/>
          <w:sz w:val="9"/>
          <w:szCs w:val="9"/>
          <w:color w:val="auto"/>
        </w:rPr>
      </w:pPr>
      <w:r>
        <w:rPr>
          <w:rFonts w:ascii="Arial" w:cs="Arial" w:eastAsia="Arial" w:hAnsi="Arial"/>
          <w:sz w:val="14"/>
          <w:szCs w:val="14"/>
          <w:color w:val="auto"/>
        </w:rPr>
        <w:t>Calculated as the number of loans in default divided by number of policies in force.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38"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September 30, 2019, our RIF continues to be relatively more concentrated in California, primarily as a result of the size of the California mortgage market relative to the rest of the country and the location and timing of our acquisition of new customers. The distribution of our primary RIF as of September 30, 2019 is not necessarily representative of the geographic distribution we expect in the future.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w:t>
            </w:r>
          </w:p>
        </w:tc>
        <w:tc>
          <w:tcPr>
            <w:tcW w:w="208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080" w:type="dxa"/>
            <w:vAlign w:val="bottom"/>
            <w:gridSpan w:val="3"/>
          </w:tcPr>
          <w:p>
            <w:pPr>
              <w:ind w:left="280"/>
              <w:spacing w:after="0"/>
              <w:rPr>
                <w:sz w:val="20"/>
                <w:szCs w:val="20"/>
                <w:color w:val="auto"/>
              </w:rPr>
            </w:pPr>
            <w:r>
              <w:rPr>
                <w:rFonts w:ascii="Arial" w:cs="Arial" w:eastAsia="Arial" w:hAnsi="Arial"/>
                <w:sz w:val="14"/>
                <w:szCs w:val="14"/>
                <w:b w:val="1"/>
                <w:bCs w:val="1"/>
                <w:color w:val="auto"/>
              </w:rPr>
              <w:t>September 30, 2019</w:t>
            </w:r>
          </w:p>
        </w:tc>
        <w:tc>
          <w:tcPr>
            <w:tcW w:w="156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California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8.1</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Florida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Virginia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4.9</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Illinois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3.3</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Michigan</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Colorado</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Maryland</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3.2</w:t>
            </w:r>
          </w:p>
        </w:tc>
      </w:tr>
      <w:tr>
        <w:trPr>
          <w:trHeight w:val="27"/>
        </w:trPr>
        <w:tc>
          <w:tcPr>
            <w:tcW w:w="77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Insurance claims and claim expenses incurred represent estimated future payments on newly defaulted insured loans and any change in our claim estimates for previously existing defaults. Claims incurred is generally affected by a variety of factors, including the macroeconomic environment, national and regional unemployment trends, changes in housing values, borrower risk characteristics, LTV ratios and other loan level risk attributes, the size and type of loans insured, and the percentage of coverage on insured loans.</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Reserves for claims and allocated claim expenses are established for reported mortgage loan defaults, which we refer to as case reserves, when we are notified that a borrower has missed two or more mortgage payments (</w:t>
      </w:r>
      <w:r>
        <w:rPr>
          <w:rFonts w:ascii="Arial" w:cs="Arial" w:eastAsia="Arial" w:hAnsi="Arial"/>
          <w:sz w:val="17"/>
          <w:szCs w:val="17"/>
          <w:i w:val="1"/>
          <w:iCs w:val="1"/>
          <w:color w:val="auto"/>
        </w:rPr>
        <w:t>i.e.</w:t>
      </w:r>
      <w:r>
        <w:rPr>
          <w:rFonts w:ascii="Arial" w:cs="Arial" w:eastAsia="Arial" w:hAnsi="Arial"/>
          <w:sz w:val="17"/>
          <w:szCs w:val="17"/>
          <w:color w:val="auto"/>
        </w:rPr>
        <w:t>, an NOD). We also make estimates of IBNR defaults, which are defaults that have been incurred but have not been reported by loan servicers, based on historical reporting trends, and establish IBNR reserves for those defaults. We also establish reserves for unallocated claim expenses not associated with a specific claim. Claim expenses consist of the estimated cost of the claim administration process, including legal and other fees as well as other general expenses of administering the claim settlement process.</w:t>
      </w:r>
    </w:p>
    <w:p>
      <w:pPr>
        <w:spacing w:after="0" w:line="1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We will not cede claims under the ILN Transactions unless losses exceed the respective retained coverage layers. Reserves are not established for future claims on insured loans which are not currently in default.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43"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Based on our experience and industry data, we believe that claims incidence for mortgage insurance is generally highest in the third through sixth years after loan origination. As of September 30, 2019, approximately 82% of our primary IIF related to business written since September 30, 2016. Although the claims experience on our IIF to date has been modest, we expect incurred claims to increase as a greater amount of our existing insured portfolio reaches its anticipated period of highest claim frequency.</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future macroeconomic factors such as housing prices, interest rates, unemployment rates and other events, such as natural disasters. To date, our claims experience is developing at a slower pace than historical trends indicate, as a result of high quality underwriting,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a strong macroeconomic environment and a favorable housing market. For additional discussion of our reserves, see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6, Reserves for Insurance Claims and Claim Expenses</w:t>
      </w:r>
      <w:r>
        <w:rPr>
          <w:rFonts w:ascii="Arial" w:cs="Arial" w:eastAsia="Arial" w:hAnsi="Arial"/>
          <w:sz w:val="18"/>
          <w:szCs w:val="18"/>
          <w:color w:val="auto"/>
        </w:rPr>
        <w:t>."</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insure mortgages for homes in areas that are impacted by recent natural disasters. We do not provide coverage for property or casualty claims related to physical damage of a home underpinning an insured mortgage. Our ultimate claims exposure for loans in areas impacted by natural disasters will depend on the number of NODs received, proximate cause of each default, cure rate of the NOD population, and potential repair cost curtailment for appropriate claims on damaged properties as permitted under our Master Policy.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w w:val="96"/>
              </w:rPr>
              <w:t>For the nine months ended</w:t>
            </w:r>
          </w:p>
        </w:tc>
      </w:tr>
      <w:tr>
        <w:trPr>
          <w:trHeight w:val="264"/>
        </w:trPr>
        <w:tc>
          <w:tcPr>
            <w:tcW w:w="5620" w:type="dxa"/>
            <w:vAlign w:val="bottom"/>
          </w:tcPr>
          <w:p>
            <w:pPr>
              <w:spacing w:after="0"/>
              <w:rPr>
                <w:sz w:val="22"/>
                <w:szCs w:val="22"/>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5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gridSpan w:val="3"/>
          </w:tcPr>
          <w:p>
            <w:pPr>
              <w:jc w:val="right"/>
              <w:ind w:right="36"/>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8,761</w:t>
            </w:r>
          </w:p>
        </w:tc>
      </w:tr>
      <w:tr>
        <w:trPr>
          <w:trHeight w:val="270"/>
        </w:trPr>
        <w:tc>
          <w:tcPr>
            <w:tcW w:w="56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6,859</w:t>
            </w:r>
          </w:p>
        </w:tc>
      </w:tr>
      <w:tr>
        <w:trPr>
          <w:trHeight w:val="318"/>
        </w:trPr>
        <w:tc>
          <w:tcPr>
            <w:tcW w:w="56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10,948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5,090</w:t>
            </w:r>
          </w:p>
        </w:tc>
      </w:tr>
      <w:tr>
        <w:trPr>
          <w:trHeight w:val="270"/>
        </w:trPr>
        <w:tc>
          <w:tcPr>
            <w:tcW w:w="56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incurred</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w:t>
            </w:r>
          </w:p>
        </w:tc>
      </w:tr>
      <w:tr>
        <w:trPr>
          <w:trHeight w:val="318"/>
        </w:trPr>
        <w:tc>
          <w:tcPr>
            <w:tcW w:w="56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562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1,742</w:t>
            </w: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Reinsurance terminations </w:t>
            </w:r>
            <w:r>
              <w:rPr>
                <w:rFonts w:ascii="Arial" w:cs="Arial" w:eastAsia="Arial" w:hAnsi="Arial"/>
                <w:sz w:val="25"/>
                <w:szCs w:val="25"/>
                <w:color w:val="auto"/>
                <w:vertAlign w:val="superscript"/>
              </w:rPr>
              <w:t>(4)</w:t>
            </w: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claims and claim expenses paid</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1,779</w:t>
            </w: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56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16,196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8,391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16,196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8,391</w:t>
            </w: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2,517</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20,505</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10,908</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20,505</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10,908</w:t>
            </w: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line="250" w:lineRule="auto"/>
        <w:tabs>
          <w:tab w:leader="none" w:pos="340" w:val="left"/>
        </w:tabs>
        <w:numPr>
          <w:ilvl w:val="0"/>
          <w:numId w:val="16"/>
        </w:numPr>
        <w:rPr>
          <w:rFonts w:ascii="Arial" w:cs="Arial" w:eastAsia="Arial" w:hAnsi="Arial"/>
          <w:sz w:val="9"/>
          <w:szCs w:val="9"/>
          <w:color w:val="auto"/>
        </w:rPr>
      </w:pPr>
      <w:r>
        <w:rPr>
          <w:rFonts w:ascii="Arial" w:cs="Arial" w:eastAsia="Arial" w:hAnsi="Arial"/>
          <w:sz w:val="14"/>
          <w:szCs w:val="14"/>
          <w:color w:val="auto"/>
        </w:rPr>
        <w:t>Related to ceded losses recoverable under the QSR Transactions, included in "Other assets" on the condensed consolidated balance sheets. See Item 1, "</w:t>
      </w:r>
      <w:r>
        <w:rPr>
          <w:rFonts w:ascii="Arial" w:cs="Arial" w:eastAsia="Arial" w:hAnsi="Arial"/>
          <w:sz w:val="14"/>
          <w:szCs w:val="14"/>
          <w:i w:val="1"/>
          <w:iCs w:val="1"/>
          <w:color w:val="auto"/>
        </w:rPr>
        <w:t>Financial Statements - Notes to</w:t>
      </w:r>
      <w:r>
        <w:rPr>
          <w:rFonts w:ascii="Arial" w:cs="Arial" w:eastAsia="Arial" w:hAnsi="Arial"/>
          <w:sz w:val="14"/>
          <w:szCs w:val="14"/>
          <w:color w:val="auto"/>
        </w:rPr>
        <w:t xml:space="preserve"> </w:t>
      </w:r>
      <w:r>
        <w:rPr>
          <w:rFonts w:ascii="Arial" w:cs="Arial" w:eastAsia="Arial" w:hAnsi="Arial"/>
          <w:sz w:val="14"/>
          <w:szCs w:val="14"/>
          <w:i w:val="1"/>
          <w:iCs w:val="1"/>
          <w:color w:val="auto"/>
        </w:rPr>
        <w:t>Condensed Consolidated Financial Statements - Note 5, Reinsurance</w:t>
      </w:r>
      <w:r>
        <w:rPr>
          <w:rFonts w:ascii="Arial" w:cs="Arial" w:eastAsia="Arial" w:hAnsi="Arial"/>
          <w:sz w:val="14"/>
          <w:szCs w:val="14"/>
          <w:color w:val="auto"/>
        </w:rPr>
        <w:t>" for additional information.</w:t>
      </w:r>
    </w:p>
    <w:p>
      <w:pPr>
        <w:ind w:left="340" w:hanging="332"/>
        <w:spacing w:after="0" w:line="241" w:lineRule="auto"/>
        <w:tabs>
          <w:tab w:leader="none" w:pos="340" w:val="left"/>
        </w:tabs>
        <w:numPr>
          <w:ilvl w:val="0"/>
          <w:numId w:val="16"/>
        </w:numPr>
        <w:rPr>
          <w:rFonts w:ascii="Arial" w:cs="Arial" w:eastAsia="Arial" w:hAnsi="Arial"/>
          <w:sz w:val="9"/>
          <w:szCs w:val="9"/>
          <w:color w:val="auto"/>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ind w:left="340" w:hanging="332"/>
        <w:spacing w:after="0"/>
        <w:tabs>
          <w:tab w:leader="none" w:pos="340" w:val="left"/>
        </w:tabs>
        <w:numPr>
          <w:ilvl w:val="0"/>
          <w:numId w:val="16"/>
        </w:numPr>
        <w:rPr>
          <w:rFonts w:ascii="Arial" w:cs="Arial" w:eastAsia="Arial" w:hAnsi="Arial"/>
          <w:sz w:val="8"/>
          <w:szCs w:val="8"/>
          <w:color w:val="auto"/>
        </w:rPr>
      </w:pPr>
      <w:r>
        <w:rPr>
          <w:rFonts w:ascii="Arial" w:cs="Arial" w:eastAsia="Arial" w:hAnsi="Arial"/>
          <w:sz w:val="13"/>
          <w:szCs w:val="13"/>
          <w:color w:val="auto"/>
        </w:rPr>
        <w:t>Related to insured loans with defaults occurring in prior years, which have been continuously in default before the start of the current year. Amounts are presented net of reinsurance.</w:t>
      </w:r>
    </w:p>
    <w:p>
      <w:pPr>
        <w:spacing w:after="0" w:line="12" w:lineRule="exact"/>
        <w:rPr>
          <w:rFonts w:ascii="Arial" w:cs="Arial" w:eastAsia="Arial" w:hAnsi="Arial"/>
          <w:sz w:val="8"/>
          <w:szCs w:val="8"/>
          <w:color w:val="auto"/>
        </w:rPr>
      </w:pPr>
    </w:p>
    <w:p>
      <w:pPr>
        <w:ind w:left="340" w:hanging="332"/>
        <w:spacing w:after="0" w:line="255" w:lineRule="auto"/>
        <w:tabs>
          <w:tab w:leader="none" w:pos="340" w:val="left"/>
        </w:tabs>
        <w:numPr>
          <w:ilvl w:val="0"/>
          <w:numId w:val="16"/>
        </w:numPr>
        <w:rPr>
          <w:rFonts w:ascii="Arial" w:cs="Arial" w:eastAsia="Arial" w:hAnsi="Arial"/>
          <w:sz w:val="9"/>
          <w:szCs w:val="9"/>
          <w:color w:val="auto"/>
        </w:rPr>
      </w:pPr>
      <w:r>
        <w:rPr>
          <w:rFonts w:ascii="Arial" w:cs="Arial" w:eastAsia="Arial" w:hAnsi="Arial"/>
          <w:sz w:val="14"/>
          <w:szCs w:val="14"/>
          <w:color w:val="auto"/>
        </w:rPr>
        <w:t>Represents the settlement of reinsurance recoverables in conjunction with the termination of one reinsurer under the 2016 QSR Transaction on a cut-off basis. See Item 1, "</w:t>
      </w:r>
      <w:r>
        <w:rPr>
          <w:rFonts w:ascii="Arial" w:cs="Arial" w:eastAsia="Arial" w:hAnsi="Arial"/>
          <w:sz w:val="14"/>
          <w:szCs w:val="14"/>
          <w:i w:val="1"/>
          <w:iCs w:val="1"/>
          <w:color w:val="auto"/>
        </w:rPr>
        <w:t>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Statements - Notes to Condensed Consolidated Financial Statements - Note 5, Reinsurance</w:t>
      </w:r>
      <w:r>
        <w:rPr>
          <w:rFonts w:ascii="Arial" w:cs="Arial" w:eastAsia="Arial" w:hAnsi="Arial"/>
          <w:sz w:val="14"/>
          <w:szCs w:val="14"/>
          <w:color w:val="auto"/>
        </w:rPr>
        <w:t>" for additional information.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ind w:firstLine="648"/>
        <w:spacing w:after="0" w:line="273" w:lineRule="auto"/>
        <w:rPr>
          <w:sz w:val="20"/>
          <w:szCs w:val="20"/>
          <w:color w:val="auto"/>
        </w:rPr>
      </w:pPr>
      <w:r>
        <w:rPr>
          <w:rFonts w:ascii="Arial" w:cs="Arial" w:eastAsia="Arial" w:hAnsi="Arial"/>
          <w:sz w:val="17"/>
          <w:szCs w:val="17"/>
          <w:color w:val="auto"/>
        </w:rPr>
        <w:t>The "claims incurred" section of the table above shows claims and claim expenses incurred on NODs for current and prior years, including IBNR reserves and is presented net of reinsurance. The amount of claims incurred for current year NODs represents the estimated amount to be ultimately paid on such loans in default. The decreases during the periods presented in reserves held for prior year defaults represent favorable development and are generally the result of NOD cures and ongoing analysis of recent loss development trends. We may increase or decrease our original estimates as we gather additional information about individual defaults and claims and continue to observe and analyze loss development trends in our portfolio. Gross reserves of $6.6 million related to prior year defaults remained as of September 30, 2019.</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562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3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1,080</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denied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3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746</w:t>
            </w: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The increase in the ending default inventory at September 30, 2019 compared to September 30, 2018, primarily relates to an increase in new defaults tied to the growth in the number of policies in force and the aging of our earlier book years, partially offset by cure activity on our beginning NOD population. The ratio of cures to new defaults decreased during the three and nine months ended September 30, 2019 compared to the same periods in the prior year due to the elevated level of defaults on insured loans in areas declared by FEMA to be individual disaster zones following Hurricanes Harvey and Irma, and the California wildfires in 2017, and the subsequent curing of the majority of such defaults in 2018.</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our claims paid, before giving effect to claims ceded under the QSR Transactions, for the periods indicated.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For the nine months ended</w:t>
            </w:r>
          </w:p>
        </w:tc>
        <w:tc>
          <w:tcPr>
            <w:tcW w:w="620" w:type="dxa"/>
            <w:vAlign w:val="bottom"/>
            <w:tcBorders>
              <w:bottom w:val="single" w:sz="8" w:color="auto"/>
            </w:tcBorders>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14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b w:val="1"/>
                <w:bCs w:val="1"/>
                <w:color w:val="auto"/>
                <w:w w:val="99"/>
              </w:rPr>
              <w:t>September 30, 2019</w:t>
            </w:r>
          </w:p>
        </w:tc>
        <w:tc>
          <w:tcPr>
            <w:tcW w:w="16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b w:val="1"/>
                <w:bCs w:val="1"/>
                <w:color w:val="auto"/>
                <w:w w:val="99"/>
              </w:rPr>
              <w:t>September 30, 2019</w:t>
            </w:r>
          </w:p>
        </w:tc>
        <w:tc>
          <w:tcPr>
            <w:tcW w:w="1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5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80" w:type="dxa"/>
            <w:vAlign w:val="bottom"/>
            <w:gridSpan w:val="3"/>
          </w:tcPr>
          <w:p>
            <w:pPr>
              <w:jc w:val="right"/>
              <w:ind w:right="36"/>
              <w:spacing w:after="0"/>
              <w:rPr>
                <w:sz w:val="20"/>
                <w:szCs w:val="20"/>
                <w:color w:val="auto"/>
              </w:rPr>
            </w:pPr>
            <w:r>
              <w:rPr>
                <w:rFonts w:ascii="Arial" w:cs="Arial" w:eastAsia="Arial" w:hAnsi="Arial"/>
                <w:sz w:val="14"/>
                <w:szCs w:val="14"/>
                <w:i w:val="1"/>
                <w:iCs w:val="1"/>
                <w:color w:val="auto"/>
              </w:rPr>
              <w:t>($ In Thousands)</w:t>
            </w: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6"/>
        </w:trPr>
        <w:tc>
          <w:tcPr>
            <w:tcW w:w="536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98</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Total amount paid for claims</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1,265</w:t>
            </w:r>
          </w:p>
        </w:tc>
        <w:tc>
          <w:tcPr>
            <w:tcW w:w="9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w w:val="88"/>
              </w:rPr>
              <w:t>1,128</w:t>
            </w:r>
          </w:p>
        </w:tc>
        <w:tc>
          <w:tcPr>
            <w:tcW w:w="100" w:type="dxa"/>
            <w:vAlign w:val="bottom"/>
          </w:tcPr>
          <w:p>
            <w:pPr>
              <w:spacing w:after="0"/>
              <w:rPr>
                <w:sz w:val="21"/>
                <w:szCs w:val="21"/>
                <w:color w:val="auto"/>
              </w:rPr>
            </w:pPr>
          </w:p>
        </w:tc>
        <w:tc>
          <w:tcPr>
            <w:tcW w:w="580" w:type="dxa"/>
            <w:vAlign w:val="bottom"/>
          </w:tcPr>
          <w:p>
            <w:pPr>
              <w:jc w:val="right"/>
              <w:ind w:right="37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2,979</w:t>
            </w:r>
          </w:p>
        </w:tc>
        <w:tc>
          <w:tcPr>
            <w:tcW w:w="880" w:type="dxa"/>
            <w:vAlign w:val="bottom"/>
          </w:tcPr>
          <w:p>
            <w:pPr>
              <w:jc w:val="right"/>
              <w:ind w:right="61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2,217</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amount paid per claim</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34</w:t>
            </w:r>
          </w:p>
        </w:tc>
        <w:tc>
          <w:tcPr>
            <w:tcW w:w="90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r>
      <w:tr>
        <w:trPr>
          <w:trHeight w:val="341"/>
        </w:trPr>
        <w:tc>
          <w:tcPr>
            <w:tcW w:w="5360" w:type="dxa"/>
            <w:vAlign w:val="bottom"/>
          </w:tcPr>
          <w:p>
            <w:pPr>
              <w:ind w:left="40"/>
              <w:spacing w:after="0"/>
              <w:rPr>
                <w:sz w:val="20"/>
                <w:szCs w:val="20"/>
                <w:color w:val="auto"/>
              </w:rPr>
            </w:pPr>
            <w:r>
              <w:rPr>
                <w:rFonts w:ascii="Arial" w:cs="Arial" w:eastAsia="Arial" w:hAnsi="Arial"/>
                <w:sz w:val="18"/>
                <w:szCs w:val="18"/>
                <w:color w:val="auto"/>
              </w:rPr>
              <w:t xml:space="preserve">Severity </w:t>
            </w:r>
            <w:r>
              <w:rPr>
                <w:rFonts w:ascii="Arial" w:cs="Arial" w:eastAsia="Arial" w:hAnsi="Arial"/>
                <w:sz w:val="25"/>
                <w:szCs w:val="25"/>
                <w:color w:val="auto"/>
                <w:vertAlign w:val="superscript"/>
              </w:rPr>
              <w:t>(2)</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9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8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8" w:lineRule="exact"/>
        <w:rPr>
          <w:sz w:val="20"/>
          <w:szCs w:val="20"/>
          <w:color w:val="auto"/>
        </w:rPr>
      </w:pPr>
    </w:p>
    <w:p>
      <w:pPr>
        <w:ind w:left="340" w:right="260" w:hanging="332"/>
        <w:spacing w:after="0" w:line="250" w:lineRule="auto"/>
        <w:tabs>
          <w:tab w:leader="none" w:pos="340" w:val="left"/>
        </w:tabs>
        <w:numPr>
          <w:ilvl w:val="0"/>
          <w:numId w:val="17"/>
        </w:numPr>
        <w:rPr>
          <w:rFonts w:ascii="Arial" w:cs="Arial" w:eastAsia="Arial" w:hAnsi="Arial"/>
          <w:sz w:val="9"/>
          <w:szCs w:val="9"/>
          <w:color w:val="auto"/>
        </w:rPr>
      </w:pPr>
      <w:r>
        <w:rPr>
          <w:rFonts w:ascii="Arial" w:cs="Arial" w:eastAsia="Arial" w:hAnsi="Arial"/>
          <w:sz w:val="14"/>
          <w:szCs w:val="14"/>
          <w:color w:val="auto"/>
        </w:rPr>
        <w:t>Count includes 8 and 14 claims settled without payment for the three and nine months ended September 30, 2019, respectively, and 1 and 5 claims settled without payment for the three and nine months ended September 30, 2018, respectively.</w:t>
      </w:r>
    </w:p>
    <w:p>
      <w:pPr>
        <w:ind w:left="340" w:right="100" w:hanging="332"/>
        <w:spacing w:after="0" w:line="255" w:lineRule="auto"/>
        <w:tabs>
          <w:tab w:leader="none" w:pos="340" w:val="left"/>
        </w:tabs>
        <w:numPr>
          <w:ilvl w:val="0"/>
          <w:numId w:val="17"/>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13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the number of claims paid for the three and nine months ended September 30, 2019, compared to the three and nine months ended September 30, 2018, is due to an increase in our default inventory and the continued growth and seasoning of our insured portfolio.</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claims severity for each of the three and nine months ended September 30, 2019 was 70%, compared to 80% and 76% for the three and nine months ended September 30, 2018. Claims severity in each period benefitted from home price appreciation. Increasing values of the homes underlying the loans we insure generally causes a decline in the severity of claims that we pay. Over time, we expect the severity of claims paid to be between 85% and 95% of the coverage amount.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73" w:right="239" w:bottom="1440" w:gutter="0" w:footer="0" w:header="0"/>
        </w:sectPr>
      </w:pPr>
    </w:p>
    <w:bookmarkStart w:id="36" w:name="page37"/>
    <w:bookmarkEnd w:id="36"/>
    <w:p>
      <w:pPr>
        <w:ind w:right="20" w:firstLine="648"/>
        <w:spacing w:after="0" w:line="277"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September 30, 2019</w:t>
            </w: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As of September 30, 2018</w:t>
            </w:r>
          </w:p>
        </w:tc>
      </w:tr>
      <w:tr>
        <w:trPr>
          <w:trHeight w:val="250"/>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20" w:type="dxa"/>
            <w:vAlign w:val="bottom"/>
            <w:gridSpan w:val="4"/>
          </w:tcPr>
          <w:p>
            <w:pPr>
              <w:jc w:val="right"/>
              <w:ind w:right="1694"/>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IBNR</w:t>
            </w:r>
          </w:p>
        </w:tc>
        <w:tc>
          <w:tcPr>
            <w:tcW w:w="220" w:type="dxa"/>
            <w:vAlign w:val="bottom"/>
          </w:tcPr>
          <w:p>
            <w:pPr>
              <w:spacing w:after="0"/>
              <w:rPr>
                <w:sz w:val="21"/>
                <w:szCs w:val="21"/>
                <w:color w:val="auto"/>
              </w:rPr>
            </w:pPr>
          </w:p>
        </w:tc>
        <w:tc>
          <w:tcPr>
            <w:tcW w:w="19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0</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340" w:hanging="332"/>
        <w:spacing w:after="0"/>
        <w:tabs>
          <w:tab w:leader="none" w:pos="340" w:val="left"/>
        </w:tabs>
        <w:numPr>
          <w:ilvl w:val="0"/>
          <w:numId w:val="18"/>
        </w:numPr>
        <w:rPr>
          <w:rFonts w:ascii="Arial" w:cs="Arial" w:eastAsia="Arial" w:hAnsi="Arial"/>
          <w:sz w:val="9"/>
          <w:szCs w:val="9"/>
          <w:color w:val="auto"/>
        </w:rPr>
      </w:pPr>
      <w:r>
        <w:rPr>
          <w:rFonts w:ascii="Arial" w:cs="Arial" w:eastAsia="Arial" w:hAnsi="Arial"/>
          <w:sz w:val="14"/>
          <w:szCs w:val="14"/>
          <w:color w:val="auto"/>
        </w:rPr>
        <w:t>Defined as the gross reserve per insured loan in default.</w:t>
      </w:r>
    </w:p>
    <w:p>
      <w:pPr>
        <w:spacing w:after="0" w:line="7" w:lineRule="exact"/>
        <w:rPr>
          <w:rFonts w:ascii="Arial" w:cs="Arial" w:eastAsia="Arial" w:hAnsi="Arial"/>
          <w:sz w:val="9"/>
          <w:szCs w:val="9"/>
          <w:color w:val="auto"/>
        </w:rPr>
      </w:pPr>
    </w:p>
    <w:p>
      <w:pPr>
        <w:ind w:left="340" w:hanging="332"/>
        <w:spacing w:after="0"/>
        <w:tabs>
          <w:tab w:leader="none" w:pos="340" w:val="left"/>
        </w:tabs>
        <w:numPr>
          <w:ilvl w:val="0"/>
          <w:numId w:val="18"/>
        </w:numPr>
        <w:rPr>
          <w:rFonts w:ascii="Arial" w:cs="Arial" w:eastAsia="Arial" w:hAnsi="Arial"/>
          <w:sz w:val="9"/>
          <w:szCs w:val="9"/>
          <w:color w:val="auto"/>
        </w:rPr>
      </w:pPr>
      <w:r>
        <w:rPr>
          <w:rFonts w:ascii="Arial" w:cs="Arial" w:eastAsia="Arial" w:hAnsi="Arial"/>
          <w:sz w:val="14"/>
          <w:szCs w:val="14"/>
          <w:color w:val="auto"/>
        </w:rPr>
        <w:t>Amount includes claims adjustment expenses.</w:t>
      </w:r>
    </w:p>
    <w:p>
      <w:pPr>
        <w:spacing w:after="0" w:line="1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average reserve per default at September 30, 2019 increased from September 30, 2018, primarily due to cure activity on defaults outstanding at September 30, 2018 for loans in areas impacted by natural disasters and the aging of our NOD population from non-disaster zones.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702"/>
        <w:spacing w:after="0" w:line="276" w:lineRule="auto"/>
        <w:rPr>
          <w:sz w:val="20"/>
          <w:szCs w:val="20"/>
          <w:color w:val="auto"/>
        </w:rPr>
      </w:pPr>
      <w:r>
        <w:rPr>
          <w:rFonts w:ascii="Arial" w:cs="Arial" w:eastAsia="Arial" w:hAnsi="Arial"/>
          <w:sz w:val="17"/>
          <w:szCs w:val="17"/>
          <w:color w:val="auto"/>
        </w:rPr>
        <w:t xml:space="preserve">As an </w:t>
      </w:r>
      <w:r>
        <w:rPr>
          <w:rFonts w:ascii="Arial" w:cs="Arial" w:eastAsia="Arial" w:hAnsi="Arial"/>
          <w:sz w:val="17"/>
          <w:szCs w:val="17"/>
          <w:i w:val="1"/>
          <w:iCs w:val="1"/>
          <w:color w:val="auto"/>
        </w:rPr>
        <w:t>approved insurer</w:t>
      </w:r>
      <w:r>
        <w:rPr>
          <w:rFonts w:ascii="Arial" w:cs="Arial" w:eastAsia="Arial" w:hAnsi="Arial"/>
          <w:sz w:val="17"/>
          <w:szCs w:val="17"/>
          <w:color w:val="auto"/>
        </w:rPr>
        <w:t>, NMIC is subject to ongoing compliance with the PMIERs established by each of the GSEs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7"/>
          <w:szCs w:val="17"/>
          <w:i w:val="1"/>
          <w:iCs w:val="1"/>
          <w:color w:val="auto"/>
        </w:rPr>
        <w:t>i.e.,</w:t>
      </w:r>
      <w:r>
        <w:rPr>
          <w:rFonts w:ascii="Arial" w:cs="Arial" w:eastAsia="Arial" w:hAnsi="Arial"/>
          <w:sz w:val="17"/>
          <w:szCs w:val="17"/>
          <w:color w:val="auto"/>
        </w:rPr>
        <w:t xml:space="preserve"> current vs. delinquent), LTV ratio and other risk features. In general, higher quality loans carry lower asset charges.</w:t>
      </w:r>
    </w:p>
    <w:p>
      <w:pPr>
        <w:spacing w:after="0" w:line="146" w:lineRule="exact"/>
        <w:rPr>
          <w:sz w:val="20"/>
          <w:szCs w:val="20"/>
          <w:color w:val="auto"/>
        </w:rPr>
      </w:pPr>
    </w:p>
    <w:p>
      <w:pPr>
        <w:jc w:val="both"/>
        <w:ind w:firstLine="702"/>
        <w:spacing w:after="0" w:line="307" w:lineRule="auto"/>
        <w:rPr>
          <w:sz w:val="20"/>
          <w:szCs w:val="20"/>
          <w:color w:val="auto"/>
        </w:rPr>
      </w:pPr>
      <w:r>
        <w:rPr>
          <w:rFonts w:ascii="Arial" w:cs="Arial" w:eastAsia="Arial" w:hAnsi="Arial"/>
          <w:sz w:val="16"/>
          <w:szCs w:val="16"/>
          <w:color w:val="auto"/>
        </w:rPr>
        <w:t xml:space="preserve">Under the PMIERs,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must maintain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that equal or exceed </w:t>
      </w:r>
      <w:r>
        <w:rPr>
          <w:rFonts w:ascii="Arial" w:cs="Arial" w:eastAsia="Arial" w:hAnsi="Arial"/>
          <w:sz w:val="16"/>
          <w:szCs w:val="16"/>
          <w:i w:val="1"/>
          <w:iCs w:val="1"/>
          <w:color w:val="auto"/>
        </w:rPr>
        <w:t>minimum required assets</w:t>
      </w:r>
      <w:r>
        <w:rPr>
          <w:rFonts w:ascii="Arial" w:cs="Arial" w:eastAsia="Arial" w:hAnsi="Arial"/>
          <w:sz w:val="16"/>
          <w:szCs w:val="16"/>
          <w:color w:val="auto"/>
        </w:rPr>
        <w:t xml:space="preserve">, which is an amount equal to the greater of (i) $400 million or (ii) a total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is a function of the risk profile of an </w:t>
      </w:r>
      <w:r>
        <w:rPr>
          <w:rFonts w:ascii="Arial" w:cs="Arial" w:eastAsia="Arial" w:hAnsi="Arial"/>
          <w:sz w:val="16"/>
          <w:szCs w:val="16"/>
          <w:i w:val="1"/>
          <w:iCs w:val="1"/>
          <w:color w:val="auto"/>
        </w:rPr>
        <w:t xml:space="preserve">approved insurer's </w:t>
      </w:r>
      <w:r>
        <w:rPr>
          <w:rFonts w:ascii="Arial" w:cs="Arial" w:eastAsia="Arial" w:hAnsi="Arial"/>
          <w:sz w:val="16"/>
          <w:szCs w:val="16"/>
          <w:color w:val="auto"/>
        </w:rPr>
        <w:t>RIF, assessed on a loan-by-loan basis and considered against certain risk-based factors derived from tables set out in the PMIERs</w:t>
      </w:r>
      <w:r>
        <w:rPr>
          <w:rFonts w:ascii="Arial" w:cs="Arial" w:eastAsia="Arial" w:hAnsi="Arial"/>
          <w:sz w:val="17"/>
          <w:szCs w:val="17"/>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then adjusted on an aggregate basis for reinsurance transactions approved by the GSEs, such as with respect to our ILN Transactions and QSR Transactions.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for performing, primary insurance is subject to a floor of 5.6% of </w:t>
      </w:r>
      <w:r>
        <w:rPr>
          <w:rFonts w:ascii="Arial" w:cs="Arial" w:eastAsia="Arial" w:hAnsi="Arial"/>
          <w:sz w:val="16"/>
          <w:szCs w:val="16"/>
          <w:i w:val="1"/>
          <w:iCs w:val="1"/>
          <w:color w:val="auto"/>
        </w:rPr>
        <w:t>performing primary adjusted RIF</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risk-based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required asset amount </w:t>
      </w:r>
      <w:r>
        <w:rPr>
          <w:rFonts w:ascii="Arial" w:cs="Arial" w:eastAsia="Arial" w:hAnsi="Arial"/>
          <w:sz w:val="16"/>
          <w:szCs w:val="16"/>
          <w:color w:val="auto"/>
        </w:rPr>
        <w:t>for pool insurance considers both factors in the PMIERs tables and the</w:t>
      </w:r>
      <w:r>
        <w:rPr>
          <w:rFonts w:ascii="Arial" w:cs="Arial" w:eastAsia="Arial" w:hAnsi="Arial"/>
          <w:sz w:val="16"/>
          <w:szCs w:val="16"/>
          <w:i w:val="1"/>
          <w:iCs w:val="1"/>
          <w:color w:val="auto"/>
        </w:rPr>
        <w:t xml:space="preserve"> net remaining stop loss </w:t>
      </w:r>
      <w:r>
        <w:rPr>
          <w:rFonts w:ascii="Arial" w:cs="Arial" w:eastAsia="Arial" w:hAnsi="Arial"/>
          <w:sz w:val="16"/>
          <w:szCs w:val="16"/>
          <w:color w:val="auto"/>
        </w:rPr>
        <w:t>for each pool insurance policy.</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2019 that NMIC was in full compliance with the PMIERs as of December 31, 2018. NMIC also has an ongoing obligation to immediately notify the GSEs in writing upon discovery of a failure to meet one or more of the PMIERs requirements. We continuously monitor NMIC's compliance with the PMIERs.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September 27, 2018, the GSEs published revised PMIERs that took effect and became applicable to NMIC on March 31, 2019. 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 as calculated under the applicable PMIERs requirement.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6"/>
              </w:rPr>
              <w:t>September 30, 2019</w:t>
            </w:r>
          </w:p>
        </w:tc>
        <w:tc>
          <w:tcPr>
            <w:tcW w:w="4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3"/>
          </w:tcPr>
          <w:p>
            <w:pPr>
              <w:jc w:val="right"/>
              <w:ind w:right="1236"/>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955,554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702,020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Risk-based required assets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637,914</w:t>
            </w:r>
          </w:p>
        </w:tc>
        <w:tc>
          <w:tcPr>
            <w:tcW w:w="4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398,975</w:t>
            </w:r>
          </w:p>
        </w:tc>
      </w:tr>
    </w:tbl>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$956 million at September 30, 2019, compared to $702 million at September 30, 2018. The increase in</w:t>
      </w:r>
      <w:r>
        <w:rPr>
          <w:rFonts w:ascii="Arial" w:cs="Arial" w:eastAsia="Arial" w:hAnsi="Arial"/>
          <w:sz w:val="18"/>
          <w:szCs w:val="18"/>
          <w:i w:val="1"/>
          <w:iCs w:val="1"/>
          <w:color w:val="auto"/>
        </w:rPr>
        <w:t xml:space="preserve"> available assets </w:t>
      </w:r>
      <w:r>
        <w:rPr>
          <w:rFonts w:ascii="Arial" w:cs="Arial" w:eastAsia="Arial" w:hAnsi="Arial"/>
          <w:sz w:val="18"/>
          <w:szCs w:val="18"/>
          <w:color w:val="auto"/>
        </w:rPr>
        <w:t>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$254 million was driven by our positive cash flow from operations and the impact of adopting the revised PMIERs guidance effective March 31, 2019. The increase in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was primarily due to the growth of our gross RIF and the termination of our engagement with and recapture of previously ceded primary RIF from one reinsurer under the 2016 QSR Transaction, partially offset by the cession of risk generally under our third-party reinsurance agreements.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GSE-imposed asset requirements, NMIC is subject to state regulatory minimum capital requirements based on its RIF. While formulations of this minimum capital may vary by jurisdiction, the most common measure allows for a maximum permitted RTC ratio of 25:1.</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2019, NMIC's performing primary RIF, net of reinsurance, was approximately $13.2 billion. NMIC ceded 100% of its pool RIF pursuant to the 2016 QSR Transaction. Based on NMIC's total statutory capital of $888 million (including contingency reserves) as of September 30, 2019, NMIC's RTC ratio was 14.8:1. Re One had total statutory capital of $36 million as of September 30, 2019, and a RTC ratio of 1.2:1. We continuously monitor our compliance with state capital requirements.</w:t>
      </w:r>
    </w:p>
    <w:p>
      <w:pPr>
        <w:spacing w:after="0" w:line="13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October 2019, Moody's Investors Service (Moody's) upgraded its financial strength rating of NMIC from "Baa3" to "Baa2" and upgraded its rating of NMIH's $150 million senior secured 2018 Term Loan and 2018 Revolving Credit Facility from "Ba3" to "Ba2". The outlook for Moody's ratings is stable. In June 2019, S&amp;P upgraded its financial strength and long-term counter-party credit ratings of NMIC from "BBB-" to "BBB" and upgraded its long-term counter-party credit rating of NMIH from "BB-" to "BB". The outlook for S&amp;P's ratings is positive.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information technology capabilities. We expect the private MI market to remain competitive, with pressure for industry participants to maintain or grow their market share.</w:t>
      </w:r>
    </w:p>
    <w:p>
      <w:pPr>
        <w:spacing w:after="0" w:line="13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private MI industry overall competes more broadly with government MIs who significantly increased their presence in the MI market following the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historical levels. A range of factors influence a lender's and borrower's decision to choose private over government MI, including among others, premium rates and other charges, loan eligibility requirements, cancelability, loan size limits and the relative ease of use of private MI products compared to government MI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152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1"/>
              </w:rPr>
              <w:t>September 30, 2018</w:t>
            </w:r>
          </w:p>
        </w:tc>
      </w:tr>
      <w:tr>
        <w:trPr>
          <w:trHeight w:val="25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140" w:type="dxa"/>
            <w:vAlign w:val="bottom"/>
            <w:gridSpan w:val="5"/>
            <w:shd w:val="clear" w:color="auto" w:fill="CCEEFF"/>
          </w:tcPr>
          <w:p>
            <w:pPr>
              <w:ind w:left="10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Net premiums earned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92,381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65,407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249,499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181,936</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investment income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16,586</w:t>
            </w: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Net realized investment gains (losses)</w:t>
            </w:r>
          </w:p>
        </w:tc>
        <w:tc>
          <w:tcPr>
            <w:tcW w:w="14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51</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revenues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193</w:t>
            </w: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101,588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71,761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273,874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198,766</w:t>
            </w:r>
          </w:p>
        </w:tc>
      </w:tr>
      <w:tr>
        <w:trPr>
          <w:trHeight w:val="27"/>
        </w:trPr>
        <w:tc>
          <w:tcPr>
            <w:tcW w:w="15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Insurance claims and claim expenses</w:t>
            </w:r>
          </w:p>
        </w:tc>
        <w:tc>
          <w:tcPr>
            <w:tcW w:w="14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8,238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3,311</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Underwriting and operating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33,244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30,379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96,636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87,852</w:t>
            </w: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35,816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31,478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104,874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91,163</w:t>
            </w:r>
          </w:p>
        </w:tc>
      </w:tr>
      <w:tr>
        <w:trPr>
          <w:trHeight w:val="27"/>
        </w:trPr>
        <w:tc>
          <w:tcPr>
            <w:tcW w:w="15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Gain (loss) from change in fair value of warrant liability</w:t>
            </w:r>
          </w:p>
        </w:tc>
        <w:tc>
          <w:tcPr>
            <w:tcW w:w="14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(5,464)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(6,025)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(4,935)</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(9,111)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(11,951)</w:t>
            </w: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63,932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31,847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153,864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90,717</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14,169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32,102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18,310</w:t>
            </w:r>
          </w:p>
        </w:tc>
      </w:tr>
      <w:tr>
        <w:trPr>
          <w:trHeight w:val="297"/>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49,763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24,811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121,762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72,407</w:t>
            </w:r>
          </w:p>
        </w:tc>
      </w:tr>
      <w:tr>
        <w:trPr>
          <w:trHeight w:val="217"/>
        </w:trPr>
        <w:tc>
          <w:tcPr>
            <w:tcW w:w="15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Earnings per share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1.12</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Earnings per share -</w:t>
            </w: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1.07</w:t>
            </w:r>
          </w:p>
        </w:tc>
      </w:tr>
      <w:tr>
        <w:trPr>
          <w:trHeight w:val="216"/>
        </w:trPr>
        <w:tc>
          <w:tcPr>
            <w:tcW w:w="1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0"/>
        </w:trPr>
        <w:tc>
          <w:tcPr>
            <w:tcW w:w="49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94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r>
      <w:tr>
        <w:trPr>
          <w:trHeight w:val="237"/>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15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9"/>
          <w:szCs w:val="9"/>
          <w:color w:val="auto"/>
        </w:rPr>
      </w:pPr>
      <w:r>
        <w:rPr>
          <w:rFonts w:ascii="Arial" w:cs="Arial" w:eastAsia="Arial" w:hAnsi="Arial"/>
          <w:sz w:val="14"/>
          <w:szCs w:val="14"/>
          <w:color w:val="auto"/>
        </w:rPr>
        <w:t>Loss ratio is calculated by dividing the provision for insurance claims and claim expenses by net premiums earned.</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19"/>
        </w:numPr>
        <w:rPr>
          <w:rFonts w:ascii="Arial" w:cs="Arial" w:eastAsia="Arial" w:hAnsi="Arial"/>
          <w:sz w:val="9"/>
          <w:szCs w:val="9"/>
          <w:color w:val="auto"/>
        </w:rPr>
      </w:pPr>
      <w:r>
        <w:rPr>
          <w:rFonts w:ascii="Arial" w:cs="Arial" w:eastAsia="Arial" w:hAnsi="Arial"/>
          <w:sz w:val="14"/>
          <w:szCs w:val="14"/>
          <w:color w:val="auto"/>
        </w:rPr>
        <w:t>Expense ratio is calculated by dividing underwriting and operating expenses by net premiums earned.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three and nine months ended September 30, 2019, net premiums earned increased $27.0 million or 41% and $67.6 million or 37%, respectively, compared to the three and nine months ended September 30, 2018. The increase is primarily due to the growth of our IIF and increased monthly policy production, as well as an increase in earnings from single premium policy cancellations, partially offset by increased cessions under the QSR Transactions tied to the growth of our direct premium volume and the inception of the 2018 and 2019 ILN Transactions.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nine months ended September 30, 2019, net investment income increased $1.6 million and $6.3 million, respectively, compared to the three and nine months ended September 30, 2018, due to an increase in the size and yield of our investment portfolio.</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and nine months ended September 30, 2019, other revenues increased $1.2 million and $1.5 million, respectively, compared to the three and nine months ended September 30, 2018. Other revenues represents underwriting fee revenue from our subsidiary, NMIS, which provides outsourced loan review services to mortgage loan originators. The increase in the period presented is due to an increase in NMIS' outsourced loan review volume. Amounts recognized in other revenue generally correspond with amounts incurred in underwriting and operating expenses for outsourced loan review services (in the same periods).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Insurance claims and claim expenses increased $1.5 million and $4.9 million for the three and nine months ended September 30, 2019, respectively, compared to the three and nine months ended September 30, 2018, primarily due to an increase in NODs tied to the growth in the number of policies in force and the aging of our earlier book years, and an increase in our average reserve per default tied to the aging of our NOD population from non-disaster zones and composition of our default inventory between loans in disaster and non-disaster impacted areas. The growth in insurance claims and claim expenses for the three and nine months ended September 30, 2018 was partially offset by the release of prior year reserves tied to NOD cures and ongoing analysis of recent loss development trends.</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Underwriting and operating expenses increased $2.9 million or 9% and $8.8 million or 10% for the three and nine months ended September 30, 2019, respectively, compared to the three and nine months ended September 30, 2018. The increase relates to an increase in underwriting expenses associated with the growth in our policy volume, as well as certain employee compensation and technology costs incurred to support the growth of our business, and an increase in NMIS’ outsourced loan review expenses incurred in connection with the growth in outsourced loan review volume. We incurred $2.4 million of underwriting and operating expenses during the nine months ended September 30, 2019 in connection with the 2019 ILN Transaction completed in July 2019. Underwriting and operating expenses for the nine months ended September 30, 2018 included $2.6 million related to the 2018 ILN Transaction completed in July 2018.</w:t>
      </w:r>
    </w:p>
    <w:p>
      <w:pPr>
        <w:spacing w:after="0" w:line="1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Interest expense was $3.0 million and $9.1 million for the three and nine months ended September 30, 2019, respectively, compared to $3.0 million and $12.0 million, for the three and nine months ended September 30, 2018, respectively. Interest expense for the nine months ended September 30, 2018 included $2.2 million of costs related to the extinguishment of the 2015 Term Loan and issuance of the 2018 Term Loan completed in May 2018. Interest expense for the nine months ended September 30, 2019 further benefited from a lower interest spread payable on borrowings under the 2018 Term Loan as compared to the 2015 Term Loan, partially offset by commitment fees recognized in interest for the 2018 Revolving Credit Facility. See Item 1,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Notes to Condensed Consolidated Financial Statements - Note 4, Debt.</w:t>
      </w:r>
      <w:r>
        <w:rPr>
          <w:rFonts w:ascii="Arial" w:cs="Arial" w:eastAsia="Arial" w:hAnsi="Arial"/>
          <w:sz w:val="17"/>
          <w:szCs w:val="17"/>
          <w:color w:val="auto"/>
        </w:rPr>
        <w:t>"</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Income tax expense was $14.2 million and $32.1 million for the three and nine months ended September 30, 2019, respectively, compared to $7.0 million and $18.3 million for the three and nine months ended September 30, 2018, respectively. Income tax expense increased due to the growth in our pre-tax income. Our provision for income taxes for interim periods is established based on our estimated annual effective tax rate for a given year. Our effective tax rate on our pre-tax income was 22.2% and 20.9% for the three and nine months ended September 30, 2019, respectively, compared to 22.1% and 20.2% for the three and nine months ended September 30, 2018, respectively. We are subject to a 21% statutory U.S. federal corporate income tax rate. Our effective tax rate for the three and nine months interim periods ended September 30, 2019 and 2018 reflect the discrete tax effects of the vesting of RSUs and exercise of options, and the change in fair value of our warrant liability in each period. See Item 1, "</w:t>
      </w:r>
      <w:r>
        <w:rPr>
          <w:rFonts w:ascii="Arial" w:cs="Arial" w:eastAsia="Arial" w:hAnsi="Arial"/>
          <w:sz w:val="17"/>
          <w:szCs w:val="17"/>
          <w:i w:val="1"/>
          <w:iCs w:val="1"/>
          <w:color w:val="auto"/>
        </w:rPr>
        <w:t>Financial Statements - Notes to Condensed 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 Note 9, Income Taxes."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income was $49.8 million and $121.8 million for the three and nine months ended September 30, 2019, respectively, compared to $24.8 million and $72.4 million for the three and nine months ended September 30, 2018, respectively. The increase in net income primarily relates to growth in total revenues, partially offset by an increase in total expenses and an increase in tax expense.</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Diluted EPS was $0.69 and $1.75 for the three and nine months ended September 30, 2019, respectively, compared to $0.36 and $1.07 for the three and nine months ended September 30, 2018, respectively. Diluted EPS increased due to growth in net income, partially offset by an increase in weighted average diluted shares outstanding.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65" w:right="239" w:bottom="1440" w:gutter="0" w:footer="0" w:header="0"/>
        </w:sectPr>
      </w:pPr>
    </w:p>
    <w:bookmarkStart w:id="40" w:name="page41"/>
    <w:bookmarkEnd w:id="40"/>
    <w:tbl>
      <w:tblPr>
        <w:tblLayout w:type="fixed"/>
        <w:tblInd w:w="20" w:type="dxa"/>
        <w:tblCellMar>
          <w:top w:w="0" w:type="dxa"/>
          <w:left w:w="0" w:type="dxa"/>
          <w:bottom w:w="0" w:type="dxa"/>
          <w:right w:w="0" w:type="dxa"/>
        </w:tblCellMar>
      </w:tblPr>
      <w:tr>
        <w:trPr>
          <w:trHeight w:val="192"/>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investment portfolio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1,073,176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911,490</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45,889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25,294</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Premiums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36,007</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Deferred policy acquisition costs, net</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56,642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46,840</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Software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24,765</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Prepaid reinsurance premiums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17,917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30,370</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17,277</w:t>
            </w:r>
          </w:p>
        </w:tc>
      </w:tr>
      <w:tr>
        <w:trPr>
          <w:trHeight w:val="297"/>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1,301,462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1,092,043</w:t>
            </w:r>
          </w:p>
        </w:tc>
      </w:tr>
      <w:tr>
        <w:trPr>
          <w:trHeight w:val="237"/>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146,007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146,757</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145,146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158,893</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31,141</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Reserve for insurance claims and claim expenses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20,505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12,811</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Reinsurance funds withheld</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27,114</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7,296</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liability,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2,740</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10,816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3,791</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427,975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390,543</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873,487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701,500</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1,301,462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1,092,043</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2019, we had $1.1 billion in cash and investments, including $43.3 million held by NMIH. The increase in cash and investments from December 31, 2018 relates to cash generated from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Premiums receivable was $45.7 million as of September 30, 2019, compared to $36.0 million as of December 31, 2018. The increase was primarily driven by the increase in our monthly premium policies in force, where premiums are generally paid one month in arrears.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deferred policy acquisition costs were $56.6 million as of September 30, 2019, compared to $46.8 million as of December 31, 2018. The increase was primarily driven by growth in the number of policies written during the period and the deferral of certain costs associated with the origination of those policies, partially offset by the amortization of previously deferred acquisition costs.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Prepaid reinsurance premiums were $17.9 million as of September 30, 2019, compared to $30.4 million as of December 31, 2018. Prepaid reinsurance premiums, which represent the unearned premiums on single premium policies ceded under the 2016 QSR Transaction, decreased due to the termination of our engagement with one reinsurer under the 2016 QSR Transaction and the continued amortization of previously ceded unearned premiums.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Other assets increased to $35.8 million as of September 30, 2019 from $17.3 million as of December 31, 2018. Other assets as of September 30, 2019 includes $7.6 million of tax and loss bonds and $6.9 million of operating lease right-of-use assets, which we recognized following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See Item 1, "</w:t>
      </w:r>
      <w:r>
        <w:rPr>
          <w:rFonts w:ascii="Arial" w:cs="Arial" w:eastAsia="Arial" w:hAnsi="Arial"/>
          <w:sz w:val="18"/>
          <w:szCs w:val="18"/>
          <w:i w:val="1"/>
          <w:iCs w:val="1"/>
          <w:color w:val="auto"/>
        </w:rPr>
        <w:t>Financial Statements - Notes to Condensed Consolidated Financial Statements - Note 9, Income Taxes.</w:t>
      </w:r>
      <w:r>
        <w:rPr>
          <w:rFonts w:ascii="Arial" w:cs="Arial" w:eastAsia="Arial" w:hAnsi="Arial"/>
          <w:sz w:val="18"/>
          <w:szCs w:val="18"/>
          <w:color w:val="auto"/>
        </w:rPr>
        <w:t>" and "</w:t>
      </w:r>
      <w:r>
        <w:rPr>
          <w:rFonts w:ascii="Arial" w:cs="Arial" w:eastAsia="Arial" w:hAnsi="Arial"/>
          <w:sz w:val="18"/>
          <w:szCs w:val="18"/>
          <w:i w:val="1"/>
          <w:iCs w:val="1"/>
          <w:color w:val="auto"/>
        </w:rPr>
        <w:t>Financial Statements - Notes to Condensed Consolidated Financial Statements - Note 10, Leases.</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Unearned premiums decreased from $158.9 million as of December 31, 2018 to $145.1 million as of September 30, 2019, primarily due to the amortization of existing unearned premiums through earnings in accordance with the expiration of risk on related single premium policies and the cancellation of other single premium policies, partially offset by single premium policy originations during the nine months ended September 30, 2019.</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Accounts payable and accrued expenses increased from $31.1 million as of December 31, 2018 to $39.3 million as of September 30, 2019, primarily due to unsettled payments from the purchase of certain securities and an increase in reinsurance premiums payable, partially offset by the payment of previously accrued compensation.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87" w:right="239" w:bottom="1440" w:gutter="0" w:footer="0" w:header="0"/>
        </w:sectPr>
      </w:pPr>
    </w:p>
    <w:bookmarkStart w:id="41" w:name="page42"/>
    <w:bookmarkEnd w:id="41"/>
    <w:p>
      <w:pPr>
        <w:jc w:val="both"/>
        <w:ind w:firstLine="648"/>
        <w:spacing w:after="0" w:line="257" w:lineRule="auto"/>
        <w:rPr>
          <w:sz w:val="20"/>
          <w:szCs w:val="20"/>
          <w:color w:val="auto"/>
        </w:rPr>
      </w:pPr>
      <w:r>
        <w:rPr>
          <w:rFonts w:ascii="Arial" w:cs="Arial" w:eastAsia="Arial" w:hAnsi="Arial"/>
          <w:sz w:val="18"/>
          <w:szCs w:val="18"/>
          <w:color w:val="auto"/>
        </w:rPr>
        <w:t>Reserve for insurance claims and claim expenses increased from $12.8 million as of December 31, 2018 to $20.5 million as of September 30, 2019, primarily due to an increase in NODs tied to the growth in the number of policies in force and the aging of our earlier book years, and an increase in our average reserve per default tied to the aging of our NOD population from non-disaster zones and composition of our default inventory between loans in disaster and non-disaster impacted areas, partially offset by the release of prior year reserves tied to NOD cures and ongoing analysis of recent loss development trends. See "</w:t>
      </w:r>
      <w:r>
        <w:rPr>
          <w:rFonts w:ascii="Arial" w:cs="Arial" w:eastAsia="Arial" w:hAnsi="Arial"/>
          <w:sz w:val="18"/>
          <w:szCs w:val="18"/>
          <w:i w:val="1"/>
          <w:iCs w:val="1"/>
          <w:color w:val="auto"/>
        </w:rPr>
        <w:t>- Insurance Claims and Claim Expenses</w:t>
      </w:r>
      <w:r>
        <w:rPr>
          <w:rFonts w:ascii="Arial" w:cs="Arial" w:eastAsia="Arial" w:hAnsi="Arial"/>
          <w:sz w:val="18"/>
          <w:szCs w:val="18"/>
          <w:color w:val="auto"/>
        </w:rPr>
        <w:t>," above for further details.</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Reinsurance funds withheld was $16.1 million as of September 30, 2019, representing the net of our ceded reinsurance premiums written, less our profit and ceding commission receivables related to the 2016 QSR Transaction. The decrease in reinsurance funds withheld of $11.0 million from December 31, 2018, relates to the termination of our engagement with one reinsurer under the 2016 QSR Transaction and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6"/>
          <w:szCs w:val="16"/>
          <w:i w:val="1"/>
          <w:iCs w:val="1"/>
          <w:color w:val="auto"/>
        </w:rPr>
        <w:t>Financial Statements - Notes to Condensed Consolidated Financial Statements - Note 5, Reinsurance</w:t>
      </w:r>
      <w:r>
        <w:rPr>
          <w:rFonts w:ascii="Arial" w:cs="Arial" w:eastAsia="Arial" w:hAnsi="Arial"/>
          <w:sz w:val="16"/>
          <w:szCs w:val="16"/>
          <w:color w:val="auto"/>
        </w:rPr>
        <w:t>."</w:t>
      </w:r>
    </w:p>
    <w:p>
      <w:pPr>
        <w:spacing w:after="0" w:line="10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Warrant liability decreased from $7.3 million at December 31, 2018 to $6.4 million at September 30, 2019, primarily due to the reclassification of warrant liability to additional paid-in capital following the exercise of warrants during the nine months ended September 30, 2019, partially offset by an increase in our stock price. For further information regarding the valuation of our warrant liability and its impact on our results of operations and financial position, see Item 1, "</w:t>
      </w:r>
      <w:r>
        <w:rPr>
          <w:rFonts w:ascii="Arial" w:cs="Arial" w:eastAsia="Arial" w:hAnsi="Arial"/>
          <w:sz w:val="16"/>
          <w:szCs w:val="16"/>
          <w:i w:val="1"/>
          <w:iCs w:val="1"/>
          <w:color w:val="auto"/>
        </w:rPr>
        <w:t>Financial Statements - Notes to Condensed Consolidated Financial Statements - Note 3, Fair Value of Financial Instruments.</w:t>
      </w:r>
      <w:r>
        <w:rPr>
          <w:rFonts w:ascii="Arial" w:cs="Arial" w:eastAsia="Arial" w:hAnsi="Arial"/>
          <w:sz w:val="16"/>
          <w:szCs w:val="16"/>
          <w:color w:val="auto"/>
        </w:rPr>
        <w: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deferred tax liability increased from $2.7 million as of December 31, 2018 to $43.8 million as of September 30, 2019, primarily due to the forecasted deductibility of our statutory contingency reserve in fiscal year 2019. For further information regarding income taxes and their impact on our results of operations and financial position, see Item 1, "</w:t>
      </w:r>
      <w:r>
        <w:rPr>
          <w:rFonts w:ascii="Arial" w:cs="Arial" w:eastAsia="Arial" w:hAnsi="Arial"/>
          <w:sz w:val="18"/>
          <w:szCs w:val="18"/>
          <w:i w:val="1"/>
          <w:iCs w:val="1"/>
          <w:color w:val="auto"/>
        </w:rPr>
        <w:t>Financial Statements - Notes to Condensed Consolidated Financial Statements - Note 9,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Other liabilities as of September 30, 2019 include $7.9 million of operating lease liabilities, which we recognized following the adoption of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See Item 1, "</w:t>
      </w:r>
      <w:r>
        <w:rPr>
          <w:rFonts w:ascii="Arial" w:cs="Arial" w:eastAsia="Arial" w:hAnsi="Arial"/>
          <w:sz w:val="17"/>
          <w:szCs w:val="17"/>
          <w:i w:val="1"/>
          <w:iCs w:val="1"/>
          <w:color w:val="auto"/>
        </w:rPr>
        <w:t>Financial Statements - Notes to Condensed Consolidated Financial Statements - Note 10, Leases.</w:t>
      </w:r>
      <w:r>
        <w:rPr>
          <w:rFonts w:ascii="Arial" w:cs="Arial" w:eastAsia="Arial" w:hAnsi="Arial"/>
          <w:sz w:val="17"/>
          <w:szCs w:val="17"/>
          <w:color w:val="auto"/>
        </w:rPr>
        <w:t>"</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3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50"/>
        </w:trPr>
        <w:tc>
          <w:tcPr>
            <w:tcW w:w="76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360" w:type="dxa"/>
            <w:vAlign w:val="bottom"/>
          </w:tcPr>
          <w:p>
            <w:pPr>
              <w:spacing w:after="0"/>
              <w:rPr>
                <w:sz w:val="21"/>
                <w:szCs w:val="21"/>
                <w:color w:val="auto"/>
              </w:rPr>
            </w:pPr>
          </w:p>
        </w:tc>
        <w:tc>
          <w:tcPr>
            <w:tcW w:w="2160" w:type="dxa"/>
            <w:vAlign w:val="bottom"/>
            <w:gridSpan w:val="3"/>
          </w:tcPr>
          <w:p>
            <w:pPr>
              <w:jc w:val="right"/>
              <w:ind w:right="9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139,567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99,349</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(117,263)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(180,928)</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80,570</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20,595</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$139.6 million for the nine months ended September 30, 2019, compared to $99.3 million for the nine months ended September 30, 2018. The increase in cash generated from operating activities was primarily driven by growth in premiums written and investment income, partially offset by increased operating expenses and the purchase of tax and loss bonds.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investing activities for the periods presented reflects the purchase of fixed and short-term maturities with cash provided by operating and financing activities, and the reinvestment of coupon payments, maturities and sale proceeds within our investment portfolio. Cash used in investing activities for the nine months ended September 30, 2018 reflects, in part, the investment of net cash proceeds raised in a common stock offering we completed in March 2018.</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financing activities was $1.7 million for the nine months ended September 30, 2019, compared to cash provided by financing activities of $80.6 million for the nine months ended September 30, 2018. Cash provided by financing activities for the nine months ended September 30, 2018 reflects $79.2 million of net cash proceeds raised in a common stock offering we completed in March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702"/>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ind w:left="5620" w:right="5620" w:hanging="5612"/>
        <w:spacing w:after="0" w:line="554" w:lineRule="auto"/>
        <w:tabs>
          <w:tab w:leader="none" w:pos="319"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payment of principal and interest related to the 2018 Term Loan and 2018 42</w:t>
      </w:r>
    </w:p>
    <w:p>
      <w:pPr>
        <w:sectPr>
          <w:pgSz w:w="11900" w:h="16838" w:orient="portrait"/>
          <w:cols w:equalWidth="0" w:num="1">
            <w:col w:w="11420"/>
          </w:cols>
          <w:pgMar w:left="240" w:top="665"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Revolving Credit Facility; (iv) tax payments to the Internal Revenue Service; (v) 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September 30, 2019, NMIH had $43.3 million of cash and investments. NMIH's principal source of net cash is investment income. NMIH also has access to $85 million of undrawn revolving credit capacity under the 2018 Revolving Credit Facility and $2.7 million of ordinary course dividend capacity from Re One. In the future, NMIH could benefit from dividend capacity from NMIC, as available and permitted under law and by the GSEs.</w:t>
      </w:r>
    </w:p>
    <w:p>
      <w:pPr>
        <w:spacing w:after="0" w:line="1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but such approval may be changed or revoked at any time. With the Wisconsin OCI's approval, NMIH began allocating the interest expense on the 2015 Term Loan to NMIC in the first quarter of 2017, consistent with the benefits NMIC received when NMIH contributed the loan proceeds to NMIC. NMIH received similar approval from the Wisconsin OCI to allocate interest expense to NMIC on the 2018 Term Loan and 2018 Revolving Credit Facility.</w:t>
      </w:r>
    </w:p>
    <w:p>
      <w:pPr>
        <w:spacing w:after="0" w:line="117" w:lineRule="exact"/>
        <w:rPr>
          <w:sz w:val="20"/>
          <w:szCs w:val="20"/>
          <w:color w:val="auto"/>
        </w:rPr>
      </w:pPr>
    </w:p>
    <w:p>
      <w:pPr>
        <w:jc w:val="both"/>
        <w:ind w:firstLine="702"/>
        <w:spacing w:after="0" w:line="255" w:lineRule="auto"/>
        <w:rPr>
          <w:sz w:val="20"/>
          <w:szCs w:val="20"/>
          <w:color w:val="auto"/>
        </w:rPr>
      </w:pPr>
      <w:r>
        <w:rPr>
          <w:rFonts w:ascii="Arial" w:cs="Arial" w:eastAsia="Arial" w:hAnsi="Arial"/>
          <w:sz w:val="18"/>
          <w:szCs w:val="18"/>
          <w:color w:val="auto"/>
        </w:rPr>
        <w:t>NMIC and Re One's ability to pay dividends to NMIH is subject to insurance department notice or approval. Under Wisconsin law, NMIC and Re One may pay dividends up to specified levels (</w:t>
      </w:r>
      <w:r>
        <w:rPr>
          <w:rFonts w:ascii="Arial" w:cs="Arial" w:eastAsia="Arial" w:hAnsi="Arial"/>
          <w:sz w:val="18"/>
          <w:szCs w:val="18"/>
          <w:i w:val="1"/>
          <w:iCs w:val="1"/>
          <w:color w:val="auto"/>
        </w:rPr>
        <w:t>i.e.</w:t>
      </w:r>
      <w:r>
        <w:rPr>
          <w:rFonts w:ascii="Arial" w:cs="Arial" w:eastAsia="Arial" w:hAnsi="Arial"/>
          <w:sz w:val="18"/>
          <w:szCs w:val="18"/>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has never paid any dividends to NMIH. NMIC reported a statutory net loss for the year ended December 31, 2018 and cannot pay any dividends to NMIH through December 31, 2019 without the prior approval of the Wisconsin OCI. Re One has never paid dividends to NMIH. Re One has capacity to pay ordinary dividends of up to $2.7 million to NMIH through December 31, 2019. Certain other states in which NMIC and Re One are licensed also have statutes or regulations that may restrict their ability to pay dividends.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be subject to additional restrictions on its ability to pay dividends to NMIH if it failed to meet the financial requirements prescribed by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that fail to meet the PMIERs financial requirements are not permitted to pay dividends without prior approval of the GSEs.</w:t>
      </w:r>
    </w:p>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NMIC's capital needs depend on many factors including its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minimum state capital requirements. NMIC's capital needs also depend on its decision to access the reinsurance markets. NMIH may require liquidity to fund the capital needs of its insurance subsidiaries.</w:t>
      </w:r>
    </w:p>
    <w:p>
      <w:pPr>
        <w:spacing w:after="0" w:line="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May 2018, NMIH entered into the 2018 Credit Agreement covering the 2018 Term Loan and 2018 Revolving Credit Facility. The 2018 Term Loan bears interest at the Eurodollar Rate, as defined in the 2018 Credit Agreement and subject to a 1.00% floor, plus an annual margin rate of 4.75%, payable monthly based on our current interest period election. Borrowings under the 2018 Revolving Credit Facility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The 2018 Revolving Credit Facility also requires a quarterly commitment fee on the average daily undrawn amount ranging from 0.30% to 0.60%, based on the applicable corporate credit rating at the time.</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certain covenants under the 2018 Term Loan and 2018 Revolving Credit Facility. Under the 2018 Term Loan (and as defined in the 2018 Credit Agreement), we are subject a maximum debt-to-total capitalization ratio of 35%. Under the 2018 Revolving Credit Facility (and as defined in the 2018 Credit Agreement), we are subject to a maximum debt-to-total capitalization ratio of 35%, a minimum liquidity requirement, compliance with the PMIERs financial requirements (subject to any GSE-approved waivers), and minimum consolidated net worth and statutory capital requirements. We were in compliance with all covenants as of September 30, 2019.</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primary objectives with respect to our investment portfolio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portfolio is entirely comprised of fixed maturity instruments. As of September 30, 2019, the fair value of our investment portfolio was $1.1 billion. We also had an additional $45.9 million of cash and equivalents as of September 30, 2019. Pre-tax book yield on the investment portfolio for the nine months ended September 30, 2019 was 3.1%. The book yield is calculated as period-to-date net investment income divided by average amortized cost of the investment portfolio. Yield on the investment portfolio is likely to change over time based on movements in interest rates, credit spreads, the duration or mix of our investment portfolio and other factors.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a breakdown of our investment portfolio and cash and cash equivalents by investment type and credit rating: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88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 2019</w:t>
            </w: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
        </w:trPr>
        <w:tc>
          <w:tcPr>
            <w:tcW w:w="7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7"/>
        </w:trPr>
        <w:tc>
          <w:tcPr>
            <w:tcW w:w="7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5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9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8"/>
                <w:szCs w:val="8"/>
                <w:b w:val="1"/>
                <w:bCs w:val="1"/>
                <w:color w:val="auto"/>
              </w:rPr>
              <w:t>(1)</w:t>
            </w: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780" w:type="dxa"/>
            <w:vAlign w:val="bottom"/>
            <w:gridSpan w:val="2"/>
          </w:tcPr>
          <w:p>
            <w:pPr>
              <w:ind w:left="40"/>
              <w:spacing w:after="0" w:line="269" w:lineRule="exact"/>
              <w:rPr>
                <w:sz w:val="20"/>
                <w:szCs w:val="20"/>
                <w:color w:val="auto"/>
              </w:rPr>
            </w:pPr>
            <w:r>
              <w:rPr>
                <w:rFonts w:ascii="Arial" w:cs="Arial" w:eastAsia="Arial" w:hAnsi="Arial"/>
                <w:sz w:val="31"/>
                <w:szCs w:val="31"/>
                <w:color w:val="auto"/>
                <w:vertAlign w:val="subscript"/>
              </w:rPr>
              <w:t>AA</w:t>
            </w:r>
            <w:r>
              <w:rPr>
                <w:rFonts w:ascii="Arial" w:cs="Arial" w:eastAsia="Arial" w:hAnsi="Arial"/>
                <w:sz w:val="12"/>
                <w:szCs w:val="12"/>
                <w:color w:val="auto"/>
              </w:rPr>
              <w:t>(2)</w:t>
            </w:r>
          </w:p>
        </w:tc>
        <w:tc>
          <w:tcPr>
            <w:tcW w:w="174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0"/>
        </w:trPr>
        <w:tc>
          <w:tcPr>
            <w:tcW w:w="7780" w:type="dxa"/>
            <w:vAlign w:val="bottom"/>
            <w:gridSpan w:val="2"/>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A</w:t>
            </w:r>
            <w:r>
              <w:rPr>
                <w:rFonts w:ascii="Arial" w:cs="Arial" w:eastAsia="Arial" w:hAnsi="Arial"/>
                <w:sz w:val="12"/>
                <w:szCs w:val="12"/>
                <w:color w:val="auto"/>
              </w:rPr>
              <w:t>(2)</w:t>
            </w:r>
          </w:p>
        </w:tc>
        <w:tc>
          <w:tcPr>
            <w:tcW w:w="1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w:t>
            </w:r>
          </w:p>
        </w:tc>
      </w:tr>
      <w:tr>
        <w:trPr>
          <w:trHeight w:val="270"/>
        </w:trPr>
        <w:tc>
          <w:tcPr>
            <w:tcW w:w="77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BBB</w:t>
            </w:r>
            <w:r>
              <w:rPr>
                <w:rFonts w:ascii="Arial" w:cs="Arial" w:eastAsia="Arial" w:hAnsi="Arial"/>
                <w:sz w:val="25"/>
                <w:szCs w:val="25"/>
                <w:color w:val="auto"/>
                <w:vertAlign w:val="superscript"/>
              </w:rPr>
              <w:t>(2)</w:t>
            </w:r>
          </w:p>
        </w:tc>
        <w:tc>
          <w:tcPr>
            <w:tcW w:w="174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0"/>
        </w:trPr>
        <w:tc>
          <w:tcPr>
            <w:tcW w:w="7740" w:type="dxa"/>
            <w:vAlign w:val="bottom"/>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BB</w:t>
            </w:r>
            <w:r>
              <w:rPr>
                <w:rFonts w:ascii="Arial" w:cs="Arial" w:eastAsia="Arial" w:hAnsi="Arial"/>
                <w:sz w:val="12"/>
                <w:szCs w:val="12"/>
                <w:color w:val="auto"/>
              </w:rPr>
              <w:t>(3)</w:t>
            </w:r>
          </w:p>
        </w:tc>
        <w:tc>
          <w:tcPr>
            <w:tcW w:w="4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5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8890</wp:posOffset>
            </wp:positionV>
            <wp:extent cx="2332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9"/>
          <w:szCs w:val="9"/>
          <w:color w:val="auto"/>
        </w:rPr>
      </w:pPr>
      <w:r>
        <w:rPr>
          <w:rFonts w:ascii="Arial" w:cs="Arial" w:eastAsia="Arial" w:hAnsi="Arial"/>
          <w:sz w:val="14"/>
          <w:szCs w:val="14"/>
          <w:color w:val="auto"/>
        </w:rPr>
        <w:t>Excluding certain operating cash accounts.</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 ratings.</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21"/>
        </w:numPr>
        <w:rPr>
          <w:rFonts w:ascii="Arial" w:cs="Arial" w:eastAsia="Arial" w:hAnsi="Arial"/>
          <w:sz w:val="9"/>
          <w:szCs w:val="9"/>
          <w:color w:val="auto"/>
        </w:rPr>
      </w:pPr>
      <w:r>
        <w:rPr>
          <w:rFonts w:ascii="Arial" w:cs="Arial" w:eastAsia="Arial" w:hAnsi="Arial"/>
          <w:sz w:val="14"/>
          <w:szCs w:val="14"/>
          <w:color w:val="auto"/>
        </w:rPr>
        <w:t>We held one security with a BB rating at December 31, 2018, which is not identifiable in the table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-311785</wp:posOffset>
            </wp:positionV>
            <wp:extent cx="2332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investments are rated by one or more nationally recognized statistical rating organizations. If multiple ratings are available, we assign the middle rating for classification purposes, otherwise we assign the lowest rating.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2019, we held no other-than-temporarily impaired securities. During the nine months ended September 30, 2019, we recognized a $0.4 million OTTI loss in earnings related to the planned sale of a security in a loss position that was disposed of in April 2019. We did not recognize any OTTI losses for the three months ended September 30, 2019 or the three and nine months ended September 30, 2018. There were no credit losses recognized in earnings for which a portion of an OTTI loss was recognized in accumulated other comprehensive income (loss) for the three or nine months ended September 30,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had no material off-balance sheet arrangements as of September 30, 2019. In connection with the ILN Transactions, we have certain future contractual commitments to the Oaktown Re Vehicles, special purpose VIEs that are not consolidated in our financial results. See Item 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 Notes to Condensed Consolidated Financial Statements - Note 1. Organization, Basis of Presentation and Summary of Accounting Principles."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that the assumptions and estimates associated with revenue recognition, fair value measurements, our investment portfolio, deferred policy acquisition costs, premium deficiency reserves, income taxes and reserves for insurance claims and claim expenses have the greatest potential impact on our consolidated financial statements. Therefore, we consider these to be our critical accounting estimates. There have been no material changes to our critical accounting policies and estimates as compared to the critical accounting policies and estimates described in our 2018 10-K.</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980" w:hanging="324"/>
        <w:spacing w:after="0" w:line="25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8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62" w:lineRule="exact"/>
        <w:rPr>
          <w:rFonts w:ascii="Arial" w:cs="Arial" w:eastAsia="Arial" w:hAnsi="Arial"/>
          <w:sz w:val="18"/>
          <w:szCs w:val="18"/>
          <w:i w:val="1"/>
          <w:iCs w:val="1"/>
          <w:color w:val="auto"/>
        </w:rPr>
      </w:pPr>
    </w:p>
    <w:p>
      <w:pPr>
        <w:ind w:left="9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w:t>
      </w:r>
      <w:r>
        <w:rPr>
          <w:rFonts w:ascii="Arial" w:cs="Arial" w:eastAsia="Arial" w:hAnsi="Arial"/>
          <w:sz w:val="17"/>
          <w:szCs w:val="17"/>
          <w:i w:val="1"/>
          <w:iCs w:val="1"/>
          <w:color w:val="auto"/>
        </w:rPr>
        <w:t>e.g.</w:t>
      </w:r>
      <w:r>
        <w:rPr>
          <w:rFonts w:ascii="Arial" w:cs="Arial" w:eastAsia="Arial" w:hAnsi="Arial"/>
          <w:sz w:val="17"/>
          <w:szCs w:val="17"/>
          <w:color w:val="auto"/>
        </w:rPr>
        <w:t>,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September 30, 2019 and December 31, 2018 was $1.1 billion and $911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2019, the duration of our fixed income portfolio, including cash and cash equivalents, was 3.38 years, which means that an instantaneous parallel shift (movement up or down) in the yield curve of 100 basis points would result in a change of 3.38% in fair value of our fixed income portfolio. Excluding cash, our fixed income portfolio duration was 3.53 years, which means that an instantaneous parallel shift (movement up or down) in the yield curve of 100 basis points would result in a change of 3.53% in fair value of our fixed income portfolio.</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market risk related to our 2018 Term Loan and the ILN Transactions. As discussed in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4, Debt</w:t>
      </w:r>
      <w:r>
        <w:rPr>
          <w:rFonts w:ascii="Arial" w:cs="Arial" w:eastAsia="Arial" w:hAnsi="Arial"/>
          <w:sz w:val="18"/>
          <w:szCs w:val="18"/>
          <w:color w:val="auto"/>
        </w:rPr>
        <w:t>" the 2018 Term Loan bears interest at a variable rate and, as a result, increases in market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would generally result in increased interest expense on our outstanding principal.</w:t>
      </w:r>
    </w:p>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September 30, 2019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September 30, 2019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2018 10-K. As of the date of this report, we are not aware of any material changes in our risk factors from the risk factors disclosed in our 2018 10-K. You should carefully consider the risks and uncertainties described herein and in our 2018 10-K, which have the potential to affect our business, financial condition, results of operations, cash flows or prospects in a material and adverse manner. The risks described herein and in our 2018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60"/>
          </w:cols>
          <w:pgMar w:left="240" w:top="580" w:right="399" w:bottom="1440" w:gutter="0" w:footer="0" w:header="0"/>
        </w:sectPr>
      </w:pPr>
    </w:p>
    <w:p>
      <w:pPr>
        <w:spacing w:after="0" w:line="35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88900</wp:posOffset>
            </wp:positionV>
            <wp:extent cx="643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454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100330</wp:posOffset>
            </wp:positionV>
            <wp:extent cx="6363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100" w:space="720"/>
            <w:col w:w="5440"/>
          </w:cols>
          <w:pgMar w:left="240" w:top="580" w:right="399" w:bottom="1440" w:gutter="0" w:footer="0" w:header="0"/>
          <w:type w:val="continuous"/>
        </w:sectPr>
      </w:pPr>
    </w:p>
    <w:p>
      <w:pPr>
        <w:spacing w:after="0" w:line="155" w:lineRule="exact"/>
        <w:rPr>
          <w:sz w:val="20"/>
          <w:szCs w:val="20"/>
          <w:color w:val="auto"/>
        </w:rPr>
      </w:pPr>
    </w:p>
    <w:p>
      <w:pPr>
        <w:jc w:val="center"/>
        <w:ind w:left="380" w:right="20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2.1      </w:t>
      </w:r>
      <w:hyperlink r:id="rId15">
        <w:r>
          <w:rPr>
            <w:rFonts w:ascii="Arial" w:cs="Arial" w:eastAsia="Arial" w:hAnsi="Arial"/>
            <w:sz w:val="17"/>
            <w:szCs w:val="17"/>
            <w:u w:val="single" w:color="auto"/>
            <w:color w:val="0000FF"/>
          </w:rPr>
          <w:t>Stock Purchase Agreement, dated November 30, 2011</w:t>
        </w:r>
      </w:hyperlink>
      <w:r>
        <w:rPr>
          <w:rFonts w:ascii="Arial" w:cs="Arial" w:eastAsia="Arial" w:hAnsi="Arial"/>
          <w:sz w:val="17"/>
          <w:szCs w:val="17"/>
          <w:color w:val="auto"/>
        </w:rPr>
        <w:t>,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jc w:val="right"/>
        <w:ind w:left="540" w:right="42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2.2      </w:t>
      </w:r>
      <w:hyperlink r:id="rId16">
        <w:r>
          <w:rPr>
            <w:rFonts w:ascii="Arial" w:cs="Arial" w:eastAsia="Arial" w:hAnsi="Arial"/>
            <w:sz w:val="17"/>
            <w:szCs w:val="17"/>
            <w:u w:val="single" w:color="auto"/>
            <w:color w:val="0000FF"/>
          </w:rPr>
          <w:t>Amendment to Stock Purchase Agreement, dated April 6, 2012</w:t>
        </w:r>
      </w:hyperlink>
      <w:r>
        <w:rPr>
          <w:rFonts w:ascii="Arial" w:cs="Arial" w:eastAsia="Arial" w:hAnsi="Arial"/>
          <w:sz w:val="17"/>
          <w:szCs w:val="17"/>
          <w:color w:val="auto"/>
        </w:rPr>
        <w:t>,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300" w:right="10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7">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 Registration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Statement (Registration No. 333-191635), filed on October 9, 2013)</w:t>
      </w:r>
    </w:p>
    <w:p>
      <w:pPr>
        <w:spacing w:after="0" w:line="8"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8">
        <w:r>
          <w:rPr>
            <w:rFonts w:ascii="Arial" w:cs="Arial" w:eastAsia="Arial" w:hAnsi="Arial"/>
            <w:sz w:val="16"/>
            <w:szCs w:val="16"/>
            <w:u w:val="single" w:color="auto"/>
            <w:color w:val="0000FF"/>
          </w:rPr>
          <w:t xml:space="preserve">Third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3.1 to our Form 8-K, filed on December 9, 2014)</w:t>
      </w:r>
    </w:p>
    <w:p>
      <w:pPr>
        <w:spacing w:after="0" w:line="63" w:lineRule="exact"/>
        <w:rPr>
          <w:sz w:val="20"/>
          <w:szCs w:val="20"/>
          <w:color w:val="auto"/>
        </w:rPr>
      </w:pPr>
    </w:p>
    <w:p>
      <w:pPr>
        <w:ind w:left="1300" w:right="42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9">
        <w:r>
          <w:rPr>
            <w:rFonts w:ascii="Arial" w:cs="Arial" w:eastAsia="Arial" w:hAnsi="Arial"/>
            <w:sz w:val="18"/>
            <w:szCs w:val="18"/>
            <w:u w:val="single" w:color="auto"/>
            <w:color w:val="0000FF"/>
          </w:rPr>
          <w:t xml:space="preserve">Specimen Class A common stock certificate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4.1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center"/>
        <w:ind w:left="38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4.2      </w:t>
      </w:r>
      <w:hyperlink r:id="rId20">
        <w:r>
          <w:rPr>
            <w:rFonts w:ascii="Arial" w:cs="Arial" w:eastAsia="Arial" w:hAnsi="Arial"/>
            <w:sz w:val="17"/>
            <w:szCs w:val="17"/>
            <w:u w:val="single" w:color="auto"/>
            <w:color w:val="0000FF"/>
          </w:rPr>
          <w:t>Registration Rights Agreement between NMI Holdings, Inc. and FBR Capital Markets &amp; Co., dated April 24, 2012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(incorporated herein by reference to Exhibit 4.2 to our Form S-1 Registration Statement (Registration No. 333-191635), filed on October 9, 2013)</w:t>
      </w:r>
    </w:p>
    <w:p>
      <w:pPr>
        <w:spacing w:after="0" w:line="1"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21">
        <w:r>
          <w:rPr>
            <w:rFonts w:ascii="Arial" w:cs="Arial" w:eastAsia="Arial" w:hAnsi="Arial"/>
            <w:sz w:val="16"/>
            <w:szCs w:val="16"/>
            <w:u w:val="single" w:color="auto"/>
            <w:color w:val="0000FF"/>
          </w:rPr>
          <w:t xml:space="preserve">Registration Rights Agreement by and between MAC Financial Ltd. and NMI Holdings, Inc., dated April 24, 2012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 reference to Exhibit 4.3 to our Form S-1 Registration Statement (Registration No. 333-191635), filed on October 9, 2013)</w:t>
      </w:r>
    </w:p>
    <w:p>
      <w:pPr>
        <w:spacing w:after="0" w:line="49" w:lineRule="exact"/>
        <w:rPr>
          <w:sz w:val="20"/>
          <w:szCs w:val="20"/>
          <w:color w:val="auto"/>
        </w:rPr>
      </w:pPr>
    </w:p>
    <w:p>
      <w:pPr>
        <w:ind w:left="1300" w:right="240" w:hanging="753"/>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4.4</w:t>
      </w:r>
      <w:r>
        <w:rPr>
          <w:sz w:val="20"/>
          <w:szCs w:val="20"/>
          <w:color w:val="auto"/>
        </w:rPr>
        <w:tab/>
      </w:r>
      <w:hyperlink r:id="rId22">
        <w:r>
          <w:rPr>
            <w:rFonts w:ascii="Arial" w:cs="Arial" w:eastAsia="Arial" w:hAnsi="Arial"/>
            <w:sz w:val="18"/>
            <w:szCs w:val="18"/>
            <w:u w:val="single" w:color="auto"/>
            <w:color w:val="0000FF"/>
          </w:rPr>
          <w:t>Registration Rights Agreement between FBR &amp; Co., FBR Capital Markets LT, Inc., FBR Capital Markets &amp; Co., FBR Capital Markets</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PT, Inc. and NMI Holdings, Inc., dated April 24, 2012</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4.4 to our Form S-1 Registration</w:t>
        </w:r>
      </w:hyperlink>
      <w:r>
        <w:rPr>
          <w:rFonts w:ascii="Arial" w:cs="Arial" w:eastAsia="Arial" w:hAnsi="Arial"/>
          <w:sz w:val="18"/>
          <w:szCs w:val="18"/>
          <w:color w:val="0000FF"/>
        </w:rPr>
        <w:t xml:space="preserve"> </w:t>
      </w:r>
      <w:r>
        <w:rPr>
          <w:rFonts w:ascii="Arial" w:cs="Arial" w:eastAsia="Arial" w:hAnsi="Arial"/>
          <w:sz w:val="18"/>
          <w:szCs w:val="18"/>
          <w:color w:val="000000"/>
        </w:rPr>
        <w:t>Statement (Registration No. 333-191635), filed on October 9, 2013)</w:t>
      </w:r>
    </w:p>
    <w:p>
      <w:pPr>
        <w:spacing w:after="0" w:line="1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hyperlink r:id="rId23">
        <w:r>
          <w:rPr>
            <w:rFonts w:ascii="Arial" w:cs="Arial" w:eastAsia="Arial" w:hAnsi="Arial"/>
            <w:sz w:val="16"/>
            <w:szCs w:val="16"/>
            <w:u w:val="single" w:color="auto"/>
            <w:color w:val="0000FF"/>
          </w:rPr>
          <w:t>Warrant No. 1 to Purchase Common Stock of NMI Holdings, Inc. issued to FBR Capital Markets &amp; Co., dated June 13,</w:t>
        </w:r>
      </w:hyperlink>
    </w:p>
    <w:p>
      <w:pPr>
        <w:spacing w:after="0" w:line="23" w:lineRule="exact"/>
        <w:rPr>
          <w:sz w:val="20"/>
          <w:szCs w:val="20"/>
          <w:color w:val="auto"/>
        </w:rPr>
      </w:pPr>
    </w:p>
    <w:p>
      <w:pPr>
        <w:ind w:left="1300" w:right="320"/>
        <w:spacing w:after="0" w:line="261" w:lineRule="auto"/>
        <w:rPr>
          <w:rFonts w:ascii="Arial" w:cs="Arial" w:eastAsia="Arial" w:hAnsi="Arial"/>
          <w:sz w:val="18"/>
          <w:szCs w:val="18"/>
          <w:color w:val="0000FF"/>
        </w:rPr>
      </w:pPr>
      <w:hyperlink r:id="rId23">
        <w:r>
          <w:rPr>
            <w:rFonts w:ascii="Arial" w:cs="Arial" w:eastAsia="Arial" w:hAnsi="Arial"/>
            <w:sz w:val="18"/>
            <w:szCs w:val="18"/>
            <w:u w:val="single" w:color="auto"/>
            <w:color w:val="0000FF"/>
          </w:rPr>
          <w:t>2013</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4.5 to our Form S-1 Registration Statement (Registration No. 333-</w:t>
        </w:r>
      </w:hyperlink>
      <w:r>
        <w:rPr>
          <w:rFonts w:ascii="Arial" w:cs="Arial" w:eastAsia="Arial" w:hAnsi="Arial"/>
          <w:sz w:val="18"/>
          <w:szCs w:val="18"/>
          <w:color w:val="0000FF"/>
        </w:rPr>
        <w:t xml:space="preserve">191635), </w:t>
      </w:r>
      <w:r>
        <w:rPr>
          <w:rFonts w:ascii="Arial" w:cs="Arial" w:eastAsia="Arial" w:hAnsi="Arial"/>
          <w:sz w:val="18"/>
          <w:szCs w:val="18"/>
          <w:color w:val="000000"/>
        </w:rPr>
        <w:t>filed on</w:t>
      </w:r>
      <w:r>
        <w:rPr>
          <w:rFonts w:ascii="Arial" w:cs="Arial" w:eastAsia="Arial" w:hAnsi="Arial"/>
          <w:sz w:val="18"/>
          <w:szCs w:val="18"/>
          <w:color w:val="0000FF"/>
        </w:rPr>
        <w:t xml:space="preserve"> </w:t>
      </w:r>
      <w:r>
        <w:rPr>
          <w:rFonts w:ascii="Arial" w:cs="Arial" w:eastAsia="Arial" w:hAnsi="Arial"/>
          <w:sz w:val="18"/>
          <w:szCs w:val="18"/>
          <w:color w:val="000000"/>
        </w:rPr>
        <w:t>October 9, 2013)</w:t>
      </w:r>
    </w:p>
    <w:p>
      <w:pPr>
        <w:spacing w:after="0" w:line="22" w:lineRule="exact"/>
        <w:rPr>
          <w:sz w:val="20"/>
          <w:szCs w:val="20"/>
          <w:color w:val="auto"/>
        </w:rPr>
      </w:pPr>
    </w:p>
    <w:p>
      <w:pPr>
        <w:ind w:left="1300" w:right="160" w:hanging="753"/>
        <w:spacing w:after="0" w:line="317"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24">
        <w:r>
          <w:rPr>
            <w:rFonts w:ascii="Arial" w:cs="Arial" w:eastAsia="Arial" w:hAnsi="Arial"/>
            <w:sz w:val="16"/>
            <w:szCs w:val="16"/>
            <w:u w:val="single" w:color="auto"/>
            <w:color w:val="0000FF"/>
          </w:rPr>
          <w:t xml:space="preserve">Form of Warrant to Purchase Common Stock of NMI Holdings, Inc. issued to former stockholders of MAC Financial Ltd.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4.6 to our Form S-1 Registration Statement (Registration No. 333-191635), filed on October 9, 2013)</w:t>
      </w:r>
    </w:p>
    <w:p>
      <w:pPr>
        <w:jc w:val="both"/>
        <w:ind w:left="130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25">
        <w:r>
          <w:rPr>
            <w:rFonts w:ascii="Arial" w:cs="Arial" w:eastAsia="Arial" w:hAnsi="Arial"/>
            <w:sz w:val="18"/>
            <w:szCs w:val="18"/>
            <w:u w:val="single" w:color="auto"/>
            <w:color w:val="0000FF"/>
          </w:rPr>
          <w:t xml:space="preserve">NMI Holdings Inc. 2012 Stock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10.2 ~</w:t>
      </w:r>
      <w:r>
        <w:rPr>
          <w:sz w:val="20"/>
          <w:szCs w:val="20"/>
          <w:color w:val="auto"/>
        </w:rPr>
        <w:tab/>
      </w:r>
      <w:hyperlink r:id="rId26">
        <w:r>
          <w:rPr>
            <w:rFonts w:ascii="Arial" w:cs="Arial" w:eastAsia="Arial" w:hAnsi="Arial"/>
            <w:sz w:val="17"/>
            <w:szCs w:val="17"/>
            <w:u w:val="single" w:color="auto"/>
            <w:color w:val="0000FF"/>
          </w:rPr>
          <w:t xml:space="preserve">Form of NMI Holdings, Inc. 2012 Stock Incentive Plan Restricted Stock Unit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10.3 to our Form S-1 Registration Statement (Registration No. 333-191635), filed on October 9, 2013)</w:t>
      </w:r>
    </w:p>
    <w:p>
      <w:pPr>
        <w:spacing w:after="0" w:line="1" w:lineRule="exact"/>
        <w:rPr>
          <w:sz w:val="20"/>
          <w:szCs w:val="20"/>
          <w:color w:val="auto"/>
        </w:rPr>
      </w:pPr>
    </w:p>
    <w:p>
      <w:pPr>
        <w:jc w:val="both"/>
        <w:ind w:left="1300" w:hanging="869"/>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10.3 ~</w:t>
      </w:r>
      <w:r>
        <w:rPr>
          <w:sz w:val="20"/>
          <w:szCs w:val="20"/>
          <w:color w:val="auto"/>
        </w:rPr>
        <w:tab/>
      </w:r>
      <w:hyperlink r:id="rId27">
        <w:r>
          <w:rPr>
            <w:rFonts w:ascii="Arial" w:cs="Arial" w:eastAsia="Arial" w:hAnsi="Arial"/>
            <w:sz w:val="18"/>
            <w:szCs w:val="18"/>
            <w:u w:val="single" w:color="auto"/>
            <w:color w:val="0000FF"/>
          </w:rPr>
          <w:t>Form of NMI Holdings, Inc. 2012 Stock Incentive Plan Nonqualified Stock Option Award Agreement for Chief Executive Officer and</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Chief Financial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10.5 to our Form S-1 Registration Statement (Registration No. 333-</w:t>
        </w:r>
      </w:hyperlink>
      <w:r>
        <w:rPr>
          <w:rFonts w:ascii="Arial" w:cs="Arial" w:eastAsia="Arial" w:hAnsi="Arial"/>
          <w:sz w:val="18"/>
          <w:szCs w:val="18"/>
          <w:color w:val="000000"/>
        </w:rPr>
        <w:t>191635), filed on October 9, 2013)</w:t>
      </w:r>
    </w:p>
    <w:p>
      <w:pPr>
        <w:spacing w:after="0" w:line="19"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10.4 ~</w:t>
      </w:r>
      <w:r>
        <w:rPr>
          <w:sz w:val="20"/>
          <w:szCs w:val="20"/>
          <w:color w:val="auto"/>
        </w:rPr>
        <w:tab/>
      </w:r>
      <w:hyperlink r:id="rId28">
        <w:r>
          <w:rPr>
            <w:rFonts w:ascii="Arial" w:cs="Arial" w:eastAsia="Arial" w:hAnsi="Arial"/>
            <w:sz w:val="17"/>
            <w:szCs w:val="17"/>
            <w:u w:val="single" w:color="auto"/>
            <w:color w:val="0000FF"/>
          </w:rPr>
          <w:t xml:space="preserve">Form of NMI Holdings, Inc. 2012 Stock Incentive Plan Nonqualified Stock Option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10.6 to our Form S-1 Registration Statement (Registration No. 333-191635), filed on October 9, 2013)</w:t>
      </w:r>
    </w:p>
    <w:p>
      <w:pPr>
        <w:spacing w:after="0" w:line="1" w:lineRule="exact"/>
        <w:rPr>
          <w:sz w:val="20"/>
          <w:szCs w:val="20"/>
          <w:color w:val="auto"/>
        </w:rPr>
      </w:pPr>
    </w:p>
    <w:p>
      <w:pPr>
        <w:ind w:left="4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29">
        <w:r>
          <w:rPr>
            <w:rFonts w:ascii="Arial" w:cs="Arial" w:eastAsia="Arial" w:hAnsi="Arial"/>
            <w:sz w:val="16"/>
            <w:szCs w:val="16"/>
            <w:u w:val="single" w:color="auto"/>
            <w:color w:val="0000FF"/>
          </w:rPr>
          <w:t xml:space="preserve">Form of NMI Holdings, Inc. 2012 Stock Incentive Plan Nonqualified Stock Option Award Agreement for Directors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 reference to Exhibit 10.7 to our Form S-1 Registration Statement (Registration No. 333-191635), filed on October 9, 2013)</w:t>
      </w:r>
    </w:p>
    <w:p>
      <w:pPr>
        <w:spacing w:after="0" w:line="49"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color w:val="0000FF"/>
        </w:rPr>
      </w:pPr>
      <w:r>
        <w:rPr>
          <w:rFonts w:ascii="Arial" w:cs="Arial" w:eastAsia="Arial" w:hAnsi="Arial"/>
          <w:sz w:val="18"/>
          <w:szCs w:val="18"/>
          <w:color w:val="auto"/>
        </w:rPr>
        <w:t>10.6 ~</w:t>
      </w:r>
      <w:r>
        <w:rPr>
          <w:sz w:val="20"/>
          <w:szCs w:val="20"/>
          <w:color w:val="auto"/>
        </w:rPr>
        <w:tab/>
      </w:r>
      <w:hyperlink r:id="rId30">
        <w:r>
          <w:rPr>
            <w:rFonts w:ascii="Arial" w:cs="Arial" w:eastAsia="Arial" w:hAnsi="Arial"/>
            <w:sz w:val="17"/>
            <w:szCs w:val="17"/>
            <w:u w:val="single" w:color="auto"/>
            <w:color w:val="0000FF"/>
          </w:rPr>
          <w:t>Form of NMI Holdings, Inc. 2012 Stock Incentive Plan Nonqualified Stock Option Award Agreement for Chief Executive Officer and</w:t>
        </w:r>
      </w:hyperlink>
      <w:r>
        <w:rPr>
          <w:rFonts w:ascii="Arial" w:cs="Arial" w:eastAsia="Arial" w:hAnsi="Arial"/>
          <w:sz w:val="17"/>
          <w:szCs w:val="17"/>
          <w:u w:val="single" w:color="auto"/>
          <w:color w:val="0000FF"/>
        </w:rPr>
        <w:t xml:space="preserve"> </w:t>
      </w:r>
      <w:hyperlink r:id="rId30">
        <w:r>
          <w:rPr>
            <w:rFonts w:ascii="Arial" w:cs="Arial" w:eastAsia="Arial" w:hAnsi="Arial"/>
            <w:sz w:val="17"/>
            <w:szCs w:val="17"/>
            <w:u w:val="single" w:color="auto"/>
            <w:color w:val="0000FF"/>
          </w:rPr>
          <w:t>Chief Financial Office</w:t>
        </w:r>
        <w:r>
          <w:rPr>
            <w:rFonts w:ascii="Arial" w:cs="Arial" w:eastAsia="Arial" w:hAnsi="Arial"/>
            <w:sz w:val="17"/>
            <w:szCs w:val="17"/>
            <w:color w:val="000000"/>
          </w:rPr>
          <w:t>r (incorporated herein by reference to Exhibit 10.8 to our Form 10-K, filed on February 17, 2017)</w:t>
        </w:r>
      </w:hyperlink>
    </w:p>
    <w:p>
      <w:pPr>
        <w:spacing w:after="0" w:line="1" w:lineRule="exact"/>
        <w:rPr>
          <w:sz w:val="20"/>
          <w:szCs w:val="20"/>
          <w:color w:val="auto"/>
        </w:rPr>
      </w:pPr>
    </w:p>
    <w:p>
      <w:pPr>
        <w:jc w:val="both"/>
        <w:ind w:left="130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10.7 ~</w:t>
      </w:r>
      <w:r>
        <w:rPr>
          <w:sz w:val="20"/>
          <w:szCs w:val="20"/>
          <w:color w:val="auto"/>
        </w:rPr>
        <w:tab/>
      </w:r>
      <w:hyperlink r:id="rId31">
        <w:r>
          <w:rPr>
            <w:rFonts w:ascii="Arial" w:cs="Arial" w:eastAsia="Arial" w:hAnsi="Arial"/>
            <w:sz w:val="18"/>
            <w:szCs w:val="18"/>
            <w:u w:val="single" w:color="auto"/>
            <w:color w:val="0000FF"/>
          </w:rPr>
          <w:t xml:space="preserve">Form of NMI Holdings, Inc. 2012 Stock Incentive Plan Nonqualified Stock Option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10.9 to our Form 10-K, filed on February 17, 2017)</w:t>
      </w:r>
    </w:p>
    <w:p>
      <w:pPr>
        <w:spacing w:after="0" w:line="8" w:lineRule="exact"/>
        <w:rPr>
          <w:sz w:val="20"/>
          <w:szCs w:val="20"/>
          <w:color w:val="auto"/>
        </w:rPr>
      </w:pPr>
    </w:p>
    <w:p>
      <w:pPr>
        <w:ind w:left="420"/>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10.8 ~</w:t>
      </w:r>
      <w:r>
        <w:rPr>
          <w:sz w:val="20"/>
          <w:szCs w:val="20"/>
          <w:color w:val="auto"/>
        </w:rPr>
        <w:tab/>
      </w:r>
      <w:hyperlink r:id="rId32">
        <w:r>
          <w:rPr>
            <w:rFonts w:ascii="Arial" w:cs="Arial" w:eastAsia="Arial" w:hAnsi="Arial"/>
            <w:sz w:val="17"/>
            <w:szCs w:val="17"/>
            <w:u w:val="single" w:color="auto"/>
            <w:color w:val="0000FF"/>
          </w:rPr>
          <w:t>Amended and Restated Employment Agreement by and between NMI Holdings, Inc. and Bradley M. Shuster, dated December 23,</w:t>
        </w:r>
      </w:hyperlink>
    </w:p>
    <w:p>
      <w:pPr>
        <w:spacing w:after="0" w:line="23" w:lineRule="exact"/>
        <w:rPr>
          <w:sz w:val="20"/>
          <w:szCs w:val="20"/>
          <w:color w:val="auto"/>
        </w:rPr>
      </w:pPr>
    </w:p>
    <w:p>
      <w:pPr>
        <w:ind w:left="1300"/>
        <w:spacing w:after="0"/>
        <w:rPr>
          <w:rFonts w:ascii="Arial" w:cs="Arial" w:eastAsia="Arial" w:hAnsi="Arial"/>
          <w:sz w:val="18"/>
          <w:szCs w:val="18"/>
          <w:color w:val="0000FF"/>
        </w:rPr>
      </w:pPr>
      <w:hyperlink r:id="rId32">
        <w:r>
          <w:rPr>
            <w:rFonts w:ascii="Arial" w:cs="Arial" w:eastAsia="Arial" w:hAnsi="Arial"/>
            <w:sz w:val="18"/>
            <w:szCs w:val="18"/>
            <w:u w:val="single" w:color="auto"/>
            <w:color w:val="0000FF"/>
          </w:rPr>
          <w:t>2015</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8-K, filed on December 29, 2015)</w:t>
        </w:r>
      </w:hyperlink>
    </w:p>
    <w:p>
      <w:pPr>
        <w:spacing w:after="0" w:line="49" w:lineRule="exact"/>
        <w:rPr>
          <w:sz w:val="20"/>
          <w:szCs w:val="20"/>
          <w:color w:val="auto"/>
        </w:rPr>
      </w:pPr>
    </w:p>
    <w:p>
      <w:pPr>
        <w:jc w:val="both"/>
        <w:ind w:left="1300" w:right="2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10.9 ~</w:t>
      </w:r>
      <w:r>
        <w:rPr>
          <w:sz w:val="20"/>
          <w:szCs w:val="20"/>
          <w:color w:val="auto"/>
        </w:rPr>
        <w:tab/>
      </w:r>
      <w:hyperlink r:id="rId33">
        <w:r>
          <w:rPr>
            <w:rFonts w:ascii="Arial" w:cs="Arial" w:eastAsia="Arial" w:hAnsi="Arial"/>
            <w:sz w:val="18"/>
            <w:szCs w:val="18"/>
            <w:u w:val="single" w:color="auto"/>
            <w:color w:val="0000FF"/>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10.10 to our Form 10-Q, filed on April 28, 2016)</w:t>
      </w:r>
    </w:p>
    <w:p>
      <w:pPr>
        <w:spacing w:after="0" w:line="8" w:lineRule="exact"/>
        <w:rPr>
          <w:sz w:val="20"/>
          <w:szCs w:val="20"/>
          <w:color w:val="auto"/>
        </w:rPr>
      </w:pPr>
    </w:p>
    <w:p>
      <w:pPr>
        <w:ind w:left="3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10.10 ~</w:t>
      </w:r>
      <w:r>
        <w:rPr>
          <w:sz w:val="20"/>
          <w:szCs w:val="20"/>
          <w:color w:val="auto"/>
        </w:rPr>
        <w:tab/>
      </w:r>
      <w:hyperlink r:id="rId34">
        <w:r>
          <w:rPr>
            <w:rFonts w:ascii="Arial" w:cs="Arial" w:eastAsia="Arial" w:hAnsi="Arial"/>
            <w:sz w:val="16"/>
            <w:szCs w:val="16"/>
            <w:u w:val="single" w:color="auto"/>
            <w:color w:val="0000FF"/>
          </w:rPr>
          <w:t xml:space="preserve">Offer Letter by and between NMI Holdings, Inc. and Adam Pollitzer, dated February 1, 2017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 to our Form 8-K, filed on February 3, 2017)</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240" w:top="580" w:right="399" w:bottom="1440" w:gutter="0" w:footer="0" w:header="0"/>
          <w:type w:val="continuous"/>
        </w:sectPr>
      </w:pPr>
    </w:p>
    <w:bookmarkStart w:id="49" w:name="page50"/>
    <w:bookmarkEnd w:id="49"/>
    <w:p>
      <w:pPr>
        <w:jc w:val="both"/>
        <w:ind w:left="920" w:hanging="911"/>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 ~</w:t>
      </w:r>
      <w:r>
        <w:rPr>
          <w:sz w:val="20"/>
          <w:szCs w:val="20"/>
          <w:color w:val="auto"/>
        </w:rPr>
        <w:tab/>
      </w:r>
      <w:hyperlink r:id="rId35">
        <w:r>
          <w:rPr>
            <w:rFonts w:ascii="Arial" w:cs="Arial" w:eastAsia="Arial" w:hAnsi="Arial"/>
            <w:sz w:val="18"/>
            <w:szCs w:val="18"/>
            <w:u w:val="single" w:color="auto"/>
            <w:color w:val="0000FF"/>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November 25, 2014)</w:t>
      </w:r>
    </w:p>
    <w:p>
      <w:pPr>
        <w:spacing w:after="0" w:line="8" w:lineRule="exact"/>
        <w:rPr>
          <w:sz w:val="20"/>
          <w:szCs w:val="20"/>
          <w:color w:val="auto"/>
        </w:rPr>
      </w:pPr>
    </w:p>
    <w:p>
      <w:pPr>
        <w:jc w:val="both"/>
        <w:ind w:left="920" w:hanging="916"/>
        <w:spacing w:after="0" w:line="25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10.12 +</w:t>
      </w:r>
      <w:r>
        <w:rPr>
          <w:sz w:val="20"/>
          <w:szCs w:val="20"/>
          <w:color w:val="auto"/>
        </w:rPr>
        <w:tab/>
      </w:r>
      <w:hyperlink r:id="rId36">
        <w:r>
          <w:rPr>
            <w:rFonts w:ascii="Arial" w:cs="Arial" w:eastAsia="Arial" w:hAnsi="Arial"/>
            <w:sz w:val="18"/>
            <w:szCs w:val="18"/>
            <w:u w:val="single" w:color="auto"/>
            <w:color w:val="0000FF"/>
          </w:rPr>
          <w:t>Commitment Letter dated July 12, 2013 for Bulk Fannie Mae-Paid Loss-on-Sale Mortgage Insurance on the Portfolio of approximately</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$5.46 billion Purchased by Fannie Mae and Identified by Fannie Mae as Deal No. 2013 MIRT 01 and by the Company as Policy No. P-</w:t>
        </w:r>
      </w:hyperlink>
      <w:hyperlink r:id="rId36">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 filed</w:t>
        </w:r>
      </w:hyperlink>
      <w:r>
        <w:rPr>
          <w:rFonts w:ascii="Arial" w:cs="Arial" w:eastAsia="Arial" w:hAnsi="Arial"/>
          <w:sz w:val="18"/>
          <w:szCs w:val="18"/>
          <w:color w:val="0000FF"/>
        </w:rPr>
        <w:t xml:space="preserve"> </w:t>
      </w:r>
      <w:r>
        <w:rPr>
          <w:rFonts w:ascii="Arial" w:cs="Arial" w:eastAsia="Arial" w:hAnsi="Arial"/>
          <w:sz w:val="18"/>
          <w:szCs w:val="18"/>
          <w:color w:val="000000"/>
        </w:rPr>
        <w:t>on October 9, 2013)</w:t>
      </w:r>
    </w:p>
    <w:p>
      <w:pPr>
        <w:spacing w:after="0" w:line="25" w:lineRule="exact"/>
        <w:rPr>
          <w:rFonts w:ascii="Arial" w:cs="Arial" w:eastAsia="Arial" w:hAnsi="Arial"/>
          <w:sz w:val="18"/>
          <w:szCs w:val="18"/>
          <w:u w:val="single" w:color="auto"/>
          <w:color w:val="0000FF"/>
        </w:rPr>
      </w:pPr>
    </w:p>
    <w:p>
      <w:pPr>
        <w:jc w:val="both"/>
        <w:ind w:left="920" w:hanging="843"/>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10.13</w:t>
      </w:r>
      <w:r>
        <w:rPr>
          <w:sz w:val="20"/>
          <w:szCs w:val="20"/>
          <w:color w:val="auto"/>
        </w:rPr>
        <w:tab/>
      </w:r>
      <w:hyperlink r:id="rId37">
        <w:r>
          <w:rPr>
            <w:rFonts w:ascii="Arial" w:cs="Arial" w:eastAsia="Arial" w:hAnsi="Arial"/>
            <w:sz w:val="17"/>
            <w:szCs w:val="17"/>
            <w:u w:val="single" w:color="auto"/>
            <w:color w:val="0000FF"/>
          </w:rPr>
          <w:t>Credit Agreement, dated November 10, 2015, between NMI Holdings, Inc., the lenders party thereto and JPMorgan Chase Bank, N.A., as</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4.1 to our Form 8-K, filed on November 10, 2015)</w:t>
        </w:r>
      </w:hyperlink>
    </w:p>
    <w:p>
      <w:pPr>
        <w:spacing w:after="0" w:line="1"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10.14</w:t>
      </w:r>
      <w:r>
        <w:rPr>
          <w:sz w:val="20"/>
          <w:szCs w:val="20"/>
          <w:color w:val="auto"/>
        </w:rPr>
        <w:tab/>
      </w:r>
      <w:hyperlink r:id="rId38">
        <w:r>
          <w:rPr>
            <w:rFonts w:ascii="Arial" w:cs="Arial" w:eastAsia="Arial" w:hAnsi="Arial"/>
            <w:sz w:val="18"/>
            <w:szCs w:val="18"/>
            <w:u w:val="single" w:color="auto"/>
            <w:color w:val="0000FF"/>
          </w:rPr>
          <w:t>Amendment No. 1, dated February 10,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February 10, 2017)</w:t>
      </w:r>
    </w:p>
    <w:p>
      <w:pPr>
        <w:spacing w:after="0" w:line="19"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10.15</w:t>
      </w:r>
      <w:r>
        <w:rPr>
          <w:sz w:val="20"/>
          <w:szCs w:val="20"/>
          <w:color w:val="auto"/>
        </w:rPr>
        <w:tab/>
      </w:r>
      <w:hyperlink r:id="rId39">
        <w:r>
          <w:rPr>
            <w:rFonts w:ascii="Arial" w:cs="Arial" w:eastAsia="Arial" w:hAnsi="Arial"/>
            <w:sz w:val="18"/>
            <w:szCs w:val="18"/>
            <w:u w:val="single" w:color="auto"/>
            <w:color w:val="0000FF"/>
          </w:rPr>
          <w:t>Amendment No. 2, dated October 25,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October 26, 2017)</w:t>
      </w:r>
    </w:p>
    <w:p>
      <w:pPr>
        <w:spacing w:after="0" w:line="19" w:lineRule="exact"/>
        <w:rPr>
          <w:sz w:val="20"/>
          <w:szCs w:val="20"/>
          <w:color w:val="auto"/>
        </w:rPr>
      </w:pPr>
    </w:p>
    <w:p>
      <w:pPr>
        <w:jc w:val="both"/>
        <w:ind w:left="920" w:hanging="843"/>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40">
        <w:r>
          <w:rPr>
            <w:rFonts w:ascii="Arial" w:cs="Arial" w:eastAsia="Arial" w:hAnsi="Arial"/>
            <w:sz w:val="18"/>
            <w:szCs w:val="18"/>
            <w:u w:val="single" w:color="auto"/>
            <w:color w:val="0000FF"/>
          </w:rPr>
          <w:t>Credit Agreement, dated May 24, 2018, between NMI Holdings, Inc., the lender party thereto, and JPMorgan Chase Bank, N.A., as</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4.1 to our Form 8-K, filed on May 25, 2018)</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 ~</w:t>
      </w:r>
      <w:r>
        <w:rPr>
          <w:sz w:val="20"/>
          <w:szCs w:val="20"/>
          <w:color w:val="auto"/>
        </w:rPr>
        <w:tab/>
      </w:r>
      <w:hyperlink r:id="rId41">
        <w:r>
          <w:rPr>
            <w:rFonts w:ascii="Arial" w:cs="Arial" w:eastAsia="Arial" w:hAnsi="Arial"/>
            <w:sz w:val="18"/>
            <w:szCs w:val="18"/>
            <w:u w:val="single" w:color="auto"/>
            <w:color w:val="0000FF"/>
          </w:rPr>
          <w:t xml:space="preserve">NMI Holdings, Inc. Amended and Restated 2014 Omnibus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Appendix A to our 2017</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30, 2017)</w:t>
      </w:r>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10.18 ~</w:t>
      </w:r>
      <w:r>
        <w:rPr>
          <w:sz w:val="20"/>
          <w:szCs w:val="20"/>
          <w:color w:val="auto"/>
        </w:rPr>
        <w:tab/>
      </w:r>
      <w:hyperlink r:id="rId42">
        <w:r>
          <w:rPr>
            <w:rFonts w:ascii="Arial" w:cs="Arial" w:eastAsia="Arial" w:hAnsi="Arial"/>
            <w:sz w:val="18"/>
            <w:szCs w:val="18"/>
            <w:u w:val="single" w:color="auto"/>
            <w:color w:val="0000FF"/>
          </w:rPr>
          <w:t>Form of NMI Holdings, Inc. Amended and Restated 2014 Omnibus Incentive Plan Restricted Stock Unit Award Agreement for Chief</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10.19 ~</w:t>
      </w:r>
      <w:r>
        <w:rPr>
          <w:sz w:val="20"/>
          <w:szCs w:val="20"/>
          <w:color w:val="auto"/>
        </w:rPr>
        <w:tab/>
      </w:r>
      <w:hyperlink r:id="rId43">
        <w:r>
          <w:rPr>
            <w:rFonts w:ascii="Arial" w:cs="Arial" w:eastAsia="Arial" w:hAnsi="Arial"/>
            <w:sz w:val="18"/>
            <w:szCs w:val="18"/>
            <w:u w:val="single" w:color="auto"/>
            <w:color w:val="0000FF"/>
          </w:rPr>
          <w:t>Form of NMI Holdings, Inc. Amended and Restated 2014 Omnibus Incentive Plan Restricted Stock Unit Award Agreement for Executive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Officers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10.20 ~</w:t>
      </w:r>
      <w:r>
        <w:rPr>
          <w:sz w:val="20"/>
          <w:szCs w:val="20"/>
          <w:color w:val="auto"/>
        </w:rPr>
        <w:tab/>
      </w:r>
      <w:hyperlink r:id="rId44">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10.21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10.21 ~</w:t>
      </w:r>
      <w:r>
        <w:rPr>
          <w:sz w:val="20"/>
          <w:szCs w:val="20"/>
          <w:color w:val="auto"/>
        </w:rPr>
        <w:tab/>
      </w:r>
      <w:hyperlink r:id="rId45">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8"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10.22 ~</w:t>
      </w:r>
      <w:r>
        <w:rPr>
          <w:sz w:val="20"/>
          <w:szCs w:val="20"/>
          <w:color w:val="auto"/>
        </w:rPr>
        <w:tab/>
      </w:r>
      <w:hyperlink r:id="rId46">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Chief 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1"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10.23 ~</w:t>
      </w:r>
      <w:r>
        <w:rPr>
          <w:sz w:val="20"/>
          <w:szCs w:val="20"/>
          <w:color w:val="auto"/>
        </w:rPr>
        <w:tab/>
      </w:r>
      <w:hyperlink r:id="rId47">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Executive Officers and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10.24 ~</w:t>
      </w:r>
      <w:r>
        <w:rPr>
          <w:sz w:val="20"/>
          <w:szCs w:val="20"/>
          <w:color w:val="auto"/>
        </w:rPr>
        <w:tab/>
      </w:r>
      <w:hyperlink r:id="rId48">
        <w:r>
          <w:rPr>
            <w:rFonts w:ascii="Arial" w:cs="Arial" w:eastAsia="Arial" w:hAnsi="Arial"/>
            <w:sz w:val="18"/>
            <w:szCs w:val="18"/>
            <w:u w:val="single" w:color="auto"/>
            <w:color w:val="0000FF"/>
          </w:rPr>
          <w:t>Form of NMI Holdings, Inc. 2014 Omnibus Incentive Plan Performance Based Restricted Stock Unit Award Agreement for Chief</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8"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10.25 ~</w:t>
      </w:r>
      <w:r>
        <w:rPr>
          <w:sz w:val="20"/>
          <w:szCs w:val="20"/>
          <w:color w:val="auto"/>
        </w:rPr>
        <w:tab/>
      </w:r>
      <w:hyperlink r:id="rId49">
        <w:r>
          <w:rPr>
            <w:rFonts w:ascii="Arial" w:cs="Arial" w:eastAsia="Arial" w:hAnsi="Arial"/>
            <w:sz w:val="17"/>
            <w:szCs w:val="17"/>
            <w:u w:val="single" w:color="auto"/>
            <w:color w:val="0000FF"/>
          </w:rPr>
          <w:t xml:space="preserve">NMI Holdings, Inc. Severance Benefit Plan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10.1 to our Form 8-K, filed on February 17,</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2016)</w:t>
      </w:r>
    </w:p>
    <w:p>
      <w:pPr>
        <w:spacing w:after="0" w:line="49"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50">
        <w:r>
          <w:rPr>
            <w:rFonts w:ascii="Arial" w:cs="Arial" w:eastAsia="Arial" w:hAnsi="Arial"/>
            <w:sz w:val="18"/>
            <w:szCs w:val="18"/>
            <w:u w:val="single" w:color="auto"/>
            <w:color w:val="0000FF"/>
          </w:rPr>
          <w:t>NMI Holdings, Inc. Amended and Restated Change in Control Severance Benefit Plan (incorporated herein by reference to Exhibit 10.30</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to our Form 10-Q, filed on October 30, 2018)</w:t>
        </w:r>
      </w:hyperlink>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10.27 ~</w:t>
      </w:r>
      <w:r>
        <w:rPr>
          <w:sz w:val="20"/>
          <w:szCs w:val="20"/>
          <w:color w:val="auto"/>
        </w:rPr>
        <w:tab/>
      </w:r>
      <w:hyperlink r:id="rId51">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63"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10.28 ~</w:t>
      </w:r>
      <w:r>
        <w:rPr>
          <w:sz w:val="20"/>
          <w:szCs w:val="20"/>
          <w:color w:val="auto"/>
        </w:rPr>
        <w:tab/>
      </w:r>
      <w:hyperlink r:id="rId52">
        <w:r>
          <w:rPr>
            <w:rFonts w:ascii="Arial" w:cs="Arial" w:eastAsia="Arial" w:hAnsi="Arial"/>
            <w:sz w:val="18"/>
            <w:szCs w:val="18"/>
            <w:u w:val="single" w:color="auto"/>
            <w:color w:val="0000FF"/>
          </w:rPr>
          <w:t xml:space="preserve">Employment Letter by and between NMI Holdings, Inc. and Bradley M. Shuster,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December 28, 2018)</w:t>
      </w:r>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53">
        <w:r>
          <w:rPr>
            <w:rFonts w:ascii="Arial" w:cs="Arial" w:eastAsia="Arial" w:hAnsi="Arial"/>
            <w:sz w:val="18"/>
            <w:szCs w:val="18"/>
            <w:u w:val="single" w:color="auto"/>
            <w:color w:val="0000FF"/>
          </w:rPr>
          <w:t xml:space="preserve">Employment Letter by and between NMI Holdings, Inc. and Claudia J. Merkle,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10.2 to our Form 8-K, filed on December 28, 2018)</w:t>
      </w:r>
    </w:p>
    <w:p>
      <w:pPr>
        <w:spacing w:after="0" w:line="8" w:lineRule="exact"/>
        <w:rPr>
          <w:sz w:val="20"/>
          <w:szCs w:val="20"/>
          <w:color w:val="auto"/>
        </w:rPr>
      </w:pPr>
    </w:p>
    <w:p>
      <w:pPr>
        <w:ind w:left="920" w:hanging="892"/>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54">
        <w:r>
          <w:rPr>
            <w:rFonts w:ascii="Arial" w:cs="Arial" w:eastAsia="Arial" w:hAnsi="Arial"/>
            <w:sz w:val="18"/>
            <w:szCs w:val="18"/>
            <w:u w:val="single" w:color="auto"/>
            <w:color w:val="0000FF"/>
          </w:rPr>
          <w:t xml:space="preserve">Form of NMI Holdings, Inc. 2012 Stock Incentive Plan Restricted Stock Unit Award Agreement for Independent Directors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10.30 to our Form 10-Q, filed on May 2, 2019)</w:t>
      </w:r>
    </w:p>
    <w:p>
      <w:pPr>
        <w:spacing w:after="0" w:line="8" w:lineRule="exact"/>
        <w:rPr>
          <w:sz w:val="20"/>
          <w:szCs w:val="20"/>
          <w:color w:val="auto"/>
        </w:rPr>
      </w:pPr>
    </w:p>
    <w:p>
      <w:pPr>
        <w:ind w:left="920" w:right="20" w:hanging="892"/>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55">
        <w:r>
          <w:rPr>
            <w:rFonts w:ascii="Arial" w:cs="Arial" w:eastAsia="Arial" w:hAnsi="Arial"/>
            <w:sz w:val="18"/>
            <w:szCs w:val="18"/>
            <w:u w:val="single" w:color="auto"/>
            <w:color w:val="0000FF"/>
          </w:rPr>
          <w:t xml:space="preserve">Form of NMI Holdings, Inc. 2012 Stock Incentive Plan Restricted Stock Unit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10.31 to our Form 10-Q, filed on May 2, 2019)</w:t>
      </w:r>
    </w:p>
    <w:p>
      <w:pPr>
        <w:spacing w:after="0" w:line="8" w:lineRule="exact"/>
        <w:rPr>
          <w:sz w:val="20"/>
          <w:szCs w:val="20"/>
          <w:color w:val="auto"/>
        </w:rPr>
      </w:pPr>
    </w:p>
    <w:p>
      <w:pPr>
        <w:ind w:left="920" w:hanging="892"/>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56">
        <w:r>
          <w:rPr>
            <w:rFonts w:ascii="Arial" w:cs="Arial" w:eastAsia="Arial" w:hAnsi="Arial"/>
            <w:sz w:val="18"/>
            <w:szCs w:val="18"/>
            <w:u w:val="single" w:color="auto"/>
            <w:color w:val="0000FF"/>
          </w:rPr>
          <w:t xml:space="preserve">Form of NMI Holdings, Inc. 2012 Stock Incentive Plan Nonqualified Stock Option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10.32 to our Form 10-Q, filed on May 2, 2019)</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80"/>
          </w:cols>
          <w:pgMar w:left="620" w:top="746" w:right="399" w:bottom="1440" w:gutter="0" w:footer="0" w:header="0"/>
        </w:sectPr>
      </w:pPr>
    </w:p>
    <w:bookmarkStart w:id="50" w:name="page51"/>
    <w:bookmarkEnd w:id="50"/>
    <w:p>
      <w:pPr>
        <w:ind w:left="941" w:right="60" w:hanging="892"/>
        <w:spacing w:after="0" w:line="277"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10.33~</w:t>
      </w:r>
      <w:r>
        <w:rPr>
          <w:sz w:val="20"/>
          <w:szCs w:val="20"/>
          <w:color w:val="auto"/>
        </w:rPr>
        <w:tab/>
      </w:r>
      <w:hyperlink r:id="rId57">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10.33 to our Form 10-Q, filed on May 2, 2019)</w:t>
        </w:r>
      </w:hyperlink>
    </w:p>
    <w:p>
      <w:pPr>
        <w:spacing w:after="0" w:line="8" w:lineRule="exact"/>
        <w:rPr>
          <w:sz w:val="20"/>
          <w:szCs w:val="20"/>
          <w:color w:val="auto"/>
        </w:rPr>
      </w:pPr>
    </w:p>
    <w:p>
      <w:pPr>
        <w:ind w:left="941" w:right="60" w:hanging="892"/>
        <w:spacing w:after="0" w:line="277"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10.34~</w:t>
      </w:r>
      <w:r>
        <w:rPr>
          <w:sz w:val="20"/>
          <w:szCs w:val="20"/>
          <w:color w:val="auto"/>
        </w:rPr>
        <w:tab/>
      </w:r>
      <w:hyperlink r:id="rId58">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10.34 to our Form 10-Q, filed on May 2, 2019)</w:t>
        </w:r>
      </w:hyperlink>
    </w:p>
    <w:p>
      <w:pPr>
        <w:spacing w:after="0" w:line="8" w:lineRule="exact"/>
        <w:rPr>
          <w:sz w:val="20"/>
          <w:szCs w:val="20"/>
          <w:color w:val="auto"/>
        </w:rPr>
      </w:pPr>
    </w:p>
    <w:p>
      <w:pPr>
        <w:ind w:left="941" w:right="60" w:hanging="892"/>
        <w:spacing w:after="0" w:line="277"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10.35~</w:t>
      </w:r>
      <w:r>
        <w:rPr>
          <w:sz w:val="20"/>
          <w:szCs w:val="20"/>
          <w:color w:val="auto"/>
        </w:rPr>
        <w:tab/>
      </w:r>
      <w:hyperlink r:id="rId59">
        <w:r>
          <w:rPr>
            <w:rFonts w:ascii="Arial" w:cs="Arial" w:eastAsia="Arial" w:hAnsi="Arial"/>
            <w:sz w:val="18"/>
            <w:szCs w:val="18"/>
            <w:u w:val="single" w:color="auto"/>
            <w:color w:val="0000FF"/>
          </w:rPr>
          <w:t>Form of NMI Holdings, Inc. Amended and Restated 2014 Omnibus Incentive Plan Nonqualified Stock Option Agreement for</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10.35 to our Form 10-Q, filed on May 2, 2019)</w:t>
        </w:r>
      </w:hyperlink>
    </w:p>
    <w:p>
      <w:pPr>
        <w:spacing w:after="0" w:line="8"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60">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53">
        <w:r>
          <w:rPr>
            <w:rFonts w:ascii="Arial" w:cs="Arial" w:eastAsia="Arial" w:hAnsi="Arial"/>
            <w:sz w:val="16"/>
            <w:szCs w:val="16"/>
            <w:u w:val="single" w:color="auto"/>
            <w:color w:val="0000FF"/>
          </w:rPr>
          <w:t>Principal Executive Officer's Certification Pursuant to Section 302 of the Sarbanes-Oxley Act of 2002</w:t>
        </w:r>
      </w:hyperlink>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54">
        <w:r>
          <w:rPr>
            <w:rFonts w:ascii="Arial" w:cs="Arial" w:eastAsia="Arial" w:hAnsi="Arial"/>
            <w:sz w:val="16"/>
            <w:szCs w:val="16"/>
            <w:u w:val="single" w:color="auto"/>
            <w:color w:val="0000FF"/>
          </w:rPr>
          <w:t>Principal Financial Officer's Certification Pursuant to Section 302 of the Sarbanes-Oxley Act of 2002</w:t>
        </w:r>
      </w:hyperlink>
    </w:p>
    <w:p>
      <w:pPr>
        <w:spacing w:after="0" w:line="63" w:lineRule="exact"/>
        <w:rPr>
          <w:sz w:val="20"/>
          <w:szCs w:val="20"/>
          <w:color w:val="auto"/>
        </w:rPr>
      </w:pPr>
    </w:p>
    <w:p>
      <w:pPr>
        <w:ind w:left="6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55">
        <w:r>
          <w:rPr>
            <w:rFonts w:ascii="Arial" w:cs="Arial" w:eastAsia="Arial" w:hAnsi="Arial"/>
            <w:sz w:val="16"/>
            <w:szCs w:val="16"/>
            <w:u w:val="single" w:color="auto"/>
            <w:color w:val="0000FF"/>
          </w:rPr>
          <w:t>Certifications of CEO and CFO Pursuant to 18 U.S.C. Section 1350, as Adopted Pursuant to Section 906 of the Sarbanes-Oxley Act of</w:t>
        </w:r>
      </w:hyperlink>
    </w:p>
    <w:p>
      <w:pPr>
        <w:spacing w:after="0" w:line="23" w:lineRule="exact"/>
        <w:rPr>
          <w:sz w:val="20"/>
          <w:szCs w:val="20"/>
          <w:color w:val="auto"/>
        </w:rPr>
      </w:pPr>
    </w:p>
    <w:p>
      <w:pPr>
        <w:ind w:left="941"/>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2002</w:t>
        </w:r>
      </w:hyperlink>
    </w:p>
    <w:p>
      <w:pPr>
        <w:spacing w:after="0" w:line="49" w:lineRule="exact"/>
        <w:rPr>
          <w:sz w:val="20"/>
          <w:szCs w:val="20"/>
          <w:color w:val="auto"/>
        </w:rPr>
      </w:pPr>
    </w:p>
    <w:p>
      <w:pPr>
        <w:ind w:left="941" w:right="80" w:hanging="786"/>
        <w:spacing w:after="0" w:line="277" w:lineRule="auto"/>
        <w:tabs>
          <w:tab w:leader="none" w:pos="9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Quarterly Report on Form 10-Q for the quarter ended September 30, 2019 formatted in XBRL (eXtensible Business Reporting Language):</w:t>
      </w:r>
    </w:p>
    <w:p>
      <w:pPr>
        <w:spacing w:after="0" w:line="8" w:lineRule="exact"/>
        <w:rPr>
          <w:rFonts w:ascii="Arial" w:cs="Arial" w:eastAsia="Arial" w:hAnsi="Arial"/>
          <w:sz w:val="18"/>
          <w:szCs w:val="18"/>
          <w:color w:val="auto"/>
        </w:rPr>
      </w:pPr>
    </w:p>
    <w:p>
      <w:pPr>
        <w:ind w:left="1141" w:hanging="209"/>
        <w:spacing w:after="0"/>
        <w:tabs>
          <w:tab w:leader="none" w:pos="1141"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Condensed Consolidated Balance Sheets as of September 30, 2019 and December 31, 2018;</w:t>
      </w:r>
    </w:p>
    <w:p>
      <w:pPr>
        <w:spacing w:after="0" w:line="63" w:lineRule="exact"/>
        <w:rPr>
          <w:rFonts w:ascii="Arial" w:cs="Arial" w:eastAsia="Arial" w:hAnsi="Arial"/>
          <w:sz w:val="18"/>
          <w:szCs w:val="18"/>
          <w:color w:val="auto"/>
        </w:rPr>
      </w:pPr>
    </w:p>
    <w:p>
      <w:pPr>
        <w:ind w:left="941" w:right="860" w:hanging="9"/>
        <w:spacing w:after="0" w:line="277" w:lineRule="auto"/>
        <w:tabs>
          <w:tab w:leader="none" w:pos="1251"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(Loss) for the three and nine months ended September 30, 2019 and 2018;</w:t>
      </w:r>
    </w:p>
    <w:p>
      <w:pPr>
        <w:spacing w:after="0" w:line="8" w:lineRule="exact"/>
        <w:rPr>
          <w:rFonts w:ascii="Arial" w:cs="Arial" w:eastAsia="Arial" w:hAnsi="Arial"/>
          <w:sz w:val="18"/>
          <w:szCs w:val="18"/>
          <w:color w:val="auto"/>
        </w:rPr>
      </w:pPr>
    </w:p>
    <w:p>
      <w:pPr>
        <w:ind w:left="1241" w:hanging="309"/>
        <w:spacing w:after="0"/>
        <w:tabs>
          <w:tab w:leader="none" w:pos="1241" w:val="left"/>
        </w:tabs>
        <w:numPr>
          <w:ilvl w:val="2"/>
          <w:numId w:val="23"/>
        </w:numPr>
        <w:rPr>
          <w:rFonts w:ascii="Arial" w:cs="Arial" w:eastAsia="Arial" w:hAnsi="Arial"/>
          <w:sz w:val="16"/>
          <w:szCs w:val="16"/>
          <w:color w:val="auto"/>
        </w:rPr>
      </w:pPr>
      <w:r>
        <w:rPr>
          <w:rFonts w:ascii="Arial" w:cs="Arial" w:eastAsia="Arial" w:hAnsi="Arial"/>
          <w:sz w:val="16"/>
          <w:szCs w:val="16"/>
          <w:color w:val="auto"/>
        </w:rPr>
        <w:t>Condensed Consolidated Statements of Changes in Shareholders' Equity for the nine months ended September 30, 2019 and 2018;</w:t>
      </w:r>
    </w:p>
    <w:p>
      <w:pPr>
        <w:spacing w:after="0" w:line="86" w:lineRule="exact"/>
        <w:rPr>
          <w:rFonts w:ascii="Arial" w:cs="Arial" w:eastAsia="Arial" w:hAnsi="Arial"/>
          <w:sz w:val="16"/>
          <w:szCs w:val="16"/>
          <w:color w:val="auto"/>
        </w:rPr>
      </w:pPr>
    </w:p>
    <w:p>
      <w:pPr>
        <w:ind w:left="1241" w:hanging="309"/>
        <w:spacing w:after="0"/>
        <w:tabs>
          <w:tab w:leader="none" w:pos="1241"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nine months ended September 30, 2019 and 2018; and</w:t>
      </w:r>
    </w:p>
    <w:p>
      <w:pPr>
        <w:spacing w:after="0" w:line="63" w:lineRule="exact"/>
        <w:rPr>
          <w:rFonts w:ascii="Arial" w:cs="Arial" w:eastAsia="Arial" w:hAnsi="Arial"/>
          <w:sz w:val="18"/>
          <w:szCs w:val="18"/>
          <w:color w:val="auto"/>
        </w:rPr>
      </w:pPr>
    </w:p>
    <w:p>
      <w:pPr>
        <w:ind w:left="941" w:right="220" w:hanging="9"/>
        <w:spacing w:after="0" w:line="277" w:lineRule="auto"/>
        <w:tabs>
          <w:tab w:leader="none" w:pos="1241" w:val="left"/>
        </w:tabs>
        <w:numPr>
          <w:ilvl w:val="2"/>
          <w:numId w:val="23"/>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The instance document does not appear in the Interactive Data File because XBRL tags are embedded within the Inline XBRL document.</w:t>
      </w:r>
    </w:p>
    <w:p>
      <w:pPr>
        <w:spacing w:after="0" w:line="147" w:lineRule="exact"/>
        <w:rPr>
          <w:rFonts w:ascii="Arial" w:cs="Arial" w:eastAsia="Arial" w:hAnsi="Arial"/>
          <w:sz w:val="18"/>
          <w:szCs w:val="18"/>
          <w:color w:val="auto"/>
        </w:rPr>
      </w:pPr>
    </w:p>
    <w:p>
      <w:pPr>
        <w:ind w:left="221" w:hanging="221"/>
        <w:spacing w:after="0"/>
        <w:tabs>
          <w:tab w:leader="none" w:pos="22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w:t>
      </w:r>
    </w:p>
    <w:p>
      <w:pPr>
        <w:spacing w:after="0" w:line="73" w:lineRule="exact"/>
        <w:rPr>
          <w:sz w:val="20"/>
          <w:szCs w:val="20"/>
          <w:color w:val="auto"/>
        </w:rPr>
      </w:pPr>
    </w:p>
    <w:p>
      <w:pPr>
        <w:jc w:val="both"/>
        <w:ind w:left="221" w:hanging="221"/>
        <w:spacing w:after="0" w:line="278" w:lineRule="auto"/>
        <w:tabs>
          <w:tab w:leader="none" w:pos="22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1"/>
          </w:cols>
          <w:pgMar w:left="599" w:top="746"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NMI HOLDINGS, INC.</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November 6, 2019</w:t>
      </w:r>
    </w:p>
    <w:p>
      <w:pPr>
        <w:spacing w:after="0" w:line="37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-10160</wp:posOffset>
            </wp:positionV>
            <wp:extent cx="1438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7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 Adam S. Pollitzer</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3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Claudia J. Merkle, certify that:</w:t>
      </w:r>
    </w:p>
    <w:p>
      <w:pPr>
        <w:spacing w:after="0" w:line="11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540"/>
        <w:spacing w:after="0"/>
        <w:tabs>
          <w:tab w:leader="none" w:pos="4780" w:val="left"/>
        </w:tabs>
        <w:rPr>
          <w:sz w:val="20"/>
          <w:szCs w:val="20"/>
          <w:color w:val="auto"/>
        </w:rPr>
      </w:pPr>
      <w:r>
        <w:rPr>
          <w:rFonts w:ascii="Arial" w:cs="Arial" w:eastAsia="Arial" w:hAnsi="Arial"/>
          <w:sz w:val="18"/>
          <w:szCs w:val="18"/>
          <w:u w:val="single" w:color="auto"/>
          <w:color w:val="auto"/>
        </w:rPr>
        <w:t>November 6, 2019</w:t>
      </w:r>
      <w:r>
        <w:rPr>
          <w:sz w:val="20"/>
          <w:szCs w:val="20"/>
          <w:color w:val="auto"/>
        </w:rPr>
        <w:tab/>
      </w:r>
      <w:r>
        <w:rPr>
          <w:rFonts w:ascii="Arial" w:cs="Arial" w:eastAsia="Arial" w:hAnsi="Arial"/>
          <w:sz w:val="16"/>
          <w:szCs w:val="16"/>
          <w:color w:val="auto"/>
        </w:rPr>
        <w:t>/s/ Claudia J. Merkle___________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-10160</wp:posOffset>
            </wp:positionV>
            <wp:extent cx="2409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Claudia J. Merkle</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7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5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820" w:hanging="326"/>
        <w:spacing w:after="0" w:line="308" w:lineRule="auto"/>
        <w:tabs>
          <w:tab w:leader="none" w:pos="8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820" w:hanging="326"/>
        <w:spacing w:after="0" w:line="264" w:lineRule="auto"/>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820" w:hanging="326"/>
        <w:spacing w:after="0" w:line="277" w:lineRule="auto"/>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326"/>
        <w:spacing w:after="0" w:line="277" w:lineRule="auto"/>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November 6,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Adam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831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7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September 30, 2019,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November 6,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Claudia J. Merkle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Claudia Merkle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November 6,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upperLetter"/>
      <w:start w:val="6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Roman"/>
      <w:start w:val="3"/>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61" Type="http://schemas.openxmlformats.org/officeDocument/2006/relationships/image" Target="media/image8.png"/><Relationship Id="rId62" Type="http://schemas.openxmlformats.org/officeDocument/2006/relationships/image" Target="media/image9.png"/><Relationship Id="rId63" Type="http://schemas.openxmlformats.org/officeDocument/2006/relationships/image" Target="media/image10.png"/><Relationship Id="rId15" Type="http://schemas.openxmlformats.org/officeDocument/2006/relationships/hyperlink" Target="http://www.sec.gov/Archives/edgar/data/1547903/000154790313000020/a21macstockpurchaseagreeme.htm" TargetMode="External"/><Relationship Id="rId16" Type="http://schemas.openxmlformats.org/officeDocument/2006/relationships/hyperlink" Target="http://www.sec.gov/Archives/edgar/data/1547903/000154790313000020/a22amendmenttomacpurhcasea.htm" TargetMode="External"/><Relationship Id="rId17" Type="http://schemas.openxmlformats.org/officeDocument/2006/relationships/hyperlink" Target="http://www.sec.gov/Archives/edgar/data/1547903/000154790313000020/a31secondamendedandrestate.htm" TargetMode="External"/><Relationship Id="rId18" Type="http://schemas.openxmlformats.org/officeDocument/2006/relationships/hyperlink" Target="http://www.sec.gov/Archives/edgar/data/1547903/000154790314000152/exhibit31december92014.htm" TargetMode="External"/><Relationship Id="rId19" Type="http://schemas.openxmlformats.org/officeDocument/2006/relationships/hyperlink" Target="http://www.sec.gov/Archives/edgar/data/1547903/000154790313000020/a41specimenclassacommonsto.htm" TargetMode="External"/><Relationship Id="rId20" Type="http://schemas.openxmlformats.org/officeDocument/2006/relationships/hyperlink" Target="http://www.sec.gov/Archives/edgar/data/1547903/000154790313000020/a42registrationrightsagree.htm" TargetMode="External"/><Relationship Id="rId21" Type="http://schemas.openxmlformats.org/officeDocument/2006/relationships/hyperlink" Target="http://www.sec.gov/Archives/edgar/data/1547903/000154790313000020/a43registrationrightsagree.htm" TargetMode="External"/><Relationship Id="rId22" Type="http://schemas.openxmlformats.org/officeDocument/2006/relationships/hyperlink" Target="http://www.sec.gov/Archives/edgar/data/1547903/000154790313000020/a44registrationrightsagree.htm" TargetMode="External"/><Relationship Id="rId23" Type="http://schemas.openxmlformats.org/officeDocument/2006/relationships/hyperlink" Target="http://www.sec.gov/Archives/edgar/data/1547903/000154790313000020/a45warrantno1fbrcapitalmar.htm" TargetMode="External"/><Relationship Id="rId24" Type="http://schemas.openxmlformats.org/officeDocument/2006/relationships/hyperlink" Target="http://www.sec.gov/Archives/edgar/data/1547903/000154790313000020/a46warrantno2macfinancial4.htm" TargetMode="External"/><Relationship Id="rId25" Type="http://schemas.openxmlformats.org/officeDocument/2006/relationships/hyperlink" Target="http://www.sec.gov/Archives/edgar/data/1547903/000154790313000020/a101nmiholdingsinc2012stoc.htm" TargetMode="External"/><Relationship Id="rId26" Type="http://schemas.openxmlformats.org/officeDocument/2006/relationships/hyperlink" Target="http://www.sec.gov/Archives/edgar/data/1547903/000154790313000020/a103formofnmiholdingsinc20.htm" TargetMode="External"/><Relationship Id="rId27" Type="http://schemas.openxmlformats.org/officeDocument/2006/relationships/hyperlink" Target="http://www.sec.gov/Archives/edgar/data/1547903/000154790313000020/a105formofnonqualifiedstoc.htm" TargetMode="External"/><Relationship Id="rId28" Type="http://schemas.openxmlformats.org/officeDocument/2006/relationships/hyperlink" Target="http://www.sec.gov/Archives/edgar/data/1547903/000154790313000020/a106formofnonqualifiedstoc.htm" TargetMode="External"/><Relationship Id="rId29" Type="http://schemas.openxmlformats.org/officeDocument/2006/relationships/hyperlink" Target="http://www.sec.gov/Archives/edgar/data/1547903/000154790313000020/a107formofnonqualifiedstoc.htm" TargetMode="External"/><Relationship Id="rId30" Type="http://schemas.openxmlformats.org/officeDocument/2006/relationships/hyperlink" Target="http://www.sec.gov/Archives/edgar/data/1547903/000154790317000032/exhibit108-2012stockincent.htm" TargetMode="External"/><Relationship Id="rId31" Type="http://schemas.openxmlformats.org/officeDocument/2006/relationships/hyperlink" Target="http://www.sec.gov/Archives/edgar/data/1547903/000154790317000032/exhibit109-2012stockincent.htm" TargetMode="External"/><Relationship Id="rId32" Type="http://schemas.openxmlformats.org/officeDocument/2006/relationships/hyperlink" Target="http://www.sec.gov/Archives/edgar/data/1547903/000154790315000172/a20151223shusteremployment.htm" TargetMode="External"/><Relationship Id="rId33" Type="http://schemas.openxmlformats.org/officeDocument/2006/relationships/hyperlink" Target="http://www.sec.gov/Archives/edgar/data/1547903/000154790316000230/exhibit1010leatherberrybil.htm" TargetMode="External"/><Relationship Id="rId34" Type="http://schemas.openxmlformats.org/officeDocument/2006/relationships/hyperlink" Target="http://www.sec.gov/Archives/edgar/data/1547903/000154790317000003/exhibit101offerletterdated.htm" TargetMode="External"/><Relationship Id="rId35" Type="http://schemas.openxmlformats.org/officeDocument/2006/relationships/hyperlink" Target="http://www.sec.gov/Archives/edgar/data/1547903/000154790314000146/exhibit101november252014.htm" TargetMode="External"/><Relationship Id="rId36" Type="http://schemas.openxmlformats.org/officeDocument/2006/relationships/hyperlink" Target="http://www.sec.gov/Archives/edgar/data/1547903/000154790313000020/a1014commitmentletterforbu.htm" TargetMode="External"/><Relationship Id="rId37" Type="http://schemas.openxmlformats.org/officeDocument/2006/relationships/hyperlink" Target="http://www.sec.gov/Archives/edgar/data/1547903/000154790315000142/nmihexhibit41tlb.htm" TargetMode="External"/><Relationship Id="rId38" Type="http://schemas.openxmlformats.org/officeDocument/2006/relationships/hyperlink" Target="http://www.sec.gov/Archives/edgar/data/1547903/000154790317000005/exhibit101tlaandannex.htm" TargetMode="External"/><Relationship Id="rId39" Type="http://schemas.openxmlformats.org/officeDocument/2006/relationships/hyperlink" Target="http://www.sec.gov/Archives/edgar/data/1547903/000154790317000115/exhibit101amendmentno2.htm" TargetMode="External"/><Relationship Id="rId40" Type="http://schemas.openxmlformats.org/officeDocument/2006/relationships/hyperlink" Target="http://www.sec.gov/Archives/edgar/data/1547903/000154790318000088/exhibit41-creditagreement.htm" TargetMode="External"/><Relationship Id="rId41" Type="http://schemas.openxmlformats.org/officeDocument/2006/relationships/hyperlink" Target="http://www.sec.gov/Archives/edgar/data/1547903/000154790317000043/nmihproxy2017.htm" TargetMode="External"/><Relationship Id="rId42" Type="http://schemas.openxmlformats.org/officeDocument/2006/relationships/hyperlink" Target="http://www.sec.gov/Archives/edgar/data/1547903/000154790317000100/ex1019rsuceo.htm" TargetMode="External"/><Relationship Id="rId43" Type="http://schemas.openxmlformats.org/officeDocument/2006/relationships/hyperlink" Target="http://www.sec.gov/Archives/edgar/data/1547903/000154790317000100/ex1020rsueo.htm" TargetMode="External"/><Relationship Id="rId44" Type="http://schemas.openxmlformats.org/officeDocument/2006/relationships/hyperlink" Target="http://www.sec.gov/Archives/edgar/data/1547903/000154790317000100/ex1021rsuee.htm" TargetMode="External"/><Relationship Id="rId45" Type="http://schemas.openxmlformats.org/officeDocument/2006/relationships/hyperlink" Target="http://www.sec.gov/Archives/edgar/data/1547903/000154790317000100/ex1022rsuindependentdirect.htm" TargetMode="External"/><Relationship Id="rId46" Type="http://schemas.openxmlformats.org/officeDocument/2006/relationships/hyperlink" Target="http://www.sec.gov/Archives/edgar/data/1547903/000154790317000100/ex1023nqsceo.htm" TargetMode="External"/><Relationship Id="rId47" Type="http://schemas.openxmlformats.org/officeDocument/2006/relationships/hyperlink" Target="http://www.sec.gov/Archives/edgar/data/1547903/000154790317000100/ex1024nqseoee.htm" TargetMode="External"/><Relationship Id="rId48" Type="http://schemas.openxmlformats.org/officeDocument/2006/relationships/hyperlink" Target="http://www.sec.gov/Archives/edgar/data/1547903/000154790317000032/exhibit1026-2014omnibusinc.htm" TargetMode="External"/><Relationship Id="rId49" Type="http://schemas.openxmlformats.org/officeDocument/2006/relationships/hyperlink" Target="http://www.sec.gov/Archives/edgar/data/1547903/000154790316000185/ex101severancebenefitplan.htm" TargetMode="External"/><Relationship Id="rId50" Type="http://schemas.openxmlformats.org/officeDocument/2006/relationships/hyperlink" Target="http://www.sec.gov/Archives/edgar/data/1547903/000154790318000133/exhibit1030arcicsbp.htm" TargetMode="External"/><Relationship Id="rId51" Type="http://schemas.openxmlformats.org/officeDocument/2006/relationships/hyperlink" Target="http://www.sec.gov/Archives/edgar/data/1547903/000154790317000035/exhibit102.htm" TargetMode="External"/><Relationship Id="rId52" Type="http://schemas.openxmlformats.org/officeDocument/2006/relationships/hyperlink" Target="http://www.sec.gov/Archives/edgar/data/1547903/000154790318000137/exhibit101shuster.htm" TargetMode="External"/><Relationship Id="rId53" Type="http://schemas.openxmlformats.org/officeDocument/2006/relationships/hyperlink" Target="http://www.sec.gov/Archives/edgar/data/1547903/000154790318000137/exhibit102merkle.htm" TargetMode="External"/><Relationship Id="rId54" Type="http://schemas.openxmlformats.org/officeDocument/2006/relationships/hyperlink" Target="http://www.sec.gov/Archives/edgar/data/1547903/000154790319000064/exhibit1030.htm" TargetMode="External"/><Relationship Id="rId55" Type="http://schemas.openxmlformats.org/officeDocument/2006/relationships/hyperlink" Target="http://www.sec.gov/Archives/edgar/data/1547903/000154790319000064/exhibit1031.htm" TargetMode="External"/><Relationship Id="rId56" Type="http://schemas.openxmlformats.org/officeDocument/2006/relationships/hyperlink" Target="http://www.sec.gov/Archives/edgar/data/1547903/000154790319000064/exhibit1032.htm" TargetMode="External"/><Relationship Id="rId57" Type="http://schemas.openxmlformats.org/officeDocument/2006/relationships/hyperlink" Target="http://www.sec.gov/Archives/edgar/data/1547903/000154790319000064/exhibit1033.htm" TargetMode="External"/><Relationship Id="rId58" Type="http://schemas.openxmlformats.org/officeDocument/2006/relationships/hyperlink" Target="http://www.sec.gov/Archives/edgar/data/1547903/000154790319000064/exhibit1034.htm" TargetMode="External"/><Relationship Id="rId59" Type="http://schemas.openxmlformats.org/officeDocument/2006/relationships/hyperlink" Target="http://www.sec.gov/Archives/edgar/data/1547903/000154790319000064/exhibit1035.htm" TargetMode="External"/><Relationship Id="rId60"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2019-12-28T02:17:42Z</dcterms:created>
  <dcterms:modified xsi:type="dcterms:W3CDTF">2019-12-28T02:17:42Z</dcterms:modified>
</cp:coreProperties>
</file>