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41910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7" w:lineRule="exact"/>
        <w:rPr>
          <w:sz w:val="24"/>
          <w:szCs w:val="24"/>
          <w:color w:val="auto"/>
        </w:rPr>
      </w:pPr>
    </w:p>
    <w:p>
      <w:pPr>
        <w:ind w:left="720" w:hanging="685"/>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June 30, 2017</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168"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9000" w:type="dxa"/>
            <w:vAlign w:val="bottom"/>
            <w:gridSpan w:val="9"/>
          </w:tcPr>
          <w:p>
            <w:pPr>
              <w:ind w:left="300"/>
              <w:spacing w:after="0"/>
              <w:rPr>
                <w:sz w:val="20"/>
                <w:szCs w:val="20"/>
                <w:color w:val="auto"/>
              </w:rPr>
            </w:pPr>
            <w:r>
              <w:rPr>
                <w:rFonts w:ascii="Times New Roman" w:cs="Times New Roman" w:eastAsia="Times New Roman" w:hAnsi="Times New Roman"/>
                <w:sz w:val="18"/>
                <w:szCs w:val="18"/>
                <w:color w:val="auto"/>
                <w:w w:val="99"/>
              </w:rPr>
              <w:t>TRANSITION REPORT PURSUANT TO SECTION 13 OR 15(d) OF THE SECURITIES EXCHANGE ACT OF 1934</w:t>
            </w:r>
          </w:p>
        </w:tc>
      </w:tr>
      <w:tr>
        <w:trPr>
          <w:trHeight w:val="194"/>
        </w:trPr>
        <w:tc>
          <w:tcPr>
            <w:tcW w:w="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o</w:t>
            </w:r>
          </w:p>
        </w:tc>
        <w:tc>
          <w:tcPr>
            <w:tcW w:w="248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For the transition period from</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to</w:t>
            </w:r>
          </w:p>
        </w:tc>
        <w:tc>
          <w:tcPr>
            <w:tcW w:w="760" w:type="dxa"/>
            <w:vAlign w:val="bottom"/>
            <w:tcBorders>
              <w:bottom w:val="single" w:sz="8" w:color="auto"/>
            </w:tcBorders>
            <w:gridSpan w:val="2"/>
          </w:tcPr>
          <w:p>
            <w:pPr>
              <w:spacing w:after="0"/>
              <w:rPr>
                <w:sz w:val="16"/>
                <w:szCs w:val="16"/>
                <w:color w:val="auto"/>
              </w:rPr>
            </w:pP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528"/>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001-36174</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
        </w:trPr>
        <w:tc>
          <w:tcPr>
            <w:tcW w:w="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r>
      <w:tr>
        <w:trPr>
          <w:trHeight w:val="416"/>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Times New Roman" w:cs="Times New Roman" w:eastAsia="Times New Roman" w:hAnsi="Times New Roman"/>
                <w:sz w:val="32"/>
                <w:szCs w:val="32"/>
                <w:b w:val="1"/>
                <w:bCs w:val="1"/>
                <w:color w:val="auto"/>
              </w:rPr>
              <w:t>NMI Holdings, Inc.</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3"/>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040" w:type="dxa"/>
            <w:vAlign w:val="bottom"/>
          </w:tcPr>
          <w:p>
            <w:pPr>
              <w:spacing w:after="0"/>
              <w:rPr>
                <w:sz w:val="16"/>
                <w:szCs w:val="16"/>
                <w:color w:val="auto"/>
              </w:rPr>
            </w:pPr>
          </w:p>
        </w:tc>
      </w:tr>
      <w:tr>
        <w:trPr>
          <w:trHeight w:val="539"/>
        </w:trPr>
        <w:tc>
          <w:tcPr>
            <w:tcW w:w="380" w:type="dxa"/>
            <w:vAlign w:val="bottom"/>
          </w:tcPr>
          <w:p>
            <w:pPr>
              <w:spacing w:after="0"/>
              <w:rPr>
                <w:sz w:val="24"/>
                <w:szCs w:val="24"/>
                <w:color w:val="auto"/>
              </w:rPr>
            </w:pPr>
          </w:p>
        </w:tc>
        <w:tc>
          <w:tcPr>
            <w:tcW w:w="3300" w:type="dxa"/>
            <w:vAlign w:val="bottom"/>
            <w:gridSpan w:val="3"/>
          </w:tcPr>
          <w:p>
            <w:pPr>
              <w:jc w:val="center"/>
              <w:ind w:left="2156"/>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b w:val="1"/>
                <w:bCs w:val="1"/>
                <w:color w:val="auto"/>
              </w:rPr>
              <w:t>45-4914248</w:t>
            </w:r>
          </w:p>
        </w:tc>
      </w:tr>
      <w:tr>
        <w:trPr>
          <w:trHeight w:val="287"/>
        </w:trPr>
        <w:tc>
          <w:tcPr>
            <w:tcW w:w="380" w:type="dxa"/>
            <w:vAlign w:val="bottom"/>
          </w:tcPr>
          <w:p>
            <w:pPr>
              <w:spacing w:after="0"/>
              <w:rPr>
                <w:sz w:val="24"/>
                <w:szCs w:val="24"/>
                <w:color w:val="auto"/>
              </w:rPr>
            </w:pPr>
          </w:p>
        </w:tc>
        <w:tc>
          <w:tcPr>
            <w:tcW w:w="6680" w:type="dxa"/>
            <w:vAlign w:val="bottom"/>
            <w:gridSpan w:val="7"/>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29"/>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2100 Powell Street, Emeryville, CA</w:t>
            </w:r>
          </w:p>
        </w:tc>
        <w:tc>
          <w:tcPr>
            <w:tcW w:w="232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b w:val="1"/>
                <w:bCs w:val="1"/>
                <w:color w:val="auto"/>
              </w:rPr>
              <w:t>94608</w:t>
            </w:r>
          </w:p>
        </w:tc>
      </w:tr>
      <w:tr>
        <w:trPr>
          <w:trHeight w:val="287"/>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 w:type="dxa"/>
            <w:vAlign w:val="bottom"/>
          </w:tcPr>
          <w:p>
            <w:pPr>
              <w:spacing w:after="0"/>
              <w:rPr>
                <w:sz w:val="24"/>
                <w:szCs w:val="24"/>
                <w:color w:val="auto"/>
              </w:rPr>
            </w:pPr>
          </w:p>
        </w:tc>
        <w:tc>
          <w:tcPr>
            <w:tcW w:w="204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3"/>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(855) 530-6642</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0"/>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gridSpan w:val="4"/>
          </w:tcPr>
          <w:p>
            <w:pPr>
              <w:jc w:val="center"/>
              <w:ind w:right="194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200" w:lineRule="exact"/>
        <w:rPr>
          <w:sz w:val="24"/>
          <w:szCs w:val="24"/>
          <w:color w:val="auto"/>
        </w:rPr>
      </w:pPr>
    </w:p>
    <w:p>
      <w:pPr>
        <w:spacing w:after="0" w:line="26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YES x NO o</w:t>
      </w:r>
    </w:p>
    <w:p>
      <w:pPr>
        <w:spacing w:after="0" w:line="17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YES x NO o</w:t>
      </w:r>
    </w:p>
    <w:p>
      <w:pPr>
        <w:spacing w:after="0" w:line="17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22" w:lineRule="exact"/>
        <w:rPr>
          <w:sz w:val="24"/>
          <w:szCs w:val="24"/>
          <w:color w:val="auto"/>
        </w:rPr>
      </w:pPr>
    </w:p>
    <w:p>
      <w:pPr>
        <w:ind w:left="560"/>
        <w:spacing w:after="0"/>
        <w:tabs>
          <w:tab w:leader="none" w:pos="3600" w:val="left"/>
          <w:tab w:leader="none" w:pos="6300" w:val="left"/>
          <w:tab w:leader="none" w:pos="8920" w:val="left"/>
        </w:tabs>
        <w:rPr>
          <w:sz w:val="20"/>
          <w:szCs w:val="20"/>
          <w:color w:val="auto"/>
        </w:rPr>
      </w:pPr>
      <w:r>
        <w:rPr>
          <w:rFonts w:ascii="Times New Roman" w:cs="Times New Roman" w:eastAsia="Times New Roman" w:hAnsi="Times New Roman"/>
          <w:sz w:val="18"/>
          <w:szCs w:val="18"/>
          <w:color w:val="auto"/>
        </w:rPr>
        <w:t>Large accelerated filer o</w:t>
      </w:r>
      <w:r>
        <w:rPr>
          <w:sz w:val="20"/>
          <w:szCs w:val="20"/>
          <w:color w:val="auto"/>
        </w:rPr>
        <w:tab/>
      </w:r>
      <w:r>
        <w:rPr>
          <w:rFonts w:ascii="Times New Roman" w:cs="Times New Roman" w:eastAsia="Times New Roman" w:hAnsi="Times New Roman"/>
          <w:sz w:val="18"/>
          <w:szCs w:val="18"/>
          <w:color w:val="auto"/>
        </w:rPr>
        <w:t>Accelerated filer x</w:t>
      </w:r>
      <w:r>
        <w:rPr>
          <w:sz w:val="20"/>
          <w:szCs w:val="20"/>
          <w:color w:val="auto"/>
        </w:rPr>
        <w:tab/>
      </w:r>
      <w:r>
        <w:rPr>
          <w:rFonts w:ascii="Times New Roman" w:cs="Times New Roman" w:eastAsia="Times New Roman" w:hAnsi="Times New Roman"/>
          <w:sz w:val="18"/>
          <w:szCs w:val="18"/>
          <w:color w:val="auto"/>
        </w:rPr>
        <w:t>Non-accelerated filer o</w:t>
      </w:r>
      <w:r>
        <w:rPr>
          <w:sz w:val="20"/>
          <w:szCs w:val="20"/>
          <w:color w:val="auto"/>
        </w:rPr>
        <w:tab/>
      </w:r>
      <w:r>
        <w:rPr>
          <w:rFonts w:ascii="Times New Roman" w:cs="Times New Roman" w:eastAsia="Times New Roman" w:hAnsi="Times New Roman"/>
          <w:sz w:val="17"/>
          <w:szCs w:val="17"/>
          <w:color w:val="auto"/>
        </w:rPr>
        <w:t>Smaller reporting company o</w:t>
      </w:r>
    </w:p>
    <w:p>
      <w:pPr>
        <w:spacing w:after="0" w:line="144"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3"/>
          <w:szCs w:val="13"/>
          <w:color w:val="auto"/>
        </w:rPr>
        <w:t>(Do not check if a smaller reporting company)</w:t>
      </w:r>
    </w:p>
    <w:p>
      <w:pPr>
        <w:spacing w:after="0" w:line="39"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00" w:lineRule="exact"/>
        <w:rPr>
          <w:sz w:val="24"/>
          <w:szCs w:val="24"/>
          <w:color w:val="auto"/>
        </w:rPr>
      </w:pPr>
    </w:p>
    <w:p>
      <w:pPr>
        <w:spacing w:after="0" w:line="26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YES o NO x</w:t>
      </w:r>
    </w:p>
    <w:p>
      <w:pPr>
        <w:sectPr>
          <w:pgSz w:w="11900" w:h="16838" w:orient="portrait"/>
          <w:cols w:equalWidth="0" w:num="1">
            <w:col w:w="11420"/>
          </w:cols>
          <w:pgMar w:left="240" w:top="678" w:right="239" w:bottom="1440" w:gutter="0" w:footer="0" w:header="0"/>
        </w:sectPr>
      </w:pP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$0.01 par value per share, of the registrant outstanding on July 28, 2017 was 59,862,199 shares.</w:t>
      </w:r>
    </w:p>
    <w:p>
      <w:pPr>
        <w:sectPr>
          <w:pgSz w:w="11900" w:h="16838" w:orient="portrait"/>
          <w:cols w:equalWidth="0" w:num="1">
            <w:col w:w="11420"/>
          </w:cols>
          <w:pgMar w:left="240" w:top="678"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5"/>
            <w:shd w:val="clear" w:color="auto" w:fill="CCEEFF"/>
          </w:tcPr>
          <w:p>
            <w:pPr>
              <w:ind w:left="40"/>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Cautionary Note Regarding Forward Looking Statements</w:t>
              </w:r>
            </w:hyperlink>
          </w:p>
        </w:tc>
        <w:tc>
          <w:tcPr>
            <w:tcW w:w="200" w:type="dxa"/>
            <w:vAlign w:val="bottom"/>
            <w:gridSpan w:val="3"/>
            <w:shd w:val="clear" w:color="auto" w:fill="CCEEFF"/>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6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PART I</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5"/>
            <w:shd w:val="clear" w:color="auto" w:fill="CCEEFF"/>
          </w:tcPr>
          <w:p>
            <w:pPr>
              <w:spacing w:after="0" w:line="202"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Financial Statements</w:t>
              </w:r>
            </w:hyperlink>
          </w:p>
        </w:tc>
        <w:tc>
          <w:tcPr>
            <w:tcW w:w="86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10140" w:type="dxa"/>
            <w:vAlign w:val="bottom"/>
            <w:gridSpan w:val="10"/>
          </w:tcPr>
          <w:p>
            <w:pPr>
              <w:spacing w:after="0" w:line="202"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24</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8"/>
            <w:shd w:val="clear" w:color="auto" w:fill="CCEEFF"/>
          </w:tcPr>
          <w:p>
            <w:pPr>
              <w:spacing w:after="0" w:line="202"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Quantitative and Qualitative Disclosures About Market Risk</w:t>
              </w:r>
            </w:hyperlink>
          </w:p>
        </w:tc>
        <w:tc>
          <w:tcPr>
            <w:tcW w:w="5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42">
              <w:r>
                <w:rPr>
                  <w:rFonts w:ascii="Times New Roman" w:cs="Times New Roman" w:eastAsia="Times New Roman" w:hAnsi="Times New Roman"/>
                  <w:sz w:val="18"/>
                  <w:szCs w:val="18"/>
                  <w:color w:val="0000EE"/>
                  <w:w w:val="88"/>
                </w:rPr>
                <w:t>42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10140" w:type="dxa"/>
            <w:vAlign w:val="bottom"/>
            <w:gridSpan w:val="10"/>
          </w:tcPr>
          <w:p>
            <w:pPr>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Controls and Procedures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43</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Times New Roman" w:cs="Times New Roman" w:eastAsia="Times New Roman" w:hAnsi="Times New Roman"/>
                <w:sz w:val="18"/>
                <w:szCs w:val="18"/>
                <w:b w:val="1"/>
                <w:bCs w:val="1"/>
                <w:color w:val="0000EE"/>
              </w:rPr>
            </w:pPr>
            <w:hyperlink w:anchor="page44">
              <w:r>
                <w:rPr>
                  <w:rFonts w:ascii="Times New Roman" w:cs="Times New Roman" w:eastAsia="Times New Roman" w:hAnsi="Times New Roman"/>
                  <w:sz w:val="18"/>
                  <w:szCs w:val="18"/>
                  <w:b w:val="1"/>
                  <w:bCs w:val="1"/>
                  <w:color w:val="0000EE"/>
                </w:rPr>
                <w:t>PART II</w:t>
              </w:r>
            </w:hyperlink>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44</w:t>
              </w:r>
            </w:hyperlink>
          </w:p>
        </w:tc>
      </w:tr>
      <w:tr>
        <w:trPr>
          <w:trHeight w:val="203"/>
        </w:trPr>
        <w:tc>
          <w:tcPr>
            <w:tcW w:w="4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w w:val="97"/>
              </w:rPr>
              <w:t>Item 1.</w:t>
            </w:r>
          </w:p>
        </w:tc>
        <w:tc>
          <w:tcPr>
            <w:tcW w:w="380" w:type="dxa"/>
            <w:vAlign w:val="bottom"/>
            <w:tcBorders>
              <w:top w:val="single" w:sz="8" w:color="CCEEFF"/>
            </w:tcBorders>
            <w:gridSpan w:val="2"/>
          </w:tcPr>
          <w:p>
            <w:pPr>
              <w:spacing w:after="0"/>
              <w:rPr>
                <w:sz w:val="17"/>
                <w:szCs w:val="17"/>
                <w:color w:val="auto"/>
              </w:rPr>
            </w:pPr>
          </w:p>
        </w:tc>
        <w:tc>
          <w:tcPr>
            <w:tcW w:w="10140" w:type="dxa"/>
            <w:vAlign w:val="bottom"/>
            <w:tcBorders>
              <w:top w:val="single" w:sz="8" w:color="CCEEFF"/>
            </w:tcBorders>
            <w:gridSpan w:val="10"/>
          </w:tcPr>
          <w:p>
            <w:pPr>
              <w:spacing w:after="0" w:line="202"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Legal Proceedings</w:t>
              </w:r>
            </w:hyperlink>
          </w:p>
        </w:tc>
        <w:tc>
          <w:tcPr>
            <w:tcW w:w="180" w:type="dxa"/>
            <w:vAlign w:val="bottom"/>
            <w:tcBorders>
              <w:top w:val="single" w:sz="8" w:color="0000EE"/>
            </w:tcBorders>
            <w:gridSpan w:val="2"/>
          </w:tcPr>
          <w:p>
            <w:pPr>
              <w:jc w:val="right"/>
              <w:spacing w:after="0" w:line="202" w:lineRule="exact"/>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44</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shd w:val="clear" w:color="auto" w:fill="CCEEFF"/>
          </w:tcPr>
          <w:p>
            <w:pPr>
              <w:spacing w:after="0" w:line="202" w:lineRule="exact"/>
              <w:rPr>
                <w:rFonts w:ascii="Times New Roman" w:cs="Times New Roman" w:eastAsia="Times New Roman" w:hAnsi="Times New Roman"/>
                <w:sz w:val="18"/>
                <w:szCs w:val="18"/>
                <w:color w:val="0000EE"/>
                <w:w w:val="97"/>
                <w:shd w:val="clear" w:color="auto" w:fill="CCEEFF"/>
              </w:rPr>
            </w:pPr>
            <w:hyperlink w:anchor="page44">
              <w:r>
                <w:rPr>
                  <w:rFonts w:ascii="Times New Roman" w:cs="Times New Roman" w:eastAsia="Times New Roman" w:hAnsi="Times New Roman"/>
                  <w:sz w:val="18"/>
                  <w:szCs w:val="18"/>
                  <w:color w:val="0000EE"/>
                  <w:w w:val="97"/>
                  <w:shd w:val="clear" w:color="auto" w:fill="CCEEFF"/>
                </w:rPr>
                <w:t>Risk Factors</w:t>
              </w:r>
            </w:hyperlink>
          </w:p>
        </w:tc>
        <w:tc>
          <w:tcPr>
            <w:tcW w:w="92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10140" w:type="dxa"/>
            <w:vAlign w:val="bottom"/>
            <w:gridSpan w:val="10"/>
          </w:tcPr>
          <w:p>
            <w:pPr>
              <w:spacing w:after="0" w:line="202"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Exhibits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44</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Signatures</w:t>
              </w:r>
            </w:hyperlink>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45">
              <w:r>
                <w:rPr>
                  <w:rFonts w:ascii="Times New Roman" w:cs="Times New Roman" w:eastAsia="Times New Roman" w:hAnsi="Times New Roman"/>
                  <w:sz w:val="18"/>
                  <w:szCs w:val="18"/>
                  <w:color w:val="0000EE"/>
                  <w:w w:val="88"/>
                </w:rPr>
                <w:t>45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20" w:type="dxa"/>
            <w:vAlign w:val="bottom"/>
            <w:gridSpan w:val="15"/>
          </w:tcPr>
          <w:p>
            <w:pPr>
              <w:ind w:left="40"/>
              <w:spacing w:after="0" w:line="202" w:lineRule="exact"/>
              <w:rPr>
                <w:rFonts w:ascii="Times New Roman" w:cs="Times New Roman" w:eastAsia="Times New Roman" w:hAnsi="Times New Roman"/>
                <w:sz w:val="18"/>
                <w:szCs w:val="18"/>
                <w:b w:val="1"/>
                <w:bCs w:val="1"/>
                <w:color w:val="0000EE"/>
              </w:rPr>
            </w:pPr>
            <w:hyperlink w:anchor="page46">
              <w:r>
                <w:rPr>
                  <w:rFonts w:ascii="Times New Roman" w:cs="Times New Roman" w:eastAsia="Times New Roman" w:hAnsi="Times New Roman"/>
                  <w:sz w:val="18"/>
                  <w:szCs w:val="18"/>
                  <w:b w:val="1"/>
                  <w:bCs w:val="1"/>
                  <w:color w:val="0000EE"/>
                </w:rPr>
                <w:t>Exhibit Index</w:t>
              </w:r>
            </w:hyperlink>
          </w:p>
        </w:tc>
        <w:tc>
          <w:tcPr>
            <w:tcW w:w="80" w:type="dxa"/>
            <w:vAlign w:val="bottom"/>
          </w:tcPr>
          <w:p>
            <w:pPr>
              <w:spacing w:after="0"/>
              <w:rPr>
                <w:sz w:val="17"/>
                <w:szCs w:val="17"/>
                <w:color w:val="auto"/>
              </w:rPr>
            </w:pPr>
          </w:p>
        </w:tc>
        <w:tc>
          <w:tcPr>
            <w:tcW w:w="120" w:type="dxa"/>
            <w:vAlign w:val="bottom"/>
            <w:gridSpan w:val="2"/>
          </w:tcPr>
          <w:p>
            <w:pPr>
              <w:ind w:left="40"/>
              <w:spacing w:after="0" w:line="202" w:lineRule="exact"/>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i</w:t>
              </w:r>
            </w:hyperlink>
          </w:p>
        </w:tc>
      </w:tr>
      <w:tr>
        <w:trPr>
          <w:trHeight w:val="939"/>
        </w:trPr>
        <w:tc>
          <w:tcPr>
            <w:tcW w:w="4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20" w:type="dxa"/>
            <w:vAlign w:val="bottom"/>
            <w:gridSpan w:val="8"/>
          </w:tcPr>
          <w:p>
            <w:pPr>
              <w:jc w:val="right"/>
              <w:ind w:right="1760"/>
              <w:spacing w:after="0"/>
              <w:rPr>
                <w:sz w:val="20"/>
                <w:szCs w:val="20"/>
                <w:color w:val="auto"/>
              </w:rPr>
            </w:pPr>
            <w:r>
              <w:rPr>
                <w:rFonts w:ascii="Times New Roman" w:cs="Times New Roman" w:eastAsia="Times New Roman" w:hAnsi="Times New Roman"/>
                <w:sz w:val="18"/>
                <w:szCs w:val="18"/>
                <w:color w:val="auto"/>
              </w:rPr>
              <w:t>2</w:t>
            </w: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45" w:lineRule="exact"/>
        <w:rPr>
          <w:sz w:val="20"/>
          <w:szCs w:val="20"/>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practices of Fannie Mae and Freddie Mac (collectively, the GSEs), including decisions that have the impact of decreasing or discontinuing the use of mortgage insurance as credit enhancement;</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our existing certificates of authority in each state and the District of Columbia (D.C.) and our ability to remain a mortgage insurer in good standing in each state and D.C.;</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profitability, liquidity and capital resources;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existing competitors, including governmental agencies like the Federal Housing Administration (FHA) and the Veterans Administration (VA), and potential market entry by new competitors or consolidation of existing competitors;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world's financial and capital markets and our access to such markets, including reinsurance;</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new or changes to existing laws and regulations that impact our business or financial condition directly or the mortgage insurance industry generally or their enforcement and implementation by regulators;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GSEs' role in the secondary mortgage market or other changes that could affect the residential mortgage industry generally or mortgage insurance in particular;</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lawsuits, investigations or inquiries or resolution of current lawsuits or inquiries;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and implement our capital plans, including our ability to access the reinsurance market and to enter into, and receive approval of, reinsurance arrangements on terms and conditions that are acceptable to us, the GSEs and our regulators;</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6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diverse customer base, including the largest mortgage originators;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risk management or pricing or investment strategies;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unexpected claim and coverage issues, including claims exceeding our reserves or amounts we had expected to experience;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counter-parties, including third party reinsurers, to meet their obligations to us;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3" w:name="page4"/>
    <w:bookmarkEnd w:id="3"/>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net operating loss carryforwards, which could be limited or eliminated in various ways, including if we experience an ownership change as defined in Section 382 of the Internal Revenue Code;</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improve and continue to develop necessary information technology (IT) systems or the failure of technology providers to perform;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recruit, train and retain key personnel.</w:t>
      </w:r>
    </w:p>
    <w:p>
      <w:pPr>
        <w:spacing w:after="0" w:line="1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more information regarding these risks and uncertainties as well as certain additional risks that we face, you should refer to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Item 1A, of our Annual Report on Form 10-K for the year ended December 31, 2016 (2016 10-K), as subsequently updated in other reports we file from time to time with the U.S. Securities and Exchange Commission (SEC).</w:t>
      </w:r>
    </w:p>
    <w:p>
      <w:pPr>
        <w:spacing w:after="0" w:line="1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"we," "our," "us" and "Company" in this document refer to NMI Holdings, Inc., a Delaware corporation, and its wholly owned subsidiaries on a consolidated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Condensed Consolidated Balance Sheets as of June 30, 2017 and December 31, 2016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Times New Roman" w:cs="Times New Roman" w:eastAsia="Times New Roman" w:hAnsi="Times New Roman"/>
                <w:sz w:val="18"/>
                <w:szCs w:val="18"/>
                <w:color w:val="0000EE"/>
                <w:w w:val="88"/>
                <w:shd w:val="clear" w:color="auto" w:fill="CCEEFF"/>
              </w:rPr>
            </w:pPr>
            <w:hyperlink w:anchor="page6">
              <w:r>
                <w:rPr>
                  <w:rFonts w:ascii="Times New Roman" w:cs="Times New Roman" w:eastAsia="Times New Roman" w:hAnsi="Times New Roman"/>
                  <w:sz w:val="18"/>
                  <w:szCs w:val="18"/>
                  <w:color w:val="0000EE"/>
                  <w:w w:val="88"/>
                  <w:shd w:val="clear" w:color="auto" w:fill="CCEEFF"/>
                </w:rPr>
                <w:t>6</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for the three and six months ended June 30, 2017 and 2016</w:t>
            </w: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11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Condensed Consolidated Statements of Changes in Shareholders' Equity for the six months ended June 30, 2017 and the year ended December 31,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3"/>
        </w:trPr>
        <w:tc>
          <w:tcPr>
            <w:tcW w:w="11220" w:type="dxa"/>
            <w:vAlign w:val="bottom"/>
            <w:tcBorders>
              <w:bottom w:val="single" w:sz="8" w:color="CCEEFF"/>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2016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76" w:lineRule="exact"/>
              <w:rPr>
                <w:rFonts w:ascii="Times New Roman" w:cs="Times New Roman" w:eastAsia="Times New Roman" w:hAnsi="Times New Roman"/>
                <w:sz w:val="18"/>
                <w:szCs w:val="18"/>
                <w:color w:val="0000EE"/>
                <w:w w:val="88"/>
                <w:shd w:val="clear" w:color="auto" w:fill="CCEEFF"/>
              </w:rPr>
            </w:pPr>
            <w:hyperlink w:anchor="page8">
              <w:r>
                <w:rPr>
                  <w:rFonts w:ascii="Times New Roman" w:cs="Times New Roman" w:eastAsia="Times New Roman" w:hAnsi="Times New Roman"/>
                  <w:sz w:val="18"/>
                  <w:szCs w:val="18"/>
                  <w:color w:val="0000EE"/>
                  <w:w w:val="88"/>
                  <w:shd w:val="clear" w:color="auto" w:fill="CCEEFF"/>
                </w:rPr>
                <w:t>8</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2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Cash Flows for the six months ended June 30, 2017 and 2016</w:t>
            </w: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9</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shd w:val="clear" w:color="auto" w:fill="CCEEFF"/>
              </w:rPr>
            </w:pPr>
            <w:hyperlink w:anchor="page10">
              <w:r>
                <w:rPr>
                  <w:rFonts w:ascii="Times New Roman" w:cs="Times New Roman" w:eastAsia="Times New Roman" w:hAnsi="Times New Roman"/>
                  <w:sz w:val="18"/>
                  <w:szCs w:val="18"/>
                  <w:color w:val="0000EE"/>
                  <w:w w:val="88"/>
                  <w:shd w:val="clear" w:color="auto" w:fill="CCEEFF"/>
                </w:rPr>
                <w:t>10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675"/>
        </w:trPr>
        <w:tc>
          <w:tcPr>
            <w:tcW w:w="11220" w:type="dxa"/>
            <w:vAlign w:val="bottom"/>
            <w:tcBorders>
              <w:top w:val="single" w:sz="8" w:color="CCEEFF"/>
            </w:tcBorders>
          </w:tcPr>
          <w:p>
            <w:pPr>
              <w:ind w:left="56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52"/>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Pr>
          <w:p>
            <w:pPr>
              <w:spacing w:after="0"/>
              <w:rPr>
                <w:sz w:val="21"/>
                <w:szCs w:val="21"/>
                <w:color w:val="auto"/>
              </w:rPr>
            </w:pPr>
          </w:p>
        </w:tc>
        <w:tc>
          <w:tcPr>
            <w:tcW w:w="324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r>
      <w:tr>
        <w:trPr>
          <w:trHeight w:val="23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maturities, available-for-sale, at fair value (amortized cost of $669,363 and $630,688 as of June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41"/>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30, 2017 and December 31, 2016, respectively)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673,695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628,969</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47,746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Premiums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13,728</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3,421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1,991</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policy acquisition costs, net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34,206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30,109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Software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20,402</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3,634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38,919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37,921</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tax asset, net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45,771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51,434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542</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862,995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839,897</w:t>
            </w:r>
          </w:p>
        </w:tc>
      </w:tr>
      <w:tr>
        <w:trPr>
          <w:trHeight w:val="311"/>
        </w:trPr>
        <w:tc>
          <w:tcPr>
            <w:tcW w:w="7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143,990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144,353</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Unearned premiums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157,152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152,906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25,297</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Reserve for insurance claims and claim expenses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3,001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Reinsurance funds withheld</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32,042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30,633</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ceding commission</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4,831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Warrant liability, at fair value</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3,367</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367,955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364,388</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324"/>
        </w:trPr>
        <w:tc>
          <w:tcPr>
            <w:tcW w:w="7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5"/>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 class A shares, $0.01 par value;</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59,858,418 and 59,145,161 shares issued and outstanding as of June 30, 2017 and December 31, 2016,</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respectively (250,000,000 shares authorized)</w:t>
            </w:r>
          </w:p>
        </w:tc>
        <w:tc>
          <w:tcPr>
            <w:tcW w:w="28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580,499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576,927</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(96,722)</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495,040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475,509</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862,995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839,897</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6"/>
          <w:szCs w:val="16"/>
          <w:color w:val="auto"/>
        </w:rPr>
        <w:t>ONDENSED CONSOLIDATED STATEMENTS OF OPERATIONS AND COMPREHENSIVE INCOME (UNAUDITED)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00" w:type="dxa"/>
            <w:vAlign w:val="bottom"/>
          </w:tcPr>
          <w:p>
            <w:pPr>
              <w:spacing w:after="0"/>
              <w:rPr>
                <w:sz w:val="16"/>
                <w:szCs w:val="16"/>
                <w:color w:val="auto"/>
              </w:rPr>
            </w:pPr>
          </w:p>
        </w:tc>
        <w:tc>
          <w:tcPr>
            <w:tcW w:w="242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62"/>
        </w:trPr>
        <w:tc>
          <w:tcPr>
            <w:tcW w:w="58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2"/>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37,917</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26,041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71,142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45,848</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3,908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6,573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realized investment gains (losses)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42,198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29,481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79,252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51,666</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Insurance claims and claims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Underwriting and operating expenses</w:t>
            </w:r>
          </w:p>
        </w:tc>
        <w:tc>
          <w:tcPr>
            <w:tcW w:w="2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28,048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23,234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54,037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45,906</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29,421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56,045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46,834</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expense</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0" w:type="dxa"/>
            <w:vAlign w:val="bottom"/>
          </w:tcPr>
          <w:p>
            <w:pPr>
              <w:spacing w:after="0"/>
              <w:rPr>
                <w:sz w:val="1"/>
                <w:szCs w:val="1"/>
                <w:color w:val="auto"/>
              </w:rPr>
            </w:pPr>
          </w:p>
        </w:tc>
      </w:tr>
      <w:tr>
        <w:trPr>
          <w:trHeight w:val="331"/>
        </w:trPr>
        <w:tc>
          <w:tcPr>
            <w:tcW w:w="58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9,496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3,484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6,012</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59,823,396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59,105,613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59,576,747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59,005,983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63,010,362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59,830,899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62,688,563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59,005,983</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6,012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unrealized gains in accumulated other comprehensive income, net of tax</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expense of $1,388 and $0 for the three months ended June 30, 2017 and</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2016, respectively, and $2,073 and $0 for the six months ended June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30,2017 and 2016</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2,822</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17,771</w:t>
            </w:r>
          </w:p>
        </w:tc>
        <w:tc>
          <w:tcPr>
            <w:tcW w:w="0" w:type="dxa"/>
            <w:vAlign w:val="bottom"/>
          </w:tcPr>
          <w:p>
            <w:pPr>
              <w:spacing w:after="0"/>
              <w:rPr>
                <w:sz w:val="1"/>
                <w:szCs w:val="1"/>
                <w:color w:val="auto"/>
              </w:rPr>
            </w:pPr>
          </w:p>
        </w:tc>
      </w:tr>
      <w:tr>
        <w:trPr>
          <w:trHeight w:val="225"/>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Reclassification adjustment for losses (gains) included in net income, net of</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expense of $66 and $0 for the three months ended June 30, 2017 and</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2016, respectively, and $45 and $0 for the six months ended June 30,2017</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2016</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2,700</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18,595</w:t>
            </w:r>
          </w:p>
        </w:tc>
        <w:tc>
          <w:tcPr>
            <w:tcW w:w="0" w:type="dxa"/>
            <w:vAlign w:val="bottom"/>
          </w:tcPr>
          <w:p>
            <w:pPr>
              <w:spacing w:after="0"/>
              <w:rPr>
                <w:sz w:val="1"/>
                <w:szCs w:val="1"/>
                <w:color w:val="auto"/>
              </w:rPr>
            </w:pPr>
          </w:p>
        </w:tc>
      </w:tr>
      <w:tr>
        <w:trPr>
          <w:trHeight w:val="257"/>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8,712</w:t>
            </w:r>
          </w:p>
        </w:tc>
        <w:tc>
          <w:tcPr>
            <w:tcW w:w="2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10,620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15,437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16,699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20" w:type="dxa"/>
            <w:vAlign w:val="bottom"/>
            <w:gridSpan w:val="3"/>
          </w:tcPr>
          <w:p>
            <w:pPr>
              <w:ind w:left="348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w:t>
            </w:r>
          </w:p>
        </w:tc>
        <w:tc>
          <w:tcPr>
            <w:tcW w:w="200" w:type="dxa"/>
            <w:vAlign w:val="bottom"/>
            <w:vMerge w:val="continue"/>
          </w:tcPr>
          <w:p>
            <w:pPr>
              <w:spacing w:after="0"/>
              <w:rPr>
                <w:sz w:val="19"/>
                <w:szCs w:val="19"/>
                <w:color w:val="auto"/>
              </w:rPr>
            </w:pPr>
          </w:p>
        </w:tc>
        <w:tc>
          <w:tcPr>
            <w:tcW w:w="1380" w:type="dxa"/>
            <w:vAlign w:val="bottom"/>
            <w:gridSpan w:val="2"/>
          </w:tcPr>
          <w:p>
            <w:pPr>
              <w:jc w:val="right"/>
              <w:ind w:right="671"/>
              <w:spacing w:after="0"/>
              <w:rPr>
                <w:sz w:val="20"/>
                <w:szCs w:val="20"/>
                <w:color w:val="auto"/>
              </w:rPr>
            </w:pPr>
            <w:r>
              <w:rPr>
                <w:rFonts w:ascii="Times New Roman" w:cs="Times New Roman" w:eastAsia="Times New Roman" w:hAnsi="Times New Roman"/>
                <w:sz w:val="18"/>
                <w:szCs w:val="18"/>
                <w:i w:val="1"/>
                <w:iCs w:val="1"/>
                <w:color w:val="auto"/>
                <w:w w:val="74"/>
              </w:rPr>
              <w:t>statements.</w:t>
            </w:r>
          </w:p>
        </w:tc>
        <w:tc>
          <w:tcPr>
            <w:tcW w:w="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1"/>
        </w:trPr>
        <w:tc>
          <w:tcPr>
            <w:tcW w:w="582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2280" w:type="dxa"/>
            <w:vAlign w:val="bottom"/>
            <w:gridSpan w:val="3"/>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Common Stock - Class A</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right"/>
              <w:ind w:right="214"/>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4"/>
                <w:szCs w:val="4"/>
                <w:color w:val="auto"/>
              </w:rPr>
            </w:pPr>
          </w:p>
        </w:tc>
        <w:tc>
          <w:tcPr>
            <w:tcW w:w="1340" w:type="dxa"/>
            <w:vAlign w:val="bottom"/>
            <w:vMerge w:val="restart"/>
          </w:tcPr>
          <w:p>
            <w:pPr>
              <w:jc w:val="center"/>
              <w:ind w:right="14"/>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4"/>
                <w:szCs w:val="4"/>
                <w:color w:val="auto"/>
              </w:rPr>
            </w:pPr>
          </w:p>
        </w:tc>
        <w:tc>
          <w:tcPr>
            <w:tcW w:w="1080" w:type="dxa"/>
            <w:vAlign w:val="bottom"/>
            <w:vMerge w:val="restart"/>
          </w:tcPr>
          <w:p>
            <w:pPr>
              <w:jc w:val="right"/>
              <w:ind w:right="133"/>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3900" w:type="dxa"/>
            <w:vAlign w:val="bottom"/>
          </w:tcPr>
          <w:p>
            <w:pPr>
              <w:spacing w:after="0"/>
              <w:rPr>
                <w:sz w:val="4"/>
                <w:szCs w:val="4"/>
                <w:color w:val="auto"/>
              </w:rPr>
            </w:pPr>
          </w:p>
        </w:tc>
        <w:tc>
          <w:tcPr>
            <w:tcW w:w="11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4"/>
                <w:szCs w:val="4"/>
                <w:color w:val="auto"/>
              </w:rPr>
            </w:pPr>
          </w:p>
        </w:tc>
        <w:tc>
          <w:tcPr>
            <w:tcW w:w="92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3"/>
          </w:tcPr>
          <w:p>
            <w:pPr>
              <w:jc w:val="right"/>
              <w:ind w:right="69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January 1, 2016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570,340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(160,723)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402,731</w:t>
            </w:r>
          </w:p>
        </w:tc>
        <w:tc>
          <w:tcPr>
            <w:tcW w:w="0" w:type="dxa"/>
            <w:vAlign w:val="bottom"/>
          </w:tcPr>
          <w:p>
            <w:pPr>
              <w:spacing w:after="0"/>
              <w:rPr>
                <w:sz w:val="1"/>
                <w:szCs w:val="1"/>
                <w:color w:val="auto"/>
              </w:rPr>
            </w:pPr>
          </w:p>
        </w:tc>
      </w:tr>
      <w:tr>
        <w:trPr>
          <w:trHeight w:val="225"/>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class A shares issued under stock</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plans, net of shares withheld for employee taxes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6,814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6,814</w:t>
            </w:r>
          </w:p>
        </w:tc>
        <w:tc>
          <w:tcPr>
            <w:tcW w:w="0" w:type="dxa"/>
            <w:vAlign w:val="bottom"/>
          </w:tcPr>
          <w:p>
            <w:pPr>
              <w:spacing w:after="0"/>
              <w:rPr>
                <w:sz w:val="1"/>
                <w:szCs w:val="1"/>
                <w:color w:val="auto"/>
              </w:rPr>
            </w:pPr>
          </w:p>
        </w:tc>
      </w:tr>
      <w:tr>
        <w:trPr>
          <w:trHeight w:val="225"/>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unrealized investment gains/losses, net of</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expense of $1,178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2,187</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64,001</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64,001</w:t>
            </w:r>
          </w:p>
        </w:tc>
        <w:tc>
          <w:tcPr>
            <w:tcW w:w="0" w:type="dxa"/>
            <w:vAlign w:val="bottom"/>
          </w:tcPr>
          <w:p>
            <w:pPr>
              <w:spacing w:after="0"/>
              <w:rPr>
                <w:sz w:val="1"/>
                <w:szCs w:val="1"/>
                <w:color w:val="auto"/>
              </w:rPr>
            </w:pPr>
          </w:p>
        </w:tc>
      </w:tr>
      <w:tr>
        <w:trPr>
          <w:trHeight w:val="297"/>
        </w:trPr>
        <w:tc>
          <w:tcPr>
            <w:tcW w:w="3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Balances, December 31, 2016</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59,145</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576,927</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(96,722)</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475,509</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effect of change in accounting principle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515</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25"/>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class A shares issued under stock</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plans, net of shares withheld for employee taxes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4,219</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4,219</w:t>
            </w:r>
          </w:p>
        </w:tc>
        <w:tc>
          <w:tcPr>
            <w:tcW w:w="0" w:type="dxa"/>
            <w:vAlign w:val="bottom"/>
          </w:tcPr>
          <w:p>
            <w:pPr>
              <w:spacing w:after="0"/>
              <w:rPr>
                <w:sz w:val="1"/>
                <w:szCs w:val="1"/>
                <w:color w:val="auto"/>
              </w:rPr>
            </w:pPr>
          </w:p>
        </w:tc>
      </w:tr>
      <w:tr>
        <w:trPr>
          <w:trHeight w:val="225"/>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unrealized investment gains/losses, net of</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expense of $2,118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3,933</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3,933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11,504</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11,504</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Balances, June 30, 2017</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59,858</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580,499</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(84,703)</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495,040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62"/>
        </w:trPr>
        <w:tc>
          <w:tcPr>
            <w:tcW w:w="8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8"/>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60" w:type="dxa"/>
            <w:vAlign w:val="bottom"/>
          </w:tcPr>
          <w:p>
            <w:pPr>
              <w:spacing w:after="0"/>
              <w:rPr>
                <w:sz w:val="20"/>
                <w:szCs w:val="20"/>
                <w:color w:val="auto"/>
              </w:rPr>
            </w:pPr>
          </w:p>
        </w:tc>
        <w:tc>
          <w:tcPr>
            <w:tcW w:w="186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spacing w:after="0"/>
              <w:rPr>
                <w:sz w:val="20"/>
                <w:szCs w:val="20"/>
                <w:color w:val="auto"/>
              </w:rPr>
            </w:pPr>
          </w:p>
        </w:tc>
      </w:tr>
      <w:tr>
        <w:trPr>
          <w:trHeight w:val="255"/>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income (loss)</w:t>
            </w:r>
          </w:p>
        </w:tc>
        <w:tc>
          <w:tcPr>
            <w:tcW w:w="36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11,504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(1,896)</w:t>
            </w:r>
          </w:p>
        </w:tc>
      </w:tr>
      <w:tr>
        <w:trPr>
          <w:trHeight w:val="241"/>
        </w:trPr>
        <w:tc>
          <w:tcPr>
            <w:tcW w:w="8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income (loss) to net cash used in operating activities: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9"/>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Net realized investment losses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824</w:t>
            </w: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Loss (gain) from change in fair value of warrant liability</w:t>
            </w:r>
          </w:p>
        </w:tc>
        <w:tc>
          <w:tcPr>
            <w:tcW w:w="3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w:t>
            </w:r>
          </w:p>
        </w:tc>
      </w:tr>
      <w:tr>
        <w:trPr>
          <w:trHeight w:val="29"/>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2,295</w:t>
            </w: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amortization of premium on investment securities</w:t>
            </w:r>
          </w:p>
        </w:tc>
        <w:tc>
          <w:tcPr>
            <w:tcW w:w="3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649</w:t>
            </w:r>
          </w:p>
        </w:tc>
      </w:tr>
      <w:tr>
        <w:trPr>
          <w:trHeight w:val="29"/>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Amortization of debt discount and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918</w:t>
            </w: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3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3,156</w:t>
            </w:r>
          </w:p>
        </w:tc>
      </w:tr>
      <w:tr>
        <w:trPr>
          <w:trHeight w:val="29"/>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4,449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9"/>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241"/>
        </w:trPr>
        <w:tc>
          <w:tcPr>
            <w:tcW w:w="81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Premiums receivable</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(3,725)</w:t>
            </w:r>
          </w:p>
        </w:tc>
      </w:tr>
      <w:tr>
        <w:trPr>
          <w:trHeight w:val="29"/>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Prepaid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r>
      <w:tr>
        <w:trPr>
          <w:trHeight w:val="241"/>
        </w:trPr>
        <w:tc>
          <w:tcPr>
            <w:tcW w:w="81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(7,598)</w:t>
            </w:r>
          </w:p>
        </w:tc>
      </w:tr>
      <w:tr>
        <w:trPr>
          <w:trHeight w:val="29"/>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w:t>
            </w:r>
          </w:p>
        </w:tc>
      </w:tr>
      <w:tr>
        <w:trPr>
          <w:trHeight w:val="241"/>
        </w:trPr>
        <w:tc>
          <w:tcPr>
            <w:tcW w:w="81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Unearned premiums</w:t>
            </w:r>
          </w:p>
        </w:tc>
        <w:tc>
          <w:tcPr>
            <w:tcW w:w="3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4,246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41,143</w:t>
            </w:r>
          </w:p>
        </w:tc>
      </w:tr>
      <w:tr>
        <w:trPr>
          <w:trHeight w:val="29"/>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Reserve for insurance claims and claims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796</w:t>
            </w:r>
          </w:p>
        </w:tc>
      </w:tr>
      <w:tr>
        <w:trPr>
          <w:trHeight w:val="241"/>
        </w:trPr>
        <w:tc>
          <w:tcPr>
            <w:tcW w:w="81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Reinsurance balances, net</w:t>
            </w:r>
          </w:p>
        </w:tc>
        <w:tc>
          <w:tcPr>
            <w:tcW w:w="3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(7,817)</w:t>
            </w:r>
          </w:p>
        </w:tc>
      </w:tr>
      <w:tr>
        <w:trPr>
          <w:trHeight w:val="221"/>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14,592</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27,562</w:t>
            </w:r>
          </w:p>
        </w:tc>
      </w:tr>
      <w:tr>
        <w:trPr>
          <w:trHeight w:val="29"/>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1"/>
        </w:trPr>
        <w:tc>
          <w:tcPr>
            <w:tcW w:w="8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(78,564)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(80,674)</w:t>
            </w:r>
          </w:p>
        </w:tc>
      </w:tr>
      <w:tr>
        <w:trPr>
          <w:trHeight w:val="29"/>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fixed-maturity investments, available-for-sale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(93,974)</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3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94,677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56,758</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redemptions, maturities and sale of fixed-maturity investments, available-for-sale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65,587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86,930</w:t>
            </w:r>
          </w:p>
        </w:tc>
      </w:tr>
      <w:tr>
        <w:trPr>
          <w:trHeight w:val="241"/>
        </w:trPr>
        <w:tc>
          <w:tcPr>
            <w:tcW w:w="8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to software and equipment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(6,182)</w:t>
            </w:r>
          </w:p>
        </w:tc>
      </w:tr>
      <w:tr>
        <w:trPr>
          <w:trHeight w:val="29"/>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cash used in by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(37,142)</w:t>
            </w:r>
          </w:p>
        </w:tc>
      </w:tr>
      <w:tr>
        <w:trPr>
          <w:trHeight w:val="235"/>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9"/>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issuance of common stock related to employee equity plans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504</w:t>
            </w:r>
          </w:p>
        </w:tc>
      </w:tr>
      <w:tr>
        <w:trPr>
          <w:trHeight w:val="241"/>
        </w:trPr>
        <w:tc>
          <w:tcPr>
            <w:tcW w:w="8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r>
      <w:tr>
        <w:trPr>
          <w:trHeight w:val="29"/>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Repayments of term loan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r>
      <w:tr>
        <w:trPr>
          <w:trHeight w:val="241"/>
        </w:trPr>
        <w:tc>
          <w:tcPr>
            <w:tcW w:w="8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Payments of debt modification costs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w:t>
            </w:r>
          </w:p>
        </w:tc>
      </w:tr>
      <w:tr>
        <w:trPr>
          <w:trHeight w:val="291"/>
        </w:trPr>
        <w:tc>
          <w:tcPr>
            <w:tcW w:w="8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(10,490)</w:t>
            </w:r>
          </w:p>
        </w:tc>
      </w:tr>
      <w:tr>
        <w:trPr>
          <w:trHeight w:val="241"/>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3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47,746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57,317</w:t>
            </w:r>
          </w:p>
        </w:tc>
      </w:tr>
      <w:tr>
        <w:trPr>
          <w:trHeight w:val="29"/>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20,035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46,827</w:t>
            </w: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4"/>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Interest paid</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7,292</w:t>
            </w:r>
          </w:p>
        </w:tc>
        <w:tc>
          <w:tcPr>
            <w:tcW w:w="100" w:type="dxa"/>
            <w:vAlign w:val="bottom"/>
          </w:tcPr>
          <w:p>
            <w:pPr>
              <w:spacing w:after="0"/>
              <w:rPr>
                <w:sz w:val="20"/>
                <w:szCs w:val="20"/>
                <w:color w:val="auto"/>
              </w:rPr>
            </w:pPr>
          </w:p>
        </w:tc>
        <w:tc>
          <w:tcPr>
            <w:tcW w:w="52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6,431</w:t>
            </w:r>
          </w:p>
        </w:tc>
      </w:tr>
      <w:tr>
        <w:trPr>
          <w:trHeight w:val="29"/>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Income taxes paid</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585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8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 In April 2012, we completed a private placement of our securities, through which we offered and sold an aggregate of 55,000,000 of our Class A common stock resulting in net proceeds of approximately $510 million (the Private Placement), and we completed the acquisition of our insurance subsidiaries for $8.5 million in cash, common stock and warrants, plus the assumption of $1.3 million in liabilities. In November 2013, we completed an initial public offering of 2.4 million shares of our common stock, and our common stock began trading on the NASDAQ exchange on November 8, 2013, under the symbol "NMIH."</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2013, NMIC, our primary insurance subsidiary, issued its first mortgage insurance policy. NMIC is licensed to write mortgage insurance in all 50 states and D.C. In August 2015, NMIH capitalized a wholly owned subsidiary, NMI Services, Inc. (NMIS), through which we offer outsourced loan review services on a limited basis to mortgage loan originators.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results of NMIH and its wholly 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2016, included in our 2016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2017.</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Policy Acquisition Costs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Costs directly associated with the successful acquisition of mortgage insurance policies, consisting of certain selling expenses and other policy issuance and underwriting expenses, are initially deferred and reported as deferred policy acquisition costs (DAC). DAC is reviewed periodically to determine that it does not exceed recoverable amounts and is adjusted as appropriate for policy cancellations to be consistent with our revenue recognition policy. We estimate the rate of amortization to reflect actual experience and any changes to persistency or loss development. For each book year of business, these costs are amortized to expense in proportion to estimated gross profits over the estimated life of the policies. Total amortization of DAC, net of a portion of ceding commission related to the 2016 QSR Transaction (see Note 5,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i w:val="1"/>
          <w:iCs w:val="1"/>
          <w:color w:val="auto"/>
        </w:rPr>
        <w:t>Reinsurance"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was $1.3 million for each of the three months ended June 30, 2017 and 2016, and $2.3 million and $2.2 million for the six months ended June 30, 2017 and 2016, respectively.</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Premium Deficiency Reserves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consider whether a premium deficiency exists at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related unearned premiums and anticipated investment income. We have determined that no premium deficiency reserves were necessary for the three and six months ended June 30, 2017 or 2016.</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Reinsurance</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account for premiums, losses and loss expenses that are ceded to reinsurers on bases consistent with those we use to account for the original policies we issue and pursuant to the terms of our reinsurance contracts. We account for premiums ceded or otherwise paid to reinsurers as reductions to premium revenue.</w:t>
      </w:r>
    </w:p>
    <w:p>
      <w:pPr>
        <w:spacing w:after="0" w:line="1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We earn profit and ceding commissions in connection with our 2016 QSR Transaction (see Note 5,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i w:val="1"/>
          <w:iCs w:val="1"/>
          <w:color w:val="auto"/>
        </w:rPr>
        <w:t>Reinsurance"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Profit commissions represent a percentage of the profits recognized by reinsurers that are returned to us, based on the level of losses we cede. We recognize any profit commissions we earn as increases to premium revenue. Ceding commissions are calculated as a percentage of ceded written premiums, which are intended to cover our costs to acquire and service the direct policies. We earn the ceding commissions in a manner consistent with our recognition of earnings on the underlying insurance policies, over the terms of the policies reinsured. We account for ceding commissions as reductions to underwriting and operating expenses.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cede a portion of loss reserves, paid losses and loss expenses to our reinsurers, which are accounted for as reinsurance recoverables on the consolidated balance sheets and as reductions to loss expense on the consolidated statements of operations. We remain directly liable for all loss payments in the event we are unable to collect from any reinsurer.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entity</w:t>
      </w:r>
    </w:p>
    <w:p>
      <w:pPr>
        <w:spacing w:after="0" w:line="173"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 xml:space="preserve">In May 2017, NMIC entered into a reinsurance agreement with Oaktown Re Ltd. (Oaktown Re), a Bermuda-domiciled special purpose reinsurer. We have determined that Oaktown Re is a variable interest entity (VIE), as defined under GAAP (ASC 810), because it does not have sufficient equity at risk to finance its activities. We have evaluated the VIE to determine whether NMIC is its primary beneficiary and, if so, whether we would be required to consolidate the assets and liabilities of the VIE. The primary beneficiary of a VIE is an enterprise that (1) has the power to direct the activities of the VIE, which most significantly impact its economic performance and (2) has significant economic exposure to the VIE;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obligation to absorb losses or receive benefits that could potentially be significant. The determination of whether an entity is the primary beneficiary of a VIE is complex and requires management judgment regarding determinative factors, including the expected results of the VIE and how those results are absorbed by beneficial interest holders, as well as which party has the power to direct activities that most significantly impact the performance of the VIE.</w:t>
      </w:r>
    </w:p>
    <w:p>
      <w:pPr>
        <w:spacing w:after="0" w:line="13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have concluded that we are not the primary beneficiary of Oaktown Re and that consolidation is not required, as we do not have significant economic exposure in the entity.</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i w:val="1"/>
          <w:iCs w:val="1"/>
          <w:color w:val="auto"/>
        </w:rPr>
        <w:t>Reinsurance"</w:t>
      </w:r>
      <w:r>
        <w:rPr>
          <w:rFonts w:ascii="Times New Roman" w:cs="Times New Roman" w:eastAsia="Times New Roman" w:hAnsi="Times New Roman"/>
          <w:sz w:val="18"/>
          <w:szCs w:val="18"/>
          <w:color w:val="auto"/>
        </w:rPr>
        <w:t xml:space="preserve"> for further discussion on the reinsurance arrangement.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Premiums Receivable</w:t>
      </w:r>
    </w:p>
    <w:p>
      <w:pPr>
        <w:spacing w:after="0" w:line="17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Premiums receivable consist of premiums due on our mortgage insurance policies. If a mortgage insurance premium is unpaid for more than 120 days, the receivable is written off against earned premium and the related insurance policy is canceled.</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7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(the FASB) issued Accounting Standards Update (ASU) 2014-09,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(Topic 606). This update is intended to provide a consistent approach in recognizing revenue. In accordance with the new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August 2015, ASU 2015-14 deferred the provisions of ASU 2014-09 to be effective for interim and annual periods beginning after December 15, 2017. In addition, this guidance amends the existing requirements for the recognition of a gain or loss on the transfer of non-financial assets that are not in a contract with a customer (ASU 2017-05). The Company is currently evaluating the impact the adoption of this ASU will have, if any, on the consolidated financial statements; however, this update is not expected to impact the recognition of revenue related to insurance premiums or investments, which represent the majority of our total revenues.</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This update requires that businesses recognize rights and obligations associated with certain leases as assets and liabilities on the balance sheet.The standard also requires additional disclosures regarding the amount, timing, and uncertainty of cash flows arising from leases. For public business entities, this update is effective for annual periods beginning after December 15, 2018 and interim periods therein. Early adoption is permitted in any period. We expect to adopt this guidance on January 1, 2019. We anticipate this standard will have an impact on our financial position, primarily due to our office space operating lease, as we will be required to recognize lease assets and lease liabilities on our consolidated balance sheet. We will continue to assess the potential impacts of this standard, including the impact the adoption of this guidance will have on our results of operations or cash flows.</w:t>
      </w:r>
    </w:p>
    <w:p>
      <w:pPr>
        <w:spacing w:after="0" w:line="1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This update requires companies to measure all expected credit losses for financial assets held at the reporting date. The accounting for credit losses on available-for-sale debt securities and purchased financial assets with credit deterioration also is amended in the standard. The standard will take effect for public business entities for fiscal years, and interim periods within those fiscal years, beginning after December 15, 2019. The Company is currently evaluating the impact the adoption of this ASU will have, if any, on the consolidated financial statements.</w:t>
      </w:r>
    </w:p>
    <w:p>
      <w:pPr>
        <w:spacing w:after="0" w:line="12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(Topic 230). This update is intended to reduce diversity in practice in how certain cash receipts and cash payments are presented and classified in the statement of cash flows. The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standard will take effect for public business entities for fiscal years, and interim periods within those fiscal years, beginning after December 15, 2017. The Company is currently evaluating the impact the adoption of this ASU will have, if any, on the consolidated financial statements.</w:t>
      </w:r>
    </w:p>
    <w:p>
      <w:pPr>
        <w:spacing w:after="0" w:line="10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August 2016, the FASB issued ASU 2016-16, </w:t>
      </w:r>
      <w:r>
        <w:rPr>
          <w:rFonts w:ascii="Times New Roman" w:cs="Times New Roman" w:eastAsia="Times New Roman" w:hAnsi="Times New Roman"/>
          <w:sz w:val="18"/>
          <w:szCs w:val="18"/>
          <w:i w:val="1"/>
          <w:iCs w:val="1"/>
          <w:color w:val="auto"/>
        </w:rPr>
        <w:t>Income Taxes- Intra-Entity Transfers of Assets Other Than Inventory</w:t>
      </w:r>
      <w:r>
        <w:rPr>
          <w:rFonts w:ascii="Times New Roman" w:cs="Times New Roman" w:eastAsia="Times New Roman" w:hAnsi="Times New Roman"/>
          <w:sz w:val="18"/>
          <w:szCs w:val="18"/>
          <w:color w:val="auto"/>
        </w:rPr>
        <w:t xml:space="preserve"> (Topic 740). This update is intended to improve the accounting for the income tax consequences of intra-entity transfers of assets other than inventory. The standard will take effect for public business entities for fiscal years, and interim periods within those fiscal years, beginning after December 15, 2017. Early adoption is permitted at the beginning of any annual reporting period. The Company is currently evaluating the impact the adoption of this ASU will have, if any, on the consolidated financial statements.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(Topic 350). This update is intended to simplify the test for goodwill impairment. The standard will take effect for public business entities for fiscal years, and interim periods within those fiscal years, after December 15, 2020. Early adoption is permitted for interim or annual goodwill impairment tests performed on testing dates after January 1, 2017. The Company has determined that the adoption of this ASU will have no impact on the consolidated financial statements.</w:t>
      </w:r>
    </w:p>
    <w:p>
      <w:pPr>
        <w:spacing w:after="0" w:line="12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March 2017, the FASB issued ASU 2017-08, </w:t>
      </w:r>
      <w:r>
        <w:rPr>
          <w:rFonts w:ascii="Times New Roman" w:cs="Times New Roman" w:eastAsia="Times New Roman" w:hAnsi="Times New Roman"/>
          <w:sz w:val="18"/>
          <w:szCs w:val="18"/>
          <w:i w:val="1"/>
          <w:iCs w:val="1"/>
          <w:color w:val="auto"/>
        </w:rPr>
        <w:t>Receivables - Nonrefundable Fees and Other Costs</w:t>
      </w:r>
      <w:r>
        <w:rPr>
          <w:rFonts w:ascii="Times New Roman" w:cs="Times New Roman" w:eastAsia="Times New Roman" w:hAnsi="Times New Roman"/>
          <w:sz w:val="18"/>
          <w:szCs w:val="18"/>
          <w:color w:val="auto"/>
        </w:rPr>
        <w:t xml:space="preserve"> (Subtopic 310-20). This update shortens the amortization period for the premium on certain purchased callable debt securities to the earliest call date. The standard will take effect for public business entities for fiscal years beginning after December 15, 2017. Early adoption is permitted, and if an entity early adopts the guidance in an interim period, any adjustments are reflected as of the beginning of the fiscal year that includes that interim period. The Company is currently evaluating the impact the adoption of this ASU will have, if any, on the consolidated financial statements.</w:t>
      </w:r>
    </w:p>
    <w:p>
      <w:pPr>
        <w:spacing w:after="0" w:line="126" w:lineRule="exact"/>
        <w:rPr>
          <w:sz w:val="20"/>
          <w:szCs w:val="20"/>
          <w:color w:val="auto"/>
        </w:rPr>
      </w:pPr>
    </w:p>
    <w:p>
      <w:pPr>
        <w:ind w:right="140" w:firstLine="720"/>
        <w:spacing w:after="0" w:line="259" w:lineRule="auto"/>
        <w:rPr>
          <w:sz w:val="20"/>
          <w:szCs w:val="20"/>
          <w:color w:val="auto"/>
        </w:rPr>
      </w:pPr>
      <w:r>
        <w:rPr>
          <w:rFonts w:ascii="Times New Roman" w:cs="Times New Roman" w:eastAsia="Times New Roman" w:hAnsi="Times New Roman"/>
          <w:sz w:val="18"/>
          <w:szCs w:val="18"/>
          <w:color w:val="auto"/>
        </w:rPr>
        <w:t xml:space="preserve">In July 2017, the FASB issued ASU 2017-11,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(Topic 260),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(Topic 480), and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Hedging </w:t>
      </w:r>
      <w:r>
        <w:rPr>
          <w:rFonts w:ascii="Times New Roman" w:cs="Times New Roman" w:eastAsia="Times New Roman" w:hAnsi="Times New Roman"/>
          <w:sz w:val="18"/>
          <w:szCs w:val="18"/>
          <w:color w:val="auto"/>
        </w:rPr>
        <w:t>(Topic 815). This update is intended to simplify the accounting for certain financial instruments with down round features. This standard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 effect for public business entities for fiscal years, and interim periods within those fiscal years, beginning after December 15, 2018. Early adoption is permitted in any interim or annual period. The Company is currently evaluating the impact the adoption of this ASU will have, if any, on the consolidated financial statements.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Immaterial Correction of Prior Period Amounts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first quarter of 2017, after filing its 2016 10-K, including the audited financial statements included therein, the Company discovered that $1.8 million of deferred taxes on vested options associated with employees who had terminated employment in previous years had not been reversed. Because the Company’s deferred tax asset (DTA) was subject to a valuation allowance prior to December 31, 2016, no expense would have been recognized by the Company in periods prior to December 31, 2016. However, at December 31, 2016, when the Company released the valuation allowance against its DTA, the DTA was overstated by $1.8 million. The release of the valuation allowance resulted in a $1.8 million overstatement of the Company’s 2016 income tax benefit and net income.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provide consistency in the consolidated statements and as permitted by Staff Accounting Bulletin (SAB) 108, revisions for these immaterial amounts to previously reported annual amounts are reflected in the Consolidated Balance Sheet financial information herein and will be reflected in the Consolidated Statement of Operations in future filings containing such financial information as permitted by SAB 108. A comparison of the affected amounts as previously reported and as adjusted are presented below.</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and for the full year ended December 31, 2016</w:t>
            </w:r>
          </w:p>
        </w:tc>
        <w:tc>
          <w:tcPr>
            <w:tcW w:w="2100" w:type="dxa"/>
            <w:vAlign w:val="bottom"/>
          </w:tcPr>
          <w:p>
            <w:pPr>
              <w:spacing w:after="0"/>
              <w:rPr>
                <w:sz w:val="16"/>
                <w:szCs w:val="16"/>
                <w:color w:val="auto"/>
              </w:rPr>
            </w:pPr>
          </w:p>
        </w:tc>
        <w:tc>
          <w:tcPr>
            <w:tcW w:w="19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600" w:type="dxa"/>
            <w:vAlign w:val="bottom"/>
          </w:tcPr>
          <w:p>
            <w:pPr>
              <w:spacing w:after="0"/>
              <w:rPr>
                <w:sz w:val="16"/>
                <w:szCs w:val="16"/>
                <w:color w:val="auto"/>
              </w:rPr>
            </w:pPr>
          </w:p>
        </w:tc>
        <w:tc>
          <w:tcPr>
            <w:tcW w:w="16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75"/>
        </w:trPr>
        <w:tc>
          <w:tcPr>
            <w:tcW w:w="51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5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tcPr>
          <w:p>
            <w:pPr>
              <w:spacing w:after="0"/>
              <w:rPr>
                <w:sz w:val="23"/>
                <w:szCs w:val="23"/>
                <w:color w:val="auto"/>
              </w:rPr>
            </w:pPr>
          </w:p>
        </w:tc>
      </w:tr>
      <w:tr>
        <w:trPr>
          <w:trHeight w:val="255"/>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Income Statement</w:t>
            </w:r>
          </w:p>
        </w:tc>
        <w:tc>
          <w:tcPr>
            <w:tcW w:w="2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65,841</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64,001</w:t>
            </w:r>
          </w:p>
        </w:tc>
      </w:tr>
      <w:tr>
        <w:trPr>
          <w:trHeight w:val="27"/>
        </w:trPr>
        <w:tc>
          <w:tcPr>
            <w:tcW w:w="5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(54,389)</w:t>
            </w:r>
          </w:p>
        </w:tc>
        <w:tc>
          <w:tcPr>
            <w:tcW w:w="6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(52,550)</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EPS</w:t>
            </w:r>
          </w:p>
        </w:tc>
        <w:tc>
          <w:tcPr>
            <w:tcW w:w="2100" w:type="dxa"/>
            <w:vAlign w:val="bottom"/>
          </w:tcPr>
          <w:p>
            <w:pPr>
              <w:spacing w:after="0"/>
              <w:rPr>
                <w:sz w:val="21"/>
                <w:szCs w:val="21"/>
                <w:color w:val="auto"/>
              </w:rPr>
            </w:pPr>
          </w:p>
        </w:tc>
        <w:tc>
          <w:tcPr>
            <w:tcW w:w="19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1.11</w:t>
            </w:r>
          </w:p>
        </w:tc>
        <w:tc>
          <w:tcPr>
            <w:tcW w:w="6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5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EPS</w:t>
            </w:r>
          </w:p>
        </w:tc>
        <w:tc>
          <w:tcPr>
            <w:tcW w:w="2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1.08</w:t>
            </w:r>
          </w:p>
        </w:tc>
        <w:tc>
          <w:tcPr>
            <w:tcW w:w="6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w:t>
            </w:r>
          </w:p>
        </w:tc>
      </w:tr>
      <w:tr>
        <w:trPr>
          <w:trHeight w:val="324"/>
        </w:trPr>
        <w:tc>
          <w:tcPr>
            <w:tcW w:w="5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Balance Sheet</w:t>
            </w:r>
          </w:p>
        </w:tc>
        <w:tc>
          <w:tcPr>
            <w:tcW w:w="2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 net</w:t>
            </w:r>
          </w:p>
        </w:tc>
        <w:tc>
          <w:tcPr>
            <w:tcW w:w="2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53,274</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51,434</w:t>
            </w:r>
          </w:p>
        </w:tc>
      </w:tr>
      <w:tr>
        <w:trPr>
          <w:trHeight w:val="27"/>
        </w:trPr>
        <w:tc>
          <w:tcPr>
            <w:tcW w:w="5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841,737</w:t>
            </w:r>
          </w:p>
        </w:tc>
        <w:tc>
          <w:tcPr>
            <w:tcW w:w="6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839,897</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1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(94,882)</w:t>
            </w:r>
          </w:p>
        </w:tc>
        <w:tc>
          <w:tcPr>
            <w:tcW w:w="6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(96,722)</w:t>
            </w:r>
          </w:p>
        </w:tc>
      </w:tr>
      <w:tr>
        <w:trPr>
          <w:trHeight w:val="27"/>
        </w:trPr>
        <w:tc>
          <w:tcPr>
            <w:tcW w:w="5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10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477,349</w:t>
            </w:r>
          </w:p>
        </w:tc>
        <w:tc>
          <w:tcPr>
            <w:tcW w:w="60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475,509</w:t>
            </w:r>
          </w:p>
        </w:tc>
      </w:tr>
      <w:tr>
        <w:trPr>
          <w:trHeight w:val="27"/>
        </w:trPr>
        <w:tc>
          <w:tcPr>
            <w:tcW w:w="51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(Topic 718), which intends to simplify various aspects of the accounting for and reporting of share-based payments. The new accounting is required to be adopted using a modified retrospective approach, with a cumulative-effect adjustment to opening retained earnings for any outstanding liability awards that qualify for equity classification under the new guidance.</w:t>
      </w:r>
    </w:p>
    <w:p>
      <w:pPr>
        <w:spacing w:after="0" w:line="12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the guidance is effective for annual and interim reporting periods beginning after December 15, 2016, the Company adopted the new guidance in the first quarter of 2017. This required us to reflect any adjustments as of January 1, 2017, the beginning of the annual period that includes the interim period of adoption. The primary impact of adoption was the recognition of excess tax benefits in our provision for income taxes in the consolidated statements of operations. Additionally, our consolidated statements of cash flows now present excess tax benefits as an operating activity on a prospective basis. Finally, we have elected to account for forfeitures as they occur, rather than estimate expected forfeitures. The net cumulative effect of this change was recognized as a $0.5 million reduction to the accumulated deficit as of January 1, 2017.</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designated our investment portfolio as available-for-sale and report it at fair value. The related unrealized gains and losses are, after considering the related tax expense or benefit, recognized through comprehensive income and loss, and on an accumulated basis in shareholders' equity. Net realized investment gains and losses are reported in income based upon specific identification of securities sold.</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Values and Gross Unrealized Gains and Losses on Investments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Pr>
          <w:p>
            <w:pPr>
              <w:spacing w:after="0"/>
              <w:rPr>
                <w:sz w:val="5"/>
                <w:szCs w:val="5"/>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65,679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65,053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79,154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79,622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375,817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379,191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103,242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104,248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623,892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6,746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628,114</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45,471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45,581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669,363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6,856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673,695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Pr>
          <w:p>
            <w:pPr>
              <w:spacing w:after="0"/>
              <w:rPr>
                <w:sz w:val="5"/>
                <w:szCs w:val="5"/>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64,135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63,179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40,801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40,269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349,712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349,078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114,456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114,661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569,104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567,187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61,584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61,782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630,688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628,969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there were approximately $7.0 million of cash and investments in the form of U.S. Treasury securities on deposit with various state insurance departments to satisfy regulatory requirements.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Scheduled Maturities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values of available-for -sale securities as of June 30, 2017 and December 31, 2016,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320" w:type="dxa"/>
            <w:vAlign w:val="bottom"/>
          </w:tcPr>
          <w:p>
            <w:pPr>
              <w:spacing w:after="0"/>
              <w:rPr>
                <w:sz w:val="13"/>
                <w:szCs w:val="1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40" w:type="dxa"/>
            <w:vAlign w:val="bottom"/>
          </w:tcPr>
          <w:p>
            <w:pPr>
              <w:spacing w:after="0"/>
              <w:rPr>
                <w:sz w:val="13"/>
                <w:szCs w:val="13"/>
                <w:color w:val="auto"/>
              </w:rPr>
            </w:pPr>
          </w:p>
        </w:tc>
        <w:tc>
          <w:tcPr>
            <w:tcW w:w="1160" w:type="dxa"/>
            <w:vAlign w:val="bottom"/>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124,108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124,153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134,052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135,215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297,453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299,591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10,508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10,488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103,242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104,248</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669,363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673,695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320" w:type="dxa"/>
            <w:vAlign w:val="bottom"/>
          </w:tcPr>
          <w:p>
            <w:pPr>
              <w:spacing w:after="0"/>
              <w:rPr>
                <w:sz w:val="23"/>
                <w:szCs w:val="2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40" w:type="dxa"/>
            <w:vAlign w:val="bottom"/>
          </w:tcPr>
          <w:p>
            <w:pPr>
              <w:spacing w:after="0"/>
              <w:rPr>
                <w:sz w:val="23"/>
                <w:szCs w:val="23"/>
                <w:color w:val="auto"/>
              </w:rPr>
            </w:pPr>
          </w:p>
        </w:tc>
        <w:tc>
          <w:tcPr>
            <w:tcW w:w="1160" w:type="dxa"/>
            <w:vAlign w:val="bottom"/>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94,382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94,584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173,296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173,251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242,005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240,060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6,549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6,413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114,456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114,661</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630,688</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628,969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Aging of Unrealized Losses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June 30, 2017, the investment portfolio had gross unrealized losses of $2.5 million, $0.4 million of which has been in an unrealized loss position for a period of 12 months or greater. We did not consider these securities to be other-than-temporarily impaired as of June 30, 2017. We based our conclusion that these investments were not other-than-temporarily impaired as of June 30, 2017 on the following facts: (i) the unrealized losses were primarily caused by interest rate movements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8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 of Securities</w:t>
            </w:r>
          </w:p>
        </w:tc>
        <w:tc>
          <w:tcPr>
            <w:tcW w:w="8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260" w:type="dxa"/>
            <w:vAlign w:val="bottom"/>
          </w:tcPr>
          <w:p>
            <w:pPr>
              <w:spacing w:after="0"/>
              <w:rPr>
                <w:sz w:val="12"/>
                <w:szCs w:val="12"/>
                <w:color w:val="auto"/>
              </w:rPr>
            </w:pPr>
          </w:p>
        </w:tc>
        <w:tc>
          <w:tcPr>
            <w:tcW w:w="8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200" w:type="dxa"/>
            <w:vAlign w:val="bottom"/>
          </w:tcPr>
          <w:p>
            <w:pPr>
              <w:spacing w:after="0"/>
              <w:rPr>
                <w:sz w:val="12"/>
                <w:szCs w:val="12"/>
                <w:color w:val="auto"/>
              </w:rPr>
            </w:pPr>
          </w:p>
        </w:tc>
        <w:tc>
          <w:tcPr>
            <w:tcW w:w="8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w:t>
            </w: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26,390</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28,122</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105,388</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113,304</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20,319</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24,714</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224,177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23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8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 of Securities</w:t>
            </w:r>
          </w:p>
        </w:tc>
        <w:tc>
          <w:tcPr>
            <w:tcW w:w="8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260" w:type="dxa"/>
            <w:vAlign w:val="bottom"/>
          </w:tcPr>
          <w:p>
            <w:pPr>
              <w:spacing w:after="0"/>
              <w:rPr>
                <w:sz w:val="12"/>
                <w:szCs w:val="12"/>
                <w:color w:val="auto"/>
              </w:rPr>
            </w:pPr>
          </w:p>
        </w:tc>
        <w:tc>
          <w:tcPr>
            <w:tcW w:w="8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200" w:type="dxa"/>
            <w:vAlign w:val="bottom"/>
          </w:tcPr>
          <w:p>
            <w:pPr>
              <w:spacing w:after="0"/>
              <w:rPr>
                <w:sz w:val="12"/>
                <w:szCs w:val="12"/>
                <w:color w:val="auto"/>
              </w:rPr>
            </w:pPr>
          </w:p>
        </w:tc>
        <w:tc>
          <w:tcPr>
            <w:tcW w:w="8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w:t>
            </w: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28,659</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30,363</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135,115</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148,988</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38,702</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41,174</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253,569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net investment income: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366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60" w:type="dxa"/>
            <w:vAlign w:val="bottom"/>
          </w:tcPr>
          <w:p>
            <w:pPr>
              <w:spacing w:after="0"/>
              <w:rPr>
                <w:sz w:val="16"/>
                <w:szCs w:val="16"/>
                <w:color w:val="auto"/>
              </w:rPr>
            </w:pPr>
          </w:p>
        </w:tc>
        <w:tc>
          <w:tcPr>
            <w:tcW w:w="2580" w:type="dxa"/>
            <w:vAlign w:val="bottom"/>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64"/>
        </w:trPr>
        <w:tc>
          <w:tcPr>
            <w:tcW w:w="49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6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4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5"/>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income</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8,092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6,945</w:t>
            </w: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expenses</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7"/>
        </w:trPr>
        <w:tc>
          <w:tcPr>
            <w:tcW w:w="49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7,715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6,573</w:t>
            </w:r>
          </w:p>
        </w:tc>
      </w:tr>
      <w:tr>
        <w:trPr>
          <w:trHeight w:val="20"/>
        </w:trPr>
        <w:tc>
          <w:tcPr>
            <w:tcW w:w="4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of net realized investment gains (losses):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64"/>
        </w:trPr>
        <w:tc>
          <w:tcPr>
            <w:tcW w:w="4800" w:type="dxa"/>
            <w:vAlign w:val="bottom"/>
          </w:tcPr>
          <w:p>
            <w:pPr>
              <w:spacing w:after="0"/>
              <w:rPr>
                <w:sz w:val="22"/>
                <w:szCs w:val="22"/>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4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realized investment gains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617</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realized investment losses</w:t>
            </w:r>
          </w:p>
        </w:tc>
        <w:tc>
          <w:tcPr>
            <w:tcW w:w="110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7"/>
        </w:trPr>
        <w:tc>
          <w:tcPr>
            <w:tcW w:w="48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realized investment gains (losses)</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0"/>
        </w:trPr>
        <w:tc>
          <w:tcPr>
            <w:tcW w:w="4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 - Other-than-Temporary Impairment (OTTI)</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quarter ended June 30, 2017, we held no other-than-temporarily impaired securities. The impaired security disclosed for the quarter ended March 31, 2017 was liquidated as of June 30, 2017.</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credit losses recognized in earnings for which a portion of an OTTI loss was recognized in accumulated other comprehensive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w:t>
      </w:r>
    </w:p>
    <w:p>
      <w:pPr>
        <w:sectPr>
          <w:pgSz w:w="11900" w:h="16838" w:orient="portrait"/>
          <w:cols w:equalWidth="0" w:num="1">
            <w:col w:w="11420"/>
          </w:cols>
          <w:pgMar w:left="240" w:top="121"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describes the valuation techniques used by us to determine the fair value of our financial instruments: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Fair value measurements based on quoted prices in active markets that we have the ability to access for identical assets or liabilities.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Market price data generally is obtained from exchange or dealer markets. We do not adjust the quoted price for such instruments.</w:t>
      </w:r>
    </w:p>
    <w:p>
      <w:pPr>
        <w:spacing w:after="0" w:line="15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2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level in the fair value hierarchy within which the fair value measurement in its entirety falls is determined based on the lowest level input that is significant to the fair value measurement in its entirety.</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Assets classified as Level 1 and Level 2</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 There were no transfers between Level 1 and Level 2 of the fair value hierarchy during the quarter ended June 30, 2017.</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Liabilities classified as Level 3</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level within the fair value hierarchy at which the Company’s financial instruments were measured: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 of June 30, 2017</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60,215</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4,838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65,053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79,622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79,622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379,191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379,191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104,248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104,248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65,616</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125,831</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567,899</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693,730</w:t>
            </w:r>
          </w:p>
        </w:tc>
        <w:tc>
          <w:tcPr>
            <w:tcW w:w="0" w:type="dxa"/>
            <w:vAlign w:val="bottom"/>
          </w:tcPr>
          <w:p>
            <w:pPr>
              <w:spacing w:after="0"/>
              <w:rPr>
                <w:sz w:val="1"/>
                <w:szCs w:val="1"/>
                <w:color w:val="auto"/>
              </w:rPr>
            </w:pPr>
          </w:p>
        </w:tc>
      </w:tr>
      <w:tr>
        <w:trPr>
          <w:trHeight w:val="311"/>
        </w:trPr>
        <w:tc>
          <w:tcPr>
            <w:tcW w:w="4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3,544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3,544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2016</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50,719</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12,460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63,179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40,269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40,269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349,078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349,078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114,661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114,661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109,528</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160,247</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516,468</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676,715</w:t>
            </w:r>
          </w:p>
        </w:tc>
        <w:tc>
          <w:tcPr>
            <w:tcW w:w="0" w:type="dxa"/>
            <w:vAlign w:val="bottom"/>
          </w:tcPr>
          <w:p>
            <w:pPr>
              <w:spacing w:after="0"/>
              <w:rPr>
                <w:sz w:val="1"/>
                <w:szCs w:val="1"/>
                <w:color w:val="auto"/>
              </w:rPr>
            </w:pPr>
          </w:p>
        </w:tc>
      </w:tr>
      <w:tr>
        <w:trPr>
          <w:trHeight w:val="311"/>
        </w:trPr>
        <w:tc>
          <w:tcPr>
            <w:tcW w:w="4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3,367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Total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3,367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six months ended June 30, 2017 and the year-end December 31, 2016.</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roll-forward of Level 3 liabilities measured at fair value: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64"/>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7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21"/>
                <w:szCs w:val="2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January 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1,467</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fair value of warrant liability included in earnings</w:t>
            </w:r>
          </w:p>
        </w:tc>
        <w:tc>
          <w:tcPr>
            <w:tcW w:w="42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June 30</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856</w:t>
            </w: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revalue the warrant liability quarterly using a Black-Scholes option-pricing model, in combination with a binomial model, and we value the pricing protection features within the warrants using a Monte-Carlo simulation model. As of June 30, 2017, the assumptions used in the option-pricing model were as follows: a common stock price as of June 30, 2017 of $11.45, risk free</w:t>
      </w:r>
    </w:p>
    <w:p>
      <w:pPr>
        <w:sectPr>
          <w:pgSz w:w="11900" w:h="16838" w:orient="portrait"/>
          <w:cols w:equalWidth="0" w:num="1">
            <w:col w:w="11420"/>
          </w:cols>
          <w:pgMar w:left="240" w:top="121"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rate of 1.68%, expected life of 3.75 years, expected volatility of 30.6% and a dividend yield of 0%. The change in fair value is primarily attributable to an increase in the price of our common stock from December 31, 2016 to June 30, 2017.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Term Loan</w:t>
      </w:r>
    </w:p>
    <w:p>
      <w:pPr>
        <w:spacing w:after="0" w:line="17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On November 10, 2015, we entered into a credit agreement (the Credit Agreement) to obtain a three-year senior secured term loan (the Term Loan) for $150 million. On February 10, 2017, we entered into an amendment to the Credit Agreement, to extend the maturity date of the Term Loan by one year and reduce the interest rate. Based on our analysis, we concluded the amendment to the Credit Agreement should be treated as a modification. As of June 30, 2017, the Term Loan bears interest at the Eurodollar Rate, as defined in the Credit Agreement and subject to a 1.00% floor, plus an annual margin rate of</w:t>
      </w:r>
    </w:p>
    <w:p>
      <w:pPr>
        <w:spacing w:after="0" w:line="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6.75% (an all-in rate of 7.87% as of June 30, 2017), payable monthly or quarterly based on our interest rate election. Quarterly principal payments of $375 thousand are also required. The outstanding balance of the Term Loan as of June 30, 2017 was $147.4 million.</w:t>
      </w:r>
    </w:p>
    <w:p>
      <w:pPr>
        <w:spacing w:after="0" w:line="126"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Debt issuance costs totaling $4.8 million, including $370 thousand related to the modification and a 1% original issue discount, are being amortized to interest expense, using the effective interest method, over the contractual life of the Term Loan. Effective interest rate for the Term Loan includes interest, amortization of issuance cost and the discount. For the six months ended June 30, 2017, we recorded $6.8 million of interest expense, including amortization of the issuance and modification costs and original issue discount.</w:t>
      </w:r>
    </w:p>
    <w:p>
      <w:pPr>
        <w:spacing w:after="0" w:line="12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certain quarterly covenants under the Credit Agreement. These covenants include, but are not limited to the following: a maximum debt-to-total capitalization ratio (as defined therein) of 35%, maximum risk-to-capital (RTC) ratio of 22.0:1.0, minimum liquidity (as defined therein) of $28.6 million as of June 30, 2017, compliance with the PMIERs financial requirements (subject to any GSE-approved waivers), and minimum shareholders' equity requirements. This description is not intended to be complete in all respects and is qualified in its entirety by the terms of the Credit Agreement, including its covenants and events of default. We were in compliance with all covenants as of June 30, 2017.</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principal payments due under the Term Loan as of June 30, 2017 are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222"/>
        </w:trPr>
        <w:tc>
          <w:tcPr>
            <w:tcW w:w="9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jc w:val="right"/>
              <w:ind w:right="594"/>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33"/>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750</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1,500</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145,125</w:t>
            </w:r>
          </w:p>
        </w:tc>
      </w:tr>
      <w:tr>
        <w:trPr>
          <w:trHeight w:val="257"/>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147,375</w:t>
            </w: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Reinsurance</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have entered into two third-party reinsurance transactions to actively manage our risk, ensure PMIERs compliance and support the growth of our business. The GSEs and the Wisconsin Office of the Commissioner of Insurance (Wisconsin OCI) approved both transactions (subject to certain conditions and their periodic review of the transactions, including levels of approved capital credit).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 of our reinsurance agreements on premiums written and earned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245"/>
        </w:trPr>
        <w:tc>
          <w:tcPr>
            <w:tcW w:w="4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40" w:type="dxa"/>
            <w:vAlign w:val="bottom"/>
            <w:gridSpan w:val="4"/>
          </w:tcPr>
          <w:p>
            <w:pPr>
              <w:ind w:left="9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premiums written</w:t>
            </w: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46,672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85,916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86,991</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Ceded </w:t>
            </w:r>
            <w:r>
              <w:rPr>
                <w:rFonts w:ascii="Times New Roman" w:cs="Times New Roman" w:eastAsia="Times New Roman" w:hAnsi="Times New Roman"/>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written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39,786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74,389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86,991</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premiums earned</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44,233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26,041</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81,671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45,848</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Ceded </w:t>
            </w:r>
            <w:r>
              <w:rPr>
                <w:rFonts w:ascii="Times New Roman" w:cs="Times New Roman" w:eastAsia="Times New Roman" w:hAnsi="Times New Roman"/>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37,917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26,041</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71,142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45,848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Net of profit commission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Excess-of-loss reinsurance</w:t>
      </w:r>
    </w:p>
    <w:p>
      <w:pPr>
        <w:spacing w:after="0" w:line="17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May 2017, NMIC entered into a reinsurance agreement with Oaktown Re that provides for up to $211.3 million of aggregate excess-of-loss reinsurance coverage at inception for new delinquencies on an existing portfolio of mortgage insurance policies written from 2013 through December 31, 2016. For the coverage period, NMIC will retain the first layer of $126.8 million of aggregate losses and Oaktown Re will then provide second layer coverage up to the outstanding reinsurance coverage amount. NMIC will then retain losses in excess of the outstanding reinsurance coverage amount. The outstanding reinsurance coverage amount decreases over a ten-year period as the underlying covered mortgages amortize and was $197.2 million as of June 30, 2017. The outstanding reinsurance coverage amount will stop amortizing if certain credit enhancement or delinquency thresholds are triggered.</w:t>
      </w:r>
    </w:p>
    <w:p>
      <w:pPr>
        <w:spacing w:after="0" w:line="13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Oaktown Re financed the coverage by issuing mortgage insurance-linked notes in an aggregate amount of $211.3 million to unaffiliated investors (the Notes). The Notes mature on April 26, 2027. All of the proceeds paid to Oaktown Re from the sale of the Notes were deposited into a reinsurance trust to collateralize and fund the obligations of Oaktown Re to NMIC under the reinsurance agreement. At all times, funds in the reinsurance trust account are required to be invested in high credit quality money market funds. We refer collectively to NMIC’s reinsurance agreement with Oaktown Re and the issuance of the Notes by Oaktown Re as the 2017 ILN Transaction. Under the terms of the 2017 ILN Transaction, NMIC makes risk premium payments for the applicable outstanding reinsurance coverage amount and pays Oaktown Re for anticipated operating expenses (capped at $300 thousand per year). For the quarter ended June 30, 2017, NMIC paid risk premiums of $1.4 million and did not cede any losses to Oaktown Re.</w:t>
      </w:r>
    </w:p>
    <w:p>
      <w:pPr>
        <w:spacing w:after="0" w:line="13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reinsurance agreement, NMIC holds an optional termination right if certain events occur, including, among others, after the reinsurance coverage amount amortizes to 10% or less of the reinsurance coverage amount at inception or if NMIC reasonably determines that GSE or rating agency asset requirements would cause a material and adverse effect on the capital treatment adopted by NMIC. In addition, there are certain events that will result in mandatory termination of the agreement, including NMIC’s failure to pay premiums or consent to reductions in the trust account to make principal payments to noteholders, among others.</w:t>
      </w:r>
    </w:p>
    <w:p>
      <w:pPr>
        <w:spacing w:after="0" w:line="130"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At the time the 2017 ILN Transaction was entered into with Oaktown Re, the Company evaluated the applicability of the accounting guidance that addresses VIEs. As a result of the evaluation of the 2017 ILN Transaction, the Company concluded that Oaktown Re is a VIE. However, given that NMIC does not have significant economic exposure in Oaktown Re, the Company does not consolidate Oaktown Re in its consolidated financial statements.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Quota share reinsurance</w:t>
      </w:r>
    </w:p>
    <w:p>
      <w:pPr>
        <w:spacing w:after="0" w:line="17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September 2016, NMIC entered into a quota-share reinsurance transaction with a panel of third-party reinsurers (2016 QSR Transaction). Each of the third-party reinsurers has an insurer financial strength rating of A- or better by Standard and Poor’s Rating Services (S&amp;P), A.M. Best or both.</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 the 2016 QSR Transaction, effective September 1, 2016, NMIC ceded premiums related to:</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57"/>
        </w:trPr>
        <w:tc>
          <w:tcPr>
            <w:tcW w:w="5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25% of existing risk written on eligible policies as of August 31, 2016;</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32"/>
        </w:trPr>
        <w:tc>
          <w:tcPr>
            <w:tcW w:w="8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100% of existing risk under our pool agreement with Fannie Mae; and</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4"/>
        </w:trPr>
        <w:tc>
          <w:tcPr>
            <w:tcW w:w="8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25% of risk on eligible policies written from September 1, 2016 through December 31, 2017.</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the amounts related to the 2016 QSR Transaction:</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94"/>
        </w:trPr>
        <w:tc>
          <w:tcPr>
            <w:tcW w:w="5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80" w:type="dxa"/>
            <w:vAlign w:val="bottom"/>
          </w:tcPr>
          <w:p>
            <w:pPr>
              <w:spacing w:after="0"/>
              <w:rPr>
                <w:sz w:val="24"/>
                <w:szCs w:val="24"/>
                <w:color w:val="auto"/>
              </w:rPr>
            </w:pPr>
          </w:p>
        </w:tc>
        <w:tc>
          <w:tcPr>
            <w:tcW w:w="15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95"/>
        </w:trPr>
        <w:tc>
          <w:tcPr>
            <w:tcW w:w="52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264"/>
        </w:trPr>
        <w:tc>
          <w:tcPr>
            <w:tcW w:w="520" w:type="dxa"/>
            <w:vAlign w:val="bottom"/>
          </w:tcPr>
          <w:p>
            <w:pPr>
              <w:spacing w:after="0"/>
              <w:rPr>
                <w:sz w:val="22"/>
                <w:szCs w:val="22"/>
                <w:color w:val="auto"/>
              </w:rPr>
            </w:pPr>
          </w:p>
        </w:tc>
        <w:tc>
          <w:tcPr>
            <w:tcW w:w="76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gridSpan w:val="3"/>
          </w:tcPr>
          <w:p>
            <w:pPr>
              <w:jc w:val="right"/>
              <w:ind w:right="1194"/>
              <w:spacing w:after="0"/>
              <w:rPr>
                <w:sz w:val="20"/>
                <w:szCs w:val="20"/>
                <w:color w:val="auto"/>
              </w:rPr>
            </w:pPr>
            <w:r>
              <w:rPr>
                <w:rFonts w:ascii="Times New Roman" w:cs="Times New Roman" w:eastAsia="Times New Roman" w:hAnsi="Times New Roman"/>
                <w:sz w:val="14"/>
                <w:szCs w:val="14"/>
                <w:b w:val="1"/>
                <w:bCs w:val="1"/>
                <w:color w:val="auto"/>
              </w:rPr>
              <w:t>June 30, 2017</w:t>
            </w:r>
          </w:p>
        </w:tc>
      </w:tr>
      <w:tr>
        <w:trPr>
          <w:trHeight w:val="250"/>
        </w:trPr>
        <w:tc>
          <w:tcPr>
            <w:tcW w:w="52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80" w:type="dxa"/>
            <w:vAlign w:val="bottom"/>
            <w:gridSpan w:val="3"/>
          </w:tcPr>
          <w:p>
            <w:pPr>
              <w:jc w:val="center"/>
              <w:ind w:right="14"/>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Ceded risk-in-force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2,403,027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2,403,027</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Ceded premiums written</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180" w:type="dxa"/>
            <w:vAlign w:val="bottom"/>
          </w:tcPr>
          <w:p>
            <w:pPr>
              <w:spacing w:after="0"/>
              <w:rPr>
                <w:sz w:val="21"/>
                <w:szCs w:val="21"/>
                <w:color w:val="auto"/>
              </w:rPr>
            </w:pPr>
          </w:p>
        </w:tc>
        <w:tc>
          <w:tcPr>
            <w:tcW w:w="15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(22,326)</w:t>
            </w:r>
          </w:p>
        </w:tc>
      </w:tr>
      <w:tr>
        <w:trPr>
          <w:trHeight w:val="27"/>
        </w:trPr>
        <w:tc>
          <w:tcPr>
            <w:tcW w:w="8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Ceded premiums earned</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(11,463)</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(21,328)</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Ceded claims and claims expenses</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tcPr>
          <w:p>
            <w:pPr>
              <w:spacing w:after="0"/>
              <w:rPr>
                <w:sz w:val="21"/>
                <w:szCs w:val="21"/>
                <w:color w:val="auto"/>
              </w:rPr>
            </w:pP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610</w:t>
            </w:r>
          </w:p>
        </w:tc>
      </w:tr>
      <w:tr>
        <w:trPr>
          <w:trHeight w:val="27"/>
        </w:trPr>
        <w:tc>
          <w:tcPr>
            <w:tcW w:w="8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Ceding commission written</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4,465</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Ceding commission earned</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80" w:type="dxa"/>
            <w:vAlign w:val="bottom"/>
          </w:tcPr>
          <w:p>
            <w:pPr>
              <w:spacing w:after="0"/>
              <w:rPr>
                <w:sz w:val="21"/>
                <w:szCs w:val="21"/>
                <w:color w:val="auto"/>
              </w:rPr>
            </w:pP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4,340</w:t>
            </w:r>
          </w:p>
        </w:tc>
      </w:tr>
      <w:tr>
        <w:trPr>
          <w:trHeight w:val="27"/>
        </w:trPr>
        <w:tc>
          <w:tcPr>
            <w:tcW w:w="8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8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Profit commission</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12,187</w:t>
            </w:r>
          </w:p>
        </w:tc>
      </w:tr>
      <w:tr>
        <w:trPr>
          <w:trHeight w:val="27"/>
        </w:trPr>
        <w:tc>
          <w:tcPr>
            <w:tcW w:w="520" w:type="dxa"/>
            <w:vAlign w:val="bottom"/>
            <w:shd w:val="clear" w:color="auto" w:fill="CCEEFF"/>
          </w:tcPr>
          <w:p>
            <w:pPr>
              <w:spacing w:after="0"/>
              <w:rPr>
                <w:sz w:val="2"/>
                <w:szCs w:val="2"/>
                <w:color w:val="auto"/>
              </w:rPr>
            </w:pPr>
          </w:p>
        </w:tc>
        <w:tc>
          <w:tcPr>
            <w:tcW w:w="7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Ceded premiums written are recorded on the balance sheet as prepaid reinsurance premiums and amortized to ceded premiums earned in a manner consistent with the recognition of income on direct premiums. NMIC receives a 20% ceding commission for premiums ceded pursuant to this transaction. NMIC also receives a profit commission, provided that the loss ratio on the loans covered under the agreement generally remains below 60%, as measured annually. Losses on the ceded risk reduce NMIC's profit commission on a dollar-for-dollar basis.</w:t>
      </w:r>
    </w:p>
    <w:p>
      <w:pPr>
        <w:spacing w:after="0" w:line="12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our 2016 QSR Transaction was $899 thousand as of June 30, 2017.</w:t>
      </w:r>
    </w:p>
    <w:p>
      <w:pPr>
        <w:spacing w:after="0" w:line="13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agreement is scheduled to terminate on December 31, 2027, except with respect to the ceded pool risk, which is scheduled to terminate on August 31, 2023. However, NMIC has the option, based on certain conditions and subject to a termination fee, to terminate the agreement as of December 31, 2020, or at the end of any calendar quarter thereafter, which would result in NMIC reassuming the related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Reserves for Insurance Claims and Claims Expenses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establish reserves to recognize the estimated liability for insurance claims and claim expenses related to defaults on insured mortgage loans. Our method, consistent with industry practice, is to establish reserves only for loans that have been reported to us as having been in default for at least 60 days. Our reserves also include amounts for estimated claims incurred on loans that have been in default for at least 60 days that have not yet been reported to us by the servicers, often referred to as IBNR. As of June 30, 2017, we had reserves for insurance claims and claims expenses of $5.0 million for 249 primary loans in default. During the first six months of 2017, we paid 12 claims totaling $571 thousand, including one claim covered under the 2016 QSR Transaction.</w:t>
      </w:r>
    </w:p>
    <w:p>
      <w:pPr>
        <w:spacing w:after="0" w:line="1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2013, we entered into a pool insurance transaction with Fannie Mae. We only establish reserves for pool risk if we expect claims to exceed the deductible under the pool agreement, which represents the amount of claims absorbed by Fannie Mae before we are obligated to pay any claims. At June 30, 2017, 44 loans in the pool were past due by 60 days or more. These 44 loans represent approximately $2.6 million of risk-in-force (RIF). Due to the size of the remaining deductible of $10.0 million, the low level of</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notices of default (NODs) reported on loans in the pool through June 30, 2017 and the expected severity (all loans in the pool have loan-to-value ratios (LTVs) under 80%), we have not established any pool reserves for claims or IBNR for the three and six months ended June 30, 2017 and 2016. In connection with the settlement of pool claims, we applied $364 thousand to the pool deductible through June 30, 2017. We have not paid any pool claims to date. 100% of our pool RIF is reinsured under the 2016 QSR Transaction.</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primary insurance claims and claims expenses: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0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r>
      <w:tr>
        <w:trPr>
          <w:trHeight w:val="250"/>
        </w:trPr>
        <w:tc>
          <w:tcPr>
            <w:tcW w:w="7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20" w:type="dxa"/>
            <w:vAlign w:val="bottom"/>
            <w:gridSpan w:val="3"/>
          </w:tcPr>
          <w:p>
            <w:pPr>
              <w:jc w:val="right"/>
              <w:ind w:right="63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tcPr>
          <w:p>
            <w:pPr>
              <w:spacing w:after="0"/>
              <w:rPr>
                <w:sz w:val="21"/>
                <w:szCs w:val="2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Less reinsurance recoverables </w:t>
            </w:r>
            <w:r>
              <w:rPr>
                <w:rFonts w:ascii="Times New Roman" w:cs="Times New Roman" w:eastAsia="Times New Roman" w:hAnsi="Times New Roman"/>
                <w:sz w:val="25"/>
                <w:szCs w:val="25"/>
                <w:color w:val="auto"/>
                <w:vertAlign w:val="superscript"/>
              </w:rPr>
              <w:t>(1)</w:t>
            </w: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 net of reinsurance recoverables</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w:t>
            </w:r>
          </w:p>
        </w:tc>
      </w:tr>
      <w:tr>
        <w:trPr>
          <w:trHeight w:val="318"/>
        </w:trPr>
        <w:tc>
          <w:tcPr>
            <w:tcW w:w="79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 claims incurred:</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Claims and claim expenses incurred:</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5"/>
                <w:szCs w:val="25"/>
                <w:color w:val="auto"/>
                <w:vertAlign w:val="superscript"/>
              </w:rPr>
              <w:t>(2)</w:t>
            </w: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1,113</w:t>
            </w:r>
          </w:p>
        </w:tc>
      </w:tr>
      <w:tr>
        <w:trPr>
          <w:trHeight w:val="243"/>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Prior years</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claims and claims expenses incurred</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928</w:t>
            </w:r>
          </w:p>
        </w:tc>
      </w:tr>
      <w:tr>
        <w:trPr>
          <w:trHeight w:val="318"/>
        </w:trPr>
        <w:tc>
          <w:tcPr>
            <w:tcW w:w="79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claims paid:</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Claims and claim expenses paid:</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5"/>
                <w:szCs w:val="25"/>
                <w:color w:val="auto"/>
                <w:vertAlign w:val="superscript"/>
              </w:rPr>
              <w:t>(2)</w:t>
            </w:r>
          </w:p>
        </w:tc>
        <w:tc>
          <w:tcPr>
            <w:tcW w:w="1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900" w:type="dxa"/>
            <w:vAlign w:val="bottom"/>
            <w:tcBorders>
              <w:bottom w:val="single" w:sz="8" w:color="CCEEFF"/>
            </w:tcBorders>
          </w:tcPr>
          <w:p>
            <w:pPr>
              <w:ind w:left="500"/>
              <w:spacing w:after="0" w:line="270" w:lineRule="exact"/>
              <w:rPr>
                <w:sz w:val="20"/>
                <w:szCs w:val="20"/>
                <w:color w:val="auto"/>
              </w:rPr>
            </w:pPr>
            <w:r>
              <w:rPr>
                <w:rFonts w:ascii="Times New Roman" w:cs="Times New Roman" w:eastAsia="Times New Roman" w:hAnsi="Times New Roman"/>
                <w:sz w:val="18"/>
                <w:szCs w:val="18"/>
                <w:color w:val="auto"/>
              </w:rPr>
              <w:t xml:space="preserve">Prior years </w:t>
            </w:r>
            <w:r>
              <w:rPr>
                <w:rFonts w:ascii="Times New Roman" w:cs="Times New Roman" w:eastAsia="Times New Roman" w:hAnsi="Times New Roman"/>
                <w:sz w:val="25"/>
                <w:szCs w:val="25"/>
                <w:color w:val="auto"/>
                <w:vertAlign w:val="superscript"/>
              </w:rPr>
              <w:t>(3)</w:t>
            </w: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claims and claim expenses paid</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r>
      <w:tr>
        <w:trPr>
          <w:trHeight w:val="318"/>
        </w:trPr>
        <w:tc>
          <w:tcPr>
            <w:tcW w:w="79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at end of period, net of reinsurance recoverables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1,475</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Add reinsurance recoverables </w:t>
            </w:r>
            <w:r>
              <w:rPr>
                <w:rFonts w:ascii="Times New Roman" w:cs="Times New Roman" w:eastAsia="Times New Roman" w:hAnsi="Times New Roman"/>
                <w:sz w:val="25"/>
                <w:szCs w:val="25"/>
                <w:color w:val="auto"/>
                <w:vertAlign w:val="superscript"/>
              </w:rPr>
              <w:t>(1)</w:t>
            </w: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June 30</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1,475</w:t>
            </w:r>
          </w:p>
        </w:tc>
      </w:tr>
      <w:tr>
        <w:trPr>
          <w:trHeight w:val="20"/>
        </w:trPr>
        <w:tc>
          <w:tcPr>
            <w:tcW w:w="7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right="200" w:firstLine="8"/>
        <w:spacing w:after="0" w:line="235" w:lineRule="auto"/>
        <w:tabs>
          <w:tab w:leader="none" w:pos="187"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 xml:space="preserve">Related to ceded losses recoverable on the 2016 QSR Transaction, included in "Other Assets" on the Condensed Consolidated Balance Sheets. See Note 5, </w:t>
      </w:r>
      <w:r>
        <w:rPr>
          <w:rFonts w:ascii="Times New Roman" w:cs="Times New Roman" w:eastAsia="Times New Roman" w:hAnsi="Times New Roman"/>
          <w:sz w:val="15"/>
          <w:szCs w:val="15"/>
          <w:i w:val="1"/>
          <w:iCs w:val="1"/>
          <w:color w:val="auto"/>
        </w:rPr>
        <w:t>"Reinsurance"</w:t>
      </w:r>
      <w:r>
        <w:rPr>
          <w:rFonts w:ascii="Times New Roman" w:cs="Times New Roman" w:eastAsia="Times New Roman" w:hAnsi="Times New Roman"/>
          <w:sz w:val="15"/>
          <w:szCs w:val="15"/>
          <w:color w:val="auto"/>
        </w:rPr>
        <w:t xml:space="preserve"> for additional information.</w:t>
      </w:r>
    </w:p>
    <w:p>
      <w:pPr>
        <w:spacing w:after="0" w:line="6" w:lineRule="exact"/>
        <w:rPr>
          <w:rFonts w:ascii="Times New Roman" w:cs="Times New Roman" w:eastAsia="Times New Roman" w:hAnsi="Times New Roman"/>
          <w:sz w:val="23"/>
          <w:szCs w:val="23"/>
          <w:color w:val="auto"/>
          <w:vertAlign w:val="superscript"/>
        </w:rPr>
      </w:pPr>
    </w:p>
    <w:p>
      <w:pPr>
        <w:ind w:firstLine="8"/>
        <w:spacing w:after="0" w:line="234" w:lineRule="auto"/>
        <w:tabs>
          <w:tab w:leader="none" w:pos="187"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Related to insured loans with their most recent defaults occurring in the current year. For example, if a loan had defaulted in a prior year and subsequently cured and later re-defaulted in the current year, that default would be included in the current year.</w:t>
      </w:r>
    </w:p>
    <w:p>
      <w:pPr>
        <w:ind w:left="200" w:hanging="192"/>
        <w:spacing w:after="0" w:line="187" w:lineRule="auto"/>
        <w:tabs>
          <w:tab w:leader="none" w:pos="20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Related to insured loans with defaults occurring in prior years, which have been continuously in default since that time.</w:t>
      </w:r>
    </w:p>
    <w:p>
      <w:pPr>
        <w:spacing w:after="0" w:line="1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“claims incurred” section of the table above shows claims and claim expenses incurred on NODs received in the current year and in prior years and such amounts include IBNR reserves. The amount of claims incurred relating to NODs received in the current year represents the estimated amount to be ultimately paid if such loans in default result in claims. We recognized $323 thousand and $185 thousand of favorable prior year development during the six months ended June 30, 2017 and 2016, respectively, due to NOD cures and ongoing analysis of recent loss development trends. We may increase or decrease our original estimates as we learn additional information about individual defaults and claims. Reserves of $2.1 million related to prior year defaults remained as of June 30, 2017.</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(Loss) per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based on the weighted average number of shares of common stock outstanding, while diluted earnings (loss) per share is based on the weighted average number of shares of common stock outstanding and common stock equivalents that would be issuable upon the exercise of stock options, other share-based compensation arrangements, and the dilutive effect of outstanding warrants. The following table reconciles the net income and the weighted average shares of common stock outstanding used in the computations of basic and diluted earnings (loss) per share of common stock:</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20" w:type="dxa"/>
            <w:vAlign w:val="bottom"/>
          </w:tcPr>
          <w:p>
            <w:pPr>
              <w:spacing w:after="0"/>
              <w:rPr>
                <w:sz w:val="16"/>
                <w:szCs w:val="16"/>
                <w:color w:val="auto"/>
              </w:rPr>
            </w:pPr>
          </w:p>
        </w:tc>
        <w:tc>
          <w:tcPr>
            <w:tcW w:w="274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40" w:type="dxa"/>
            <w:vAlign w:val="bottom"/>
            <w:gridSpan w:val="5"/>
          </w:tcPr>
          <w:p>
            <w:pPr>
              <w:ind w:left="100"/>
              <w:spacing w:after="0"/>
              <w:rPr>
                <w:sz w:val="20"/>
                <w:szCs w:val="20"/>
                <w:color w:val="auto"/>
              </w:rPr>
            </w:pPr>
            <w:r>
              <w:rPr>
                <w:rFonts w:ascii="Times New Roman" w:cs="Times New Roman" w:eastAsia="Times New Roman" w:hAnsi="Times New Roman"/>
                <w:sz w:val="14"/>
                <w:szCs w:val="14"/>
                <w:i w:val="1"/>
                <w:iCs w:val="1"/>
                <w:color w:val="auto"/>
              </w:rPr>
              <w:t>(In Thousands, except for per share data)</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97"/>
        </w:trPr>
        <w:tc>
          <w:tcPr>
            <w:tcW w:w="51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59,823,396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59,105,613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59,576,747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59,005,983</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effect of non-vested shares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3,186,966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725,286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3,111,816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63,010,362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59,830,899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62,688,563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59,005,983</w:t>
            </w:r>
          </w:p>
        </w:tc>
      </w:tr>
      <w:tr>
        <w:trPr>
          <w:trHeight w:val="297"/>
        </w:trPr>
        <w:tc>
          <w:tcPr>
            <w:tcW w:w="51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2017, 834,878 and 834,476, respectively, and for the three months ended June 30, 2016, 4,049,859 of our common stock equivalents we issued under share-based compensation arrangements were not included in the calculation of diluted earnings per share because they were anti-dilutive.</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our net loss for the six months ended June 30, 2016, 6,614,605 of our common stock equivalents we issued under share-based compensation arrangements and warrants were not included in the calculation of diluted loss per share because they were anti-dilutive.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Warrants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issued 992,000 warrants in connection with our Private Placement. Each warrant gives the holder thereof the right to purchase one share of common stock at an exercise price equal to $10.00. The warrants were issued with an aggregate fair value of $5.1 million. Upon exercise of these warrants, the amounts will be treated as additional paid-in capital. No warrants were exercised during the six months ended June 30, 2017 and 2016.We account for these warrants to purchase our common shares in accordance with ASC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and ASC 815-40,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 Contracts in Entity's Own Equity.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U.S. taxpayer and are subject to a statutory U.S. federal corporate income tax rate of 35%. NMIH files a consolidated U.S. federal and various state income tax returns on behalf of itself and its subsidiaries. Our provision for income taxes for the interim reporting periods are based on an estimated annual effective tax rate for the year ending December 31, 2017. Our effective tax rate on our pre-tax income was 36.7% and 29.1% for the three and six months ended June 30, 2017, respectively, compared to 0.0% for the comparable 2016 periods. The increase in the effective tax expense for the three and six months ended June 30, 2017, against the comparable 2016 periods is attributable to the elimination of tax benefits during the comparable 2016 periods due to the recognition of a full valuation allowance which had been recorded to reflect the amount of the deferred taxes that may not be realized. See Note 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 Basis of Presentation - Immaterial Correction of Prior Period Amounts</w:t>
      </w:r>
      <w:r>
        <w:rPr>
          <w:rFonts w:ascii="Times New Roman" w:cs="Times New Roman" w:eastAsia="Times New Roman" w:hAnsi="Times New Roman"/>
          <w:sz w:val="18"/>
          <w:szCs w:val="18"/>
          <w:color w:val="auto"/>
        </w:rPr>
        <w:t>” for further details.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Statutory Information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NMIC and Re One's combined statutory net loss, statutory surplus, contingency reserve and RTC ratios were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and for the six months and year ended</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50"/>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40" w:type="dxa"/>
            <w:vAlign w:val="bottom"/>
            <w:gridSpan w:val="3"/>
          </w:tcPr>
          <w:p>
            <w:pPr>
              <w:jc w:val="right"/>
              <w:ind w:right="1234"/>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(21,706)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Statutory surplus</w:t>
            </w:r>
          </w:p>
        </w:tc>
        <w:tc>
          <w:tcPr>
            <w:tcW w:w="280" w:type="dxa"/>
            <w:vAlign w:val="bottom"/>
          </w:tcPr>
          <w:p>
            <w:pPr>
              <w:spacing w:after="0"/>
              <w:rPr>
                <w:sz w:val="21"/>
                <w:szCs w:val="21"/>
                <w:color w:val="auto"/>
              </w:rPr>
            </w:pP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390,938</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413,809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Contingency reserve</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131,314</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90,479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Risk-to-Capital</w:t>
            </w:r>
          </w:p>
        </w:tc>
        <w:tc>
          <w:tcPr>
            <w:tcW w:w="280" w:type="dxa"/>
            <w:vAlign w:val="bottom"/>
          </w:tcPr>
          <w:p>
            <w:pPr>
              <w:spacing w:after="0"/>
              <w:rPr>
                <w:sz w:val="21"/>
                <w:szCs w:val="21"/>
                <w:color w:val="auto"/>
              </w:rPr>
            </w:pP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9.8:1</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11.6:1</w:t>
            </w:r>
          </w:p>
        </w:tc>
      </w:tr>
    </w:tbl>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NMIH is not subject to any limitations on its ability to pay dividends except those generally applicable to corporations that are incorporated in Delaware, such as NMIH. Delaware corporation law provides that dividends are only payable out of a corporation's surplus or recent net profits (subject to certain limitations). NMIC and Re One are subject to restrictions on their ability to pay dividends without prior approval of the Wisconsin OCI. Certain other states in which NMIC is licensed also have statutes or regulations that restrict its ability to pay dividends. Since inception, NMIC has not paid any dividends to NMIH.</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our unaudited consolidated financial statements and the notes thereto included in this report and our audited financial statements, notes thereto and "Management's Discussion and Analysis of Financial Condition and Results of Operations" included in our 2016 10-K, for a more complete understanding of our financial position and results of operations. In addition, investors should review the "Cautionary Note Regarding Forward-Looking Statements" above and the "Risk Factors" detailed in Part I, Item 1A of our 2016 10-K, as subsequently updated in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provide MI through our insurance subsidiaries. Our primary insurance subsidiary, NMIC, is approved as an MI provider by the GSEs and is licensed to write MI coverage in all 50 states and D.C. Both of our insurance subsidiaries, NMIC and Re One, are domiciled in Wisconsin and directly regulated by our primary regulator, the Wisconsin OCI. Re One solely provides statutorily required reinsurance to NMIC on insured loans with coverage levels in excess of 25%. Our subsidiary, NMIS, provides outsourced loan review services on a limited basis to mortgage loan originators. Our stock trades on the NASDAQ under the symbol "NMIH."</w:t>
      </w:r>
    </w:p>
    <w:p>
      <w:pPr>
        <w:spacing w:after="0" w:line="1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 LTV residential loans to the GSEs, who are otherwise restricted by their charters from purchasing or guaranteeing low down payment mortgages that are not covered by certain credit protections. Such credit protection and secondary market sales allow lenders to increase their capacity for mortgage commitments and expand financing access to prospective, primarily first-time, homeowners.</w:t>
      </w:r>
    </w:p>
    <w:p>
      <w:pPr>
        <w:spacing w:after="0" w:line="1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were formed in 2012 and wrote our first MI policy in 2013. Since formation, we have sought to establish customer relationships with a broad group of mortgage lenders and build a diversified, high-quality insured portfolio. As of June 30, 2017, we had master policy relationships with over 1,200 customers, including national and regional mortgage banks, money center banks, credit unions, community banks, builder-owned mortgage lenders and internet-sourced lenders. As of June 30, 2017, we had $42.1 billion of total insurance-in-force (IIF), including primary IIF of $38.6 billion, and $9.5 billion of gross RIF, including primary RIF of $9.4 billion.</w:t>
      </w:r>
    </w:p>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fair and transparent claims payment practices, responsive customer service, financial strength and profitability.</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discuss below our results of operations for the periods presented and the conditions and trends that have impacted or are expected to impact our business. Our headquarters are located in Emeryville, California and our website is </w:t>
      </w:r>
      <w:r>
        <w:rPr>
          <w:rFonts w:ascii="Times New Roman" w:cs="Times New Roman" w:eastAsia="Times New Roman" w:hAnsi="Times New Roman"/>
          <w:sz w:val="18"/>
          <w:szCs w:val="18"/>
          <w:i w:val="1"/>
          <w:iCs w:val="1"/>
          <w:color w:val="auto"/>
        </w:rPr>
        <w:t>www.nationalmi.com</w:t>
      </w:r>
      <w:r>
        <w:rPr>
          <w:rFonts w:ascii="Times New Roman" w:cs="Times New Roman" w:eastAsia="Times New Roman" w:hAnsi="Times New Roman"/>
          <w:sz w:val="18"/>
          <w:szCs w:val="18"/>
          <w:color w:val="auto"/>
        </w:rPr>
        <w:t>. Our website and the information contained on or accessible through our website are not incorporated by reference into this report.</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New Insurance Written, Insurance In Force and Risk In Force</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New insurance written (NIW) is the aggregate unpaid principal balance of mortgages underpinning new policies written during a given period. NIW is affected by the overall size of the mortgage origination market, the volume of low down payment mortgage originations, the percentage of such low down payment originations covered by private versus public mortgage insurance or other alternative credit enhancement structures, and our share of the private mortgage insurance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and claims payment).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having a lower coverage percentage and higher LTV loans having a higher coverage percentage. Gross RIF represents RIF without any consideration of the impact of reinsurance. Net RIF represents RIF net of ceded risk and is therefore affected by our reinsurance agreements.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76" w:right="2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Net Premiums Earned</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objective is to achieve a mid-teens return on PMIERs required assets and set our premiums on individual policies based on the risk characteristics of the underlying mortgage loans and borrowers, and in accordance with our filed rates and applicable rating rules. See " - </w:t>
      </w:r>
      <w:r>
        <w:rPr>
          <w:rFonts w:ascii="Times New Roman" w:cs="Times New Roman" w:eastAsia="Times New Roman" w:hAnsi="Times New Roman"/>
          <w:sz w:val="18"/>
          <w:szCs w:val="18"/>
          <w:i w:val="1"/>
          <w:iCs w:val="1"/>
          <w:color w:val="auto"/>
        </w:rPr>
        <w:t>GSE Oversight</w:t>
      </w:r>
      <w:r>
        <w:rPr>
          <w:rFonts w:ascii="Times New Roman" w:cs="Times New Roman" w:eastAsia="Times New Roman" w:hAnsi="Times New Roman"/>
          <w:sz w:val="18"/>
          <w:szCs w:val="18"/>
          <w:color w:val="auto"/>
        </w:rPr>
        <w:t>," below for a discussion of the PMIERs financial requirements.</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Premiums are generally fixed over the estimated life of the underlying loans. Net premiums written are equal to gross premiums written minus ceded premiums under our reinsurance arrangements. As a result, net premiums written are generally influenced by:</w:t>
      </w:r>
    </w:p>
    <w:p>
      <w:pPr>
        <w:spacing w:after="0" w:line="10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and premium payment type, which are either single, monthly or annual premiums, as described below;</w:t>
      </w:r>
    </w:p>
    <w:p>
      <w:pPr>
        <w:spacing w:after="0" w:line="11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rates of our insurance policies, which are impacted by payments or prepayments on mortgages, refinancings (which are affected by mortgage interest rates), levels of claims payments and home prices;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cession of premiums under reinsurance arrangements.</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initially recorded as unearned premium and earned over the estimated life of the policy. Substantially all of our single premium policies in force as of June 30, 2017 were non-refundable under most cancellation scenarios. If non-refundable single premium policies are canceled, we immediately recognize the remaining unearned premium balances as earned premium revenue. Monthly premiums are recognized in the month the coverage is effective. Annual premiums are earned on a straight-line basis over the year of coverage. Substantially all of our policies provide for either single or monthly premiums.</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substantially all of our single premium policies are non-refundable,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our profitability is likely to decline.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Effect of reinsurance on our results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utilize third-party reinsurance to actively manage our risk, ensure PMIERs compliance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agreeing to cover a negotiated portion of incurred losses. Such a quota share arrangement reduces net premiums written and earned and also reduces net RIF, providing capital relief to the ceding insurance company and reducing incurred claims in accordance with the terms of the reinsurance agreement. In addition, reinsurers typically pay ceding commissions as part of quota share transactions, which offset the ceding company’s underwriting expenses. Certain quota share agreements include profit commissions that are earned based on loss performance and serve to reduce ceded premiums. Under an excess-of-loss agreement, the insurer is typically responsible for losses up to an agreed-upon threshold and the reinsurer then provides coverage in excess of such threshold up to a maximum agreed-upon limit. In general, there are no ceding commissions under excess-of-loss reinsurance agreements. We expect to continue to evaluate reinsurance opportunities in the normal course of business.</w:t>
      </w:r>
    </w:p>
    <w:p>
      <w:pPr>
        <w:spacing w:after="0" w:line="13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2016, NMIC entered into the 2016 QSR Transaction. Under the terms of the 2016 QSR Transaction, NMIC (1) ceded 100% of the risk relating to our pool agreement with Fannie Mae, and (2) ceded or will cede 25% of the risk relating to eligible primary insurance policies written between September 1, 2016 and December 31, 2017, in exchange for reimbursement of ceded claims and claims expenses on covered policies, a 20% ceding commission, and a profit commission of up to 60% that varies directly and inversely with ceded losses.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May 2017, NMIC secured $211.3 million of aggregate excess-of-loss reinsurance coverage at inception for an existing portfolio of mortgage insurance policies written from 2013 through December 31, 2016, through a mortgage insurance-linked notes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630" w:right="2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offering by Oaktown Re. The reinsurance coverage amount under the terms of the 2017 ILN Transaction decreases over a ten-year period as the underlying covered mortgages amortize and was $197.2 million as of June 30, 2017. For the coverage period, NMIC will retain the first layer of $126.8 million of aggregate losses and Oaktown Re will then provide a second layer of coverage up to the outstanding reinsurance coverage amount. NMIC retains losses in excess of the outstanding reinsurance coverage amount.</w:t>
      </w:r>
    </w:p>
    <w:p>
      <w:pPr>
        <w:spacing w:after="0" w:line="12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See, Item 1, "</w:t>
      </w:r>
      <w:r>
        <w:rPr>
          <w:rFonts w:ascii="Times New Roman" w:cs="Times New Roman" w:eastAsia="Times New Roman" w:hAnsi="Times New Roman"/>
          <w:sz w:val="18"/>
          <w:szCs w:val="18"/>
          <w:i w:val="1"/>
          <w:iCs w:val="1"/>
          <w:color w:val="auto"/>
        </w:rPr>
        <w:t>Financial Statements - Notes to Condensed Consolidated Financial Statements - Note 5, Reinsurance</w:t>
      </w:r>
      <w:r>
        <w:rPr>
          <w:rFonts w:ascii="Times New Roman" w:cs="Times New Roman" w:eastAsia="Times New Roman" w:hAnsi="Times New Roman"/>
          <w:sz w:val="18"/>
          <w:szCs w:val="18"/>
          <w:color w:val="auto"/>
        </w:rPr>
        <w:t>" for further discussion of these third-party reinsurance arrangements.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Portfolio Data</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primary and pool IIF and NIW as of the dates and for the periods indicated. Unless otherwise noted, the tables below do not include the effects of our third-party reinsurance arrangements described above.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Primary and pool IIF and NIW</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64"/>
        </w:trPr>
        <w:tc>
          <w:tcPr>
            <w:tcW w:w="2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84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64"/>
        </w:trPr>
        <w:tc>
          <w:tcPr>
            <w:tcW w:w="2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IIF</w:t>
            </w:r>
          </w:p>
        </w:tc>
        <w:tc>
          <w:tcPr>
            <w:tcW w:w="440" w:type="dxa"/>
            <w:vAlign w:val="bottom"/>
          </w:tcPr>
          <w:p>
            <w:pPr>
              <w:spacing w:after="0"/>
              <w:rPr>
                <w:sz w:val="22"/>
                <w:szCs w:val="22"/>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NIW</w:t>
            </w:r>
          </w:p>
        </w:tc>
        <w:tc>
          <w:tcPr>
            <w:tcW w:w="4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IIF</w:t>
            </w:r>
          </w:p>
        </w:tc>
        <w:tc>
          <w:tcPr>
            <w:tcW w:w="42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NIW</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NIW</w:t>
            </w:r>
          </w:p>
        </w:tc>
        <w:tc>
          <w:tcPr>
            <w:tcW w:w="1100" w:type="dxa"/>
            <w:vAlign w:val="bottom"/>
          </w:tcPr>
          <w:p>
            <w:pPr>
              <w:spacing w:after="0"/>
              <w:rPr>
                <w:sz w:val="22"/>
                <w:szCs w:val="22"/>
                <w:color w:val="auto"/>
              </w:rPr>
            </w:pPr>
          </w:p>
        </w:tc>
      </w:tr>
      <w:tr>
        <w:trPr>
          <w:trHeight w:val="250"/>
        </w:trPr>
        <w:tc>
          <w:tcPr>
            <w:tcW w:w="28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460" w:type="dxa"/>
            <w:vAlign w:val="bottom"/>
            <w:tcBorders>
              <w:top w:val="single" w:sz="8" w:color="auto"/>
            </w:tcBorders>
            <w:gridSpan w:val="3"/>
          </w:tcPr>
          <w:p>
            <w:pPr>
              <w:jc w:val="right"/>
              <w:ind w:right="853"/>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55"/>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Monthly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24,865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4,099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12,529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3,700</w:t>
            </w: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6,192</w:t>
            </w: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Single</w:t>
            </w:r>
          </w:p>
        </w:tc>
        <w:tc>
          <w:tcPr>
            <w:tcW w:w="32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13,764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11,095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2,138</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3,900</w:t>
            </w:r>
          </w:p>
        </w:tc>
      </w:tr>
      <w:tr>
        <w:trPr>
          <w:trHeight w:val="27"/>
        </w:trPr>
        <w:tc>
          <w:tcPr>
            <w:tcW w:w="2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Primary</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38,629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23,624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5,838</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10,092</w:t>
            </w:r>
          </w:p>
        </w:tc>
      </w:tr>
      <w:tr>
        <w:trPr>
          <w:trHeight w:val="176"/>
        </w:trPr>
        <w:tc>
          <w:tcPr>
            <w:tcW w:w="2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Pool</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3,999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42,076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5,037</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27,623</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5,838</w:t>
            </w:r>
          </w:p>
        </w:tc>
        <w:tc>
          <w:tcPr>
            <w:tcW w:w="5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10,092</w:t>
            </w:r>
          </w:p>
        </w:tc>
      </w:tr>
      <w:tr>
        <w:trPr>
          <w:trHeight w:val="20"/>
        </w:trPr>
        <w:tc>
          <w:tcPr>
            <w:tcW w:w="2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2017, primary NIW decreased 14% and 15% respectively, compared to the same periods a year ago. The decreases were due to reductions in our single policy production, driven primarily by actions we initiated to reduce the concentration of single policies in our product mix. These decreases were partially offset by growth in our monthly policy volume. For the three and six months ended June 30, 2017, monthly premium NIW increased 11% and 13% respectively, compared to the same periods a year ago, driven primarily by the growth of our customer base.</w:t>
      </w:r>
    </w:p>
    <w:p>
      <w:pPr>
        <w:spacing w:after="0" w:line="2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2017, 81% of our NIW related to monthly premium policies. As of June 30, 2017, monthly premium policies accounted for 64% of our primary IIF, as compared to 60% at December 31, 2016. We expect the break-down of monthly premium policies and single premium policies in our primary IIF (which we refer to as "mix") to continue to trend toward our current NIW mix over time.</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net premiums written and earned for the periods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Primary and pool premiums written and earned</w:t>
            </w: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64"/>
        </w:trPr>
        <w:tc>
          <w:tcPr>
            <w:tcW w:w="4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50"/>
        </w:trPr>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80" w:type="dxa"/>
            <w:vAlign w:val="bottom"/>
            <w:gridSpan w:val="3"/>
          </w:tcPr>
          <w:p>
            <w:pPr>
              <w:jc w:val="right"/>
              <w:ind w:right="11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5"/>
        </w:trPr>
        <w:tc>
          <w:tcPr>
            <w:tcW w:w="4580" w:type="dxa"/>
            <w:vAlign w:val="bottom"/>
            <w:shd w:val="clear" w:color="auto" w:fill="CCEEFF"/>
          </w:tcPr>
          <w:p>
            <w:pPr>
              <w:ind w:left="40"/>
              <w:spacing w:after="0" w:line="275" w:lineRule="exact"/>
              <w:rPr>
                <w:sz w:val="20"/>
                <w:szCs w:val="20"/>
                <w:color w:val="auto"/>
              </w:rPr>
            </w:pPr>
            <w:r>
              <w:rPr>
                <w:rFonts w:ascii="Times New Roman" w:cs="Times New Roman" w:eastAsia="Times New Roman" w:hAnsi="Times New Roman"/>
                <w:sz w:val="18"/>
                <w:szCs w:val="18"/>
                <w:color w:val="auto"/>
              </w:rPr>
              <w:t xml:space="preserve">Net premiums written </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39,786</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74,389</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86,991</w:t>
            </w:r>
          </w:p>
        </w:tc>
      </w:tr>
      <w:tr>
        <w:trPr>
          <w:trHeight w:val="341"/>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Net premiums earned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4"/>
                <w:szCs w:val="24"/>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37,917</w:t>
            </w:r>
          </w:p>
        </w:tc>
        <w:tc>
          <w:tcPr>
            <w:tcW w:w="3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26,041</w:t>
            </w:r>
          </w:p>
        </w:tc>
        <w:tc>
          <w:tcPr>
            <w:tcW w:w="3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71,142</w:t>
            </w:r>
          </w:p>
        </w:tc>
        <w:tc>
          <w:tcPr>
            <w:tcW w:w="320" w:type="dxa"/>
            <w:vAlign w:val="bottom"/>
          </w:tcPr>
          <w:p>
            <w:pPr>
              <w:spacing w:after="0"/>
              <w:rPr>
                <w:sz w:val="24"/>
                <w:szCs w:val="24"/>
                <w:color w:val="auto"/>
              </w:rPr>
            </w:pP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45,848</w:t>
            </w:r>
          </w:p>
        </w:tc>
      </w:tr>
    </w:tbl>
    <w:p>
      <w:pPr>
        <w:spacing w:after="0" w:line="69"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Net premiums written and earned are reported net of reinsurance.</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2017, net premiums written decreased 19% and 14%, respectively and net premiums earned increased 46% and 55%, respectively, compared to the same periods in 2016. The decrease in net premiums written is due primarily to the reduction in single policy production and the effects of the 2016 QSR Transaction and 2017 ILN Transaction, partially offset by growth in our monthly policy production and IIF. The increase in net premiums earned is primarily due to growth in our monthly policy production and IIF, partially offset by the effects of the 2016 QSR Transaction and 2017 ILN Transaction.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Statistics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noted, the portfolio statistics tables presented below do not include the effects of our third-party reinsurance arrangements described above. The table below highlights trends in our primary portfolio as of the date and for the periods indicated.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Primary portfolio trends</w:t>
            </w: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gridSpan w:val="5"/>
          </w:tcPr>
          <w:p>
            <w:pPr>
              <w:jc w:val="right"/>
              <w:ind w:right="1351"/>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28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50"/>
        </w:trPr>
        <w:tc>
          <w:tcPr>
            <w:tcW w:w="2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5"/>
        </w:trPr>
        <w:tc>
          <w:tcPr>
            <w:tcW w:w="2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New insurance written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5,037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3,559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5,240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5,857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5,838</w:t>
            </w:r>
          </w:p>
        </w:tc>
      </w:tr>
      <w:tr>
        <w:trPr>
          <w:trHeight w:val="243"/>
        </w:trPr>
        <w:tc>
          <w:tcPr>
            <w:tcW w:w="2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New risk written</w:t>
            </w:r>
          </w:p>
        </w:tc>
        <w:tc>
          <w:tcPr>
            <w:tcW w:w="260" w:type="dxa"/>
            <w:vAlign w:val="bottom"/>
          </w:tcPr>
          <w:p>
            <w:pPr>
              <w:spacing w:after="0"/>
              <w:rPr>
                <w:sz w:val="21"/>
                <w:szCs w:val="21"/>
                <w:color w:val="auto"/>
              </w:rPr>
            </w:pPr>
          </w:p>
        </w:tc>
        <w:tc>
          <w:tcPr>
            <w:tcW w:w="1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1,242</w:t>
            </w:r>
          </w:p>
        </w:tc>
        <w:tc>
          <w:tcPr>
            <w:tcW w:w="280" w:type="dxa"/>
            <w:vAlign w:val="bottom"/>
          </w:tcPr>
          <w:p>
            <w:pPr>
              <w:spacing w:after="0"/>
              <w:rPr>
                <w:sz w:val="21"/>
                <w:szCs w:val="21"/>
                <w:color w:val="auto"/>
              </w:rPr>
            </w:pP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868</w:t>
            </w:r>
          </w:p>
        </w:tc>
        <w:tc>
          <w:tcPr>
            <w:tcW w:w="22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1,244</w:t>
            </w:r>
          </w:p>
        </w:tc>
        <w:tc>
          <w:tcPr>
            <w:tcW w:w="220" w:type="dxa"/>
            <w:vAlign w:val="bottom"/>
          </w:tcPr>
          <w:p>
            <w:pPr>
              <w:spacing w:after="0"/>
              <w:rPr>
                <w:sz w:val="21"/>
                <w:szCs w:val="21"/>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1,415</w:t>
            </w:r>
          </w:p>
        </w:tc>
        <w:tc>
          <w:tcPr>
            <w:tcW w:w="32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1,411</w:t>
            </w:r>
          </w:p>
        </w:tc>
      </w:tr>
      <w:tr>
        <w:trPr>
          <w:trHeight w:val="27"/>
        </w:trPr>
        <w:tc>
          <w:tcPr>
            <w:tcW w:w="2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84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Insurance in force </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38,629</w:t>
            </w: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34,779</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32,168</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28,228</w:t>
            </w: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23,624</w:t>
            </w:r>
          </w:p>
        </w:tc>
      </w:tr>
      <w:tr>
        <w:trPr>
          <w:trHeight w:val="270"/>
        </w:trPr>
        <w:tc>
          <w:tcPr>
            <w:tcW w:w="284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Risk in force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3"/>
                <w:szCs w:val="23"/>
                <w:color w:val="auto"/>
              </w:rPr>
            </w:pPr>
          </w:p>
        </w:tc>
        <w:tc>
          <w:tcPr>
            <w:tcW w:w="1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9,417</w:t>
            </w:r>
          </w:p>
        </w:tc>
        <w:tc>
          <w:tcPr>
            <w:tcW w:w="280" w:type="dxa"/>
            <w:vAlign w:val="bottom"/>
          </w:tcPr>
          <w:p>
            <w:pPr>
              <w:spacing w:after="0"/>
              <w:rPr>
                <w:sz w:val="23"/>
                <w:szCs w:val="23"/>
                <w:color w:val="auto"/>
              </w:rPr>
            </w:pP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8,444</w:t>
            </w:r>
          </w:p>
        </w:tc>
        <w:tc>
          <w:tcPr>
            <w:tcW w:w="220" w:type="dxa"/>
            <w:vAlign w:val="bottom"/>
          </w:tcPr>
          <w:p>
            <w:pPr>
              <w:spacing w:after="0"/>
              <w:rPr>
                <w:sz w:val="23"/>
                <w:szCs w:val="23"/>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7,790</w:t>
            </w:r>
          </w:p>
        </w:tc>
        <w:tc>
          <w:tcPr>
            <w:tcW w:w="220" w:type="dxa"/>
            <w:vAlign w:val="bottom"/>
          </w:tcPr>
          <w:p>
            <w:pPr>
              <w:spacing w:after="0"/>
              <w:rPr>
                <w:sz w:val="23"/>
                <w:szCs w:val="23"/>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6,847</w:t>
            </w:r>
          </w:p>
        </w:tc>
        <w:tc>
          <w:tcPr>
            <w:tcW w:w="320" w:type="dxa"/>
            <w:vAlign w:val="bottom"/>
          </w:tcPr>
          <w:p>
            <w:pPr>
              <w:spacing w:after="0"/>
              <w:rPr>
                <w:sz w:val="23"/>
                <w:szCs w:val="23"/>
                <w:color w:val="auto"/>
              </w:rPr>
            </w:pP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5,721</w:t>
            </w:r>
          </w:p>
        </w:tc>
      </w:tr>
      <w:tr>
        <w:trPr>
          <w:trHeight w:val="270"/>
        </w:trPr>
        <w:tc>
          <w:tcPr>
            <w:tcW w:w="284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Policies in force (count) </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161,195</w:t>
            </w: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145,632</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134,662</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119,002</w:t>
            </w: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100,547</w:t>
            </w:r>
          </w:p>
        </w:tc>
      </w:tr>
      <w:tr>
        <w:trPr>
          <w:trHeight w:val="270"/>
        </w:trPr>
        <w:tc>
          <w:tcPr>
            <w:tcW w:w="284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Weighted-average coverage </w:t>
            </w:r>
            <w:r>
              <w:rPr>
                <w:rFonts w:ascii="Times New Roman" w:cs="Times New Roman" w:eastAsia="Times New Roman" w:hAnsi="Times New Roman"/>
                <w:sz w:val="25"/>
                <w:szCs w:val="25"/>
                <w:color w:val="auto"/>
                <w:vertAlign w:val="superscript"/>
              </w:rPr>
              <w:t>(2)</w:t>
            </w:r>
          </w:p>
        </w:tc>
        <w:tc>
          <w:tcPr>
            <w:tcW w:w="26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50"/>
        </w:trPr>
        <w:tc>
          <w:tcPr>
            <w:tcW w:w="2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Loans in default (count)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2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Percentage of loans in default</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2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Risk in force on defaulted loans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284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Average premium yield </w:t>
            </w:r>
            <w:r>
              <w:rPr>
                <w:rFonts w:ascii="Times New Roman" w:cs="Times New Roman" w:eastAsia="Times New Roman" w:hAnsi="Times New Roman"/>
                <w:sz w:val="25"/>
                <w:szCs w:val="25"/>
                <w:color w:val="auto"/>
                <w:vertAlign w:val="superscript"/>
              </w:rPr>
              <w:t>(3)</w:t>
            </w:r>
          </w:p>
        </w:tc>
        <w:tc>
          <w:tcPr>
            <w:tcW w:w="26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0.41%</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50"/>
        </w:trPr>
        <w:tc>
          <w:tcPr>
            <w:tcW w:w="2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Earnings from cancellations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2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Annual persistency</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83.1%</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7"/>
        </w:trPr>
        <w:tc>
          <w:tcPr>
            <w:tcW w:w="2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84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Quarterly run-off </w:t>
            </w:r>
            <w:r>
              <w:rPr>
                <w:rFonts w:ascii="Times New Roman" w:cs="Times New Roman" w:eastAsia="Times New Roman" w:hAnsi="Times New Roman"/>
                <w:sz w:val="25"/>
                <w:szCs w:val="25"/>
                <w:color w:val="auto"/>
                <w:vertAlign w:val="superscript"/>
              </w:rPr>
              <w:t>(4)</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139" w:lineRule="exact"/>
        <w:rPr>
          <w:sz w:val="20"/>
          <w:szCs w:val="20"/>
          <w:color w:val="auto"/>
        </w:rPr>
      </w:pPr>
    </w:p>
    <w:p>
      <w:pPr>
        <w:ind w:left="820" w:hanging="488"/>
        <w:spacing w:after="0"/>
        <w:tabs>
          <w:tab w:leader="none" w:pos="82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Reported as of the end of the period.</w:t>
      </w:r>
    </w:p>
    <w:p>
      <w:pPr>
        <w:spacing w:after="0" w:line="17" w:lineRule="exact"/>
        <w:rPr>
          <w:rFonts w:ascii="Times New Roman" w:cs="Times New Roman" w:eastAsia="Times New Roman" w:hAnsi="Times New Roman"/>
          <w:sz w:val="9"/>
          <w:szCs w:val="9"/>
          <w:color w:val="auto"/>
        </w:rPr>
      </w:pPr>
    </w:p>
    <w:p>
      <w:pPr>
        <w:ind w:left="820" w:hanging="488"/>
        <w:spacing w:after="0"/>
        <w:tabs>
          <w:tab w:leader="none" w:pos="82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as end of period RIF divided by IIF.</w:t>
      </w:r>
    </w:p>
    <w:p>
      <w:pPr>
        <w:spacing w:after="0" w:line="1" w:lineRule="exact"/>
        <w:rPr>
          <w:rFonts w:ascii="Times New Roman" w:cs="Times New Roman" w:eastAsia="Times New Roman" w:hAnsi="Times New Roman"/>
          <w:sz w:val="9"/>
          <w:szCs w:val="9"/>
          <w:color w:val="auto"/>
        </w:rPr>
      </w:pPr>
    </w:p>
    <w:p>
      <w:pPr>
        <w:ind w:left="820" w:hanging="488"/>
        <w:spacing w:after="0"/>
        <w:tabs>
          <w:tab w:leader="none" w:pos="82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as net primary and pool premiums earned, net of reinsurance, divided by average gross IIF for the period, annualized.</w:t>
      </w:r>
    </w:p>
    <w:p>
      <w:pPr>
        <w:spacing w:after="0" w:line="1" w:lineRule="exact"/>
        <w:rPr>
          <w:rFonts w:ascii="Times New Roman" w:cs="Times New Roman" w:eastAsia="Times New Roman" w:hAnsi="Times New Roman"/>
          <w:sz w:val="9"/>
          <w:szCs w:val="9"/>
          <w:color w:val="auto"/>
        </w:rPr>
      </w:pPr>
    </w:p>
    <w:p>
      <w:pPr>
        <w:ind w:left="820" w:hanging="488"/>
        <w:spacing w:after="0"/>
        <w:tabs>
          <w:tab w:leader="none" w:pos="82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as the percentage of IIF that is no longer on our books after any three-month period.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a summary of the change in total primary IIF during the periods indicated.</w:t>
      </w:r>
    </w:p>
    <w:p>
      <w:pPr>
        <w:spacing w:after="0" w:line="200" w:lineRule="exact"/>
        <w:rPr>
          <w:sz w:val="20"/>
          <w:szCs w:val="20"/>
          <w:color w:val="auto"/>
        </w:rPr>
      </w:pPr>
    </w:p>
    <w:p>
      <w:pPr>
        <w:spacing w:after="0" w:line="35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w:t>
            </w: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64"/>
        </w:trPr>
        <w:tc>
          <w:tcPr>
            <w:tcW w:w="4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50"/>
        </w:trPr>
        <w:tc>
          <w:tcPr>
            <w:tcW w:w="4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5"/>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IIF, beginning of period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34,779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18,564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32,168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14,824</w:t>
            </w:r>
          </w:p>
        </w:tc>
      </w:tr>
      <w:tr>
        <w:trPr>
          <w:trHeight w:val="243"/>
        </w:trPr>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NIW</w:t>
            </w:r>
          </w:p>
        </w:tc>
        <w:tc>
          <w:tcPr>
            <w:tcW w:w="26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5,037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5,838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8,596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10,092</w:t>
            </w:r>
          </w:p>
        </w:tc>
      </w:tr>
      <w:tr>
        <w:trPr>
          <w:trHeight w:val="27"/>
        </w:trPr>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Cancellations and other reductions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5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IIF,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38,629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23,624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38,629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23,624</w:t>
            </w: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08"/>
        </w:trPr>
        <w:tc>
          <w:tcPr>
            <w:tcW w:w="4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7" w:name="page28"/>
    <w:bookmarkEnd w:id="2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a summary of our primary IIF and RIF by book year as of the dates indicated.</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Primary IIF and RIF</w:t>
            </w:r>
          </w:p>
        </w:tc>
        <w:tc>
          <w:tcPr>
            <w:tcW w:w="10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 2016</w:t>
            </w:r>
          </w:p>
        </w:tc>
        <w:tc>
          <w:tcPr>
            <w:tcW w:w="100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IIF</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RIF</w:t>
            </w: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IIF</w:t>
            </w: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RIF</w:t>
            </w:r>
          </w:p>
        </w:tc>
      </w:tr>
      <w:tr>
        <w:trPr>
          <w:trHeight w:val="250"/>
        </w:trPr>
        <w:tc>
          <w:tcPr>
            <w:tcW w:w="4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7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8,460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08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19,288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9,951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2,393</w:t>
            </w:r>
          </w:p>
        </w:tc>
      </w:tr>
      <w:tr>
        <w:trPr>
          <w:trHeight w:val="27"/>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9,243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11,348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2,762</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08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552</w:t>
            </w:r>
          </w:p>
        </w:tc>
      </w:tr>
      <w:tr>
        <w:trPr>
          <w:trHeight w:val="27"/>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10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38,629</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9,417</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23,624</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5,721</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utilize certain risk principles that form the basis of how we underwrite and originate primary NIW. We manage our portfolio credit risk by using several loan eligibility matrices which prescribe the maximum LTV, minimum borrower credit score, maximum borrower debt-to-income ratio, maximum loan size, property type, loan type, loan term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w:t>
      </w:r>
    </w:p>
    <w:p>
      <w:pPr>
        <w:spacing w:after="0" w:line="2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below reflect our primary NIW by FICO, LTV and purchase/refinance mix for the periods indicated. We calculate the LTV of a loan as the percentage of the original loan amount to the original value of the property securing the loan.</w:t>
      </w:r>
    </w:p>
    <w:p>
      <w:pPr>
        <w:spacing w:after="0" w:line="331"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3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Primary NIW by FICO</w:t>
            </w:r>
          </w:p>
        </w:tc>
        <w:tc>
          <w:tcPr>
            <w:tcW w:w="30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5"/>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64"/>
        </w:trPr>
        <w:tc>
          <w:tcPr>
            <w:tcW w:w="37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4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50"/>
        </w:trPr>
        <w:tc>
          <w:tcPr>
            <w:tcW w:w="3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5"/>
        </w:trPr>
        <w:tc>
          <w:tcPr>
            <w:tcW w:w="3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&gt;= 760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5,442</w:t>
            </w:r>
          </w:p>
        </w:tc>
      </w:tr>
      <w:tr>
        <w:trPr>
          <w:trHeight w:val="243"/>
        </w:trPr>
        <w:tc>
          <w:tcPr>
            <w:tcW w:w="3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740-759</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1,672</w:t>
            </w:r>
          </w:p>
        </w:tc>
      </w:tr>
      <w:tr>
        <w:trPr>
          <w:trHeight w:val="27"/>
        </w:trPr>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720-739</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1,144</w:t>
            </w:r>
          </w:p>
        </w:tc>
      </w:tr>
      <w:tr>
        <w:trPr>
          <w:trHeight w:val="243"/>
        </w:trPr>
        <w:tc>
          <w:tcPr>
            <w:tcW w:w="3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700-719</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952</w:t>
            </w:r>
          </w:p>
        </w:tc>
      </w:tr>
      <w:tr>
        <w:trPr>
          <w:trHeight w:val="27"/>
        </w:trPr>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680-699</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554</w:t>
            </w:r>
          </w:p>
        </w:tc>
      </w:tr>
      <w:tr>
        <w:trPr>
          <w:trHeight w:val="243"/>
        </w:trPr>
        <w:tc>
          <w:tcPr>
            <w:tcW w:w="3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&lt;=679</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328</w:t>
            </w:r>
          </w:p>
        </w:tc>
      </w:tr>
      <w:tr>
        <w:trPr>
          <w:trHeight w:val="27"/>
        </w:trPr>
        <w:tc>
          <w:tcPr>
            <w:tcW w:w="3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5,838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8,596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10,092</w:t>
            </w:r>
          </w:p>
        </w:tc>
      </w:tr>
      <w:tr>
        <w:trPr>
          <w:trHeight w:val="257"/>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FICO</w:t>
            </w:r>
          </w:p>
        </w:tc>
        <w:tc>
          <w:tcPr>
            <w:tcW w:w="3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756</w:t>
            </w:r>
          </w:p>
        </w:tc>
      </w:tr>
      <w:tr>
        <w:trPr>
          <w:trHeight w:val="20"/>
        </w:trPr>
        <w:tc>
          <w:tcPr>
            <w:tcW w:w="3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608"/>
        </w:trPr>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LTV</w:t>
            </w: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5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6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5"/>
        </w:trPr>
        <w:tc>
          <w:tcPr>
            <w:tcW w:w="8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95.01% and above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474</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58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7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571</w:t>
            </w:r>
          </w:p>
        </w:tc>
        <w:tc>
          <w:tcPr>
            <w:tcW w:w="60" w:type="dxa"/>
            <w:vAlign w:val="bottom"/>
          </w:tcPr>
          <w:p>
            <w:pPr>
              <w:spacing w:after="0"/>
              <w:rPr>
                <w:sz w:val="22"/>
                <w:szCs w:val="22"/>
                <w:color w:val="auto"/>
              </w:rPr>
            </w:pPr>
          </w:p>
        </w:tc>
      </w:tr>
      <w:tr>
        <w:trPr>
          <w:trHeight w:val="243"/>
        </w:trPr>
        <w:tc>
          <w:tcPr>
            <w:tcW w:w="80" w:type="dxa"/>
            <w:vAlign w:val="bottom"/>
          </w:tcPr>
          <w:p>
            <w:pPr>
              <w:spacing w:after="0"/>
              <w:rPr>
                <w:sz w:val="21"/>
                <w:szCs w:val="21"/>
                <w:color w:val="auto"/>
              </w:rPr>
            </w:pPr>
          </w:p>
        </w:tc>
        <w:tc>
          <w:tcPr>
            <w:tcW w:w="3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90.01% to 95.00%</w:t>
            </w:r>
          </w:p>
        </w:tc>
        <w:tc>
          <w:tcPr>
            <w:tcW w:w="300" w:type="dxa"/>
            <w:vAlign w:val="bottom"/>
          </w:tcPr>
          <w:p>
            <w:pPr>
              <w:spacing w:after="0"/>
              <w:rPr>
                <w:sz w:val="21"/>
                <w:szCs w:val="21"/>
                <w:color w:val="auto"/>
              </w:rPr>
            </w:pP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2,297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4,448</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85.01% to 90.00%</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1,506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3,153</w:t>
            </w: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3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85.00% and below</w:t>
            </w:r>
          </w:p>
        </w:tc>
        <w:tc>
          <w:tcPr>
            <w:tcW w:w="300" w:type="dxa"/>
            <w:vAlign w:val="bottom"/>
          </w:tcPr>
          <w:p>
            <w:pPr>
              <w:spacing w:after="0"/>
              <w:rPr>
                <w:sz w:val="21"/>
                <w:szCs w:val="21"/>
                <w:color w:val="auto"/>
              </w:rPr>
            </w:pP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1,920</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4"/>
        </w:trPr>
        <w:tc>
          <w:tcPr>
            <w:tcW w:w="8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5,037</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58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7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10,092</w:t>
            </w:r>
          </w:p>
        </w:tc>
        <w:tc>
          <w:tcPr>
            <w:tcW w:w="60" w:type="dxa"/>
            <w:vAlign w:val="bottom"/>
          </w:tcPr>
          <w:p>
            <w:pPr>
              <w:spacing w:after="0"/>
              <w:rPr>
                <w:sz w:val="22"/>
                <w:szCs w:val="22"/>
                <w:color w:val="auto"/>
              </w:rPr>
            </w:pPr>
          </w:p>
        </w:tc>
      </w:tr>
      <w:tr>
        <w:trPr>
          <w:trHeight w:val="257"/>
        </w:trPr>
        <w:tc>
          <w:tcPr>
            <w:tcW w:w="80" w:type="dxa"/>
            <w:vAlign w:val="bottom"/>
          </w:tcPr>
          <w:p>
            <w:pPr>
              <w:spacing w:after="0"/>
              <w:rPr>
                <w:sz w:val="22"/>
                <w:szCs w:val="22"/>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LTV</w:t>
            </w:r>
          </w:p>
        </w:tc>
        <w:tc>
          <w:tcPr>
            <w:tcW w:w="30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8"/>
                <w:szCs w:val="18"/>
                <w:color w:val="auto"/>
              </w:rPr>
              <w:t>91.73%</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60" w:type="dxa"/>
            <w:vAlign w:val="bottom"/>
          </w:tcPr>
          <w:p>
            <w:pPr>
              <w:spacing w:after="0"/>
              <w:rPr>
                <w:sz w:val="22"/>
                <w:szCs w:val="22"/>
                <w:color w:val="auto"/>
              </w:rPr>
            </w:pPr>
          </w:p>
        </w:tc>
      </w:tr>
      <w:tr>
        <w:trPr>
          <w:trHeight w:val="20"/>
        </w:trPr>
        <w:tc>
          <w:tcPr>
            <w:tcW w:w="376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9"/>
        </w:trPr>
        <w:tc>
          <w:tcPr>
            <w:tcW w:w="3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Primary NIW by purchase/refinance mix</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60" w:type="dxa"/>
            <w:vAlign w:val="bottom"/>
            <w:tcBorders>
              <w:bottom w:val="single" w:sz="8" w:color="auto"/>
            </w:tcBorders>
          </w:tcPr>
          <w:p>
            <w:pPr>
              <w:spacing w:after="0"/>
              <w:rPr>
                <w:sz w:val="24"/>
                <w:szCs w:val="24"/>
                <w:color w:val="auto"/>
              </w:rPr>
            </w:pPr>
          </w:p>
        </w:tc>
      </w:tr>
      <w:tr>
        <w:trPr>
          <w:trHeight w:val="264"/>
        </w:trPr>
        <w:tc>
          <w:tcPr>
            <w:tcW w:w="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3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60" w:type="dxa"/>
            <w:vAlign w:val="bottom"/>
            <w:tcBorders>
              <w:bottom w:val="single" w:sz="8" w:color="auto"/>
            </w:tcBorders>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80" w:type="dxa"/>
            <w:vAlign w:val="bottom"/>
            <w:gridSpan w:val="3"/>
          </w:tcPr>
          <w:p>
            <w:pPr>
              <w:jc w:val="right"/>
              <w:ind w:right="17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5"/>
        </w:trPr>
        <w:tc>
          <w:tcPr>
            <w:tcW w:w="80" w:type="dxa"/>
            <w:vAlign w:val="bottom"/>
            <w:tcBorders>
              <w:bottom w:val="single" w:sz="8" w:color="CCEEFF"/>
            </w:tcBorders>
            <w:shd w:val="clear" w:color="auto" w:fill="CCEEFF"/>
          </w:tcPr>
          <w:p>
            <w:pPr>
              <w:spacing w:after="0"/>
              <w:rPr>
                <w:sz w:val="22"/>
                <w:szCs w:val="22"/>
                <w:color w:val="auto"/>
              </w:rPr>
            </w:pPr>
          </w:p>
        </w:tc>
        <w:tc>
          <w:tcPr>
            <w:tcW w:w="3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w:t>
            </w:r>
          </w:p>
        </w:tc>
        <w:tc>
          <w:tcPr>
            <w:tcW w:w="3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98"/>
              </w:rPr>
              <w:t>4,199</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80" w:type="dxa"/>
            <w:vAlign w:val="bottom"/>
          </w:tcPr>
          <w:p>
            <w:pPr>
              <w:spacing w:after="0"/>
              <w:rPr>
                <w:sz w:val="21"/>
                <w:szCs w:val="21"/>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Refinance</w:t>
            </w: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w w:val="98"/>
              </w:rPr>
              <w:t>1,639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60" w:type="dxa"/>
            <w:vAlign w:val="bottom"/>
          </w:tcPr>
          <w:p>
            <w:pPr>
              <w:spacing w:after="0"/>
              <w:rPr>
                <w:sz w:val="21"/>
                <w:szCs w:val="21"/>
                <w:color w:val="auto"/>
              </w:rPr>
            </w:pPr>
          </w:p>
        </w:tc>
      </w:tr>
      <w:tr>
        <w:trPr>
          <w:trHeight w:val="27"/>
        </w:trPr>
        <w:tc>
          <w:tcPr>
            <w:tcW w:w="37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7"/>
        </w:trPr>
        <w:tc>
          <w:tcPr>
            <w:tcW w:w="3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4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98"/>
              </w:rPr>
              <w:t>5,838</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8,596</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60" w:type="dxa"/>
            <w:vAlign w:val="bottom"/>
            <w:shd w:val="clear" w:color="auto" w:fill="CCEEFF"/>
          </w:tcPr>
          <w:p>
            <w:pPr>
              <w:spacing w:after="0"/>
              <w:rPr>
                <w:sz w:val="22"/>
                <w:szCs w:val="22"/>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tables below reflect our total primary IIF and RIF by FICO and LTV and total primary RIF by loan type as of the dates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Primary IIF by FICO</w:t>
            </w: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64"/>
        </w:trPr>
        <w:tc>
          <w:tcPr>
            <w:tcW w:w="55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740" w:type="dxa"/>
            <w:vAlign w:val="bottom"/>
            <w:tcBorders>
              <w:bottom w:val="single" w:sz="8" w:color="auto"/>
            </w:tcBorders>
          </w:tcPr>
          <w:p>
            <w:pPr>
              <w:spacing w:after="0"/>
              <w:rPr>
                <w:sz w:val="22"/>
                <w:szCs w:val="22"/>
                <w:color w:val="auto"/>
              </w:rPr>
            </w:pPr>
          </w:p>
        </w:tc>
      </w:tr>
      <w:tr>
        <w:trPr>
          <w:trHeight w:val="250"/>
        </w:trPr>
        <w:tc>
          <w:tcPr>
            <w:tcW w:w="5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14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5"/>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&gt;= 760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19,224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11,929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740-759</w:t>
            </w:r>
          </w:p>
        </w:tc>
        <w:tc>
          <w:tcPr>
            <w:tcW w:w="520" w:type="dxa"/>
            <w:vAlign w:val="bottom"/>
          </w:tcPr>
          <w:p>
            <w:pPr>
              <w:spacing w:after="0"/>
              <w:rPr>
                <w:sz w:val="21"/>
                <w:szCs w:val="21"/>
                <w:color w:val="auto"/>
              </w:rPr>
            </w:pPr>
          </w:p>
        </w:tc>
        <w:tc>
          <w:tcPr>
            <w:tcW w:w="162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6,269</w:t>
            </w: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6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3,876</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720-739</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4,927</w:t>
            </w: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3,082</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700-719</w:t>
            </w:r>
          </w:p>
        </w:tc>
        <w:tc>
          <w:tcPr>
            <w:tcW w:w="520" w:type="dxa"/>
            <w:vAlign w:val="bottom"/>
          </w:tcPr>
          <w:p>
            <w:pPr>
              <w:spacing w:after="0"/>
              <w:rPr>
                <w:sz w:val="21"/>
                <w:szCs w:val="21"/>
                <w:color w:val="auto"/>
              </w:rPr>
            </w:pPr>
          </w:p>
        </w:tc>
        <w:tc>
          <w:tcPr>
            <w:tcW w:w="162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3,973</w:t>
            </w: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6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2,341</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680-699</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2,615</w:t>
            </w: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1,561</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&lt;=679</w:t>
            </w:r>
          </w:p>
        </w:tc>
        <w:tc>
          <w:tcPr>
            <w:tcW w:w="520" w:type="dxa"/>
            <w:vAlign w:val="bottom"/>
          </w:tcPr>
          <w:p>
            <w:pPr>
              <w:spacing w:after="0"/>
              <w:rPr>
                <w:sz w:val="21"/>
                <w:szCs w:val="21"/>
                <w:color w:val="auto"/>
              </w:rPr>
            </w:pPr>
          </w:p>
        </w:tc>
        <w:tc>
          <w:tcPr>
            <w:tcW w:w="162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1,621</w:t>
            </w: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6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835</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38,629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23,624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82"/>
        </w:trPr>
        <w:tc>
          <w:tcPr>
            <w:tcW w:w="5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Primary RIF by FICO</w:t>
            </w:r>
          </w:p>
        </w:tc>
        <w:tc>
          <w:tcPr>
            <w:tcW w:w="5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64"/>
        </w:trPr>
        <w:tc>
          <w:tcPr>
            <w:tcW w:w="55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740" w:type="dxa"/>
            <w:vAlign w:val="bottom"/>
            <w:tcBorders>
              <w:bottom w:val="single" w:sz="8" w:color="auto"/>
            </w:tcBorders>
          </w:tcPr>
          <w:p>
            <w:pPr>
              <w:spacing w:after="0"/>
              <w:rPr>
                <w:sz w:val="22"/>
                <w:szCs w:val="22"/>
                <w:color w:val="auto"/>
              </w:rPr>
            </w:pPr>
          </w:p>
        </w:tc>
      </w:tr>
      <w:tr>
        <w:trPr>
          <w:trHeight w:val="250"/>
        </w:trPr>
        <w:tc>
          <w:tcPr>
            <w:tcW w:w="5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14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5"/>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&gt;= 760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4,720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2,895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740-759</w:t>
            </w:r>
          </w:p>
        </w:tc>
        <w:tc>
          <w:tcPr>
            <w:tcW w:w="520" w:type="dxa"/>
            <w:vAlign w:val="bottom"/>
          </w:tcPr>
          <w:p>
            <w:pPr>
              <w:spacing w:after="0"/>
              <w:rPr>
                <w:sz w:val="21"/>
                <w:szCs w:val="21"/>
                <w:color w:val="auto"/>
              </w:rPr>
            </w:pPr>
          </w:p>
        </w:tc>
        <w:tc>
          <w:tcPr>
            <w:tcW w:w="162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1,535</w:t>
            </w: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6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951</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720-739</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1,198</w:t>
            </w: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750</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700-719</w:t>
            </w:r>
          </w:p>
        </w:tc>
        <w:tc>
          <w:tcPr>
            <w:tcW w:w="520" w:type="dxa"/>
            <w:vAlign w:val="bottom"/>
          </w:tcPr>
          <w:p>
            <w:pPr>
              <w:spacing w:after="0"/>
              <w:rPr>
                <w:sz w:val="21"/>
                <w:szCs w:val="21"/>
                <w:color w:val="auto"/>
              </w:rPr>
            </w:pPr>
          </w:p>
        </w:tc>
        <w:tc>
          <w:tcPr>
            <w:tcW w:w="162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960</w:t>
            </w: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6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566</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680-699</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627</w:t>
            </w: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369</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&lt;=679</w:t>
            </w:r>
          </w:p>
        </w:tc>
        <w:tc>
          <w:tcPr>
            <w:tcW w:w="520" w:type="dxa"/>
            <w:vAlign w:val="bottom"/>
          </w:tcPr>
          <w:p>
            <w:pPr>
              <w:spacing w:after="0"/>
              <w:rPr>
                <w:sz w:val="21"/>
                <w:szCs w:val="21"/>
                <w:color w:val="auto"/>
              </w:rPr>
            </w:pPr>
          </w:p>
        </w:tc>
        <w:tc>
          <w:tcPr>
            <w:tcW w:w="162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377</w:t>
            </w: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6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190</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9,417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5,721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608"/>
        </w:trPr>
        <w:tc>
          <w:tcPr>
            <w:tcW w:w="5520" w:type="dxa"/>
            <w:vAlign w:val="bottom"/>
          </w:tcPr>
          <w:p>
            <w:pPr>
              <w:spacing w:after="0"/>
              <w:rPr>
                <w:sz w:val="24"/>
                <w:szCs w:val="24"/>
                <w:color w:val="auto"/>
              </w:rPr>
            </w:pPr>
          </w:p>
        </w:tc>
        <w:tc>
          <w:tcPr>
            <w:tcW w:w="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736" w:right="2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by LTV</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5"/>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5"/>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jc w:val="center"/>
              <w:ind w:right="3492"/>
              <w:spacing w:after="0"/>
              <w:rPr>
                <w:sz w:val="20"/>
                <w:szCs w:val="20"/>
                <w:color w:val="auto"/>
              </w:rPr>
            </w:pPr>
            <w:r>
              <w:rPr>
                <w:rFonts w:ascii="Times New Roman" w:cs="Times New Roman" w:eastAsia="Times New Roman" w:hAnsi="Times New Roman"/>
                <w:sz w:val="18"/>
                <w:szCs w:val="18"/>
                <w:color w:val="auto"/>
                <w:w w:val="98"/>
              </w:rPr>
              <w:t>95.01% and above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2,367</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Times New Roman" w:cs="Times New Roman" w:eastAsia="Times New Roman" w:hAnsi="Times New Roman"/>
                <w:sz w:val="18"/>
                <w:szCs w:val="18"/>
                <w:color w:val="auto"/>
                <w:w w:val="99"/>
              </w:rPr>
              <w:t>90.01% to 95.00%</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17,441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10,574</w:t>
            </w:r>
          </w:p>
        </w:tc>
        <w:tc>
          <w:tcPr>
            <w:tcW w:w="12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3472"/>
              <w:spacing w:after="0"/>
              <w:rPr>
                <w:sz w:val="20"/>
                <w:szCs w:val="20"/>
                <w:color w:val="auto"/>
              </w:rPr>
            </w:pPr>
            <w:r>
              <w:rPr>
                <w:rFonts w:ascii="Times New Roman" w:cs="Times New Roman" w:eastAsia="Times New Roman" w:hAnsi="Times New Roman"/>
                <w:sz w:val="18"/>
                <w:szCs w:val="18"/>
                <w:color w:val="auto"/>
                <w:w w:val="99"/>
              </w:rPr>
              <w:t>85.01% to 90.00%</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12,157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Times New Roman" w:cs="Times New Roman" w:eastAsia="Times New Roman" w:hAnsi="Times New Roman"/>
                <w:sz w:val="18"/>
                <w:szCs w:val="18"/>
                <w:color w:val="auto"/>
                <w:w w:val="99"/>
              </w:rPr>
              <w:t>85.00% and below</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6,664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4,247</w:t>
            </w:r>
          </w:p>
        </w:tc>
        <w:tc>
          <w:tcPr>
            <w:tcW w:w="12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38,629</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23,624</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2"/>
        </w:trPr>
        <w:tc>
          <w:tcPr>
            <w:tcW w:w="4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LTV</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5"/>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5"/>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jc w:val="center"/>
              <w:ind w:right="3492"/>
              <w:spacing w:after="0"/>
              <w:rPr>
                <w:sz w:val="20"/>
                <w:szCs w:val="20"/>
                <w:color w:val="auto"/>
              </w:rPr>
            </w:pPr>
            <w:r>
              <w:rPr>
                <w:rFonts w:ascii="Times New Roman" w:cs="Times New Roman" w:eastAsia="Times New Roman" w:hAnsi="Times New Roman"/>
                <w:sz w:val="18"/>
                <w:szCs w:val="18"/>
                <w:color w:val="auto"/>
                <w:w w:val="98"/>
              </w:rPr>
              <w:t>95.01% and above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Times New Roman" w:cs="Times New Roman" w:eastAsia="Times New Roman" w:hAnsi="Times New Roman"/>
                <w:sz w:val="18"/>
                <w:szCs w:val="18"/>
                <w:color w:val="auto"/>
                <w:w w:val="99"/>
              </w:rPr>
              <w:t>90.01% to 95.00%</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3,116</w:t>
            </w:r>
          </w:p>
        </w:tc>
        <w:tc>
          <w:tcPr>
            <w:tcW w:w="12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3472"/>
              <w:spacing w:after="0"/>
              <w:rPr>
                <w:sz w:val="20"/>
                <w:szCs w:val="20"/>
                <w:color w:val="auto"/>
              </w:rPr>
            </w:pPr>
            <w:r>
              <w:rPr>
                <w:rFonts w:ascii="Times New Roman" w:cs="Times New Roman" w:eastAsia="Times New Roman" w:hAnsi="Times New Roman"/>
                <w:sz w:val="18"/>
                <w:szCs w:val="18"/>
                <w:color w:val="auto"/>
                <w:w w:val="99"/>
              </w:rPr>
              <w:t>85.01% to 90.00%</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2,893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Times New Roman" w:cs="Times New Roman" w:eastAsia="Times New Roman" w:hAnsi="Times New Roman"/>
                <w:sz w:val="18"/>
                <w:szCs w:val="18"/>
                <w:color w:val="auto"/>
                <w:w w:val="99"/>
              </w:rPr>
              <w:t>85.00% and below</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9,417</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5,721</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2"/>
                <w:szCs w:val="22"/>
                <w:color w:val="auto"/>
              </w:rPr>
            </w:pPr>
          </w:p>
        </w:tc>
      </w:tr>
      <w:tr>
        <w:trPr>
          <w:trHeight w:val="20"/>
        </w:trPr>
        <w:tc>
          <w:tcPr>
            <w:tcW w:w="550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2"/>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Primary RIF by Loan Type</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0" w:type="dxa"/>
            <w:vAlign w:val="bottom"/>
            <w:tcBorders>
              <w:bottom w:val="single" w:sz="8" w:color="auto"/>
            </w:tcBorders>
          </w:tcPr>
          <w:p>
            <w:pPr>
              <w:spacing w:after="0"/>
              <w:rPr>
                <w:sz w:val="22"/>
                <w:szCs w:val="22"/>
                <w:color w:val="auto"/>
              </w:rPr>
            </w:pPr>
          </w:p>
        </w:tc>
      </w:tr>
      <w:tr>
        <w:trPr>
          <w:trHeight w:val="323"/>
        </w:trPr>
        <w:tc>
          <w:tcPr>
            <w:tcW w:w="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Adjustable rate mortgages:</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3452"/>
              <w:spacing w:after="0"/>
              <w:rPr>
                <w:sz w:val="20"/>
                <w:szCs w:val="20"/>
                <w:color w:val="auto"/>
              </w:rPr>
            </w:pPr>
            <w:r>
              <w:rPr>
                <w:rFonts w:ascii="Times New Roman" w:cs="Times New Roman" w:eastAsia="Times New Roman" w:hAnsi="Times New Roman"/>
                <w:sz w:val="18"/>
                <w:szCs w:val="18"/>
                <w:color w:val="auto"/>
              </w:rPr>
              <w:t>Less than five years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Five years and longer</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r>
      <w:tr>
        <w:trPr>
          <w:trHeight w:val="27"/>
        </w:trPr>
        <w:tc>
          <w:tcPr>
            <w:tcW w:w="550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20"/>
                <w:szCs w:val="20"/>
                <w:color w:val="auto"/>
              </w:rPr>
            </w:pPr>
          </w:p>
        </w:tc>
      </w:tr>
      <w:tr>
        <w:trPr>
          <w:trHeight w:val="27"/>
        </w:trPr>
        <w:tc>
          <w:tcPr>
            <w:tcW w:w="4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shows selected primary portfolio statistics, by book year, as of June 30, 2017.</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Original</w:t>
            </w:r>
          </w:p>
        </w:tc>
        <w:tc>
          <w:tcPr>
            <w:tcW w:w="120" w:type="dxa"/>
            <w:vAlign w:val="bottom"/>
          </w:tcPr>
          <w:p>
            <w:pPr>
              <w:spacing w:after="0"/>
              <w:rPr>
                <w:sz w:val="12"/>
                <w:szCs w:val="12"/>
                <w:color w:val="auto"/>
              </w:rPr>
            </w:pPr>
          </w:p>
        </w:tc>
        <w:tc>
          <w:tcPr>
            <w:tcW w:w="92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80" w:type="dxa"/>
            <w:vAlign w:val="bottom"/>
          </w:tcPr>
          <w:p>
            <w:pPr>
              <w:jc w:val="right"/>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 Remaining of</w:t>
            </w: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Policies Ever</w:t>
            </w:r>
          </w:p>
        </w:tc>
        <w:tc>
          <w:tcPr>
            <w:tcW w:w="120" w:type="dxa"/>
            <w:vAlign w:val="bottom"/>
          </w:tcPr>
          <w:p>
            <w:pPr>
              <w:spacing w:after="0"/>
              <w:rPr>
                <w:sz w:val="12"/>
                <w:szCs w:val="12"/>
                <w:color w:val="auto"/>
              </w:rPr>
            </w:pPr>
          </w:p>
        </w:tc>
        <w:tc>
          <w:tcPr>
            <w:tcW w:w="11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of Claims</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Incurred Loss</w:t>
            </w:r>
          </w:p>
        </w:tc>
        <w:tc>
          <w:tcPr>
            <w:tcW w:w="120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1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Book year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2"/>
                <w:szCs w:val="12"/>
                <w:color w:val="auto"/>
              </w:rPr>
            </w:pPr>
          </w:p>
        </w:tc>
        <w:tc>
          <w:tcPr>
            <w:tcW w:w="92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Insurance in</w:t>
            </w:r>
          </w:p>
        </w:tc>
        <w:tc>
          <w:tcPr>
            <w:tcW w:w="1280" w:type="dxa"/>
            <w:vAlign w:val="bottom"/>
          </w:tcPr>
          <w:p>
            <w:pPr>
              <w:jc w:val="right"/>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Original</w:t>
            </w: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Loans in</w:t>
            </w:r>
          </w:p>
        </w:tc>
        <w:tc>
          <w:tcPr>
            <w:tcW w:w="800" w:type="dxa"/>
            <w:vAlign w:val="bottom"/>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Ratio (Inception to</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3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Written</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Force</w:t>
            </w:r>
          </w:p>
        </w:tc>
        <w:tc>
          <w:tcPr>
            <w:tcW w:w="12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Force</w:t>
            </w:r>
          </w:p>
        </w:tc>
        <w:tc>
          <w:tcPr>
            <w:tcW w:w="9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8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Paid</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Date) </w:t>
            </w:r>
            <w:r>
              <w:rPr>
                <w:rFonts w:ascii="Times New Roman" w:cs="Times New Roman" w:eastAsia="Times New Roman" w:hAnsi="Times New Roman"/>
                <w:sz w:val="8"/>
                <w:szCs w:val="8"/>
                <w:b w:val="1"/>
                <w:bCs w:val="1"/>
                <w:color w:val="auto"/>
              </w:rPr>
              <w:t>(1)</w:t>
            </w:r>
          </w:p>
        </w:tc>
        <w:tc>
          <w:tcPr>
            <w:tcW w:w="12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 xml:space="preserve">default rate </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w:t>
            </w: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655</w:t>
            </w:r>
          </w:p>
        </w:tc>
        <w:tc>
          <w:tcPr>
            <w:tcW w:w="1120" w:type="dxa"/>
            <w:vAlign w:val="bottom"/>
            <w:tcBorders>
              <w:bottom w:val="single" w:sz="8" w:color="CCEEFF"/>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1,596</w:t>
            </w:r>
          </w:p>
        </w:tc>
        <w:tc>
          <w:tcPr>
            <w:tcW w:w="12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14,786</w:t>
            </w:r>
          </w:p>
        </w:tc>
        <w:tc>
          <w:tcPr>
            <w:tcW w:w="112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7,963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9,243</w:t>
            </w: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74%</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52,548</w:t>
            </w:r>
          </w:p>
        </w:tc>
        <w:tc>
          <w:tcPr>
            <w:tcW w:w="1120" w:type="dxa"/>
            <w:vAlign w:val="bottom"/>
            <w:tcBorders>
              <w:bottom w:val="single" w:sz="8" w:color="CCEEFF"/>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41,747</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21,187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19,288</w:t>
            </w:r>
          </w:p>
        </w:tc>
        <w:tc>
          <w:tcPr>
            <w:tcW w:w="12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91%</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83,626</w:t>
            </w:r>
          </w:p>
        </w:tc>
        <w:tc>
          <w:tcPr>
            <w:tcW w:w="112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78,111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8,596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8,460</w:t>
            </w: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98%</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33,593</w:t>
            </w:r>
          </w:p>
        </w:tc>
        <w:tc>
          <w:tcPr>
            <w:tcW w:w="1120" w:type="dxa"/>
            <w:vAlign w:val="bottom"/>
            <w:tcBorders>
              <w:bottom w:val="single" w:sz="8" w:color="CCEEFF"/>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33,162</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45,818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38,629</w:t>
            </w:r>
          </w:p>
        </w:tc>
        <w:tc>
          <w:tcPr>
            <w:tcW w:w="12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185,208</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161,195</w:t>
            </w:r>
          </w:p>
        </w:tc>
        <w:tc>
          <w:tcPr>
            <w:tcW w:w="12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1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820" w:hanging="488"/>
        <w:spacing w:after="0"/>
        <w:tabs>
          <w:tab w:leader="none" w:pos="82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ratio of total claims incurred (paid and reserved) divided by cumulative premiums earned, net of reinsurance.</w:t>
      </w:r>
    </w:p>
    <w:p>
      <w:pPr>
        <w:spacing w:after="0" w:line="17" w:lineRule="exact"/>
        <w:rPr>
          <w:rFonts w:ascii="Times New Roman" w:cs="Times New Roman" w:eastAsia="Times New Roman" w:hAnsi="Times New Roman"/>
          <w:sz w:val="9"/>
          <w:szCs w:val="9"/>
          <w:color w:val="auto"/>
        </w:rPr>
      </w:pPr>
    </w:p>
    <w:p>
      <w:pPr>
        <w:ind w:left="820" w:hanging="488"/>
        <w:spacing w:after="0"/>
        <w:tabs>
          <w:tab w:leader="none" w:pos="82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sum of the number of claims paid ever to date and number of loans in default as of the end of the period divided by policies ever in force.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736" w:right="2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i w:val="1"/>
          <w:iCs w:val="1"/>
          <w:color w:val="auto"/>
        </w:rPr>
        <w:t>Geographic Dispersion</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the distribution by state of our primary RIF as of the periods indicated. As of June 30, 2017, our RIF continues to be relatively more concentrated in California, primarily as a result of the location and timing of the acquisition of new customers. The distribution of risk as of June 30, 2017 is not necessarily representative of the geographic distribution we expect in the future.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Top 10 primary RIF by state</w:t>
            </w:r>
          </w:p>
        </w:tc>
        <w:tc>
          <w:tcPr>
            <w:tcW w:w="2160" w:type="dxa"/>
            <w:vAlign w:val="bottom"/>
            <w:tcBorders>
              <w:bottom w:val="single" w:sz="8" w:color="auto"/>
            </w:tcBorders>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1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4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9"/>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California</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Texas</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Virginia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Florida</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Arizona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Colorado</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Maryland</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Utah</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Pennsylvania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Michigan</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77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0"/>
        </w:trPr>
        <w:tc>
          <w:tcPr>
            <w:tcW w:w="77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Claims and Claims Expenses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Insurance claims and claims expenses incurred represent estimated future payments on newly defaulted insured loans and any change in our claim estimates for previously existing defaults. Claims incurred is affected by a variety of factors, including the state of the economy, changes in housing values, loan and borrower level risk characteristics, the size of loans insured and the percentage of coverage on insured loans.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Reserves for claims and allocated claims expenses are established for mortgage loan defaults, which we refer to as case reserves, when we are notified that a borrower has missed two or more mortgage payments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NOD). We also make estimates of IBNR defaults, which are defaults that have been incurred but have not been reported by loan servicers, based upon historical reporting trends, and establish IBNR reserves for those estimates. We also establish reserves for unallocated claims expenses not associated with a specific claim. The claims expenses consist of the estimated cost of the claim administration process, including legal and other fees as well as other general expenses of administering the claims settlement process.</w:t>
      </w:r>
    </w:p>
    <w:p>
      <w:pPr>
        <w:spacing w:after="0" w:line="1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and size of the loan. Reserves are released the month in which a loan in default is brought current by the borrower, which is referred to as a cure. Adjustments to reserve estimates are reflected in the period in which the adjustment is made. Reserves are also ceded to reinsurers under our 2016 QSR Transaction. We will not cede reserves to the reinsurer under the 2017 ILN Transaction unless losses exceed our retained coverage layer. Reserves are not established for future claims on insured loans which are not currently in default.</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our insurance claims and claims expenses to be relatively low in the near-term. Based on our experience and industry data, we believe that claims incidence for mortgage insurance is generally highest in the third through sixth years after loan origination. As of June 30, 2017, over 95% of our primary IIF was related to business written since January 1, 2015. Additionally, our pool insurance agreement with Fannie Mae contains a claim deductible through which Fannie Mae absorbs specified losses before we are obligated to pay any claims. We have not established any pool reserves for claims or IBNR to date. Although the claims experience on new primary insurance written by us to date has been favorable, we expect incurred claims to increase as a greater amount of our existing insured portfolio reaches its anticipated period of highest claim frequency. We estimate that the loss ratio over the life of our existing insured portfolio will be between 20% and 25% of earned premiums, and we price to that expectation.</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actual claims we incur as our portfolio matures is difficult to predict and is dependent on the specific characteristics of our current in-force book (including the credit score of the borrower, the LTV ratio of the mortgage, geographic concentrations, among others), as well as the profile of new business we write in the future. In addition, claims experience will be affected by future macroeconomic factors such as housing prices, interest rates and employment. To date, our claims experience is developing at a</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78" w:right="239" w:bottom="1440" w:gutter="0" w:footer="0" w:header="0"/>
        </w:sectPr>
      </w:pPr>
    </w:p>
    <w:bookmarkStart w:id="31" w:name="page32"/>
    <w:bookmarkEnd w:id="31"/>
    <w:p>
      <w:pPr>
        <w:spacing w:after="0" w:line="282" w:lineRule="auto"/>
        <w:rPr>
          <w:sz w:val="20"/>
          <w:szCs w:val="20"/>
          <w:color w:val="auto"/>
        </w:rPr>
      </w:pPr>
      <w:r>
        <w:rPr>
          <w:rFonts w:ascii="Times New Roman" w:cs="Times New Roman" w:eastAsia="Times New Roman" w:hAnsi="Times New Roman"/>
          <w:sz w:val="18"/>
          <w:szCs w:val="18"/>
          <w:color w:val="auto"/>
        </w:rPr>
        <w:t>slower pace than historical trends indicate, as a result of high quality underwriting and a favorable housing market. For additional discussion of our reserves, see, Item 1, "</w:t>
      </w:r>
      <w:r>
        <w:rPr>
          <w:rFonts w:ascii="Times New Roman" w:cs="Times New Roman" w:eastAsia="Times New Roman" w:hAnsi="Times New Roman"/>
          <w:sz w:val="18"/>
          <w:szCs w:val="18"/>
          <w:i w:val="1"/>
          <w:iCs w:val="1"/>
          <w:color w:val="auto"/>
        </w:rPr>
        <w:t>Financial Statements - Notes to Condensed Consolidated Financial Statements - Note 6, Reserves for Insurance Claims and Claims Expenses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primary insurance claims and claims expenses.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679</w:t>
            </w:r>
          </w:p>
        </w:tc>
      </w:tr>
      <w:tr>
        <w:trPr>
          <w:trHeight w:val="270"/>
        </w:trPr>
        <w:tc>
          <w:tcPr>
            <w:tcW w:w="47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Less reinsurance recoverables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 net of reinsurance recoverables</w:t>
            </w: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679</w:t>
            </w:r>
          </w:p>
        </w:tc>
      </w:tr>
      <w:tr>
        <w:trPr>
          <w:trHeight w:val="318"/>
        </w:trPr>
        <w:tc>
          <w:tcPr>
            <w:tcW w:w="47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 claims incurred:</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Claims and claim expenses incurred:</w:t>
            </w: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700" w:type="dxa"/>
            <w:vAlign w:val="bottom"/>
            <w:shd w:val="clear" w:color="auto" w:fill="CCEEFF"/>
          </w:tcPr>
          <w:p>
            <w:pPr>
              <w:ind w:left="500"/>
              <w:spacing w:after="0" w:line="270"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1,113</w:t>
            </w:r>
          </w:p>
        </w:tc>
      </w:tr>
      <w:tr>
        <w:trPr>
          <w:trHeight w:val="243"/>
        </w:trPr>
        <w:tc>
          <w:tcPr>
            <w:tcW w:w="4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Prior years</w:t>
            </w: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claims and claims expenses incurred</w:t>
            </w:r>
          </w:p>
        </w:tc>
        <w:tc>
          <w:tcPr>
            <w:tcW w:w="3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928</w:t>
            </w:r>
          </w:p>
        </w:tc>
      </w:tr>
      <w:tr>
        <w:trPr>
          <w:trHeight w:val="318"/>
        </w:trPr>
        <w:tc>
          <w:tcPr>
            <w:tcW w:w="47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claims paid:</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Claims and claim expenses paid:</w:t>
            </w: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700" w:type="dxa"/>
            <w:vAlign w:val="bottom"/>
            <w:shd w:val="clear" w:color="auto" w:fill="CCEEFF"/>
          </w:tcPr>
          <w:p>
            <w:pPr>
              <w:ind w:left="500"/>
              <w:spacing w:after="0" w:line="270"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700" w:type="dxa"/>
            <w:vAlign w:val="bottom"/>
            <w:tcBorders>
              <w:bottom w:val="single" w:sz="8" w:color="CCEEFF"/>
            </w:tcBorders>
          </w:tcPr>
          <w:p>
            <w:pPr>
              <w:ind w:left="500"/>
              <w:spacing w:after="0" w:line="270" w:lineRule="exact"/>
              <w:rPr>
                <w:sz w:val="20"/>
                <w:szCs w:val="20"/>
                <w:color w:val="auto"/>
              </w:rPr>
            </w:pPr>
            <w:r>
              <w:rPr>
                <w:rFonts w:ascii="Times New Roman" w:cs="Times New Roman" w:eastAsia="Times New Roman" w:hAnsi="Times New Roman"/>
                <w:sz w:val="18"/>
                <w:szCs w:val="18"/>
                <w:color w:val="auto"/>
              </w:rPr>
              <w:t xml:space="preserve">Prior years </w:t>
            </w:r>
            <w:r>
              <w:rPr>
                <w:rFonts w:ascii="Times New Roman" w:cs="Times New Roman" w:eastAsia="Times New Roman" w:hAnsi="Times New Roman"/>
                <w:sz w:val="25"/>
                <w:szCs w:val="25"/>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claims and claim expenses paid</w:t>
            </w:r>
          </w:p>
        </w:tc>
        <w:tc>
          <w:tcPr>
            <w:tcW w:w="3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r>
      <w:tr>
        <w:trPr>
          <w:trHeight w:val="318"/>
        </w:trPr>
        <w:tc>
          <w:tcPr>
            <w:tcW w:w="47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at end of period, net of reinsurance recoverables</w:t>
            </w:r>
          </w:p>
        </w:tc>
        <w:tc>
          <w:tcPr>
            <w:tcW w:w="3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1,475</w:t>
            </w:r>
          </w:p>
        </w:tc>
      </w:tr>
      <w:tr>
        <w:trPr>
          <w:trHeight w:val="264"/>
        </w:trPr>
        <w:tc>
          <w:tcPr>
            <w:tcW w:w="4700" w:type="dxa"/>
            <w:vAlign w:val="bottom"/>
            <w:tcBorders>
              <w:bottom w:val="single" w:sz="8" w:color="CCEEFF"/>
            </w:tcBorders>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Add reinsurance recoverables </w:t>
            </w:r>
            <w:r>
              <w:rPr>
                <w:rFonts w:ascii="Times New Roman" w:cs="Times New Roman" w:eastAsia="Times New Roman" w:hAnsi="Times New Roman"/>
                <w:sz w:val="25"/>
                <w:szCs w:val="25"/>
                <w:color w:val="auto"/>
                <w:vertAlign w:val="superscript"/>
              </w:rPr>
              <w:t>(1)</w:t>
            </w:r>
          </w:p>
        </w:tc>
        <w:tc>
          <w:tcPr>
            <w:tcW w:w="30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June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1,475</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right="480" w:firstLine="8"/>
        <w:spacing w:after="0" w:line="235" w:lineRule="auto"/>
        <w:tabs>
          <w:tab w:leader="none" w:pos="187"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Related to ceded losses recoverable on the 2016 QSR Transaction, included in "Other Assets" on the Condensed Consolidated Balance Sheets. See Item 1, "</w:t>
      </w:r>
      <w:r>
        <w:rPr>
          <w:rFonts w:ascii="Times New Roman" w:cs="Times New Roman" w:eastAsia="Times New Roman" w:hAnsi="Times New Roman"/>
          <w:sz w:val="15"/>
          <w:szCs w:val="15"/>
          <w:i w:val="1"/>
          <w:iCs w:val="1"/>
          <w:color w:val="auto"/>
        </w:rPr>
        <w:t>Financial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Statements - Notes to Consolidated Financial Statements - Note 5, Reinsurance" </w:t>
      </w:r>
      <w:r>
        <w:rPr>
          <w:rFonts w:ascii="Times New Roman" w:cs="Times New Roman" w:eastAsia="Times New Roman" w:hAnsi="Times New Roman"/>
          <w:sz w:val="15"/>
          <w:szCs w:val="15"/>
          <w:color w:val="auto"/>
        </w:rPr>
        <w:t>for additional information.</w:t>
      </w:r>
    </w:p>
    <w:p>
      <w:pPr>
        <w:spacing w:after="0" w:line="6" w:lineRule="exact"/>
        <w:rPr>
          <w:rFonts w:ascii="Times New Roman" w:cs="Times New Roman" w:eastAsia="Times New Roman" w:hAnsi="Times New Roman"/>
          <w:sz w:val="23"/>
          <w:szCs w:val="23"/>
          <w:color w:val="auto"/>
          <w:vertAlign w:val="superscript"/>
        </w:rPr>
      </w:pPr>
    </w:p>
    <w:p>
      <w:pPr>
        <w:ind w:firstLine="8"/>
        <w:spacing w:after="0" w:line="234" w:lineRule="auto"/>
        <w:tabs>
          <w:tab w:leader="none" w:pos="187"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Related to insured loans with their most recent defaults occurring in the current year. For example, if a loan had defaulted in a prior year and subsequently cured and later re-defaulted in the current year, that default would be included in the current year.</w:t>
      </w:r>
    </w:p>
    <w:p>
      <w:pPr>
        <w:ind w:left="200" w:hanging="192"/>
        <w:spacing w:after="0" w:line="187" w:lineRule="auto"/>
        <w:tabs>
          <w:tab w:leader="none" w:pos="20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Related to insured loans with defaults occurring in prior years, which have been continuously in default since that time.</w:t>
      </w:r>
    </w:p>
    <w:p>
      <w:pPr>
        <w:spacing w:after="0" w:line="15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"claims incurred" section of the table above shows claims and claim expenses incurred on NODs received in the current year and in prior years and such amounts include IBNR reserves. The amount of claims incurred relating to NODs received in the current year represents the estimated amount to be ultimately paid if such loans in default result in claims. The decreases during the periods presented in reserves held for prior year defaults represent favorable development and are generally the result of ongoing analysis of recent loss development trends. We may increase or decrease our original estimates as we learn additional information about individual defaults and claims.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80" w:right="2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count of loans in default for the periods indicated.</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320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40" w:type="dxa"/>
            <w:vAlign w:val="bottom"/>
            <w:tcBorders>
              <w:bottom w:val="single" w:sz="8" w:color="auto"/>
            </w:tcBorders>
            <w:gridSpan w:val="3"/>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5120" w:type="dxa"/>
            <w:vAlign w:val="bottom"/>
          </w:tcPr>
          <w:p>
            <w:pPr>
              <w:spacing w:after="0"/>
              <w:rPr>
                <w:sz w:val="22"/>
                <w:szCs w:val="22"/>
                <w:color w:val="auto"/>
              </w:rPr>
            </w:pPr>
          </w:p>
        </w:tc>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4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9"/>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default inventory</w:t>
            </w:r>
          </w:p>
        </w:tc>
        <w:tc>
          <w:tcPr>
            <w:tcW w:w="150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new defaults</w:t>
            </w:r>
          </w:p>
        </w:tc>
        <w:tc>
          <w:tcPr>
            <w:tcW w:w="15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5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5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increase in the ending default inventory at June 30, 2017 compared to June 30, 2016 was primarily due to an increase in the number of policies in force and expected loss development of our earliest book years.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details of our claims paid for the three months ended June 30, 2017 and June 30, 2016.</w:t>
      </w:r>
    </w:p>
    <w:p>
      <w:pPr>
        <w:spacing w:after="0" w:line="394" w:lineRule="exact"/>
        <w:rPr>
          <w:sz w:val="20"/>
          <w:szCs w:val="20"/>
          <w:color w:val="auto"/>
        </w:rPr>
      </w:pPr>
    </w:p>
    <w:tbl>
      <w:tblPr>
        <w:tblLayout w:type="fixed"/>
        <w:tblInd w:w="18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64"/>
        </w:trPr>
        <w:tc>
          <w:tcPr>
            <w:tcW w:w="44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5"/>
        </w:trPr>
        <w:tc>
          <w:tcPr>
            <w:tcW w:w="4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00" w:type="dxa"/>
            <w:vAlign w:val="bottom"/>
            <w:gridSpan w:val="3"/>
          </w:tcPr>
          <w:p>
            <w:pPr>
              <w:jc w:val="right"/>
              <w:ind w:right="856"/>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claims paid</w:t>
            </w:r>
          </w:p>
        </w:tc>
        <w:tc>
          <w:tcPr>
            <w:tcW w:w="220" w:type="dxa"/>
            <w:vAlign w:val="bottom"/>
          </w:tcPr>
          <w:p>
            <w:pPr>
              <w:spacing w:after="0"/>
              <w:rPr>
                <w:sz w:val="22"/>
                <w:szCs w:val="22"/>
                <w:color w:val="auto"/>
              </w:rPr>
            </w:pPr>
          </w:p>
        </w:tc>
        <w:tc>
          <w:tcPr>
            <w:tcW w:w="13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2"/>
                <w:szCs w:val="22"/>
                <w:color w:val="auto"/>
              </w:rPr>
            </w:pPr>
          </w:p>
        </w:tc>
        <w:tc>
          <w:tcPr>
            <w:tcW w:w="14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2"/>
                <w:szCs w:val="22"/>
                <w:color w:val="auto"/>
              </w:rPr>
            </w:pPr>
          </w:p>
        </w:tc>
        <w:tc>
          <w:tcPr>
            <w:tcW w:w="14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2"/>
                <w:szCs w:val="22"/>
                <w:color w:val="auto"/>
              </w:rPr>
            </w:pP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48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 amount paid for claims</w:t>
            </w:r>
          </w:p>
        </w:tc>
        <w:tc>
          <w:tcPr>
            <w:tcW w:w="22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BFE4FF"/>
            </w:tcBorders>
            <w:shd w:val="clear" w:color="auto" w:fill="BFE4FF"/>
          </w:tcPr>
          <w:p>
            <w:pPr>
              <w:jc w:val="right"/>
              <w:ind w:right="156"/>
              <w:spacing w:after="0"/>
              <w:rPr>
                <w:sz w:val="20"/>
                <w:szCs w:val="20"/>
                <w:color w:val="auto"/>
              </w:rPr>
            </w:pPr>
            <w:r>
              <w:rPr>
                <w:rFonts w:ascii="Times New Roman" w:cs="Times New Roman" w:eastAsia="Times New Roman" w:hAnsi="Times New Roman"/>
                <w:sz w:val="18"/>
                <w:szCs w:val="18"/>
                <w:color w:val="auto"/>
              </w:rPr>
              <w:t>429</w:t>
            </w:r>
          </w:p>
        </w:tc>
        <w:tc>
          <w:tcPr>
            <w:tcW w:w="30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BFE4FF"/>
            </w:tcBorders>
            <w:shd w:val="clear" w:color="auto" w:fill="BFE4FF"/>
          </w:tcPr>
          <w:p>
            <w:pPr>
              <w:jc w:val="right"/>
              <w:ind w:right="156"/>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BFE4FF"/>
            </w:tcBorders>
            <w:shd w:val="clear" w:color="auto" w:fill="BFE4FF"/>
          </w:tcPr>
          <w:p>
            <w:pPr>
              <w:jc w:val="right"/>
              <w:ind w:right="156"/>
              <w:spacing w:after="0"/>
              <w:rPr>
                <w:sz w:val="20"/>
                <w:szCs w:val="20"/>
                <w:color w:val="auto"/>
              </w:rPr>
            </w:pPr>
            <w:r>
              <w:rPr>
                <w:rFonts w:ascii="Times New Roman" w:cs="Times New Roman" w:eastAsia="Times New Roman" w:hAnsi="Times New Roman"/>
                <w:sz w:val="18"/>
                <w:szCs w:val="18"/>
                <w:color w:val="auto"/>
              </w:rPr>
              <w:t>571</w:t>
            </w:r>
          </w:p>
        </w:tc>
        <w:tc>
          <w:tcPr>
            <w:tcW w:w="30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BFE4FF"/>
            </w:tcBorders>
            <w:shd w:val="clear" w:color="auto" w:fill="BFE4FF"/>
          </w:tcPr>
          <w:p>
            <w:pPr>
              <w:jc w:val="right"/>
              <w:ind w:right="114"/>
              <w:spacing w:after="0"/>
              <w:rPr>
                <w:sz w:val="20"/>
                <w:szCs w:val="20"/>
                <w:color w:val="auto"/>
              </w:rPr>
            </w:pPr>
            <w:r>
              <w:rPr>
                <w:rFonts w:ascii="Times New Roman" w:cs="Times New Roman" w:eastAsia="Times New Roman" w:hAnsi="Times New Roman"/>
                <w:sz w:val="18"/>
                <w:szCs w:val="18"/>
                <w:color w:val="auto"/>
              </w:rPr>
              <w:t>132</w:t>
            </w: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amount paid per claim</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480" w:type="dxa"/>
            <w:vAlign w:val="bottom"/>
            <w:shd w:val="clear" w:color="auto" w:fill="BFE4FF"/>
          </w:tcPr>
          <w:p>
            <w:pPr>
              <w:ind w:left="20"/>
              <w:spacing w:after="0" w:line="270" w:lineRule="exact"/>
              <w:rPr>
                <w:sz w:val="20"/>
                <w:szCs w:val="20"/>
                <w:color w:val="auto"/>
              </w:rPr>
            </w:pPr>
            <w:r>
              <w:rPr>
                <w:rFonts w:ascii="Times New Roman" w:cs="Times New Roman" w:eastAsia="Times New Roman" w:hAnsi="Times New Roman"/>
                <w:sz w:val="18"/>
                <w:szCs w:val="18"/>
                <w:color w:val="auto"/>
              </w:rPr>
              <w:t>Severity</w:t>
            </w:r>
            <w:r>
              <w:rPr>
                <w:rFonts w:ascii="Times New Roman" w:cs="Times New Roman" w:eastAsia="Times New Roman" w:hAnsi="Times New Roman"/>
                <w:sz w:val="25"/>
                <w:szCs w:val="25"/>
                <w:color w:val="auto"/>
                <w:vertAlign w:val="superscript"/>
              </w:rPr>
              <w:t>(1)</w:t>
            </w:r>
          </w:p>
        </w:tc>
        <w:tc>
          <w:tcPr>
            <w:tcW w:w="220" w:type="dxa"/>
            <w:vAlign w:val="bottom"/>
            <w:shd w:val="clear" w:color="auto" w:fill="BFE4FF"/>
          </w:tcPr>
          <w:p>
            <w:pPr>
              <w:spacing w:after="0"/>
              <w:rPr>
                <w:sz w:val="23"/>
                <w:szCs w:val="23"/>
                <w:color w:val="auto"/>
              </w:rPr>
            </w:pPr>
          </w:p>
        </w:tc>
        <w:tc>
          <w:tcPr>
            <w:tcW w:w="1320" w:type="dxa"/>
            <w:vAlign w:val="bottom"/>
            <w:shd w:val="clear" w:color="auto" w:fill="BFE4FF"/>
          </w:tcPr>
          <w:p>
            <w:pPr>
              <w:jc w:val="right"/>
              <w:ind w:right="16"/>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shd w:val="clear" w:color="auto" w:fill="BFE4FF"/>
          </w:tcPr>
          <w:p>
            <w:pPr>
              <w:spacing w:after="0"/>
              <w:rPr>
                <w:sz w:val="23"/>
                <w:szCs w:val="23"/>
                <w:color w:val="auto"/>
              </w:rPr>
            </w:pPr>
          </w:p>
        </w:tc>
        <w:tc>
          <w:tcPr>
            <w:tcW w:w="1400" w:type="dxa"/>
            <w:vAlign w:val="bottom"/>
            <w:shd w:val="clear" w:color="auto" w:fill="BFE4FF"/>
          </w:tcPr>
          <w:p>
            <w:pPr>
              <w:jc w:val="right"/>
              <w:ind w:right="16"/>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shd w:val="clear" w:color="auto" w:fill="BFE4FF"/>
          </w:tcPr>
          <w:p>
            <w:pPr>
              <w:spacing w:after="0"/>
              <w:rPr>
                <w:sz w:val="23"/>
                <w:szCs w:val="23"/>
                <w:color w:val="auto"/>
              </w:rPr>
            </w:pPr>
          </w:p>
        </w:tc>
        <w:tc>
          <w:tcPr>
            <w:tcW w:w="14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shd w:val="clear" w:color="auto" w:fill="BFE4FF"/>
          </w:tcPr>
          <w:p>
            <w:pPr>
              <w:spacing w:after="0"/>
              <w:rPr>
                <w:sz w:val="23"/>
                <w:szCs w:val="23"/>
                <w:color w:val="auto"/>
              </w:rPr>
            </w:pPr>
          </w:p>
        </w:tc>
        <w:tc>
          <w:tcPr>
            <w:tcW w:w="13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Severity represents the total amount of claims paid divided by the related RIF on the loan at the time the claim is perfected.</w:t>
      </w:r>
    </w:p>
    <w:p>
      <w:pPr>
        <w:spacing w:after="0" w:line="16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increase in the number of claims paid for the three and six months ended June 30, 2017 compared to the same periods ended June 30, 2016 is due to an increase in our default inventory. We expect the severity of claims we receive to be between 85% and 95% of the coverage amount.</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Average reserve per default:</w:t>
            </w: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As of June 30, 2016</w:t>
            </w:r>
          </w:p>
        </w:tc>
      </w:tr>
      <w:tr>
        <w:trPr>
          <w:trHeight w:val="250"/>
        </w:trPr>
        <w:tc>
          <w:tcPr>
            <w:tcW w:w="6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20" w:type="dxa"/>
            <w:vAlign w:val="bottom"/>
          </w:tcPr>
          <w:p>
            <w:pPr>
              <w:spacing w:after="0"/>
              <w:rPr>
                <w:sz w:val="21"/>
                <w:szCs w:val="21"/>
                <w:color w:val="auto"/>
              </w:rPr>
            </w:pPr>
          </w:p>
        </w:tc>
      </w:tr>
      <w:tr>
        <w:trPr>
          <w:trHeight w:val="275"/>
        </w:trPr>
        <w:tc>
          <w:tcPr>
            <w:tcW w:w="6980" w:type="dxa"/>
            <w:vAlign w:val="bottom"/>
            <w:shd w:val="clear" w:color="auto" w:fill="CCEEFF"/>
          </w:tcPr>
          <w:p>
            <w:pPr>
              <w:ind w:left="40"/>
              <w:spacing w:after="0" w:line="275" w:lineRule="exact"/>
              <w:rPr>
                <w:sz w:val="20"/>
                <w:szCs w:val="20"/>
                <w:color w:val="auto"/>
              </w:rPr>
            </w:pPr>
            <w:r>
              <w:rPr>
                <w:rFonts w:ascii="Times New Roman" w:cs="Times New Roman" w:eastAsia="Times New Roman" w:hAnsi="Times New Roman"/>
                <w:sz w:val="18"/>
                <w:szCs w:val="18"/>
                <w:color w:val="auto"/>
              </w:rPr>
              <w:t xml:space="preserve">Case </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IBNR</w:t>
            </w:r>
          </w:p>
        </w:tc>
        <w:tc>
          <w:tcPr>
            <w:tcW w:w="300" w:type="dxa"/>
            <w:vAlign w:val="bottom"/>
          </w:tcPr>
          <w:p>
            <w:pPr>
              <w:spacing w:after="0"/>
              <w:rPr>
                <w:sz w:val="21"/>
                <w:szCs w:val="21"/>
                <w:color w:val="auto"/>
              </w:rPr>
            </w:pPr>
          </w:p>
        </w:tc>
        <w:tc>
          <w:tcPr>
            <w:tcW w:w="1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6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Defined as the gross reserve per insured loan in default.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GSE Oversight</w:t>
      </w:r>
    </w:p>
    <w:p>
      <w:pPr>
        <w:spacing w:after="0" w:line="1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As an </w:t>
      </w:r>
      <w:r>
        <w:rPr>
          <w:rFonts w:ascii="Times New Roman" w:cs="Times New Roman" w:eastAsia="Times New Roman" w:hAnsi="Times New Roman"/>
          <w:sz w:val="18"/>
          <w:szCs w:val="18"/>
          <w:i w:val="1"/>
          <w:iCs w:val="1"/>
          <w:color w:val="auto"/>
        </w:rPr>
        <w:t>Approved Insurer</w:t>
      </w:r>
      <w:r>
        <w:rPr>
          <w:rFonts w:ascii="Times New Roman" w:cs="Times New Roman" w:eastAsia="Times New Roman" w:hAnsi="Times New Roman"/>
          <w:sz w:val="18"/>
          <w:szCs w:val="18"/>
          <w:color w:val="auto"/>
        </w:rPr>
        <w:t>, NMIC is subject to ongoing compliance with the PMIERs. (</w:t>
      </w:r>
      <w:r>
        <w:rPr>
          <w:rFonts w:ascii="Times New Roman" w:cs="Times New Roman" w:eastAsia="Times New Roman" w:hAnsi="Times New Roman"/>
          <w:sz w:val="18"/>
          <w:szCs w:val="18"/>
          <w:i w:val="1"/>
          <w:iCs w:val="1"/>
          <w:color w:val="auto"/>
        </w:rPr>
        <w:t>Italicized</w:t>
      </w:r>
      <w:r>
        <w:rPr>
          <w:rFonts w:ascii="Times New Roman" w:cs="Times New Roman" w:eastAsia="Times New Roman" w:hAnsi="Times New Roman"/>
          <w:sz w:val="18"/>
          <w:szCs w:val="18"/>
          <w:color w:val="auto"/>
        </w:rPr>
        <w:t xml:space="preserve"> terms have the same meaning that such terms have in the PMIERs, as described below.) The PMIERs establish operational, business, remedial and financial requirements applicable to </w:t>
      </w:r>
      <w:r>
        <w:rPr>
          <w:rFonts w:ascii="Times New Roman" w:cs="Times New Roman" w:eastAsia="Times New Roman" w:hAnsi="Times New Roman"/>
          <w:sz w:val="18"/>
          <w:szCs w:val="18"/>
          <w:i w:val="1"/>
          <w:iCs w:val="1"/>
          <w:color w:val="auto"/>
        </w:rPr>
        <w:t>Approved Insurers</w:t>
      </w:r>
      <w:r>
        <w:rPr>
          <w:rFonts w:ascii="Times New Roman" w:cs="Times New Roman" w:eastAsia="Times New Roman" w:hAnsi="Times New Roman"/>
          <w:sz w:val="18"/>
          <w:szCs w:val="18"/>
          <w:color w:val="auto"/>
        </w:rPr>
        <w:t>. The PMIERs financial requirements prescribe a risk-based methodology whereby the amount of assets required to be held against each insured loan is determined based on certain risk characteristics, such as FICO, vintage (year of origination), performing vs. non-performing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current vs. delinquent), LTV and other risk features. An asset charge is calculated for each insured loan based on its risk profile. In general, higher quality loans carry lower charges.</w:t>
      </w:r>
    </w:p>
    <w:p>
      <w:pPr>
        <w:spacing w:after="0" w:line="12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Under the PMIERs financial requirements, </w:t>
      </w:r>
      <w:r>
        <w:rPr>
          <w:rFonts w:ascii="Times New Roman" w:cs="Times New Roman" w:eastAsia="Times New Roman" w:hAnsi="Times New Roman"/>
          <w:sz w:val="18"/>
          <w:szCs w:val="18"/>
          <w:i w:val="1"/>
          <w:iCs w:val="1"/>
          <w:color w:val="auto"/>
        </w:rPr>
        <w:t>Approved Insurers</w:t>
      </w:r>
      <w:r>
        <w:rPr>
          <w:rFonts w:ascii="Times New Roman" w:cs="Times New Roman" w:eastAsia="Times New Roman" w:hAnsi="Times New Roman"/>
          <w:sz w:val="18"/>
          <w:szCs w:val="18"/>
          <w:color w:val="auto"/>
        </w:rPr>
        <w:t xml:space="preserve"> must maintain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xml:space="preserve"> that equal or exceed </w:t>
      </w:r>
      <w:r>
        <w:rPr>
          <w:rFonts w:ascii="Times New Roman" w:cs="Times New Roman" w:eastAsia="Times New Roman" w:hAnsi="Times New Roman"/>
          <w:sz w:val="18"/>
          <w:szCs w:val="18"/>
          <w:i w:val="1"/>
          <w:iCs w:val="1"/>
          <w:color w:val="auto"/>
        </w:rPr>
        <w:t>minimum required assets</w:t>
      </w:r>
      <w:r>
        <w:rPr>
          <w:rFonts w:ascii="Times New Roman" w:cs="Times New Roman" w:eastAsia="Times New Roman" w:hAnsi="Times New Roman"/>
          <w:sz w:val="18"/>
          <w:szCs w:val="18"/>
          <w:color w:val="auto"/>
        </w:rPr>
        <w:t xml:space="preserve">, which is an amount equal to the greater of (i) $400 million or (ii) a total </w:t>
      </w:r>
      <w:r>
        <w:rPr>
          <w:rFonts w:ascii="Times New Roman" w:cs="Times New Roman" w:eastAsia="Times New Roman" w:hAnsi="Times New Roman"/>
          <w:sz w:val="18"/>
          <w:szCs w:val="18"/>
          <w:i w:val="1"/>
          <w:iCs w:val="1"/>
          <w:color w:val="auto"/>
        </w:rPr>
        <w:t>risk-based required asset amount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risk-based required asset amount</w:t>
      </w:r>
      <w:r>
        <w:rPr>
          <w:rFonts w:ascii="Times New Roman" w:cs="Times New Roman" w:eastAsia="Times New Roman" w:hAnsi="Times New Roman"/>
          <w:sz w:val="18"/>
          <w:szCs w:val="18"/>
          <w:color w:val="auto"/>
        </w:rPr>
        <w:t xml:space="preserve"> is a function of the risk profile of an </w:t>
      </w:r>
      <w:r>
        <w:rPr>
          <w:rFonts w:ascii="Times New Roman" w:cs="Times New Roman" w:eastAsia="Times New Roman" w:hAnsi="Times New Roman"/>
          <w:sz w:val="18"/>
          <w:szCs w:val="18"/>
          <w:i w:val="1"/>
          <w:iCs w:val="1"/>
          <w:color w:val="auto"/>
        </w:rPr>
        <w:t>Approved Insurer’s</w:t>
      </w:r>
      <w:r>
        <w:rPr>
          <w:rFonts w:ascii="Times New Roman" w:cs="Times New Roman" w:eastAsia="Times New Roman" w:hAnsi="Times New Roman"/>
          <w:sz w:val="18"/>
          <w:szCs w:val="18"/>
          <w:color w:val="auto"/>
        </w:rPr>
        <w:t xml:space="preserve"> net RIF, calculated by applying on a loan-by-loan basis certain risk-based factors derived from tables set out in the PMIERs to the net RIF and other transactional adjustments approved by the GSEs, such as with respect to the 2017 ILN Transaction and 2016 QSR Transaction. The </w:t>
      </w:r>
      <w:r>
        <w:rPr>
          <w:rFonts w:ascii="Times New Roman" w:cs="Times New Roman" w:eastAsia="Times New Roman" w:hAnsi="Times New Roman"/>
          <w:sz w:val="18"/>
          <w:szCs w:val="18"/>
          <w:i w:val="1"/>
          <w:iCs w:val="1"/>
          <w:color w:val="auto"/>
        </w:rPr>
        <w:t>risk-based required asset amount</w:t>
      </w:r>
      <w:r>
        <w:rPr>
          <w:rFonts w:ascii="Times New Roman" w:cs="Times New Roman" w:eastAsia="Times New Roman" w:hAnsi="Times New Roman"/>
          <w:sz w:val="18"/>
          <w:szCs w:val="18"/>
          <w:color w:val="auto"/>
        </w:rPr>
        <w:t xml:space="preserve"> for primary insurance is subject to a floor of 5.6% of total, performing, primary RIF, and the </w:t>
      </w:r>
      <w:r>
        <w:rPr>
          <w:rFonts w:ascii="Times New Roman" w:cs="Times New Roman" w:eastAsia="Times New Roman" w:hAnsi="Times New Roman"/>
          <w:sz w:val="18"/>
          <w:szCs w:val="18"/>
          <w:i w:val="1"/>
          <w:iCs w:val="1"/>
          <w:color w:val="auto"/>
        </w:rPr>
        <w:t>risk-based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asset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80" w:right="239" w:bottom="1440" w:gutter="0" w:footer="0" w:header="0"/>
        </w:sectPr>
      </w:pPr>
    </w:p>
    <w:bookmarkStart w:id="33" w:name="page34"/>
    <w:bookmarkEnd w:id="33"/>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amount </w:t>
      </w:r>
      <w:r>
        <w:rPr>
          <w:rFonts w:ascii="Times New Roman" w:cs="Times New Roman" w:eastAsia="Times New Roman" w:hAnsi="Times New Roman"/>
          <w:sz w:val="18"/>
          <w:szCs w:val="18"/>
          <w:color w:val="auto"/>
        </w:rPr>
        <w:t>for pool insurance considers both the factors in the tables and the</w:t>
      </w:r>
      <w:r>
        <w:rPr>
          <w:rFonts w:ascii="Times New Roman" w:cs="Times New Roman" w:eastAsia="Times New Roman" w:hAnsi="Times New Roman"/>
          <w:sz w:val="18"/>
          <w:szCs w:val="18"/>
          <w:i w:val="1"/>
          <w:iCs w:val="1"/>
          <w:color w:val="auto"/>
        </w:rPr>
        <w:t xml:space="preserve"> net remaining stop loss </w:t>
      </w:r>
      <w:r>
        <w:rPr>
          <w:rFonts w:ascii="Times New Roman" w:cs="Times New Roman" w:eastAsia="Times New Roman" w:hAnsi="Times New Roman"/>
          <w:sz w:val="18"/>
          <w:szCs w:val="18"/>
          <w:color w:val="auto"/>
        </w:rPr>
        <w:t>for each pool insurance policy. The PMIERs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requirements also increase the amount of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xml:space="preserve"> that must be held by an </w:t>
      </w:r>
      <w:r>
        <w:rPr>
          <w:rFonts w:ascii="Times New Roman" w:cs="Times New Roman" w:eastAsia="Times New Roman" w:hAnsi="Times New Roman"/>
          <w:sz w:val="18"/>
          <w:szCs w:val="18"/>
          <w:i w:val="1"/>
          <w:iCs w:val="1"/>
          <w:color w:val="auto"/>
        </w:rPr>
        <w:t>Approved Insurer</w:t>
      </w:r>
      <w:r>
        <w:rPr>
          <w:rFonts w:ascii="Times New Roman" w:cs="Times New Roman" w:eastAsia="Times New Roman" w:hAnsi="Times New Roman"/>
          <w:sz w:val="18"/>
          <w:szCs w:val="18"/>
          <w:color w:val="auto"/>
        </w:rPr>
        <w:t xml:space="preserve"> for loans originated on or after January 1, 2016 that are insured under LPMI policies.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April 15th of each year, NMIC must certify it met all PMIERs requirements as of December 31st of the prior year. We certified to the GSEs by April 15, 2017 that NMIC fully complied with the PMIERs as of December 31, 2016. NMIC also has an ongoing obligation to immediately notify the GSEs in writing upon discovery of its failure to meet one or more of the PMIERs requirements. We continuously monitor our compliance with the PMIERs.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comparison of the PMIERs financial requirements as reported by NMIC as of the dates indicated.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Borders>
              <w:bottom w:val="single" w:sz="8" w:color="auto"/>
            </w:tcBorders>
          </w:tcPr>
          <w:p>
            <w:pPr>
              <w:spacing w:after="0"/>
              <w:rPr>
                <w:sz w:val="16"/>
                <w:szCs w:val="16"/>
                <w:color w:val="auto"/>
              </w:rPr>
            </w:pPr>
          </w:p>
        </w:tc>
      </w:tr>
      <w:tr>
        <w:trPr>
          <w:trHeight w:val="264"/>
        </w:trPr>
        <w:tc>
          <w:tcPr>
            <w:tcW w:w="8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64"/>
        </w:trPr>
        <w:tc>
          <w:tcPr>
            <w:tcW w:w="8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20" w:type="dxa"/>
            <w:vAlign w:val="bottom"/>
          </w:tcPr>
          <w:p>
            <w:pPr>
              <w:jc w:val="right"/>
              <w:ind w:right="399"/>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800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Available assets</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485,019</w:t>
            </w:r>
          </w:p>
        </w:tc>
        <w:tc>
          <w:tcPr>
            <w:tcW w:w="460" w:type="dxa"/>
            <w:vAlign w:val="bottom"/>
            <w:tcBorders>
              <w:bottom w:val="single" w:sz="8" w:color="BFE4FF"/>
            </w:tcBorders>
            <w:shd w:val="clear" w:color="auto" w:fill="BFE4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BFE4FF"/>
            </w:tcBorders>
            <w:shd w:val="clear" w:color="auto" w:fill="BFE4FF"/>
          </w:tcPr>
          <w:p>
            <w:pPr>
              <w:jc w:val="right"/>
              <w:ind w:right="19"/>
              <w:spacing w:after="0"/>
              <w:rPr>
                <w:sz w:val="20"/>
                <w:szCs w:val="20"/>
                <w:color w:val="auto"/>
              </w:rPr>
            </w:pPr>
            <w:r>
              <w:rPr>
                <w:rFonts w:ascii="Times New Roman" w:cs="Times New Roman" w:eastAsia="Times New Roman" w:hAnsi="Times New Roman"/>
                <w:sz w:val="18"/>
                <w:szCs w:val="18"/>
                <w:color w:val="auto"/>
              </w:rPr>
              <w:t>432,074</w:t>
            </w: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Risk-based required assets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298,091</w:t>
            </w:r>
          </w:p>
        </w:tc>
        <w:tc>
          <w:tcPr>
            <w:tcW w:w="46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377,468</w:t>
            </w:r>
          </w:p>
        </w:tc>
      </w:tr>
    </w:tbl>
    <w:p>
      <w:pPr>
        <w:spacing w:after="0" w:line="16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increase in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xml:space="preserve"> as of June 30, 2017 compared to June 30, 2016 is driven by the increase in cash flow from operations. The decrease in the </w:t>
      </w:r>
      <w:r>
        <w:rPr>
          <w:rFonts w:ascii="Times New Roman" w:cs="Times New Roman" w:eastAsia="Times New Roman" w:hAnsi="Times New Roman"/>
          <w:sz w:val="18"/>
          <w:szCs w:val="18"/>
          <w:i w:val="1"/>
          <w:iCs w:val="1"/>
          <w:color w:val="auto"/>
        </w:rPr>
        <w:t>risk-based required asset amount</w:t>
      </w:r>
      <w:r>
        <w:rPr>
          <w:rFonts w:ascii="Times New Roman" w:cs="Times New Roman" w:eastAsia="Times New Roman" w:hAnsi="Times New Roman"/>
          <w:sz w:val="18"/>
          <w:szCs w:val="18"/>
          <w:color w:val="auto"/>
        </w:rPr>
        <w:t xml:space="preserve"> is due to the cession of risk relating to our third-party reinsurance agreements, offset by an increase resulting from the growth of our RIF.</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Position of Our Insurance Subsidiaries and Financial Strength Ratings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GSE-imposed asset requirements, NMIC is also subject to state regulatory minimum capital requirements based on its RIF. While formulations of this minimum capital may vary by jurisdiction, the most common measure allows for a maximum permitted RTC ratio of 25:1.</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2017, NMIC's primary RIF, net of reinsurance, was approximately $5.1 billion. NMIC ceded 100% of its pool RIF pursuant to the 2016 QSR Transaction. Based on NMIC's total statutory surplus of $488.6 million (including contingency reserve) as of June 30, 2017, NMIC's RTC ratio was 10.5:1. Re One had total statutory capital of $33.7 million as of June 30, 2017, with a RTC ratio of 0.6:1. We continuously monitor our compliance with state capital requirements.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2017, S&amp;P re-affirmed its "BBB-" financial strength and long-term counter-party credit ratings on NMIC and its"BB-" long-term counter-party credit rating on NMIH. S&amp;P's outlook for both companies is "positive." In March 2017, Moody's Investors Service (Moody's) upgraded its financial strength rating from "Ba2" to "Ba1" for NMIC. Also at that time, Moody's upgraded its rating of NMIH's $150 million Term Loan from "B2" to "B1". Moody's outlook for both ratings is "stable."</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MI industry is highly competitive and currently consists of six private mortgage insurers, including NMIC, as well as governmental agencies like the FHA and the VA.</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MI companies compete based on service, customer relationships, underwriting and other factors, including price (particularly with respect to single premium LPMI). Following industry-wide pricing changes in the first half of 2016, largely in response to higher capital requirements imposed by the PMIERs, pricing in the industry has generally stabilized. We expect the MI market to remain competitive, with pressure for industry participants to grow or maintain their market share. Our competitors' respective shares of the private MI market for the quarter ended March 31, 2017 ranged from 15% to a high of approximately 25%.</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Competition with FHA</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there has been broad policy consensus toward the need for private capital to play a larger role and government credit risk to be reduced in the U.S. housing finance system, it remains difficult to predict whether the combined market share of governmental agencies such as the FHA and VA will recede to historical levels. In 2015, the FHA reduced some of its single-family annual mortgage insurance premiums, which had the effect of maintaining the FHA's elevated market share and continuing the increased role of government in the mortgage insurance market. In January 2017, the FHA announced further reductions to its annual premiums; however, before such reductions could take effect, the FHA announced that the cuts were suspended indefinitely. To date, the impact from the FHA's 2015 premium reduction has not had a significant impact on our continued growth in the market. We believe our pricing continues to be more attractive than the FHA's current pricing for a substantial majority of borrowers with credit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578" w:right="2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and loan characteristics similar to those whose loans we insure. With the new Presidential administration, it remains uncertain whether FHA will ultimately adopt the suspended reductions or otherwise reduce its mortgage insurance premiums again, or eliminate the non-cancelability of premiums, or whether Congress will continue to consider legislation to reform the FHA. There are factors beyond premium rate that influence a lender's decision to choose private MI over FHA insurance, including among others, the FHA's loan eligibility requirements, cancelability, loan size limits and the relative ease of use of private MI products compared to FHA products.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2"/>
        </w:trPr>
        <w:tc>
          <w:tcPr>
            <w:tcW w:w="50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52"/>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40" w:type="dxa"/>
            <w:vAlign w:val="bottom"/>
            <w:gridSpan w:val="5"/>
          </w:tcPr>
          <w:p>
            <w:pPr>
              <w:ind w:left="9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5"/>
        </w:trPr>
        <w:tc>
          <w:tcPr>
            <w:tcW w:w="5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37,917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26,041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71,142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45,848</w:t>
            </w:r>
          </w:p>
        </w:tc>
      </w:tr>
      <w:tr>
        <w:trPr>
          <w:trHeight w:val="243"/>
        </w:trPr>
        <w:tc>
          <w:tcPr>
            <w:tcW w:w="5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7,715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6,573</w:t>
            </w: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realized investment gains (losses)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(824)</w:t>
            </w:r>
          </w:p>
        </w:tc>
      </w:tr>
      <w:tr>
        <w:trPr>
          <w:trHeight w:val="243"/>
        </w:trPr>
        <w:tc>
          <w:tcPr>
            <w:tcW w:w="5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5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42,198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29,481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79,252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51,666</w:t>
            </w:r>
          </w:p>
        </w:tc>
      </w:tr>
      <w:tr>
        <w:trPr>
          <w:trHeight w:val="237"/>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Insurance claims and claims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928</w:t>
            </w:r>
          </w:p>
        </w:tc>
      </w:tr>
      <w:tr>
        <w:trPr>
          <w:trHeight w:val="243"/>
        </w:trPr>
        <w:tc>
          <w:tcPr>
            <w:tcW w:w="5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Underwriting and operating expenses</w:t>
            </w: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28,048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23,234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54,037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45,906</w:t>
            </w:r>
          </w:p>
        </w:tc>
      </w:tr>
      <w:tr>
        <w:trPr>
          <w:trHeight w:val="27"/>
        </w:trPr>
        <w:tc>
          <w:tcPr>
            <w:tcW w:w="5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29,421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23,704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56,045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46,834</w:t>
            </w:r>
          </w:p>
        </w:tc>
      </w:tr>
      <w:tr>
        <w:trPr>
          <w:trHeight w:val="237"/>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611</w:t>
            </w:r>
          </w:p>
        </w:tc>
      </w:tr>
      <w:tr>
        <w:trPr>
          <w:trHeight w:val="243"/>
        </w:trPr>
        <w:tc>
          <w:tcPr>
            <w:tcW w:w="5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(7,339)</w:t>
            </w:r>
          </w:p>
        </w:tc>
      </w:tr>
      <w:tr>
        <w:trPr>
          <w:trHeight w:val="27"/>
        </w:trPr>
        <w:tc>
          <w:tcPr>
            <w:tcW w:w="5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16,236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(1,896)</w:t>
            </w:r>
          </w:p>
        </w:tc>
      </w:tr>
      <w:tr>
        <w:trPr>
          <w:trHeight w:val="243"/>
        </w:trPr>
        <w:tc>
          <w:tcPr>
            <w:tcW w:w="5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11,504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(1,896)</w:t>
            </w: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50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Loss ratio</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500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Expense ratio</w:t>
            </w:r>
            <w:r>
              <w:rPr>
                <w:rFonts w:ascii="Times New Roman" w:cs="Times New Roman" w:eastAsia="Times New Roman" w:hAnsi="Times New Roman"/>
                <w:sz w:val="25"/>
                <w:szCs w:val="25"/>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37"/>
        </w:trPr>
        <w:tc>
          <w:tcPr>
            <w:tcW w:w="5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Combined ratio</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7"/>
        </w:trPr>
        <w:tc>
          <w:tcPr>
            <w:tcW w:w="5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ind w:left="140" w:hanging="132"/>
        <w:spacing w:after="0"/>
        <w:tabs>
          <w:tab w:leader="none" w:pos="14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Loss ratio is calculated by dividing the provision for insurance claims and claims expenses by net premiums earned.</w:t>
      </w:r>
    </w:p>
    <w:p>
      <w:pPr>
        <w:spacing w:after="0" w:line="17"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Expense ratio is calculated by dividing other underwriting and operating expenses by net premiums earned.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2017, net premiums earned increased $11.9 million or 46% and $25.3 million million or 55%, respectively, compared to the corresponding three and six month periods ended June 30, 2016.The increase in both periods is primarily due to growth in our monthly policy production and IIF, partially offset by the effects of the 2016 QSR Transaction and 2017 ILN Transaction.</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investment income increased for the three and six months ended June 30, 2017 compared to the three and six months ended June 30, 2016, due to an increase in the size of and improved yields on our total investment portfolio compared to the same periods a year ago.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insurance claims and claims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76" w:right="239" w:bottom="1440" w:gutter="0" w:footer="0" w:header="0"/>
        </w:sectPr>
      </w:pPr>
    </w:p>
    <w:bookmarkStart w:id="36" w:name="page37"/>
    <w:bookmarkEnd w:id="3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Insurance claims and claims expenses increased $0.9 million and $1.1 million for the three and six months ended June 30, 2017, respectively, compared to the three and six months ended June 30, 2016, as a result of an increase in our NODs, primarily due to an increase in the number of policies in force year-over-year and expected loss development of our earliest book years. The increase in claims and claims expenses for the six months ended June 30, 2017 was offset by the partial release of reserves related to prior year defaults.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Underwriting and operating expenses increased $4.8 million or 21%, and $8.1 million or 18% for the three and six months ended June 30, 2017 compared to the corresponding three and six month periods ended June 30, 2016. Employee compensation accounts for the majority of our operating expenses. We increased the size of our workforce from 263 employees as of June 30, 2016 to 297 employees as of June 30, 2017 to support the growth of our business, particularly our sales and operating functions. During the six months ended June 30, 2017, we also incurred $4.8 million of operating expenses related to the 2017 ILN Transaction and the amendment of the Credit Agreement.</w:t>
      </w:r>
    </w:p>
    <w:p>
      <w:pPr>
        <w:spacing w:after="0" w:line="1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incurred interest expense related to the Term Loan of $6.8 million for the six months ended June 30, 2017 compared to interest expense of $7.3 million for the six months ended June 30, 2016. Interest expense declined in connection with the amendment of our Credit Agreement which we completed in February 2017, which among other items, reduced the interest rate payable on the Term Loan. See Item 1, "</w:t>
      </w:r>
      <w:r>
        <w:rPr>
          <w:rFonts w:ascii="Times New Roman" w:cs="Times New Roman" w:eastAsia="Times New Roman" w:hAnsi="Times New Roman"/>
          <w:sz w:val="18"/>
          <w:szCs w:val="18"/>
          <w:i w:val="1"/>
          <w:iCs w:val="1"/>
          <w:color w:val="auto"/>
        </w:rPr>
        <w:t>Financial Statements - Notes to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Consolidated Financial Statements - Note 4, Term Loan.</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U.S. taxpayer and are subject to a statutory U.S. federal corporate income tax rate of 35%. Our holding company files a consolidated U.S. federal and various state income tax returns on behalf of itself and its subsidiaries.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provision for income taxes for the interim reporting periods are based on an estimated annual effective tax rate for the year ending December 31, 2017. Our effective tax rate on our pre-tax income was 36.7% for the three months ended June 30, 2017, compared to 0.0% for the comparable 2016 period. Our effective tax rate on our pre-tax income was 29.1% for the six months ended June 30, 2017, compared to our effective tax rate on our pre-tax loss of 0.0% for the comparable 2016 period. The difference between our statutory tax rate and our effective tax rates for the three and six months ended June 30, 2017 is due to a discrete tax benefit associated with excess tax benefits for restricted stock units that were recognized during the periods as a result of the adoption of ASU 2016-09 in the prior quarter. See Item 1, </w:t>
      </w:r>
      <w:r>
        <w:rPr>
          <w:rFonts w:ascii="Times New Roman" w:cs="Times New Roman" w:eastAsia="Times New Roman" w:hAnsi="Times New Roman"/>
          <w:sz w:val="18"/>
          <w:szCs w:val="18"/>
          <w:i w:val="1"/>
          <w:iCs w:val="1"/>
          <w:color w:val="auto"/>
        </w:rPr>
        <w:t>"Financial Statements - Notes to Consolidated Financial Statements - Note 1, Organization and 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Presentation - Change in Accounting Principle:" </w:t>
      </w:r>
      <w:r>
        <w:rPr>
          <w:rFonts w:ascii="Times New Roman" w:cs="Times New Roman" w:eastAsia="Times New Roman" w:hAnsi="Times New Roman"/>
          <w:sz w:val="18"/>
          <w:szCs w:val="18"/>
          <w:color w:val="auto"/>
        </w:rPr>
        <w:t>We expect our effective tax rate to return to approximately the statutory tax rate for the year 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2017. From inception through September 30, 2016, we had evaluated the realizability of our net deferred tax assets on a quarterly basis and concluded that it was more-likely-than-not that our net deferred tax assets may not be realized and recognized a full valuation allowance against net deferred tax assets. Accordingly, we did not record a benefit associated with the losses incurred, or an expense associated with the income generated in the comparable 2016 periods.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2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 xml:space="preserve">December 31, 2016 </w:t>
            </w:r>
            <w:r>
              <w:rPr>
                <w:rFonts w:ascii="Times New Roman" w:cs="Times New Roman" w:eastAsia="Times New Roman" w:hAnsi="Times New Roman"/>
                <w:sz w:val="8"/>
                <w:szCs w:val="8"/>
                <w:b w:val="1"/>
                <w:bCs w:val="1"/>
                <w:color w:val="auto"/>
              </w:rPr>
              <w:t>(1)</w:t>
            </w:r>
          </w:p>
        </w:tc>
      </w:tr>
      <w:tr>
        <w:trPr>
          <w:trHeight w:val="250"/>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40" w:type="dxa"/>
            <w:vAlign w:val="bottom"/>
            <w:gridSpan w:val="4"/>
          </w:tcPr>
          <w:p>
            <w:pPr>
              <w:jc w:val="right"/>
              <w:ind w:right="1231"/>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investment portfolio</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673,695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628,969</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47,746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Premiums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13,728</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policy acquisition costs, net</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34,206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30,109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Software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20,402</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38,919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37,921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tax asset,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45,771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51,434</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9,588</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862,995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839,897</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0"/>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143,990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144,353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Unearned premiums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157,152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152,906</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21,349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25,297</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Reserve for insurance claims and claims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3,001</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Reinsurance funds withheld</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32,042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30,633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ceding commission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4,831</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 liability</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3,367</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367,955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364,388</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495,040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475,509</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862,995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839,897</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firstLine="8"/>
        <w:spacing w:after="0" w:line="330" w:lineRule="auto"/>
        <w:tabs>
          <w:tab w:leader="none" w:pos="153"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2016 prior period balance sheet has been revised. See Item 1, "</w:t>
      </w:r>
      <w:r>
        <w:rPr>
          <w:rFonts w:ascii="Times New Roman" w:cs="Times New Roman" w:eastAsia="Times New Roman" w:hAnsi="Times New Roman"/>
          <w:sz w:val="14"/>
          <w:szCs w:val="14"/>
          <w:i w:val="1"/>
          <w:iCs w:val="1"/>
          <w:color w:val="auto"/>
        </w:rPr>
        <w:t>Financial Statements - Notes to Condensed Consolidated Financial Statements - Note 1, Organization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Basis of Presentation. Immaterial Correction of Prior Period Amounts" </w:t>
      </w:r>
      <w:r>
        <w:rPr>
          <w:rFonts w:ascii="Times New Roman" w:cs="Times New Roman" w:eastAsia="Times New Roman" w:hAnsi="Times New Roman"/>
          <w:sz w:val="14"/>
          <w:szCs w:val="14"/>
          <w:color w:val="auto"/>
        </w:rPr>
        <w:t>for further details.</w:t>
      </w:r>
    </w:p>
    <w:p>
      <w:pPr>
        <w:spacing w:after="0" w:line="15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June 30, 2017, we had approximately $693.7 million in cash and investments, including $56.9 million held at NMIH. The increase in cash and investments from year-end 2016 relates to cash generated from operations.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deferred policy acquisition costs were $34.2 million as of June 30, 2017, compared to $30.1 million at December 31, 2016. The increase was driven by the deferment of certain costs associated with premiums written during the six months ended June 30, 2017, partially offset by the amortization of previously deferred acquisition costs and the capitalization of ceding commissions associated with the 2016 QSR Transaction during the period.</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Unearned premiums increased $4.2 million to $157.2 million as of June 30, 2017, primarily due to single premium policy origination during the period, offset by the amortization through earnings of existing unearned premiums in accordance with the expiration of risk on the related policies and the cancellation of other single premium policies.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payable and accrued expenses decreased to $21.3 million as of June 30, 2017, from $25.3 million at December 31, 2016. The accounts decreased as a result of the payments made of accrued liabilities at year-end during the six months ended June 30, 2017 , with an increase in accruals made after December 31, 2016 for liabilities related to compensation and employee benefits on increased headcount, premium taxes and certain IT expenses.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Reinsurance funds withheld was $32.0 million as of June 30, 2017, representing the net of our reinsurance premiums, less our profit and ceding commission receivables related to the 2016 QSR Transaction. The increase in reinsurance funds withheld of $1.4 million from December 31, 2016, was a result of increased ceded premiums written. See, Item 1, "</w:t>
      </w:r>
      <w:r>
        <w:rPr>
          <w:rFonts w:ascii="Times New Roman" w:cs="Times New Roman" w:eastAsia="Times New Roman" w:hAnsi="Times New Roman"/>
          <w:sz w:val="18"/>
          <w:szCs w:val="18"/>
          <w:i w:val="1"/>
          <w:iCs w:val="1"/>
          <w:color w:val="auto"/>
        </w:rPr>
        <w:t>Financial Statements - Notes to Condensed Consolidated Financial Statements - 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Reinsurance</w:t>
      </w:r>
      <w:r>
        <w:rPr>
          <w:rFonts w:ascii="Times New Roman" w:cs="Times New Roman" w:eastAsia="Times New Roman" w:hAnsi="Times New Roman"/>
          <w:sz w:val="18"/>
          <w:szCs w:val="18"/>
          <w:color w:val="auto"/>
        </w:rPr>
        <w: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885" w:right="2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cash flows</w:t>
            </w: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9"/>
        </w:trPr>
        <w:tc>
          <w:tcPr>
            <w:tcW w:w="79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2"/>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420" w:type="dxa"/>
            <w:vAlign w:val="bottom"/>
          </w:tcPr>
          <w:p>
            <w:pPr>
              <w:spacing w:after="0"/>
              <w:rPr>
                <w:sz w:val="21"/>
                <w:szCs w:val="21"/>
                <w:color w:val="auto"/>
              </w:rPr>
            </w:pPr>
          </w:p>
        </w:tc>
        <w:tc>
          <w:tcPr>
            <w:tcW w:w="19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21"/>
                <w:szCs w:val="21"/>
                <w:color w:val="auto"/>
              </w:rPr>
            </w:pPr>
          </w:p>
        </w:tc>
      </w:tr>
      <w:tr>
        <w:trPr>
          <w:trHeight w:val="255"/>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14,592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27,562</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(37,142)</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(10,490)</w:t>
            </w: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$14.6 million for the six months ended June 30, 2017, compared to $27.6 million in the same period in 2016. The decrease in cash generated from operating activities was primarily caused by lower premiums written in connection with reduced single premium production and increased operating expenses in connection with employee compensation and benefits costs, as well as the 2017 ILN Transaction.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used in investing activities for the periods presented was driven by the purchase of fixed and short-term maturities during those periods.</w:t>
      </w:r>
    </w:p>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cash used in financing activities for the six months ended June 30, 2017 compared to the same period ended June 30, 2016, was primarily due to an increase in taxes paid related to the net share settlement of equity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w:t>
      </w: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principal and interest related to the Term Loan; (iv) tax payments to the Internal Revenue Service; (v) capital support for its subsidiaries; and</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dividends, if any, on its common stock. NMIH is not subject to any limitations on its ability to pay dividends except those generally applicable to corporations, such as NMIH, that are incorporated in Delaware. Delaware corporation law provides that dividends are only payable out of a corporation's surplus or recent net profits (subject to certain limitations).</w:t>
      </w:r>
    </w:p>
    <w:p>
      <w:pPr>
        <w:spacing w:after="0" w:line="13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June 30, 2017, NMIH had $56.9 million of cash and investments. NMIH's principal source of operating cash is investment income and in the future could include dividends from NMIC, if available and permitted under law and by the GSEs.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NMIH has entered into tax and expense-sharing agreements with its subsidiaries which have been approved by the Wisconsin OCI, but such approval may be changed or revoked at any time. With Wisconsin OCI's approval, NMIH began allocating the interest expense on its Term Loan to NMIC in the first quarter of 2017, consistent with the benefits NMIC received when NMIH down-streamed the loan proceeds to NMIC.</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NMIC's ability to pay dividends to NMIH is subject to insurance department notice or approval. Under Wisconsin law, NMIC may pay dividends up to specified levels (i.e.,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12 months exceeds the lesser of (i) 10% of the insurer’s statutory policyholders' surplus as of the preceding December 31 or (ii) adjusted statutory net income for the 12-month period ending the preceding December 31. NMIC has never paid any dividends to NMIH. NMIC reported a statutory net loss for the twelve months ended December 31, 2016 and cannot pay any dividends to NMIH through December 31, 2017 without the prior approval of the Wisconsin OCI. Certain other states in which NMIC is licensed also have statutes or regulations that restrict its ability to pay dividends.</w:t>
      </w:r>
    </w:p>
    <w:p>
      <w:pPr>
        <w:spacing w:after="0" w:line="1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NMIC's capital needs depend on many factors including its ability to successfully write new business, establish premium rates at levels sufficient to cover claims and operating costs and meet </w:t>
      </w:r>
      <w:r>
        <w:rPr>
          <w:rFonts w:ascii="Times New Roman" w:cs="Times New Roman" w:eastAsia="Times New Roman" w:hAnsi="Times New Roman"/>
          <w:sz w:val="18"/>
          <w:szCs w:val="18"/>
          <w:i w:val="1"/>
          <w:iCs w:val="1"/>
          <w:color w:val="auto"/>
        </w:rPr>
        <w:t>minimum required asset</w:t>
      </w:r>
      <w:r>
        <w:rPr>
          <w:rFonts w:ascii="Times New Roman" w:cs="Times New Roman" w:eastAsia="Times New Roman" w:hAnsi="Times New Roman"/>
          <w:sz w:val="18"/>
          <w:szCs w:val="18"/>
          <w:color w:val="auto"/>
        </w:rPr>
        <w:t xml:space="preserve"> thresholds under the PMIERs and state capital requirements. NMIC's capital needs also depend on its decision to access the reinsurance markets. NMIH may require liquidity to fund the capital needs of its insurance subsidiaries.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80" w:right="239" w:bottom="1440" w:gutter="0" w:footer="0" w:header="0"/>
        </w:sectPr>
      </w:pPr>
    </w:p>
    <w:bookmarkStart w:id="39" w:name="page40"/>
    <w:bookmarkEnd w:id="3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2015, NMIH entered into the Credit Agreement for the Term Loan. On February 10, 2017, NMIH amended the Credit Agreement, (the Amendment) to reduce the interest rate and extend the maturity date of the Term Loan from November 10, 2018 to November 10, 2019. The amended Term Loan bears interest at the Eurodollar Rate, as defined in the Credit Agreement and subject to a 1.00% floor, plus an annual margin rate of 6.75%, payable monthly or quarterly based on our interest rate election. The Credit Agreement contains various restrictive covenants and required financial ratios and tests (which were not modified by the Amendment) that we are required to meet or maintain. These covenants include, but are not limited to the following: a maximum debt-to-total capitalization ratio (as defined therein) of 35%, maximum RTC ratio of 22.0:1.0, minimum liquidity (as defined therein) of $28.6 million as of June 30, 2017, compliance with the PMIERs financial requirements (subject to any GSE-approved waivers), and minimum shareholders' equity requirements.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primary objectives with respect to our investment portfolio are to preserve capital and generate investment income while maintaining sufficient liquidity to cover our operating needs. We aim to achieve diversification as to type, quality, maturity, industry, and issuer that maximizes the after-tax return on investments. We have adopted an investment policy that defines, among other things, eligible and ineligible investments, concentration limits for asset sectors, single issuers, and certain credit ratings, and benchmarks for asset duration.</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Substantially all of our investment portfolio is held in fixed maturity instruments. As of June 30, 2017, the fair value of our investment portfolio was $673.7 million. We also had an additional $20.0 million of cash and equivalents as of June 30, 2017. Pre-tax book yield on the portfolio for the six months ended June 30, 2017 was 2.3%. The book yield is calculated as period-to-date net investment income divided by average amortized cost of the investment portfolio. Yield on the investment portfolio is likely to change over time based on potential movements in interest rates, the duration or mix of our investment portfolio and other factors.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a breakdown of our investment portfolio and cash and cash equivalents by investment type and credit rating: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Percentage of portfolio's fair value</w:t>
            </w: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7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49"/>
        </w:trPr>
        <w:tc>
          <w:tcPr>
            <w:tcW w:w="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 agencies</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ratings of our investment portfolio were:</w:t>
            </w: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32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7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portfolio ratings at fair value</w:t>
            </w: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7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49"/>
        </w:trPr>
        <w:tc>
          <w:tcPr>
            <w:tcW w:w="77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AAA</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AA</w:t>
            </w:r>
          </w:p>
        </w:tc>
        <w:tc>
          <w:tcPr>
            <w:tcW w:w="744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74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BBB</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ratings above are provided by one or more of: Moody's, S&amp;P and Fitch Ratings. If three ratings are available, we assign the middle rating for classification purposes, otherwise we assign the lowest rating.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Items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 and Contractual Obligations</w:t>
      </w:r>
    </w:p>
    <w:p>
      <w:pPr>
        <w:spacing w:after="0" w:line="17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had no material off-balance sheet arrangements as of June 30, 2017. In connection with the 2017 ILN Transaction, we have certain future contractual commitments to Oaktown Re, a special purpose VIE that is not consolidated in our financial results. See Item 1, "</w:t>
      </w:r>
      <w:r>
        <w:rPr>
          <w:rFonts w:ascii="Times New Roman" w:cs="Times New Roman" w:eastAsia="Times New Roman" w:hAnsi="Times New Roman"/>
          <w:sz w:val="18"/>
          <w:szCs w:val="18"/>
          <w:i w:val="1"/>
          <w:iCs w:val="1"/>
          <w:color w:val="auto"/>
        </w:rPr>
        <w:t>Financial Statements -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Condensed Consolidated Financial Statements - Note 1, Organization and Basis of Presentation - Variable interest entity"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"Note 5, Reinsurance."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80" w:right="239" w:bottom="1440" w:gutter="0" w:footer="0" w:header="0"/>
        </w:sectPr>
      </w:pPr>
    </w:p>
    <w:bookmarkStart w:id="40" w:name="page41"/>
    <w:bookmarkEnd w:id="40"/>
    <w:p>
      <w:pPr>
        <w:ind w:right="1580" w:firstLine="648"/>
        <w:spacing w:after="0" w:line="438" w:lineRule="auto"/>
        <w:rPr>
          <w:sz w:val="20"/>
          <w:szCs w:val="20"/>
          <w:color w:val="auto"/>
        </w:rPr>
      </w:pPr>
      <w:r>
        <w:rPr>
          <w:rFonts w:ascii="Times New Roman" w:cs="Times New Roman" w:eastAsia="Times New Roman" w:hAnsi="Times New Roman"/>
          <w:sz w:val="18"/>
          <w:szCs w:val="18"/>
          <w:color w:val="auto"/>
        </w:rPr>
        <w:t xml:space="preserve">There are no material changes outside the ordinary course of business in the contractual obligations specified in our 2016 10-K. </w:t>
      </w:r>
      <w:r>
        <w:rPr>
          <w:rFonts w:ascii="Times New Roman" w:cs="Times New Roman" w:eastAsia="Times New Roman" w:hAnsi="Times New Roman"/>
          <w:sz w:val="18"/>
          <w:szCs w:val="18"/>
          <w:i w:val="1"/>
          <w:iCs w:val="1"/>
          <w:color w:val="auto"/>
        </w:rPr>
        <w:t>Critical Accounting Estimates</w:t>
      </w:r>
    </w:p>
    <w:p>
      <w:pPr>
        <w:spacing w:after="0" w:line="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fair value measurements, our investment portfolio, deferred policy acquisition costs, premium deficiency reserves, income taxes, reserves for insurance claims and claims expenses, warrants and share-based compensation have the greatest potential impact on our consolidated financial statements. Therefore, we consider these to be our critical accounting estimates. There have been no material changes to our critical accounting policies and estimates as compared to the critical accounting policies and estimates described in our 2016 10-K.</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own and manage a large portfolio of various holdings, types and maturities. NMIH's principal source of operating cash is investment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assets within the investment portfolio are exposed to the same factors that affect overall financial market performance.</w:t>
      </w:r>
    </w:p>
    <w:p>
      <w:pPr>
        <w:spacing w:after="0" w:line="15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manage market risk via a defined investment policy implemented by our treasury function with oversight from our Board of Director's Risk Committee. Important drivers of our market risk exposure monitored and managed by us include but are not limited to:</w:t>
      </w:r>
    </w:p>
    <w:p>
      <w:pPr>
        <w:spacing w:after="0" w:line="106" w:lineRule="exact"/>
        <w:rPr>
          <w:sz w:val="20"/>
          <w:szCs w:val="20"/>
          <w:color w:val="auto"/>
        </w:rPr>
      </w:pPr>
    </w:p>
    <w:p>
      <w:pPr>
        <w:jc w:val="both"/>
        <w:ind w:left="660" w:hanging="328"/>
        <w:spacing w:after="0" w:line="259" w:lineRule="auto"/>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to the level of interest rates</w:t>
      </w:r>
      <w:r>
        <w:rPr>
          <w:rFonts w:ascii="Times New Roman" w:cs="Times New Roman" w:eastAsia="Times New Roman" w:hAnsi="Times New Roman"/>
          <w:sz w:val="18"/>
          <w:szCs w:val="18"/>
          <w:color w:val="auto"/>
        </w:rPr>
        <w:t>. Increasing interest rates may reduce the value of certain fixed-rate bonds held in the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71" w:lineRule="exact"/>
        <w:rPr>
          <w:rFonts w:ascii="Times New Roman" w:cs="Times New Roman" w:eastAsia="Times New Roman" w:hAnsi="Times New Roman"/>
          <w:sz w:val="18"/>
          <w:szCs w:val="18"/>
          <w:i w:val="1"/>
          <w:iCs w:val="1"/>
          <w:color w:val="auto"/>
        </w:rPr>
      </w:pPr>
    </w:p>
    <w:p>
      <w:pPr>
        <w:ind w:left="660" w:right="20" w:hanging="328"/>
        <w:spacing w:after="0" w:line="284" w:lineRule="auto"/>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to the term structure of interest rates</w:t>
      </w:r>
      <w:r>
        <w:rPr>
          <w:rFonts w:ascii="Times New Roman" w:cs="Times New Roman" w:eastAsia="Times New Roman" w:hAnsi="Times New Roman"/>
          <w:sz w:val="18"/>
          <w:szCs w:val="18"/>
          <w:color w:val="auto"/>
        </w:rPr>
        <w:t>. 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50"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volatility/changes in the real or perceived credit quality of investments</w:t>
      </w:r>
      <w:r>
        <w:rPr>
          <w:rFonts w:ascii="Times New Roman" w:cs="Times New Roman" w:eastAsia="Times New Roman" w:hAnsi="Times New Roman"/>
          <w:sz w:val="18"/>
          <w:szCs w:val="18"/>
          <w:color w:val="auto"/>
        </w:rPr>
        <w:t>. Deterioration in the quality of investments, identified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our own or third party (e.g., rating agency) assessments, will reduce the value and potentially the liquidity of investments.</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Concentration Risk</w:t>
      </w:r>
      <w:r>
        <w:rPr>
          <w:rFonts w:ascii="Times New Roman" w:cs="Times New Roman" w:eastAsia="Times New Roman" w:hAnsi="Times New Roman"/>
          <w:sz w:val="18"/>
          <w:szCs w:val="18"/>
          <w:color w:val="auto"/>
        </w:rPr>
        <w:t>. If the investment portfolio is highly concentrated in one asset, or in multiple assets whose values are highly correlated, the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total portfolio may be greatly affected by the change in value of just one asset or a group of highly correlated assets.</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Prepayment Risk</w:t>
      </w:r>
      <w:r>
        <w:rPr>
          <w:rFonts w:ascii="Times New Roman" w:cs="Times New Roman" w:eastAsia="Times New Roman" w:hAnsi="Times New Roman"/>
          <w:sz w:val="18"/>
          <w:szCs w:val="18"/>
          <w:color w:val="auto"/>
        </w:rPr>
        <w:t>. Bonds may have call provisions that permit debtors to repay prior to maturity when it is to their advantage. This typically occurs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rates fall below the interest rate of the debt.</w:t>
      </w:r>
    </w:p>
    <w:p>
      <w:pPr>
        <w:spacing w:after="0" w:line="1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carrying value of our investment portfolio as of June 30, 2017 and December 31, 2016 was $674 million and $629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2017, the duration of our fixed income portfolio, including cash and cash equivalents, was 3.92 years, which means that an instantaneous parallel shift (movement up or down) in the yield curve of 100 basis points would result in a change of 3.92% in fair value of our fixed income portfolio. Excluding cash, our fixed income portfolio duration was 4.20 years, which means that an instantaneous parallel shift (movement up or down) in the yield curve of 100 basis points would result in a change of 4.20% in fair value of our fixed income portfolio.</w:t>
      </w:r>
    </w:p>
    <w:p>
      <w:pPr>
        <w:spacing w:after="0" w:line="12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We are also subject to market risk related to our Term Loan and 2017 ILN Transaction. As discussed in Item 1, "</w:t>
      </w:r>
      <w:r>
        <w:rPr>
          <w:rFonts w:ascii="Times New Roman" w:cs="Times New Roman" w:eastAsia="Times New Roman" w:hAnsi="Times New Roman"/>
          <w:sz w:val="18"/>
          <w:szCs w:val="18"/>
          <w:i w:val="1"/>
          <w:iCs w:val="1"/>
          <w:color w:val="auto"/>
        </w:rPr>
        <w:t>Financial Statements -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Consolidated Financial Statements - Note 4, Term Loan,</w:t>
      </w:r>
      <w:r>
        <w:rPr>
          <w:rFonts w:ascii="Times New Roman" w:cs="Times New Roman" w:eastAsia="Times New Roman" w:hAnsi="Times New Roman"/>
          <w:sz w:val="18"/>
          <w:szCs w:val="18"/>
          <w:color w:val="auto"/>
        </w:rPr>
        <w:t>" the Term Loan bears interest at a variable rate and, as a result, increases in market interest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generally result in increased interest expense on our outstanding principal.</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risk premium amounts under the 2017 ILN Transaction are calculated by multiplying the outstanding reinsurance coverage amount at the beginning of any payment period by a coupon rate, which is the sum of 1-month LIBOR and a risk margin, and then subtracting actual investment income earned on the trust balance during that payment period. An increase in 1-month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76"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conducted an evaluation of the effectiveness of our disclosure controls and procedures (as defined in Rule 13a-15(e) of the Exchange Act) as of June 30, 2017,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upon that evaluation, our Principal Executive Officer and Principal Financial Officer concluded that, as of June 30, 2017, our disclosure controls and procedures were not effective, due to the existence of a material weakness in the design and operating effectiveness of an internal control related to reconciliation support used to validate our deferred tax inventory. A material weakness is a deficiency, or combination of deficiencies, in internal control over financial reporting such that there is a reasonable possibility that a material misstatement of our annual or interim financial statements will not be prevented or detected in a timely basis. As described in Item 1, "</w:t>
      </w:r>
      <w:r>
        <w:rPr>
          <w:rFonts w:ascii="Times New Roman" w:cs="Times New Roman" w:eastAsia="Times New Roman" w:hAnsi="Times New Roman"/>
          <w:sz w:val="18"/>
          <w:szCs w:val="18"/>
          <w:i w:val="1"/>
          <w:iCs w:val="1"/>
          <w:color w:val="auto"/>
        </w:rPr>
        <w:t>Financial Statements - Notes to Consolidated Financial Statements - Note 1, 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Basis of Presentation - Immaterial Correction of Prior Period Amounts</w:t>
      </w:r>
      <w:r>
        <w:rPr>
          <w:rFonts w:ascii="Times New Roman" w:cs="Times New Roman" w:eastAsia="Times New Roman" w:hAnsi="Times New Roman"/>
          <w:sz w:val="18"/>
          <w:szCs w:val="18"/>
          <w:color w:val="auto"/>
        </w:rPr>
        <w:t>," above, we detected a $1.8 million error in the deferred tax balance that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immaterial to the 2016 financial statements. Notwithstanding the material weakness identified, our management has concluded that the consolidated financial statements included in this Form 10-Q fairly present, in all material respects, our financial condition, results of operations and cash flows at and for the periods presented. In addition, there were no material errors in our financial results or balances identified as a result of this control deficiency, and accordingly, amendment of our 2016 Form 10-K is not required.</w:t>
      </w:r>
    </w:p>
    <w:p>
      <w:pPr>
        <w:spacing w:after="0" w:line="13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enhanced existing controls and designed and implemented new controls applicable to our deferred tax accounting, including those related to stock compensation, to ensure that our DTA is accurately calculated and appropriately reflected in our financial statements and reports we file with the SEC. We believe these actions are sufficient to remediate the identified material weakness and strengthen our internal control over financial reporting; however, there can be no guarantee that such remediation will be sufficient. We will continue to monitor the effectiveness of our controls and will make any further changes management determines appropriate.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noted above, there were no changes in our internal control over financial reporting that occurred during the period covered by this report that have materially affected, or are reasonably likely to materially affect, our internal control over financial reporting.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76"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disclose information relating to any such potential loss, whether in excess of any established accruals or where there is no established accrual. We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of our 2016 10-K. As of the date of this report, we are not aware of any material changes in our risk factors from the risk factors disclosed in our 2016 10-K. You should carefully consider the risks and uncertainties described herein and in our 2016 10-K, which have the potential to affect our business, financial condition, results of operations, cash flows or prospects in a material and adverse manner. The risks described herein and in our 2016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index to exhibits has been filed as part of this report and is incorporated herein by reference.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76" w:right="239" w:bottom="1440" w:gutter="0" w:footer="0" w:header="0"/>
        </w:sectPr>
      </w:pPr>
    </w:p>
    <w:bookmarkStart w:id="44" w:name="page45"/>
    <w:bookmarkEnd w:id="44"/>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NMI HOLDINGS, INC.</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4700" w:val="left"/>
        </w:tabs>
        <w:rPr>
          <w:sz w:val="20"/>
          <w:szCs w:val="20"/>
          <w:color w:val="auto"/>
        </w:rPr>
      </w:pPr>
      <w:r>
        <w:rPr>
          <w:rFonts w:ascii="Times New Roman" w:cs="Times New Roman" w:eastAsia="Times New Roman" w:hAnsi="Times New Roman"/>
          <w:sz w:val="18"/>
          <w:szCs w:val="18"/>
          <w:color w:val="auto"/>
        </w:rPr>
        <w:t>August 1, 2017</w:t>
      </w:r>
      <w:r>
        <w:rPr>
          <w:sz w:val="20"/>
          <w:szCs w:val="20"/>
          <w:color w:val="auto"/>
        </w:rPr>
        <w:tab/>
      </w:r>
      <w:r>
        <w:rPr>
          <w:rFonts w:ascii="Times New Roman" w:cs="Times New Roman" w:eastAsia="Times New Roman" w:hAnsi="Times New Roman"/>
          <w:sz w:val="18"/>
          <w:szCs w:val="18"/>
          <w:color w:val="auto"/>
        </w:rPr>
        <w:t>By: /s/ Adam Pollitzer</w:t>
      </w:r>
    </w:p>
    <w:p>
      <w:pPr>
        <w:spacing w:after="0" w:line="6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Adam Pollitzer</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0"/>
          </w:cols>
          <w:pgMar w:left="240" w:top="1008" w:right="7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64"/>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20" w:type="dxa"/>
            <w:vAlign w:val="bottom"/>
          </w:tcPr>
          <w:p>
            <w:pPr>
              <w:spacing w:after="0"/>
              <w:rPr>
                <w:sz w:val="24"/>
                <w:szCs w:val="24"/>
                <w:color w:val="auto"/>
              </w:rPr>
            </w:pPr>
          </w:p>
        </w:tc>
      </w:tr>
      <w:tr>
        <w:trPr>
          <w:trHeight w:val="238"/>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20" w:type="dxa"/>
            <w:vAlign w:val="bottom"/>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20" w:type="dxa"/>
            <w:vAlign w:val="bottom"/>
            <w:tcBorders>
              <w:bottom w:val="single" w:sz="8" w:color="auto"/>
            </w:tcBorders>
          </w:tcPr>
          <w:p>
            <w:pPr>
              <w:spacing w:after="0"/>
              <w:rPr>
                <w:sz w:val="9"/>
                <w:szCs w:val="9"/>
                <w:color w:val="auto"/>
              </w:rPr>
            </w:pPr>
          </w:p>
        </w:tc>
      </w:tr>
      <w:tr>
        <w:trPr>
          <w:trHeight w:val="40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4"/>
                <w:szCs w:val="24"/>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Purchase Agreement, dated November 30, 2011, between NMI Holdings, Inc. and MAC Financial Ltd. (incorporated herein by</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to Exhibit 2.1 to our Form S-1 Registration Statement (Registration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Pr>
          <w:p>
            <w:pPr>
              <w:spacing w:after="0"/>
              <w:rPr>
                <w:sz w:val="21"/>
                <w:szCs w:val="21"/>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Stock Purchase Agreement, dated April 6, 2012, between NMI Holdings, Inc. and MAC Financial Ltd. (incorporated</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herein by reference to Exhibit 2.2 to our Form S-1 Registration Statement (Registration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1"/>
                <w:szCs w:val="21"/>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Amended and Restated Certificate of Incorporation (incorporated herein by reference to Exhibit 3.1 to our Form S-1 Registration</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Statement (Registration No. 333-191635), filed on October 9, 2013)</w:t>
            </w:r>
          </w:p>
        </w:tc>
      </w:tr>
      <w:tr>
        <w:trPr>
          <w:trHeight w:val="27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3"/>
                <w:szCs w:val="23"/>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Amended and Restated By-Laws (incorporated herein by reference to Exhibit 3.1 to our Form 8-K, filed on December 9, 2014)</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1"/>
                <w:szCs w:val="21"/>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Specimen Class A common stock certificate (incorporated herein by reference to Exhibit 4.1 to our Form S-1 Registration Statement</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1"/>
                <w:szCs w:val="21"/>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Registration Rights Agreement between NMI Holdings, Inc. and FBR Capital Markets &amp; Co., dated April 24, 2012 (incorporated herein</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reference to Exhibit 4.2 to our Form S-1 Registration Statement (Registration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1"/>
                <w:szCs w:val="21"/>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Registration Rights Agreement by and between MAC Financial Ltd. and NMI Holdings, Inc., dated April 24, 2012 (incorporated herein</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reference to Exhibit 4.3 to our Form S-1 Registration Statement (Registration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1"/>
                <w:szCs w:val="21"/>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Registration Rights Agreement between FBR &amp; Co., FBR Capital Markets LT, Inc., FBR Capital Markets &amp; Co., FBR Capital Markets</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PT, Inc. and NMI Holdings, Inc., dated April 24, 2012 (incorporated herein by reference to Exhibit 4.4 to our Form S-1 Registration</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Statement (Registration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1"/>
                <w:szCs w:val="21"/>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 No. 1 to Purchase Common Stock of NMI Holdings, Inc. issued to FBR Capital Markets &amp; Co., dated June 13, 2013</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herein by reference to Exhibit 4.5 to our Form S-1 Registration Statement (Registration No. 333-191635), filed on October</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21"/>
                <w:szCs w:val="21"/>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Warrant to Purchase Common Stock of NMI Holdings, Inc. issued to former stockholders of MAC Financial Ltd.(incorporated</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herein by reference to Exhibit 4.6 to our Form S-1 Registration Statement (Registration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21"/>
                <w:szCs w:val="21"/>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NMI Holdings Inc. 2012 Stock Incentive Plan (incorporated herein by reference to Exhibit 10.1 to our Form S-1 Registration Statement</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21"/>
                <w:szCs w:val="21"/>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NMI Holdings, Inc. 2012 Stock Incentive Plan Restricted Stock Unit Award Agreement for Chief Executive Officer and Chief</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Officer (incorporated herein by reference to Exhibit 10.2 to our Form S-1 Registration Statement (Registration No. 333-</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tcPr>
          <w:p>
            <w:pPr>
              <w:spacing w:after="0"/>
              <w:rPr>
                <w:sz w:val="21"/>
                <w:szCs w:val="21"/>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NMI Holdings, Inc. 2012 Stock Incentive Plan Restricted Stock Unit Award Agreement for Management (incorporated herein by</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to Exhibit 10.3 to our Form S-1 Registration Statement (Registration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1"/>
                <w:szCs w:val="21"/>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NMI Holdings, Inc. 2012 Stock Incentive Plan Restricted Stock Unit Award Agreement for Directors (incorporated herein by</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to Exhibit 10.4 to our Form S-1 Registration Statement (Registration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1"/>
                <w:szCs w:val="21"/>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NMI Holdings, Inc. 2012 Stock Incentive Plan Nonqualified Stock Option Award Agreement for Chief Executive Officer and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 (incorporated herein by reference to Exhibit 10.5 to our Form S-1 Registration Statement (Registration No. 333-</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21"/>
                <w:szCs w:val="21"/>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NMI Holdings, Inc. 2012 Stock Incentive Plan Nonqualified Stock Option Award Agreement for Management (incorporated</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herein by reference to Exhibit 10.6 to our Form S-1 Registration Statement (Registration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tcPr>
          <w:p>
            <w:pPr>
              <w:spacing w:after="0"/>
              <w:rPr>
                <w:sz w:val="21"/>
                <w:szCs w:val="21"/>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NMI Holdings, Inc. 2012 Stock Incentive Plan Nonqualified Stock Option Award Agreement for Directors (incorporated herein</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reference to Exhibit 10.7 to our Form S-1 Registration Statement (Registration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21"/>
                <w:szCs w:val="21"/>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NMI Holdings, Inc. 2012 Stock Incentive Plan Nonqualified Stock Option Award Agreement for Chief Executive Officer and</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 (incorporated herein by reference to Exhibit 10.8 to our Form 10-K, filed on February 17, 2017)</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Pr>
          <w:p>
            <w:pPr>
              <w:spacing w:after="0"/>
              <w:rPr>
                <w:sz w:val="21"/>
                <w:szCs w:val="21"/>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Form of NMI Holdings, Inc. 2012 Stock Incentive Plan Nonqualified Stock Option Award Agreement for Employees (incorporated herein</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reference to Exhibit 10.9 to our Form 10-K, filed on February 17, 2017)</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 ~</w:t>
            </w:r>
          </w:p>
        </w:tc>
        <w:tc>
          <w:tcPr>
            <w:tcW w:w="100" w:type="dxa"/>
            <w:vAlign w:val="bottom"/>
          </w:tcPr>
          <w:p>
            <w:pPr>
              <w:spacing w:after="0"/>
              <w:rPr>
                <w:sz w:val="21"/>
                <w:szCs w:val="21"/>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Employment Agreement by and between NMI Holdings, Inc. and Bradley M. Shuster, dated December 23, 2015</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herein by reference to Exhibit 10.1 to our Form 8-K, filed on December 29, 2015)</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80" w:top="576" w:right="379" w:bottom="1440" w:gutter="0" w:footer="0" w:header="0"/>
        </w:sectPr>
      </w:pPr>
    </w:p>
    <w:bookmarkStart w:id="46" w:name="page47"/>
    <w:bookmarkEnd w:id="46"/>
    <w:p>
      <w:pPr>
        <w:jc w:val="both"/>
        <w:ind w:left="920" w:hanging="911"/>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10.11 ~</w:t>
      </w:r>
      <w:r>
        <w:rPr>
          <w:sz w:val="20"/>
          <w:szCs w:val="20"/>
          <w:color w:val="auto"/>
        </w:rPr>
        <w:tab/>
      </w:r>
      <w:r>
        <w:rPr>
          <w:rFonts w:ascii="Times New Roman" w:cs="Times New Roman" w:eastAsia="Times New Roman" w:hAnsi="Times New Roman"/>
          <w:sz w:val="18"/>
          <w:szCs w:val="18"/>
          <w:color w:val="auto"/>
        </w:rPr>
        <w:t>Offer Letter by and between NMI Holdings, Inc. and Glenn Farrell, effective December 4, 2014 (incorporated herein by reference to Exhibit 10.1 to our Form 8-K, filed on December 9, 2014)</w:t>
      </w:r>
    </w:p>
    <w:p>
      <w:pPr>
        <w:spacing w:after="0" w:line="2" w:lineRule="exact"/>
        <w:rPr>
          <w:sz w:val="20"/>
          <w:szCs w:val="20"/>
          <w:color w:val="auto"/>
        </w:rPr>
      </w:pPr>
    </w:p>
    <w:p>
      <w:pPr>
        <w:jc w:val="both"/>
        <w:ind w:left="920" w:right="20" w:hanging="914"/>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10.12 ~</w:t>
      </w:r>
      <w:r>
        <w:rPr>
          <w:sz w:val="20"/>
          <w:szCs w:val="20"/>
          <w:color w:val="auto"/>
        </w:rPr>
        <w:tab/>
      </w:r>
      <w:r>
        <w:rPr>
          <w:rFonts w:ascii="Times New Roman" w:cs="Times New Roman" w:eastAsia="Times New Roman" w:hAnsi="Times New Roman"/>
          <w:sz w:val="18"/>
          <w:szCs w:val="18"/>
          <w:color w:val="auto"/>
        </w:rPr>
        <w:t>Offer Letter by and between NMI Holdings, Inc. and William Leatherberry, dated July 11, 2014 (incorporated herein by reference to Exhibit 10.10 to our Form 10-Q, filed on April 28, 2016)</w:t>
      </w:r>
    </w:p>
    <w:p>
      <w:pPr>
        <w:spacing w:after="0" w:line="2"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Offer Letter by and between NMI Holdings, Inc. and Adam Pollitzer, dated February 1, 2017 (incorporated herein by reference to Exhibit</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10.1 to our Form 8-K, filed on February 3, 2017)</w:t>
      </w:r>
    </w:p>
    <w:p>
      <w:pPr>
        <w:spacing w:after="0" w:line="45" w:lineRule="exact"/>
        <w:rPr>
          <w:sz w:val="20"/>
          <w:szCs w:val="20"/>
          <w:color w:val="auto"/>
        </w:rPr>
      </w:pPr>
    </w:p>
    <w:p>
      <w:pPr>
        <w:jc w:val="both"/>
        <w:ind w:left="920" w:hanging="914"/>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10.14 ~</w:t>
      </w:r>
      <w:r>
        <w:rPr>
          <w:sz w:val="20"/>
          <w:szCs w:val="20"/>
          <w:color w:val="auto"/>
        </w:rPr>
        <w:tab/>
      </w:r>
      <w:r>
        <w:rPr>
          <w:rFonts w:ascii="Times New Roman" w:cs="Times New Roman" w:eastAsia="Times New Roman" w:hAnsi="Times New Roman"/>
          <w:sz w:val="18"/>
          <w:szCs w:val="18"/>
          <w:color w:val="auto"/>
        </w:rPr>
        <w:t>Form of Indemnification Agreement between NMI Holdings, Inc. and its directors and certain executive officers (incorporated herein by reference to Exhibit 10.1 to our Form 8-K, filed on November 25, 2014)</w:t>
      </w:r>
    </w:p>
    <w:p>
      <w:pPr>
        <w:spacing w:after="0" w:line="2" w:lineRule="exact"/>
        <w:rPr>
          <w:sz w:val="20"/>
          <w:szCs w:val="20"/>
          <w:color w:val="auto"/>
        </w:rPr>
      </w:pPr>
    </w:p>
    <w:p>
      <w:pPr>
        <w:jc w:val="both"/>
        <w:ind w:left="920" w:hanging="916"/>
        <w:spacing w:after="0" w:line="261" w:lineRule="auto"/>
        <w:tabs>
          <w:tab w:leader="none" w:pos="900" w:val="left"/>
        </w:tabs>
        <w:rPr>
          <w:sz w:val="20"/>
          <w:szCs w:val="20"/>
          <w:color w:val="auto"/>
        </w:rPr>
      </w:pPr>
      <w:r>
        <w:rPr>
          <w:rFonts w:ascii="Times New Roman" w:cs="Times New Roman" w:eastAsia="Times New Roman" w:hAnsi="Times New Roman"/>
          <w:sz w:val="18"/>
          <w:szCs w:val="18"/>
          <w:color w:val="auto"/>
        </w:rPr>
        <w:t>10.15 +</w:t>
      </w:r>
      <w:r>
        <w:rPr>
          <w:sz w:val="20"/>
          <w:szCs w:val="20"/>
          <w:color w:val="auto"/>
        </w:rPr>
        <w:tab/>
      </w:r>
      <w:r>
        <w:rPr>
          <w:rFonts w:ascii="Times New Roman" w:cs="Times New Roman" w:eastAsia="Times New Roman" w:hAnsi="Times New Roman"/>
          <w:sz w:val="18"/>
          <w:szCs w:val="18"/>
          <w:color w:val="auto"/>
        </w:rPr>
        <w:t>Commitment Letter dated July 12, 2013 for Bulk Fannie Mae-Paid Loss-on-Sale Mortgage Insurance on the Portfolio of approximately $5.46 billion Purchased by Fannie Mae and Identified by Fannie Mae as Deal No. 2013 MIRT 01 and by the Company as Policy No. P-0001-01 (incorporated herein by reference to Exhibit 10.14 to our Form S-1 Registration Statement (Registration No. 333-191635), filed on October 9, 2013)</w:t>
      </w:r>
    </w:p>
    <w:p>
      <w:pPr>
        <w:spacing w:after="0" w:line="18" w:lineRule="exact"/>
        <w:rPr>
          <w:sz w:val="20"/>
          <w:szCs w:val="20"/>
          <w:color w:val="auto"/>
        </w:rPr>
      </w:pPr>
    </w:p>
    <w:p>
      <w:pPr>
        <w:jc w:val="both"/>
        <w:ind w:left="920" w:hanging="843"/>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color w:val="auto"/>
        </w:rPr>
        <w:t>Credit Agreement, dated November 10, 2015, between NMI Holdings, Inc., the lenders party thereto and JPMorgan Chase Bank, N.A., as administrative agent (incorporated herein by reference to Exhibit 4.1 to our Form 8-K, filed on November 10, 2015)</w:t>
      </w:r>
    </w:p>
    <w:p>
      <w:pPr>
        <w:spacing w:after="0" w:line="2" w:lineRule="exact"/>
        <w:rPr>
          <w:sz w:val="20"/>
          <w:szCs w:val="20"/>
          <w:color w:val="auto"/>
        </w:rPr>
      </w:pPr>
    </w:p>
    <w:p>
      <w:pPr>
        <w:jc w:val="both"/>
        <w:ind w:left="920" w:hanging="843"/>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Amendment No. 1, dated February 10, 2017, to the Credit Agreement dated November 10, 2015, between NMI Holdings, Inc., the lender parties thereto and JPMorgan Chase Bank, N.A., as administrative agent (incorporated herein by reference to Exhibit 10.1 to our Form 8-K, filed on February 10, 2017)</w:t>
      </w:r>
    </w:p>
    <w:p>
      <w:pPr>
        <w:spacing w:after="0" w:line="14" w:lineRule="exact"/>
        <w:rPr>
          <w:sz w:val="20"/>
          <w:szCs w:val="20"/>
          <w:color w:val="auto"/>
        </w:rPr>
      </w:pPr>
    </w:p>
    <w:p>
      <w:pPr>
        <w:ind w:left="920" w:hanging="914"/>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10.18 ~</w:t>
      </w:r>
      <w:r>
        <w:rPr>
          <w:sz w:val="20"/>
          <w:szCs w:val="20"/>
          <w:color w:val="auto"/>
        </w:rPr>
        <w:tab/>
      </w:r>
      <w:r>
        <w:rPr>
          <w:rFonts w:ascii="Times New Roman" w:cs="Times New Roman" w:eastAsia="Times New Roman" w:hAnsi="Times New Roman"/>
          <w:sz w:val="18"/>
          <w:szCs w:val="18"/>
          <w:color w:val="auto"/>
        </w:rPr>
        <w:t>NMI Holdings, Inc. Amended and Restated 2014 Omnibus Incentive Plan (incorporated herein by reference to Appendix A to our 2017 Annual Proxy Statement, filed on March 30, 2017)</w:t>
      </w:r>
    </w:p>
    <w:p>
      <w:pPr>
        <w:spacing w:after="0" w:line="2" w:lineRule="exact"/>
        <w:rPr>
          <w:sz w:val="20"/>
          <w:szCs w:val="20"/>
          <w:color w:val="auto"/>
        </w:rPr>
      </w:pPr>
    </w:p>
    <w:p>
      <w:pPr>
        <w:ind w:left="920" w:hanging="914"/>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10.19 ~</w:t>
      </w:r>
      <w:r>
        <w:rPr>
          <w:sz w:val="20"/>
          <w:szCs w:val="20"/>
          <w:color w:val="auto"/>
        </w:rPr>
        <w:tab/>
      </w:r>
      <w:r>
        <w:rPr>
          <w:rFonts w:ascii="Times New Roman" w:cs="Times New Roman" w:eastAsia="Times New Roman" w:hAnsi="Times New Roman"/>
          <w:sz w:val="18"/>
          <w:szCs w:val="18"/>
          <w:color w:val="auto"/>
        </w:rPr>
        <w:t>Form of NMI Holdings, Inc. Amended and Restated 2014 Omnibus Incentive Plan Restricted Stock Unit Award Agreement for Chief Executive Officer</w:t>
      </w:r>
    </w:p>
    <w:p>
      <w:pPr>
        <w:spacing w:after="0" w:line="2" w:lineRule="exact"/>
        <w:rPr>
          <w:sz w:val="20"/>
          <w:szCs w:val="20"/>
          <w:color w:val="auto"/>
        </w:rPr>
      </w:pPr>
    </w:p>
    <w:p>
      <w:pPr>
        <w:ind w:left="920" w:right="20" w:hanging="914"/>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10.20 ~</w:t>
      </w:r>
      <w:r>
        <w:rPr>
          <w:sz w:val="20"/>
          <w:szCs w:val="20"/>
          <w:color w:val="auto"/>
        </w:rPr>
        <w:tab/>
      </w:r>
      <w:r>
        <w:rPr>
          <w:rFonts w:ascii="Times New Roman" w:cs="Times New Roman" w:eastAsia="Times New Roman" w:hAnsi="Times New Roman"/>
          <w:sz w:val="18"/>
          <w:szCs w:val="18"/>
          <w:color w:val="auto"/>
        </w:rPr>
        <w:t>Form of NMI Holdings, Inc. Amended and Restated 2014 Omnibus Incentive Plan Restricted Stock Unit Award Agreement for Executive Officers</w:t>
      </w:r>
    </w:p>
    <w:p>
      <w:pPr>
        <w:spacing w:after="0" w:line="2" w:lineRule="exact"/>
        <w:rPr>
          <w:sz w:val="20"/>
          <w:szCs w:val="20"/>
          <w:color w:val="auto"/>
        </w:rPr>
      </w:pPr>
    </w:p>
    <w:p>
      <w:pPr>
        <w:ind w:left="920" w:hanging="914"/>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10.21 ~</w:t>
      </w:r>
      <w:r>
        <w:rPr>
          <w:sz w:val="20"/>
          <w:szCs w:val="20"/>
          <w:color w:val="auto"/>
        </w:rPr>
        <w:tab/>
      </w:r>
      <w:r>
        <w:rPr>
          <w:rFonts w:ascii="Times New Roman" w:cs="Times New Roman" w:eastAsia="Times New Roman" w:hAnsi="Times New Roman"/>
          <w:sz w:val="18"/>
          <w:szCs w:val="18"/>
          <w:color w:val="auto"/>
        </w:rPr>
        <w:t>Form of NMI Holdings, Inc. Amended and Restated 2014 Omnibus Incentive Plan Restricted Stock Unit Award Agreement for Employees</w:t>
      </w:r>
    </w:p>
    <w:p>
      <w:pPr>
        <w:spacing w:after="0" w:line="2" w:lineRule="exact"/>
        <w:rPr>
          <w:sz w:val="20"/>
          <w:szCs w:val="20"/>
          <w:color w:val="auto"/>
        </w:rPr>
      </w:pPr>
    </w:p>
    <w:p>
      <w:pPr>
        <w:ind w:left="920" w:hanging="892"/>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8"/>
          <w:szCs w:val="18"/>
          <w:color w:val="auto"/>
        </w:rPr>
        <w:t>Form of NMI Holdings, Inc. Amended and Restated 2014 Omnibus Incentive Plan Restricted Stock Unit Award Agreement for Independent Directors</w:t>
      </w:r>
    </w:p>
    <w:p>
      <w:pPr>
        <w:spacing w:after="0" w:line="1" w:lineRule="exact"/>
        <w:rPr>
          <w:sz w:val="20"/>
          <w:szCs w:val="20"/>
          <w:color w:val="auto"/>
        </w:rPr>
      </w:pPr>
    </w:p>
    <w:p>
      <w:pPr>
        <w:ind w:left="920" w:right="20" w:hanging="914"/>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10.23 ~</w:t>
      </w:r>
      <w:r>
        <w:rPr>
          <w:sz w:val="20"/>
          <w:szCs w:val="20"/>
          <w:color w:val="auto"/>
        </w:rPr>
        <w:tab/>
      </w:r>
      <w:r>
        <w:rPr>
          <w:rFonts w:ascii="Times New Roman" w:cs="Times New Roman" w:eastAsia="Times New Roman" w:hAnsi="Times New Roman"/>
          <w:sz w:val="18"/>
          <w:szCs w:val="18"/>
          <w:color w:val="auto"/>
        </w:rPr>
        <w:t>Form of NMI Holdings, Inc. Amended and Restated 2014 Omnibus Incentive Plan Nonqualified Stock Option Award Agreement for Chief Executive Officer</w:t>
      </w:r>
    </w:p>
    <w:p>
      <w:pPr>
        <w:spacing w:after="0" w:line="2" w:lineRule="exact"/>
        <w:rPr>
          <w:sz w:val="20"/>
          <w:szCs w:val="20"/>
          <w:color w:val="auto"/>
        </w:rPr>
      </w:pPr>
    </w:p>
    <w:p>
      <w:pPr>
        <w:ind w:left="920" w:right="20" w:hanging="914"/>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10.24 ~</w:t>
      </w:r>
      <w:r>
        <w:rPr>
          <w:sz w:val="20"/>
          <w:szCs w:val="20"/>
          <w:color w:val="auto"/>
        </w:rPr>
        <w:tab/>
      </w:r>
      <w:r>
        <w:rPr>
          <w:rFonts w:ascii="Times New Roman" w:cs="Times New Roman" w:eastAsia="Times New Roman" w:hAnsi="Times New Roman"/>
          <w:sz w:val="18"/>
          <w:szCs w:val="18"/>
          <w:color w:val="auto"/>
        </w:rPr>
        <w:t>Form of NMI Holdings, Inc. Amended and Restated 2014 Omnibus Incentive Plan Nonqualified Stock Option Award Agreement for Executive Officers and Employees</w:t>
      </w:r>
    </w:p>
    <w:p>
      <w:pPr>
        <w:spacing w:after="0" w:line="2" w:lineRule="exact"/>
        <w:rPr>
          <w:sz w:val="20"/>
          <w:szCs w:val="20"/>
          <w:color w:val="auto"/>
        </w:rPr>
      </w:pPr>
    </w:p>
    <w:p>
      <w:pPr>
        <w:ind w:left="920" w:hanging="914"/>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10.25 ~</w:t>
      </w:r>
      <w:r>
        <w:rPr>
          <w:sz w:val="20"/>
          <w:szCs w:val="20"/>
          <w:color w:val="auto"/>
        </w:rPr>
        <w:tab/>
      </w:r>
      <w:r>
        <w:rPr>
          <w:rFonts w:ascii="Times New Roman" w:cs="Times New Roman" w:eastAsia="Times New Roman" w:hAnsi="Times New Roman"/>
          <w:sz w:val="18"/>
          <w:szCs w:val="18"/>
          <w:color w:val="auto"/>
        </w:rPr>
        <w:t>Form of NMI Holdings, Inc. 2014 Omnibus Incentive Plan Phantom Unit Award Agreement for Independent Directors (incorporated herein by reference to Exhibit 10.21 to our Form 10-Q, filed on August 5, 2015)</w:t>
      </w:r>
    </w:p>
    <w:p>
      <w:pPr>
        <w:spacing w:after="0" w:line="1" w:lineRule="exact"/>
        <w:rPr>
          <w:sz w:val="20"/>
          <w:szCs w:val="20"/>
          <w:color w:val="auto"/>
        </w:rPr>
      </w:pPr>
    </w:p>
    <w:p>
      <w:pPr>
        <w:ind w:left="920" w:right="20" w:hanging="914"/>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10.26 ~</w:t>
      </w:r>
      <w:r>
        <w:rPr>
          <w:sz w:val="20"/>
          <w:szCs w:val="20"/>
          <w:color w:val="auto"/>
        </w:rPr>
        <w:tab/>
      </w:r>
      <w:r>
        <w:rPr>
          <w:rFonts w:ascii="Times New Roman" w:cs="Times New Roman" w:eastAsia="Times New Roman" w:hAnsi="Times New Roman"/>
          <w:sz w:val="18"/>
          <w:szCs w:val="18"/>
          <w:color w:val="auto"/>
        </w:rPr>
        <w:t>Form of NMI Holdings, Inc. 2014 Omnibus Incentive Plan Performance Based Restricted Stock Unit Award Agreement for Chief Executive Officer (incorporated herein by reference to Exhibit 10.26 to our Form 10-K, filed on February 17, 2017)</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10.27 ~</w:t>
      </w:r>
      <w:r>
        <w:rPr>
          <w:sz w:val="20"/>
          <w:szCs w:val="20"/>
          <w:color w:val="auto"/>
        </w:rPr>
        <w:tab/>
      </w:r>
      <w:r>
        <w:rPr>
          <w:rFonts w:ascii="Times New Roman" w:cs="Times New Roman" w:eastAsia="Times New Roman" w:hAnsi="Times New Roman"/>
          <w:sz w:val="18"/>
          <w:szCs w:val="18"/>
          <w:color w:val="auto"/>
        </w:rPr>
        <w:t>NMI Holdings, Inc. Severance Benefit Plan (incorporated herein by reference to Exhibit 10.1 to our Form 8-K, filed on February 17,</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2016)</w:t>
      </w:r>
    </w:p>
    <w:p>
      <w:pPr>
        <w:spacing w:after="0" w:line="4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7"/>
          <w:szCs w:val="17"/>
          <w:color w:val="auto"/>
        </w:rPr>
        <w:t>Change in Control Severance Benefit Plan (incorporated herein by reference to Exhibit 10.1 to our Form 8-K, filed on February 23, 2017)</w:t>
      </w:r>
    </w:p>
    <w:p>
      <w:pPr>
        <w:spacing w:after="0" w:line="63"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7"/>
          <w:szCs w:val="17"/>
          <w:color w:val="auto"/>
        </w:rPr>
        <w:t>Clawback Policy (incorporated herein by reference to Exhibit 10.2 to our Form 8-K, filed on February 23, 2017)</w:t>
      </w:r>
    </w:p>
    <w:p>
      <w:pPr>
        <w:spacing w:after="0" w:line="63"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8"/>
          <w:szCs w:val="18"/>
          <w:color w:val="auto"/>
        </w:rPr>
        <w:t>Separation Agreement between NMI Holdings, Inc. and Glenn Farrell effective July 31, 2017 (incorporated herein by reference to Exhibit</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10.1 to our Form 8-K, filed on August 1, 2017)</w:t>
      </w:r>
    </w:p>
    <w:p>
      <w:pPr>
        <w:spacing w:after="0" w:line="45"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Subsidiaries of NMI Holdings, Inc. (incorporated herein by reference to Exhibit 21.1 to our Form 10-Q, filed on October 30, 2015)</w:t>
      </w:r>
    </w:p>
    <w:p>
      <w:pPr>
        <w:spacing w:after="0" w:line="6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Principal Executive Officer's Certification Pursuant to Section 302 of the Sarbanes-Oxley Act of 2002</w:t>
      </w:r>
    </w:p>
    <w:p>
      <w:pPr>
        <w:spacing w:after="0" w:line="6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Principal Financial Officer's Certification Pursuant to Section 302 of the Sarbanes-Oxley Act of 2002</w:t>
      </w:r>
    </w:p>
    <w:p>
      <w:pPr>
        <w:spacing w:after="0" w:line="63" w:lineRule="exact"/>
        <w:rPr>
          <w:sz w:val="20"/>
          <w:szCs w:val="20"/>
          <w:color w:val="auto"/>
        </w:rPr>
      </w:pPr>
    </w:p>
    <w:p>
      <w:pPr>
        <w:ind w:left="40"/>
        <w:spacing w:after="0"/>
        <w:tabs>
          <w:tab w:leader="none" w:pos="900" w:val="left"/>
        </w:tabs>
        <w:rPr>
          <w:sz w:val="20"/>
          <w:szCs w:val="20"/>
          <w:color w:val="auto"/>
        </w:rPr>
      </w:pPr>
      <w:r>
        <w:rPr>
          <w:rFonts w:ascii="Times New Roman" w:cs="Times New Roman" w:eastAsia="Times New Roman" w:hAnsi="Times New Roman"/>
          <w:sz w:val="18"/>
          <w:szCs w:val="18"/>
          <w:color w:val="auto"/>
        </w:rPr>
        <w:t>32.1 #</w:t>
      </w:r>
      <w:r>
        <w:rPr>
          <w:sz w:val="20"/>
          <w:szCs w:val="20"/>
          <w:color w:val="auto"/>
        </w:rPr>
        <w:tab/>
      </w:r>
      <w:r>
        <w:rPr>
          <w:rFonts w:ascii="Times New Roman" w:cs="Times New Roman" w:eastAsia="Times New Roman" w:hAnsi="Times New Roman"/>
          <w:sz w:val="18"/>
          <w:szCs w:val="18"/>
          <w:color w:val="auto"/>
        </w:rPr>
        <w:t>Certifications of CEO and CFO Pursuant to 18 U.S.C. Section 1350, as Adopted Pursuant to Section 906 of the Sarbanes-Oxley Act of</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2002</w:t>
      </w:r>
    </w:p>
    <w:p>
      <w:pPr>
        <w:spacing w:after="0" w:line="26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880"/>
          </w:cols>
          <w:pgMar w:left="620" w:top="742" w:right="399" w:bottom="1440" w:gutter="0" w:footer="0" w:header="0"/>
        </w:sectPr>
      </w:pPr>
    </w:p>
    <w:bookmarkStart w:id="47" w:name="page48"/>
    <w:bookmarkEnd w:id="47"/>
    <w:p>
      <w:pPr>
        <w:ind w:left="941" w:right="520" w:hanging="843"/>
        <w:spacing w:after="0" w:line="261" w:lineRule="auto"/>
        <w:tabs>
          <w:tab w:leader="none" w:pos="920" w:val="left"/>
        </w:tabs>
        <w:rPr>
          <w:sz w:val="20"/>
          <w:szCs w:val="20"/>
          <w:color w:val="auto"/>
        </w:rPr>
      </w:pPr>
      <w:r>
        <w:rPr>
          <w:rFonts w:ascii="Times New Roman" w:cs="Times New Roman" w:eastAsia="Times New Roman" w:hAnsi="Times New Roman"/>
          <w:sz w:val="18"/>
          <w:szCs w:val="18"/>
          <w:color w:val="auto"/>
        </w:rPr>
        <w:t>101 *</w:t>
      </w:r>
      <w:r>
        <w:rPr>
          <w:sz w:val="20"/>
          <w:szCs w:val="20"/>
          <w:color w:val="auto"/>
        </w:rPr>
        <w:tab/>
      </w:r>
      <w:r>
        <w:rPr>
          <w:rFonts w:ascii="Times New Roman" w:cs="Times New Roman" w:eastAsia="Times New Roman" w:hAnsi="Times New Roman"/>
          <w:sz w:val="18"/>
          <w:szCs w:val="18"/>
          <w:color w:val="auto"/>
        </w:rPr>
        <w:t>The following financial information from NMI Holdings, Inc.'s Quarterly Report on Form 10-Q for the quarter ended June 30, 2017 formatted in XBRL (eXtensible Business Reporting Language):</w:t>
      </w:r>
    </w:p>
    <w:p>
      <w:pPr>
        <w:ind w:left="1141" w:hanging="209"/>
        <w:spacing w:after="0"/>
        <w:tabs>
          <w:tab w:leader="none" w:pos="11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Balance Sheets as of June 30, 2017 and December 31, 2016</w:t>
      </w:r>
    </w:p>
    <w:p>
      <w:pPr>
        <w:spacing w:after="0" w:line="9" w:lineRule="exact"/>
        <w:rPr>
          <w:rFonts w:ascii="Times New Roman" w:cs="Times New Roman" w:eastAsia="Times New Roman" w:hAnsi="Times New Roman"/>
          <w:sz w:val="18"/>
          <w:szCs w:val="18"/>
          <w:color w:val="auto"/>
        </w:rPr>
      </w:pPr>
    </w:p>
    <w:p>
      <w:pPr>
        <w:ind w:left="941" w:right="360" w:hanging="9"/>
        <w:spacing w:after="0" w:line="250" w:lineRule="auto"/>
        <w:tabs>
          <w:tab w:leader="none" w:pos="12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Operations and Comprehensive Income (Loss) for the three and six months ended June 30, 2017 and 2016</w:t>
      </w:r>
    </w:p>
    <w:p>
      <w:pPr>
        <w:ind w:left="941" w:right="480" w:firstLine="216"/>
        <w:spacing w:after="0" w:line="250" w:lineRule="auto"/>
        <w:tabs>
          <w:tab w:leader="none" w:pos="148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Changes in Shareholders' Equity for the six months ended June 30, 2017 and the year ended December 31, 2016</w:t>
      </w:r>
    </w:p>
    <w:p>
      <w:pPr>
        <w:ind w:left="1241" w:hanging="309"/>
        <w:spacing w:after="0"/>
        <w:tabs>
          <w:tab w:leader="none" w:pos="12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for the six months ended June 30, 2017 and 2016, and</w:t>
      </w:r>
    </w:p>
    <w:p>
      <w:pPr>
        <w:spacing w:after="0" w:line="9" w:lineRule="exact"/>
        <w:rPr>
          <w:rFonts w:ascii="Times New Roman" w:cs="Times New Roman" w:eastAsia="Times New Roman" w:hAnsi="Times New Roman"/>
          <w:sz w:val="18"/>
          <w:szCs w:val="18"/>
          <w:color w:val="auto"/>
        </w:rPr>
      </w:pPr>
    </w:p>
    <w:p>
      <w:pPr>
        <w:ind w:left="1181" w:hanging="249"/>
        <w:spacing w:after="0"/>
        <w:tabs>
          <w:tab w:leader="none" w:pos="118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Condensed Consolidated Financial Statements.</w:t>
      </w:r>
    </w:p>
    <w:p>
      <w:pPr>
        <w:spacing w:after="0" w:line="184" w:lineRule="exact"/>
        <w:rPr>
          <w:sz w:val="20"/>
          <w:szCs w:val="20"/>
          <w:color w:val="auto"/>
        </w:rPr>
      </w:pPr>
    </w:p>
    <w:p>
      <w:pPr>
        <w:ind w:left="1"/>
        <w:spacing w:after="0"/>
        <w:tabs>
          <w:tab w:leader="none" w:pos="200" w:val="left"/>
        </w:tabs>
        <w:rPr>
          <w:sz w:val="20"/>
          <w:szCs w:val="20"/>
          <w:color w:val="auto"/>
        </w:rPr>
      </w:pPr>
      <w:r>
        <w:rPr>
          <w:rFonts w:ascii="Times New Roman" w:cs="Times New Roman" w:eastAsia="Times New Roman" w:hAnsi="Times New Roman"/>
          <w:sz w:val="16"/>
          <w:szCs w:val="16"/>
          <w:color w:val="auto"/>
        </w:rPr>
        <w:t>~</w:t>
        <w:tab/>
        <w:t>Indicates a management contract or compensatory plan or contract.</w:t>
      </w:r>
    </w:p>
    <w:p>
      <w:pPr>
        <w:spacing w:after="0" w:line="73" w:lineRule="exact"/>
        <w:rPr>
          <w:sz w:val="20"/>
          <w:szCs w:val="20"/>
          <w:color w:val="auto"/>
        </w:rPr>
      </w:pPr>
    </w:p>
    <w:p>
      <w:pPr>
        <w:ind w:left="1"/>
        <w:spacing w:after="0"/>
        <w:tabs>
          <w:tab w:leader="none" w:pos="200" w:val="left"/>
        </w:tabs>
        <w:rPr>
          <w:sz w:val="20"/>
          <w:szCs w:val="20"/>
          <w:color w:val="auto"/>
        </w:rPr>
      </w:pPr>
      <w:r>
        <w:rPr>
          <w:rFonts w:ascii="Times New Roman" w:cs="Times New Roman" w:eastAsia="Times New Roman" w:hAnsi="Times New Roman"/>
          <w:sz w:val="16"/>
          <w:szCs w:val="16"/>
          <w:color w:val="auto"/>
        </w:rPr>
        <w:t>+</w:t>
        <w:tab/>
        <w:t>Confidential treatment granted as to certain portions, which portions have been filed separately with the SEC.</w:t>
      </w:r>
    </w:p>
    <w:p>
      <w:pPr>
        <w:spacing w:after="0" w:line="73" w:lineRule="exact"/>
        <w:rPr>
          <w:sz w:val="20"/>
          <w:szCs w:val="20"/>
          <w:color w:val="auto"/>
        </w:rPr>
      </w:pPr>
    </w:p>
    <w:p>
      <w:pPr>
        <w:jc w:val="both"/>
        <w:ind w:left="221" w:hanging="221"/>
        <w:spacing w:after="0" w:line="281" w:lineRule="auto"/>
        <w:tabs>
          <w:tab w:leader="none" w:pos="22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16" w:lineRule="exact"/>
        <w:rPr>
          <w:sz w:val="20"/>
          <w:szCs w:val="20"/>
          <w:color w:val="auto"/>
        </w:rPr>
      </w:pPr>
    </w:p>
    <w:p>
      <w:pPr>
        <w:jc w:val="both"/>
        <w:ind w:left="221" w:right="20" w:hanging="221"/>
        <w:spacing w:after="0" w:line="281" w:lineRule="auto"/>
        <w:tabs>
          <w:tab w:leader="none" w:pos="22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1"/>
          </w:cols>
          <w:pgMar w:left="599" w:top="742"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04040"/>
        </w:rPr>
        <w:t>NMI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04040"/>
        </w:rPr>
        <w:t>AMENDED AND RESTATED 2014 OMNIBUS INCENTIVE PLAN</w:t>
      </w:r>
    </w:p>
    <w:p>
      <w:pPr>
        <w:jc w:val="center"/>
        <w:spacing w:after="0"/>
        <w:rPr>
          <w:sz w:val="20"/>
          <w:szCs w:val="20"/>
          <w:color w:val="auto"/>
        </w:rPr>
      </w:pPr>
      <w:r>
        <w:rPr>
          <w:rFonts w:ascii="Arial" w:cs="Arial" w:eastAsia="Arial" w:hAnsi="Arial"/>
          <w:sz w:val="20"/>
          <w:szCs w:val="20"/>
          <w:b w:val="1"/>
          <w:bCs w:val="1"/>
          <w:color w:val="404040"/>
        </w:rPr>
        <w:t>RESTRICTED STOCK UNIT AWARD AGREEMENT</w:t>
      </w:r>
    </w:p>
    <w:p>
      <w:pPr>
        <w:jc w:val="center"/>
        <w:spacing w:after="0"/>
        <w:rPr>
          <w:sz w:val="20"/>
          <w:szCs w:val="20"/>
          <w:color w:val="auto"/>
        </w:rPr>
      </w:pPr>
      <w:r>
        <w:rPr>
          <w:rFonts w:ascii="Arial" w:cs="Arial" w:eastAsia="Arial" w:hAnsi="Arial"/>
          <w:sz w:val="20"/>
          <w:szCs w:val="20"/>
          <w:b w:val="1"/>
          <w:bCs w:val="1"/>
          <w:color w:val="404040"/>
        </w:rPr>
        <w:t>(FOR CEO)</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404040"/>
        </w:rPr>
        <w:t xml:space="preserve">THIS RESTRICTED STOCK UNIT AWARD AGREEMENT </w:t>
      </w:r>
      <w:r>
        <w:rPr>
          <w:rFonts w:ascii="Arial" w:cs="Arial" w:eastAsia="Arial" w:hAnsi="Arial"/>
          <w:sz w:val="20"/>
          <w:szCs w:val="20"/>
          <w:color w:val="404040"/>
        </w:rPr>
        <w:t>(this “</w:t>
      </w:r>
      <w:r>
        <w:rPr>
          <w:rFonts w:ascii="Arial" w:cs="Arial" w:eastAsia="Arial" w:hAnsi="Arial"/>
          <w:sz w:val="20"/>
          <w:szCs w:val="20"/>
          <w:u w:val="single" w:color="auto"/>
          <w:color w:val="404040"/>
        </w:rPr>
        <w:t>Agreement</w:t>
      </w:r>
      <w:r>
        <w:rPr>
          <w:rFonts w:ascii="Arial" w:cs="Arial" w:eastAsia="Arial" w:hAnsi="Arial"/>
          <w:sz w:val="20"/>
          <w:szCs w:val="20"/>
          <w:color w:val="404040"/>
        </w:rPr>
        <w:t>”), dated as of [•], ____ (the “</w:t>
      </w:r>
      <w:r>
        <w:rPr>
          <w:rFonts w:ascii="Arial" w:cs="Arial" w:eastAsia="Arial" w:hAnsi="Arial"/>
          <w:sz w:val="20"/>
          <w:szCs w:val="20"/>
          <w:u w:val="single" w:color="auto"/>
          <w:color w:val="404040"/>
        </w:rPr>
        <w:t>Grant</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u w:val="single" w:color="auto"/>
          <w:color w:val="404040"/>
        </w:rPr>
        <w:t>Date</w:t>
      </w:r>
      <w:r>
        <w:rPr>
          <w:rFonts w:ascii="Arial" w:cs="Arial" w:eastAsia="Arial" w:hAnsi="Arial"/>
          <w:sz w:val="20"/>
          <w:szCs w:val="20"/>
          <w:color w:val="404040"/>
        </w:rPr>
        <w:t>”), is made by and between NMI Holdings, Inc., a Delaware corporation (the “</w:t>
      </w:r>
      <w:r>
        <w:rPr>
          <w:rFonts w:ascii="Arial" w:cs="Arial" w:eastAsia="Arial" w:hAnsi="Arial"/>
          <w:sz w:val="20"/>
          <w:szCs w:val="20"/>
          <w:u w:val="single" w:color="auto"/>
          <w:color w:val="404040"/>
        </w:rPr>
        <w:t>Company</w:t>
      </w:r>
      <w:r>
        <w:rPr>
          <w:rFonts w:ascii="Arial" w:cs="Arial" w:eastAsia="Arial" w:hAnsi="Arial"/>
          <w:sz w:val="20"/>
          <w:szCs w:val="20"/>
          <w:color w:val="404040"/>
        </w:rPr>
        <w:t>”), and [NAME] (“</w:t>
      </w:r>
      <w:r>
        <w:rPr>
          <w:rFonts w:ascii="Arial" w:cs="Arial" w:eastAsia="Arial" w:hAnsi="Arial"/>
          <w:sz w:val="20"/>
          <w:szCs w:val="20"/>
          <w:u w:val="single" w:color="auto"/>
          <w:color w:val="404040"/>
        </w:rPr>
        <w:t>Participant</w:t>
      </w:r>
      <w:r>
        <w:rPr>
          <w:rFonts w:ascii="Arial" w:cs="Arial" w:eastAsia="Arial" w:hAnsi="Arial"/>
          <w:sz w:val="20"/>
          <w:szCs w:val="20"/>
          <w:color w:val="404040"/>
        </w:rPr>
        <w:t>”).</w:t>
      </w:r>
    </w:p>
    <w:p>
      <w:pPr>
        <w:spacing w:after="0" w:line="188" w:lineRule="exact"/>
        <w:rPr>
          <w:sz w:val="20"/>
          <w:szCs w:val="20"/>
          <w:color w:val="auto"/>
        </w:rPr>
      </w:pPr>
    </w:p>
    <w:p>
      <w:pPr>
        <w:ind w:right="340" w:firstLine="1297"/>
        <w:spacing w:after="0" w:line="282" w:lineRule="auto"/>
        <w:rPr>
          <w:sz w:val="20"/>
          <w:szCs w:val="20"/>
          <w:color w:val="auto"/>
        </w:rPr>
      </w:pPr>
      <w:r>
        <w:rPr>
          <w:rFonts w:ascii="Arial" w:cs="Arial" w:eastAsia="Arial" w:hAnsi="Arial"/>
          <w:sz w:val="20"/>
          <w:szCs w:val="20"/>
          <w:b w:val="1"/>
          <w:bCs w:val="1"/>
          <w:color w:val="404040"/>
        </w:rPr>
        <w:t>WHEREAS</w:t>
      </w:r>
      <w:r>
        <w:rPr>
          <w:rFonts w:ascii="Arial" w:cs="Arial" w:eastAsia="Arial" w:hAnsi="Arial"/>
          <w:sz w:val="20"/>
          <w:szCs w:val="20"/>
          <w:color w:val="404040"/>
        </w:rPr>
        <w:t>, the Company has adopted the NMI Holdings, Inc. Amended and Restated 2014 Omnibus Incentive</w:t>
      </w:r>
      <w:r>
        <w:rPr>
          <w:rFonts w:ascii="Arial" w:cs="Arial" w:eastAsia="Arial" w:hAnsi="Arial"/>
          <w:sz w:val="20"/>
          <w:szCs w:val="20"/>
          <w:b w:val="1"/>
          <w:bCs w:val="1"/>
          <w:color w:val="404040"/>
        </w:rPr>
        <w:t xml:space="preserve"> </w:t>
      </w:r>
      <w:r>
        <w:rPr>
          <w:rFonts w:ascii="Arial" w:cs="Arial" w:eastAsia="Arial" w:hAnsi="Arial"/>
          <w:sz w:val="20"/>
          <w:szCs w:val="20"/>
          <w:color w:val="404040"/>
        </w:rPr>
        <w:t>Plan (the “</w:t>
      </w:r>
      <w:r>
        <w:rPr>
          <w:rFonts w:ascii="Arial" w:cs="Arial" w:eastAsia="Arial" w:hAnsi="Arial"/>
          <w:sz w:val="20"/>
          <w:szCs w:val="20"/>
          <w:u w:val="single" w:color="auto"/>
          <w:color w:val="404040"/>
        </w:rPr>
        <w:t>Plan</w:t>
      </w:r>
      <w:r>
        <w:rPr>
          <w:rFonts w:ascii="Arial" w:cs="Arial" w:eastAsia="Arial" w:hAnsi="Arial"/>
          <w:sz w:val="20"/>
          <w:szCs w:val="20"/>
          <w:color w:val="404040"/>
        </w:rPr>
        <w:t>”); and</w:t>
      </w:r>
    </w:p>
    <w:p>
      <w:pPr>
        <w:spacing w:after="0" w:line="135" w:lineRule="exact"/>
        <w:rPr>
          <w:sz w:val="20"/>
          <w:szCs w:val="20"/>
          <w:color w:val="auto"/>
        </w:rPr>
      </w:pPr>
    </w:p>
    <w:p>
      <w:pPr>
        <w:ind w:right="240" w:firstLine="1297"/>
        <w:spacing w:after="0" w:line="261" w:lineRule="auto"/>
        <w:rPr>
          <w:sz w:val="20"/>
          <w:szCs w:val="20"/>
          <w:color w:val="auto"/>
        </w:rPr>
      </w:pPr>
      <w:r>
        <w:rPr>
          <w:rFonts w:ascii="Arial" w:cs="Arial" w:eastAsia="Arial" w:hAnsi="Arial"/>
          <w:sz w:val="20"/>
          <w:szCs w:val="20"/>
          <w:b w:val="1"/>
          <w:bCs w:val="1"/>
          <w:color w:val="404040"/>
        </w:rPr>
        <w:t>WHEREAS</w:t>
      </w:r>
      <w:r>
        <w:rPr>
          <w:rFonts w:ascii="Arial" w:cs="Arial" w:eastAsia="Arial" w:hAnsi="Arial"/>
          <w:sz w:val="20"/>
          <w:szCs w:val="20"/>
          <w:color w:val="404040"/>
        </w:rPr>
        <w:t>, the Committee has determined that it would be in the best interests of the Company and its</w:t>
      </w:r>
      <w:r>
        <w:rPr>
          <w:rFonts w:ascii="Arial" w:cs="Arial" w:eastAsia="Arial" w:hAnsi="Arial"/>
          <w:sz w:val="20"/>
          <w:szCs w:val="20"/>
          <w:b w:val="1"/>
          <w:bCs w:val="1"/>
          <w:color w:val="404040"/>
        </w:rPr>
        <w:t xml:space="preserve"> </w:t>
      </w:r>
      <w:r>
        <w:rPr>
          <w:rFonts w:ascii="Arial" w:cs="Arial" w:eastAsia="Arial" w:hAnsi="Arial"/>
          <w:sz w:val="20"/>
          <w:szCs w:val="20"/>
          <w:color w:val="404040"/>
        </w:rPr>
        <w:t>stockholders to grant Participant restricted stock units with respect to a number of shares of the Company’s Common Stock (the “</w:t>
      </w:r>
      <w:r>
        <w:rPr>
          <w:rFonts w:ascii="Arial" w:cs="Arial" w:eastAsia="Arial" w:hAnsi="Arial"/>
          <w:sz w:val="20"/>
          <w:szCs w:val="20"/>
          <w:u w:val="single" w:color="auto"/>
          <w:color w:val="404040"/>
        </w:rPr>
        <w:t>Shares</w:t>
      </w:r>
      <w:r>
        <w:rPr>
          <w:rFonts w:ascii="Arial" w:cs="Arial" w:eastAsia="Arial" w:hAnsi="Arial"/>
          <w:sz w:val="20"/>
          <w:szCs w:val="20"/>
          <w:color w:val="404040"/>
        </w:rPr>
        <w:t>”) on the terms and subject to the conditions set forth in this Agreement and the Plan.</w:t>
      </w:r>
    </w:p>
    <w:p>
      <w:pPr>
        <w:spacing w:after="0" w:line="155" w:lineRule="exact"/>
        <w:rPr>
          <w:sz w:val="20"/>
          <w:szCs w:val="20"/>
          <w:color w:val="auto"/>
        </w:rPr>
      </w:pPr>
    </w:p>
    <w:p>
      <w:pPr>
        <w:ind w:right="320" w:firstLine="1297"/>
        <w:spacing w:after="0" w:line="261" w:lineRule="auto"/>
        <w:rPr>
          <w:sz w:val="20"/>
          <w:szCs w:val="20"/>
          <w:color w:val="auto"/>
        </w:rPr>
      </w:pPr>
      <w:r>
        <w:rPr>
          <w:rFonts w:ascii="Arial" w:cs="Arial" w:eastAsia="Arial" w:hAnsi="Arial"/>
          <w:sz w:val="20"/>
          <w:szCs w:val="20"/>
          <w:b w:val="1"/>
          <w:bCs w:val="1"/>
          <w:color w:val="404040"/>
        </w:rPr>
        <w:t>NOW THEREFORE</w:t>
      </w:r>
      <w:r>
        <w:rPr>
          <w:rFonts w:ascii="Arial" w:cs="Arial" w:eastAsia="Arial" w:hAnsi="Arial"/>
          <w:sz w:val="20"/>
          <w:szCs w:val="20"/>
          <w:color w:val="404040"/>
        </w:rPr>
        <w:t>, for and in consideration of the premises and the covenants of the parties contained in this</w:t>
      </w:r>
      <w:r>
        <w:rPr>
          <w:rFonts w:ascii="Arial" w:cs="Arial" w:eastAsia="Arial" w:hAnsi="Arial"/>
          <w:sz w:val="20"/>
          <w:szCs w:val="20"/>
          <w:b w:val="1"/>
          <w:bCs w:val="1"/>
          <w:color w:val="404040"/>
        </w:rPr>
        <w:t xml:space="preserve"> </w:t>
      </w:r>
      <w:r>
        <w:rPr>
          <w:rFonts w:ascii="Arial" w:cs="Arial" w:eastAsia="Arial" w:hAnsi="Arial"/>
          <w:sz w:val="20"/>
          <w:szCs w:val="20"/>
          <w:color w:val="404040"/>
        </w:rPr>
        <w:t>Agreement, and for other good and valuable consideration, the receipt of which is hereby acknowledged, the parties hereto, for themselves, their successors and assigns, hereby agree as follows:</w:t>
      </w:r>
    </w:p>
    <w:p>
      <w:pPr>
        <w:spacing w:after="0" w:line="157"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Grant of Restricted Stock Unit Award</w:t>
      </w:r>
      <w:r>
        <w:rPr>
          <w:rFonts w:ascii="Arial" w:cs="Arial" w:eastAsia="Arial" w:hAnsi="Arial"/>
          <w:sz w:val="20"/>
          <w:szCs w:val="20"/>
          <w:color w:val="404040"/>
        </w:rPr>
        <w:t>.</w:t>
      </w:r>
    </w:p>
    <w:p>
      <w:pPr>
        <w:spacing w:after="0" w:line="25" w:lineRule="exact"/>
        <w:rPr>
          <w:rFonts w:ascii="Times New Roman" w:cs="Times New Roman" w:eastAsia="Times New Roman" w:hAnsi="Times New Roman"/>
          <w:sz w:val="18"/>
          <w:szCs w:val="18"/>
          <w:color w:val="auto"/>
        </w:rPr>
      </w:pPr>
    </w:p>
    <w:p>
      <w:pPr>
        <w:ind w:left="980" w:right="520" w:hanging="324"/>
        <w:spacing w:after="0" w:line="239" w:lineRule="auto"/>
        <w:tabs>
          <w:tab w:leader="none" w:pos="980" w:val="left"/>
        </w:tabs>
        <w:numPr>
          <w:ilvl w:val="1"/>
          <w:numId w:val="19"/>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Grant</w:t>
      </w:r>
      <w:r>
        <w:rPr>
          <w:rFonts w:ascii="Arial" w:cs="Arial" w:eastAsia="Arial" w:hAnsi="Arial"/>
          <w:sz w:val="20"/>
          <w:szCs w:val="20"/>
          <w:color w:val="404040"/>
        </w:rPr>
        <w:t>. The Company hereby grants to Participant an award of restricted stock units with respect to [•] Shares (the “</w:t>
      </w:r>
      <w:r>
        <w:rPr>
          <w:rFonts w:ascii="Arial" w:cs="Arial" w:eastAsia="Arial" w:hAnsi="Arial"/>
          <w:sz w:val="20"/>
          <w:szCs w:val="20"/>
          <w:u w:val="single" w:color="auto"/>
          <w:color w:val="404040"/>
        </w:rPr>
        <w:t>RSUs</w:t>
      </w:r>
      <w:r>
        <w:rPr>
          <w:rFonts w:ascii="Arial" w:cs="Arial" w:eastAsia="Arial" w:hAnsi="Arial"/>
          <w:sz w:val="20"/>
          <w:szCs w:val="20"/>
          <w:color w:val="404040"/>
        </w:rPr>
        <w:t>”) on the terms and conditions set forth in this Agreement and as otherwise provided in the Plan.</w:t>
      </w:r>
    </w:p>
    <w:p>
      <w:pPr>
        <w:spacing w:after="0" w:line="1" w:lineRule="exact"/>
        <w:rPr>
          <w:rFonts w:ascii="Times New Roman" w:cs="Times New Roman" w:eastAsia="Times New Roman" w:hAnsi="Times New Roman"/>
          <w:sz w:val="18"/>
          <w:szCs w:val="18"/>
          <w:color w:val="auto"/>
        </w:rPr>
      </w:pPr>
    </w:p>
    <w:p>
      <w:pPr>
        <w:ind w:left="980" w:right="260" w:hanging="324"/>
        <w:spacing w:after="0" w:line="252" w:lineRule="auto"/>
        <w:tabs>
          <w:tab w:leader="none" w:pos="980" w:val="left"/>
        </w:tabs>
        <w:numPr>
          <w:ilvl w:val="1"/>
          <w:numId w:val="19"/>
        </w:numPr>
        <w:rPr>
          <w:rFonts w:ascii="Times New Roman" w:cs="Times New Roman" w:eastAsia="Times New Roman" w:hAnsi="Times New Roman"/>
          <w:sz w:val="17"/>
          <w:szCs w:val="17"/>
          <w:color w:val="auto"/>
        </w:rPr>
      </w:pPr>
      <w:r>
        <w:rPr>
          <w:rFonts w:ascii="Arial" w:cs="Arial" w:eastAsia="Arial" w:hAnsi="Arial"/>
          <w:sz w:val="19"/>
          <w:szCs w:val="19"/>
          <w:u w:val="single" w:color="auto"/>
          <w:color w:val="404040"/>
        </w:rPr>
        <w:t>Incorporation by Reference, Etc.</w:t>
      </w:r>
      <w:r>
        <w:rPr>
          <w:rFonts w:ascii="Arial" w:cs="Arial" w:eastAsia="Arial" w:hAnsi="Arial"/>
          <w:sz w:val="19"/>
          <w:szCs w:val="19"/>
          <w:color w:val="404040"/>
        </w:rPr>
        <w:t xml:space="preserve">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Vesting</w:t>
      </w:r>
      <w:r>
        <w:rPr>
          <w:rFonts w:ascii="Arial" w:cs="Arial" w:eastAsia="Arial" w:hAnsi="Arial"/>
          <w:sz w:val="20"/>
          <w:szCs w:val="20"/>
          <w:color w:val="404040"/>
        </w:rPr>
        <w:t>.</w:t>
      </w:r>
    </w:p>
    <w:p>
      <w:pPr>
        <w:ind w:left="980" w:right="80" w:hanging="324"/>
        <w:spacing w:after="0" w:line="239" w:lineRule="auto"/>
        <w:tabs>
          <w:tab w:leader="none" w:pos="980" w:val="left"/>
        </w:tabs>
        <w:numPr>
          <w:ilvl w:val="1"/>
          <w:numId w:val="19"/>
        </w:numPr>
        <w:rPr>
          <w:rFonts w:ascii="Times New Roman" w:cs="Times New Roman" w:eastAsia="Times New Roman" w:hAnsi="Times New Roman"/>
          <w:sz w:val="18"/>
          <w:szCs w:val="18"/>
          <w:color w:val="auto"/>
        </w:rPr>
      </w:pPr>
      <w:r>
        <w:rPr>
          <w:rFonts w:ascii="Arial" w:cs="Arial" w:eastAsia="Arial" w:hAnsi="Arial"/>
          <w:sz w:val="20"/>
          <w:szCs w:val="20"/>
          <w:color w:val="404040"/>
        </w:rPr>
        <w:t>Except as may otherwise be provided herein, (i) one-third of the RSUs (rounded down to the nearest whole Share) shall become vested on the first anniversary of the Grant Date, (ii) one-third of the RSUs (rounded down to the nearest whole Share) shall become vested on the second anniversary of the Grant Date and (iii) the remainder of the RSUs shall become vested on the third anniversary of the Grant Date, in the case of each of clauses (i), (ii) and (iii), subject to Participant not having incurred a Termination of Employment prior to the applicable vesting date.</w:t>
      </w:r>
    </w:p>
    <w:p>
      <w:pPr>
        <w:spacing w:after="0" w:line="2" w:lineRule="exact"/>
        <w:rPr>
          <w:rFonts w:ascii="Times New Roman" w:cs="Times New Roman" w:eastAsia="Times New Roman" w:hAnsi="Times New Roman"/>
          <w:sz w:val="18"/>
          <w:szCs w:val="18"/>
          <w:color w:val="auto"/>
        </w:rPr>
      </w:pPr>
    </w:p>
    <w:p>
      <w:pPr>
        <w:ind w:left="980" w:hanging="324"/>
        <w:spacing w:after="0" w:line="239" w:lineRule="auto"/>
        <w:tabs>
          <w:tab w:leader="none" w:pos="980" w:val="left"/>
        </w:tabs>
        <w:numPr>
          <w:ilvl w:val="1"/>
          <w:numId w:val="19"/>
        </w:numPr>
        <w:rPr>
          <w:rFonts w:ascii="Times New Roman" w:cs="Times New Roman" w:eastAsia="Times New Roman" w:hAnsi="Times New Roman"/>
          <w:sz w:val="18"/>
          <w:szCs w:val="18"/>
          <w:color w:val="auto"/>
        </w:rPr>
      </w:pPr>
      <w:r>
        <w:rPr>
          <w:rFonts w:ascii="Arial" w:cs="Arial" w:eastAsia="Arial" w:hAnsi="Arial"/>
          <w:sz w:val="20"/>
          <w:szCs w:val="20"/>
          <w:color w:val="404040"/>
        </w:rPr>
        <w:t>Except as provided in the immediately following sentence, in the event that Participant incurs a Termination of Employment, unvested RSUs shall be forfeited by Participant without consideration therefor. Notwithstanding the foregoing, in the event that Participant incurs a Termination of Employment (i) as a result of termination by the Company or its Affiliate without “Cause” (as defined in Participant’s employment agreement with the Company dated as of December 23, 2015 without regard to the earlier expiration of such agreement (the “</w:t>
      </w:r>
      <w:r>
        <w:rPr>
          <w:rFonts w:ascii="Arial" w:cs="Arial" w:eastAsia="Arial" w:hAnsi="Arial"/>
          <w:sz w:val="20"/>
          <w:szCs w:val="20"/>
          <w:u w:val="single" w:color="auto"/>
          <w:color w:val="404040"/>
        </w:rPr>
        <w:t>Employment Agreement</w:t>
      </w:r>
      <w:r>
        <w:rPr>
          <w:rFonts w:ascii="Arial" w:cs="Arial" w:eastAsia="Arial" w:hAnsi="Arial"/>
          <w:sz w:val="20"/>
          <w:szCs w:val="20"/>
          <w:color w:val="404040"/>
        </w:rPr>
        <w:t>”)) or for “Good Reason” (as defined in the Employment Agreement), subject to Participant having served as an employee of the Company or its Affiliate for at least one year, any unvested RSUs shall immediately vest in full as of the date of Participant’s Termination of Employment and be settled in accordance with Section 3 of this Agreement, or (ii) due to Participant’s death or “Disability” (as defined in the Employment Agreement), any unvested RSUs that are outstanding immediately prior to such Termination of Employment and that would have vested on the next vesting date shall vest pro-rata as of the date of Participant’s Termination of Employment, with the number of RSUs vesting to be determined by multiplying the number of RSUs that would have vested on the next vesting date by a fraction, the numerator of which is the number of days between the prior vesting date (or Grant Date if no vesting date occurred prior to Participant’s Termination of Employment) and the date of Participant’s Termination of Employment and the denominator of which is 365.</w:t>
      </w:r>
    </w:p>
    <w:p>
      <w:pPr>
        <w:spacing w:after="0" w:line="8" w:lineRule="exact"/>
        <w:rPr>
          <w:rFonts w:ascii="Times New Roman" w:cs="Times New Roman" w:eastAsia="Times New Roman" w:hAnsi="Times New Roman"/>
          <w:sz w:val="18"/>
          <w:szCs w:val="18"/>
          <w:color w:val="auto"/>
        </w:rPr>
      </w:pPr>
    </w:p>
    <w:p>
      <w:pPr>
        <w:ind w:left="340" w:hanging="332"/>
        <w:spacing w:after="0" w:line="253" w:lineRule="auto"/>
        <w:tabs>
          <w:tab w:leader="none" w:pos="3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Settlement</w:t>
      </w:r>
      <w:r>
        <w:rPr>
          <w:rFonts w:ascii="Arial" w:cs="Arial" w:eastAsia="Arial" w:hAnsi="Arial"/>
          <w:sz w:val="20"/>
          <w:szCs w:val="20"/>
          <w:color w:val="404040"/>
        </w:rPr>
        <w:t>. As soon as practicable after any RSUs have vested (and in any event, no later than fifteen business days immediately following the date of such vesting), such RSUs shall be settled. Subject to Section 4 (pertaining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71"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315" w:lineRule="exact"/>
        <w:rPr>
          <w:sz w:val="20"/>
          <w:szCs w:val="20"/>
          <w:color w:val="auto"/>
        </w:rPr>
      </w:pPr>
    </w:p>
    <w:p>
      <w:pPr>
        <w:jc w:val="both"/>
        <w:ind w:left="340"/>
        <w:spacing w:after="0" w:line="308" w:lineRule="auto"/>
        <w:rPr>
          <w:sz w:val="20"/>
          <w:szCs w:val="20"/>
          <w:color w:val="auto"/>
        </w:rPr>
      </w:pPr>
      <w:r>
        <w:rPr>
          <w:rFonts w:ascii="Arial" w:cs="Arial" w:eastAsia="Arial" w:hAnsi="Arial"/>
          <w:sz w:val="20"/>
          <w:szCs w:val="20"/>
          <w:color w:val="404040"/>
        </w:rPr>
        <w:t>to the withholding of taxes) and Section 3(d) of the Plan (as applicable), for each vested RSU settled pursuant to this Section 3, the Company shall issue to Participant one Share.</w:t>
      </w:r>
    </w:p>
    <w:p>
      <w:pPr>
        <w:spacing w:after="0" w:line="126" w:lineRule="exact"/>
        <w:rPr>
          <w:sz w:val="20"/>
          <w:szCs w:val="20"/>
          <w:color w:val="auto"/>
        </w:rPr>
      </w:pPr>
    </w:p>
    <w:p>
      <w:pPr>
        <w:jc w:val="both"/>
        <w:ind w:left="340" w:hanging="332"/>
        <w:spacing w:after="0" w:line="242" w:lineRule="auto"/>
        <w:tabs>
          <w:tab w:leader="none" w:pos="3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Tax Withholding</w:t>
      </w:r>
      <w:r>
        <w:rPr>
          <w:rFonts w:ascii="Arial" w:cs="Arial" w:eastAsia="Arial" w:hAnsi="Arial"/>
          <w:sz w:val="20"/>
          <w:szCs w:val="20"/>
          <w:color w:val="404040"/>
        </w:rPr>
        <w:t>. As a condition to delivery of the Shares in respect of vested RSUs, Section 15(d) of the Plan requires Participant to make provisions satisfactory to the Company for payment of, any federal, state or local taxes and other statutory obligations (including, but not limited to, Participant’s FICA and SDI obligations) in respect of the transfer of Shares in settlement of the RSUs. The Company shall have the power and the right to (i) deduct or withhold from all amounts payable to Participant pursuant to the RSUs or otherwise, or (ii) require Participant to remit to the Company, an amount sufficient to satisfy any applicable taxes of any kind or other statutory obligations (including, but not limited to, Participant’s FICA and SDI obligations) which the Company, in its sole discretion, deems necessary to be withheld or remitted to comply with the Code and/or any other applicable law, rule or regulation with respect to the RSUs and, if Participant fails to do so, the Company may otherwise refuse to issue or transfer any Shares otherwise required to be issued pursuant to this Agreement. The Company may permit or require any such statutorily required minimum withholding obligation with regard to Participant to be satisfied by reducing the amount of Shares otherwise deliverable to Participant hereunder.</w:t>
      </w:r>
    </w:p>
    <w:p>
      <w:pPr>
        <w:jc w:val="both"/>
        <w:ind w:left="340" w:hanging="332"/>
        <w:spacing w:after="0" w:line="246" w:lineRule="auto"/>
        <w:tabs>
          <w:tab w:leader="none" w:pos="3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No Rights as Stockholder</w:t>
      </w:r>
      <w:r>
        <w:rPr>
          <w:rFonts w:ascii="Arial" w:cs="Arial" w:eastAsia="Arial" w:hAnsi="Arial"/>
          <w:sz w:val="20"/>
          <w:szCs w:val="20"/>
          <w:color w:val="404040"/>
        </w:rPr>
        <w:t>. Until such time as the RSUs have been settled and the underlying Shares have been delivered to Participant and Participant has become the holder of record of such Shares, Participant shall have no rights as a stockholder, including, without limitation, the right to dividends and the right to vote.</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45" w:lineRule="auto"/>
        <w:tabs>
          <w:tab w:leader="none" w:pos="3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Transferability</w:t>
      </w:r>
      <w:r>
        <w:rPr>
          <w:rFonts w:ascii="Arial" w:cs="Arial" w:eastAsia="Arial" w:hAnsi="Arial"/>
          <w:sz w:val="20"/>
          <w:szCs w:val="20"/>
          <w:color w:val="404040"/>
        </w:rPr>
        <w:t xml:space="preserve">. The RSUs may not, at any time prior to becoming vested,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Subsidiary or Affiliate;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that the designation of a beneficiary shall not constitute an assignment, alienation, pledge, attachment, sale, transfer or encumbrance.</w:t>
      </w:r>
    </w:p>
    <w:p>
      <w:pPr>
        <w:ind w:left="340" w:hanging="332"/>
        <w:spacing w:after="0" w:line="239" w:lineRule="auto"/>
        <w:tabs>
          <w:tab w:leader="none" w:pos="3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Adjustment</w:t>
      </w:r>
      <w:r>
        <w:rPr>
          <w:rFonts w:ascii="Arial" w:cs="Arial" w:eastAsia="Arial" w:hAnsi="Arial"/>
          <w:sz w:val="20"/>
          <w:szCs w:val="20"/>
          <w:color w:val="404040"/>
        </w:rPr>
        <w:t>. Upon any event described in Section 3(d) of the Plan occurring after the Grant Date, the adjustment provisions as provided for under Section 3(d) of the Plan shall apply to the RSUs.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39" w:lineRule="auto"/>
        <w:tabs>
          <w:tab w:leader="none" w:pos="3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Change in Control</w:t>
      </w:r>
      <w:r>
        <w:rPr>
          <w:rFonts w:ascii="Arial" w:cs="Arial" w:eastAsia="Arial" w:hAnsi="Arial"/>
          <w:sz w:val="20"/>
          <w:szCs w:val="20"/>
          <w:color w:val="404040"/>
        </w:rPr>
        <w:t>. In the event of a Change in Control of the Company occurring after the Grant Date, all outstanding unvested RSUs shall become fully vested upon the occurrence of such Change in Control. Any RSUs that vest in connection with this Section 8 shall be settled in a manner consistent with Section 3 of this Agreement.</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Miscellaneous</w:t>
      </w:r>
      <w:r>
        <w:rPr>
          <w:rFonts w:ascii="Arial" w:cs="Arial" w:eastAsia="Arial" w:hAnsi="Arial"/>
          <w:sz w:val="20"/>
          <w:szCs w:val="20"/>
          <w:color w:val="404040"/>
        </w:rPr>
        <w:t>.</w:t>
      </w:r>
    </w:p>
    <w:p>
      <w:pPr>
        <w:ind w:left="980" w:right="100" w:hanging="324"/>
        <w:spacing w:after="0" w:line="239" w:lineRule="auto"/>
        <w:tabs>
          <w:tab w:leader="none" w:pos="980" w:val="left"/>
        </w:tabs>
        <w:numPr>
          <w:ilvl w:val="1"/>
          <w:numId w:val="2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Waiver and Amendment</w:t>
      </w:r>
      <w:r>
        <w:rPr>
          <w:rFonts w:ascii="Arial" w:cs="Arial" w:eastAsia="Arial" w:hAnsi="Arial"/>
          <w:sz w:val="20"/>
          <w:szCs w:val="20"/>
          <w:color w:val="404040"/>
        </w:rPr>
        <w:t xml:space="preserve">. The Committee may waive any conditions or rights under, or amend any terms of, this Agreement and the RSUs granted thereunder;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that any such waiver or amendment that would materially impair the rights of any Participant or any holder or beneficiary of any RSUs granted 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3" w:lineRule="exact"/>
        <w:rPr>
          <w:rFonts w:ascii="Times New Roman" w:cs="Times New Roman" w:eastAsia="Times New Roman" w:hAnsi="Times New Roman"/>
          <w:sz w:val="18"/>
          <w:szCs w:val="18"/>
          <w:color w:val="auto"/>
        </w:rPr>
      </w:pPr>
    </w:p>
    <w:p>
      <w:pPr>
        <w:ind w:left="980" w:right="100" w:hanging="324"/>
        <w:spacing w:after="0" w:line="239" w:lineRule="auto"/>
        <w:tabs>
          <w:tab w:leader="none" w:pos="980" w:val="left"/>
        </w:tabs>
        <w:numPr>
          <w:ilvl w:val="1"/>
          <w:numId w:val="2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Unsecured Obligation</w:t>
      </w:r>
      <w:r>
        <w:rPr>
          <w:rFonts w:ascii="Arial" w:cs="Arial" w:eastAsia="Arial" w:hAnsi="Arial"/>
          <w:sz w:val="20"/>
          <w:szCs w:val="20"/>
          <w:color w:val="404040"/>
        </w:rPr>
        <w:t>. This Award is unfunded, and even as to any RSUs which vest, Participant shall be considered an unsecured creditor of the Company with respect to the Company’s obligations, if any, to issue Shares pursuant to this Agreement. Nothing contained in this Agreement, and no action taken pursuant to its provisions, shall create or be construed to create a trust of any kind or a fiduciary relationship between Participant and the Company or any other person.</w:t>
      </w:r>
    </w:p>
    <w:p>
      <w:pPr>
        <w:spacing w:after="0" w:line="2" w:lineRule="exact"/>
        <w:rPr>
          <w:rFonts w:ascii="Times New Roman" w:cs="Times New Roman" w:eastAsia="Times New Roman" w:hAnsi="Times New Roman"/>
          <w:sz w:val="18"/>
          <w:szCs w:val="18"/>
          <w:color w:val="auto"/>
        </w:rPr>
      </w:pPr>
    </w:p>
    <w:p>
      <w:pPr>
        <w:ind w:left="980" w:right="180" w:hanging="324"/>
        <w:spacing w:after="0" w:line="239" w:lineRule="auto"/>
        <w:tabs>
          <w:tab w:leader="none" w:pos="980" w:val="left"/>
        </w:tabs>
        <w:numPr>
          <w:ilvl w:val="1"/>
          <w:numId w:val="2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Notices</w:t>
      </w:r>
      <w:r>
        <w:rPr>
          <w:rFonts w:ascii="Arial" w:cs="Arial" w:eastAsia="Arial" w:hAnsi="Arial"/>
          <w:sz w:val="20"/>
          <w:szCs w:val="20"/>
          <w:color w:val="404040"/>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Arial" w:cs="Arial" w:eastAsia="Arial" w:hAnsi="Arial"/>
          <w:sz w:val="20"/>
          <w:szCs w:val="20"/>
          <w:color w:val="404040"/>
        </w:rPr>
        <w:t>if to the Company:</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NMI Holdings, Inc.</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2100 Powell Street, 12</w:t>
      </w:r>
      <w:r>
        <w:rPr>
          <w:rFonts w:ascii="Arial" w:cs="Arial" w:eastAsia="Arial" w:hAnsi="Arial"/>
          <w:sz w:val="16"/>
          <w:szCs w:val="16"/>
          <w:color w:val="404040"/>
        </w:rPr>
        <w:t>th</w:t>
      </w:r>
      <w:r>
        <w:rPr>
          <w:rFonts w:ascii="Arial" w:cs="Arial" w:eastAsia="Arial" w:hAnsi="Arial"/>
          <w:sz w:val="20"/>
          <w:szCs w:val="20"/>
          <w:color w:val="404040"/>
        </w:rPr>
        <w:t xml:space="preserve"> Floor</w:t>
      </w:r>
    </w:p>
    <w:p>
      <w:pPr>
        <w:ind w:left="1960"/>
        <w:spacing w:after="0"/>
        <w:rPr>
          <w:sz w:val="20"/>
          <w:szCs w:val="20"/>
          <w:color w:val="auto"/>
        </w:rPr>
      </w:pPr>
      <w:r>
        <w:rPr>
          <w:rFonts w:ascii="Arial" w:cs="Arial" w:eastAsia="Arial" w:hAnsi="Arial"/>
          <w:sz w:val="20"/>
          <w:szCs w:val="20"/>
          <w:color w:val="404040"/>
        </w:rPr>
        <w:t>Emeryville, CA 94608</w:t>
      </w:r>
    </w:p>
    <w:p>
      <w:pPr>
        <w:ind w:left="1960"/>
        <w:spacing w:after="0"/>
        <w:rPr>
          <w:sz w:val="20"/>
          <w:szCs w:val="20"/>
          <w:color w:val="auto"/>
        </w:rPr>
      </w:pPr>
      <w:r>
        <w:rPr>
          <w:rFonts w:ascii="Arial" w:cs="Arial" w:eastAsia="Arial" w:hAnsi="Arial"/>
          <w:sz w:val="20"/>
          <w:szCs w:val="20"/>
          <w:color w:val="404040"/>
        </w:rPr>
        <w:t>Attention: General Counsel</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71"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302"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if to Participant: at the address last on the records of the Company.</w:t>
      </w:r>
    </w:p>
    <w:p>
      <w:pPr>
        <w:spacing w:after="0" w:line="216" w:lineRule="exact"/>
        <w:rPr>
          <w:sz w:val="20"/>
          <w:szCs w:val="20"/>
          <w:color w:val="auto"/>
        </w:rPr>
      </w:pPr>
    </w:p>
    <w:p>
      <w:pPr>
        <w:ind w:right="700"/>
        <w:spacing w:after="0" w:line="280" w:lineRule="auto"/>
        <w:rPr>
          <w:sz w:val="20"/>
          <w:szCs w:val="20"/>
          <w:color w:val="auto"/>
        </w:rPr>
      </w:pPr>
      <w:r>
        <w:rPr>
          <w:rFonts w:ascii="Arial" w:cs="Arial" w:eastAsia="Arial" w:hAnsi="Arial"/>
          <w:sz w:val="19"/>
          <w:szCs w:val="19"/>
          <w:color w:val="404040"/>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140" w:lineRule="exact"/>
        <w:rPr>
          <w:sz w:val="20"/>
          <w:szCs w:val="20"/>
          <w:color w:val="auto"/>
        </w:rPr>
      </w:pPr>
    </w:p>
    <w:p>
      <w:pPr>
        <w:ind w:left="980" w:right="180" w:hanging="324"/>
        <w:spacing w:after="0" w:line="248" w:lineRule="auto"/>
        <w:tabs>
          <w:tab w:leader="none" w:pos="980" w:val="left"/>
        </w:tabs>
        <w:numPr>
          <w:ilvl w:val="1"/>
          <w:numId w:val="2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Severability</w:t>
      </w:r>
      <w:r>
        <w:rPr>
          <w:rFonts w:ascii="Arial" w:cs="Arial" w:eastAsia="Arial" w:hAnsi="Arial"/>
          <w:sz w:val="20"/>
          <w:szCs w:val="20"/>
          <w:color w:val="404040"/>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 w:lineRule="exact"/>
        <w:rPr>
          <w:rFonts w:ascii="Times New Roman" w:cs="Times New Roman" w:eastAsia="Times New Roman" w:hAnsi="Times New Roman"/>
          <w:sz w:val="18"/>
          <w:szCs w:val="18"/>
          <w:color w:val="auto"/>
        </w:rPr>
      </w:pPr>
    </w:p>
    <w:p>
      <w:pPr>
        <w:ind w:left="980" w:hanging="324"/>
        <w:spacing w:after="0" w:line="239" w:lineRule="auto"/>
        <w:tabs>
          <w:tab w:leader="none" w:pos="980" w:val="left"/>
        </w:tabs>
        <w:numPr>
          <w:ilvl w:val="1"/>
          <w:numId w:val="2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No Rights to Service</w:t>
      </w:r>
      <w:r>
        <w:rPr>
          <w:rFonts w:ascii="Arial" w:cs="Arial" w:eastAsia="Arial" w:hAnsi="Arial"/>
          <w:sz w:val="20"/>
          <w:szCs w:val="20"/>
          <w:color w:val="404040"/>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2" w:lineRule="exact"/>
        <w:rPr>
          <w:rFonts w:ascii="Times New Roman" w:cs="Times New Roman" w:eastAsia="Times New Roman" w:hAnsi="Times New Roman"/>
          <w:sz w:val="18"/>
          <w:szCs w:val="18"/>
          <w:color w:val="auto"/>
        </w:rPr>
      </w:pPr>
    </w:p>
    <w:p>
      <w:pPr>
        <w:ind w:left="980" w:right="40" w:hanging="324"/>
        <w:spacing w:after="0" w:line="239" w:lineRule="auto"/>
        <w:tabs>
          <w:tab w:leader="none" w:pos="980" w:val="left"/>
        </w:tabs>
        <w:numPr>
          <w:ilvl w:val="1"/>
          <w:numId w:val="2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Beneficiary</w:t>
      </w:r>
      <w:r>
        <w:rPr>
          <w:rFonts w:ascii="Arial" w:cs="Arial" w:eastAsia="Arial" w:hAnsi="Arial"/>
          <w:sz w:val="20"/>
          <w:szCs w:val="20"/>
          <w:color w:val="404040"/>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w:t>
      </w:r>
      <w:r>
        <w:rPr>
          <w:rFonts w:ascii="Arial" w:cs="Arial" w:eastAsia="Arial" w:hAnsi="Arial"/>
          <w:sz w:val="20"/>
          <w:szCs w:val="20"/>
          <w:u w:val="single" w:color="auto"/>
          <w:color w:val="404040"/>
        </w:rPr>
        <w:t>however</w:t>
      </w:r>
      <w:r>
        <w:rPr>
          <w:rFonts w:ascii="Arial" w:cs="Arial" w:eastAsia="Arial" w:hAnsi="Arial"/>
          <w:sz w:val="20"/>
          <w:szCs w:val="20"/>
          <w:color w:val="404040"/>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his spouse or, if Participant is unmarried at the time of death, his estate.</w:t>
      </w:r>
    </w:p>
    <w:p>
      <w:pPr>
        <w:spacing w:after="0" w:line="3" w:lineRule="exact"/>
        <w:rPr>
          <w:rFonts w:ascii="Times New Roman" w:cs="Times New Roman" w:eastAsia="Times New Roman" w:hAnsi="Times New Roman"/>
          <w:sz w:val="18"/>
          <w:szCs w:val="18"/>
          <w:color w:val="auto"/>
        </w:rPr>
      </w:pPr>
    </w:p>
    <w:p>
      <w:pPr>
        <w:ind w:left="980" w:right="20" w:hanging="324"/>
        <w:spacing w:after="0" w:line="252" w:lineRule="auto"/>
        <w:tabs>
          <w:tab w:leader="none" w:pos="980" w:val="left"/>
        </w:tabs>
        <w:numPr>
          <w:ilvl w:val="1"/>
          <w:numId w:val="21"/>
        </w:numPr>
        <w:rPr>
          <w:rFonts w:ascii="Times New Roman" w:cs="Times New Roman" w:eastAsia="Times New Roman" w:hAnsi="Times New Roman"/>
          <w:sz w:val="17"/>
          <w:szCs w:val="17"/>
          <w:color w:val="auto"/>
        </w:rPr>
      </w:pPr>
      <w:r>
        <w:rPr>
          <w:rFonts w:ascii="Arial" w:cs="Arial" w:eastAsia="Arial" w:hAnsi="Arial"/>
          <w:sz w:val="19"/>
          <w:szCs w:val="19"/>
          <w:u w:val="single" w:color="auto"/>
          <w:color w:val="404040"/>
        </w:rPr>
        <w:t>Successors</w:t>
      </w:r>
      <w:r>
        <w:rPr>
          <w:rFonts w:ascii="Arial" w:cs="Arial" w:eastAsia="Arial" w:hAnsi="Arial"/>
          <w:sz w:val="19"/>
          <w:szCs w:val="19"/>
          <w:color w:val="404040"/>
        </w:rPr>
        <w:t>. The terms of this Agreement shall be binding upon and inure to the benefit of the Company, its successors and assigns, and of Participant and the beneficiaries, executors, administrators, heirs and successors of Participant.</w:t>
      </w:r>
    </w:p>
    <w:p>
      <w:pPr>
        <w:ind w:left="980" w:right="140" w:hanging="324"/>
        <w:spacing w:after="0" w:line="239" w:lineRule="auto"/>
        <w:tabs>
          <w:tab w:leader="none" w:pos="980" w:val="left"/>
        </w:tabs>
        <w:numPr>
          <w:ilvl w:val="1"/>
          <w:numId w:val="2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Entire Agreement</w:t>
      </w:r>
      <w:r>
        <w:rPr>
          <w:rFonts w:ascii="Arial" w:cs="Arial" w:eastAsia="Arial" w:hAnsi="Arial"/>
          <w:sz w:val="20"/>
          <w:szCs w:val="20"/>
          <w:color w:val="404040"/>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1" w:lineRule="exact"/>
        <w:rPr>
          <w:rFonts w:ascii="Times New Roman" w:cs="Times New Roman" w:eastAsia="Times New Roman" w:hAnsi="Times New Roman"/>
          <w:sz w:val="18"/>
          <w:szCs w:val="18"/>
          <w:color w:val="auto"/>
        </w:rPr>
      </w:pPr>
    </w:p>
    <w:p>
      <w:pPr>
        <w:ind w:left="980" w:right="200" w:hanging="324"/>
        <w:spacing w:after="0" w:line="239" w:lineRule="auto"/>
        <w:tabs>
          <w:tab w:leader="none" w:pos="980" w:val="left"/>
        </w:tabs>
        <w:numPr>
          <w:ilvl w:val="1"/>
          <w:numId w:val="2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Bound by the Plan</w:t>
      </w:r>
      <w:r>
        <w:rPr>
          <w:rFonts w:ascii="Arial" w:cs="Arial" w:eastAsia="Arial" w:hAnsi="Arial"/>
          <w:sz w:val="20"/>
          <w:szCs w:val="20"/>
          <w:color w:val="404040"/>
        </w:rPr>
        <w:t>. By signing this Agreement, Participant acknowledges that he has received a copy of the Plan and has had an opportunity to review the Plan and agrees to be bound by all the terms and provisions of the Plan.</w:t>
      </w:r>
    </w:p>
    <w:p>
      <w:pPr>
        <w:spacing w:after="0" w:line="1" w:lineRule="exact"/>
        <w:rPr>
          <w:rFonts w:ascii="Times New Roman" w:cs="Times New Roman" w:eastAsia="Times New Roman" w:hAnsi="Times New Roman"/>
          <w:sz w:val="18"/>
          <w:szCs w:val="18"/>
          <w:color w:val="auto"/>
        </w:rPr>
      </w:pPr>
    </w:p>
    <w:p>
      <w:pPr>
        <w:ind w:left="980" w:right="120" w:hanging="324"/>
        <w:spacing w:after="0" w:line="239" w:lineRule="auto"/>
        <w:tabs>
          <w:tab w:leader="none" w:pos="980" w:val="left"/>
        </w:tabs>
        <w:numPr>
          <w:ilvl w:val="1"/>
          <w:numId w:val="2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Section 409A.</w:t>
      </w:r>
      <w:r>
        <w:rPr>
          <w:rFonts w:ascii="Arial" w:cs="Arial" w:eastAsia="Arial" w:hAnsi="Arial"/>
          <w:sz w:val="20"/>
          <w:szCs w:val="20"/>
          <w:color w:val="404040"/>
        </w:rPr>
        <w:t xml:space="preserve"> It is intended that the Awards granted pursuant to this Agreement and the provisions of this Agreement be exempt from or be designed such that the taxes and/or penalties under Section 409A of the Code are not imposed, and all provisions of this Agreement shall be construed and interpreted in a manner consistent with the requirements for avoiding taxes or penalties under Section 409A of the Code.</w:t>
      </w:r>
    </w:p>
    <w:p>
      <w:pPr>
        <w:spacing w:after="0" w:line="2" w:lineRule="exact"/>
        <w:rPr>
          <w:rFonts w:ascii="Times New Roman" w:cs="Times New Roman" w:eastAsia="Times New Roman" w:hAnsi="Times New Roman"/>
          <w:sz w:val="18"/>
          <w:szCs w:val="18"/>
          <w:color w:val="auto"/>
        </w:rPr>
      </w:pPr>
    </w:p>
    <w:p>
      <w:pPr>
        <w:jc w:val="both"/>
        <w:ind w:left="980" w:right="20" w:hanging="324"/>
        <w:spacing w:after="0" w:line="239" w:lineRule="auto"/>
        <w:tabs>
          <w:tab w:leader="none" w:pos="980" w:val="left"/>
        </w:tabs>
        <w:numPr>
          <w:ilvl w:val="1"/>
          <w:numId w:val="2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Governing Law</w:t>
      </w:r>
      <w:r>
        <w:rPr>
          <w:rFonts w:ascii="Arial" w:cs="Arial" w:eastAsia="Arial" w:hAnsi="Arial"/>
          <w:sz w:val="20"/>
          <w:szCs w:val="20"/>
          <w:color w:val="404040"/>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1" w:lineRule="exact"/>
        <w:rPr>
          <w:rFonts w:ascii="Times New Roman" w:cs="Times New Roman" w:eastAsia="Times New Roman" w:hAnsi="Times New Roman"/>
          <w:sz w:val="18"/>
          <w:szCs w:val="18"/>
          <w:color w:val="auto"/>
        </w:rPr>
      </w:pPr>
    </w:p>
    <w:p>
      <w:pPr>
        <w:ind w:left="980" w:right="240" w:hanging="324"/>
        <w:spacing w:after="0" w:line="239" w:lineRule="auto"/>
        <w:tabs>
          <w:tab w:leader="none" w:pos="980" w:val="left"/>
        </w:tabs>
        <w:numPr>
          <w:ilvl w:val="1"/>
          <w:numId w:val="2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Headings</w:t>
      </w:r>
      <w:r>
        <w:rPr>
          <w:rFonts w:ascii="Arial" w:cs="Arial" w:eastAsia="Arial" w:hAnsi="Arial"/>
          <w:sz w:val="20"/>
          <w:szCs w:val="20"/>
          <w:color w:val="404040"/>
        </w:rPr>
        <w:t>. The headings of the Sections hereof are provided for convenience only and are not to serve as a basis for interpretation or construction, and shall not constitute a part, of this Agreement.</w:t>
      </w:r>
    </w:p>
    <w:p>
      <w:pPr>
        <w:spacing w:after="0" w:line="1" w:lineRule="exact"/>
        <w:rPr>
          <w:rFonts w:ascii="Times New Roman" w:cs="Times New Roman" w:eastAsia="Times New Roman" w:hAnsi="Times New Roman"/>
          <w:sz w:val="18"/>
          <w:szCs w:val="18"/>
          <w:color w:val="auto"/>
        </w:rPr>
      </w:pPr>
    </w:p>
    <w:p>
      <w:pPr>
        <w:ind w:left="980" w:right="160" w:hanging="324"/>
        <w:spacing w:after="0" w:line="239" w:lineRule="auto"/>
        <w:tabs>
          <w:tab w:leader="none" w:pos="980" w:val="left"/>
        </w:tabs>
        <w:numPr>
          <w:ilvl w:val="1"/>
          <w:numId w:val="2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Signature in Counterparts</w:t>
      </w:r>
      <w:r>
        <w:rPr>
          <w:rFonts w:ascii="Arial" w:cs="Arial" w:eastAsia="Arial" w:hAnsi="Arial"/>
          <w:sz w:val="20"/>
          <w:szCs w:val="20"/>
          <w:color w:val="404040"/>
        </w:rPr>
        <w:t>. This Agreement may be signed in counterparts, each of which shall be an original, with the same effect as if the signatures thereto and hereto were upon the same instrument.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41" w:lineRule="auto"/>
        <w:tabs>
          <w:tab w:leader="none" w:pos="3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Compliance with Legal Requirements</w:t>
      </w:r>
      <w:r>
        <w:rPr>
          <w:rFonts w:ascii="Arial" w:cs="Arial" w:eastAsia="Arial" w:hAnsi="Arial"/>
          <w:sz w:val="20"/>
          <w:szCs w:val="20"/>
          <w:color w:val="404040"/>
        </w:rPr>
        <w:t>. The grant of the RSUs and the delivery of the Shares in settlement thereof, and any other obligations of the Company under this Agreement shall be subject to all applicable federal and state laws, rules and regulations and to such approvals by any regulatory or governmental agency as may be required. Subject to Section 9(k) of this Agreement,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71"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404040"/>
        </w:rPr>
        <w:t>IN WITNESS WHEREOF</w:t>
      </w:r>
      <w:r>
        <w:rPr>
          <w:rFonts w:ascii="Arial" w:cs="Arial" w:eastAsia="Arial" w:hAnsi="Arial"/>
          <w:sz w:val="20"/>
          <w:szCs w:val="20"/>
          <w:color w:val="404040"/>
        </w:rPr>
        <w:t>, the parties hereto have executed this Agreement.</w:t>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NMI HOLDINGS,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___________________________________</w:t>
      </w:r>
    </w:p>
    <w:p>
      <w:pPr>
        <w:spacing w:after="0" w:line="25" w:lineRule="exact"/>
        <w:rPr>
          <w:sz w:val="20"/>
          <w:szCs w:val="20"/>
          <w:color w:val="auto"/>
        </w:rPr>
      </w:pPr>
    </w:p>
    <w:p>
      <w:pPr>
        <w:ind w:left="3880"/>
        <w:spacing w:after="0"/>
        <w:rPr>
          <w:sz w:val="20"/>
          <w:szCs w:val="20"/>
          <w:color w:val="auto"/>
        </w:rPr>
      </w:pPr>
      <w:r>
        <w:rPr>
          <w:rFonts w:ascii="Arial" w:cs="Arial" w:eastAsia="Arial" w:hAnsi="Arial"/>
          <w:sz w:val="20"/>
          <w:szCs w:val="20"/>
          <w:color w:val="404040"/>
        </w:rPr>
        <w:t>By:</w:t>
      </w:r>
    </w:p>
    <w:p>
      <w:pPr>
        <w:ind w:left="3880"/>
        <w:spacing w:after="0"/>
        <w:rPr>
          <w:sz w:val="20"/>
          <w:szCs w:val="20"/>
          <w:color w:val="auto"/>
        </w:rPr>
      </w:pPr>
      <w:r>
        <w:rPr>
          <w:rFonts w:ascii="Arial" w:cs="Arial" w:eastAsia="Arial" w:hAnsi="Arial"/>
          <w:sz w:val="20"/>
          <w:szCs w:val="20"/>
          <w:color w:val="404040"/>
        </w:rPr>
        <w:t>Title: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PARTICIPANT</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404040"/>
        </w:rPr>
        <w:t>[Signature Page to Restricted Stock Unit Award Agreement (CEO)]</w:t>
      </w:r>
    </w:p>
    <w:p>
      <w:pPr>
        <w:sectPr>
          <w:pgSz w:w="11900" w:h="16838" w:orient="portrait"/>
          <w:cols w:equalWidth="0" w:num="1">
            <w:col w:w="11420"/>
          </w:cols>
          <w:pgMar w:left="240" w:top="171" w:right="2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71" w:right="239" w:bottom="1440" w:gutter="0" w:footer="0" w:header="0"/>
          <w:type w:val="continuous"/>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04040"/>
        </w:rPr>
        <w:t>NMI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04040"/>
        </w:rPr>
        <w:t>AMENDED AND RESTATED 2014 OMNIBUS INCENTIVE PLAN</w:t>
      </w:r>
    </w:p>
    <w:p>
      <w:pPr>
        <w:jc w:val="center"/>
        <w:spacing w:after="0"/>
        <w:rPr>
          <w:sz w:val="20"/>
          <w:szCs w:val="20"/>
          <w:color w:val="auto"/>
        </w:rPr>
      </w:pPr>
      <w:r>
        <w:rPr>
          <w:rFonts w:ascii="Arial" w:cs="Arial" w:eastAsia="Arial" w:hAnsi="Arial"/>
          <w:sz w:val="20"/>
          <w:szCs w:val="20"/>
          <w:b w:val="1"/>
          <w:bCs w:val="1"/>
          <w:color w:val="404040"/>
        </w:rPr>
        <w:t>RESTRICTED STOCK UNIT AWARD AGREEMENT</w:t>
      </w:r>
    </w:p>
    <w:p>
      <w:pPr>
        <w:jc w:val="center"/>
        <w:spacing w:after="0"/>
        <w:rPr>
          <w:sz w:val="20"/>
          <w:szCs w:val="20"/>
          <w:color w:val="auto"/>
        </w:rPr>
      </w:pPr>
      <w:r>
        <w:rPr>
          <w:rFonts w:ascii="Arial" w:cs="Arial" w:eastAsia="Arial" w:hAnsi="Arial"/>
          <w:sz w:val="20"/>
          <w:szCs w:val="20"/>
          <w:b w:val="1"/>
          <w:bCs w:val="1"/>
          <w:color w:val="404040"/>
        </w:rPr>
        <w:t>(EXECUTIVE OFFICERS)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404040"/>
        </w:rPr>
        <w:t xml:space="preserve">THIS RESTRICTED STOCK UNIT AWARD AGREEMENT </w:t>
      </w:r>
      <w:r>
        <w:rPr>
          <w:rFonts w:ascii="Arial" w:cs="Arial" w:eastAsia="Arial" w:hAnsi="Arial"/>
          <w:sz w:val="20"/>
          <w:szCs w:val="20"/>
          <w:color w:val="404040"/>
        </w:rPr>
        <w:t>(this “</w:t>
      </w:r>
      <w:r>
        <w:rPr>
          <w:rFonts w:ascii="Arial" w:cs="Arial" w:eastAsia="Arial" w:hAnsi="Arial"/>
          <w:sz w:val="20"/>
          <w:szCs w:val="20"/>
          <w:u w:val="single" w:color="auto"/>
          <w:color w:val="404040"/>
        </w:rPr>
        <w:t>Agreement</w:t>
      </w:r>
      <w:r>
        <w:rPr>
          <w:rFonts w:ascii="Arial" w:cs="Arial" w:eastAsia="Arial" w:hAnsi="Arial"/>
          <w:sz w:val="20"/>
          <w:szCs w:val="20"/>
          <w:color w:val="404040"/>
        </w:rPr>
        <w:t>”), dated as of [•],_____ (the “</w:t>
      </w:r>
      <w:r>
        <w:rPr>
          <w:rFonts w:ascii="Arial" w:cs="Arial" w:eastAsia="Arial" w:hAnsi="Arial"/>
          <w:sz w:val="20"/>
          <w:szCs w:val="20"/>
          <w:u w:val="single" w:color="auto"/>
          <w:color w:val="404040"/>
        </w:rPr>
        <w:t>Grant</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u w:val="single" w:color="auto"/>
          <w:color w:val="404040"/>
        </w:rPr>
        <w:t>Date</w:t>
      </w:r>
      <w:r>
        <w:rPr>
          <w:rFonts w:ascii="Arial" w:cs="Arial" w:eastAsia="Arial" w:hAnsi="Arial"/>
          <w:sz w:val="20"/>
          <w:szCs w:val="20"/>
          <w:color w:val="404040"/>
        </w:rPr>
        <w:t>”), is made by and between NMI Holdings, Inc., a Delaware corporation (the “</w:t>
      </w:r>
      <w:r>
        <w:rPr>
          <w:rFonts w:ascii="Arial" w:cs="Arial" w:eastAsia="Arial" w:hAnsi="Arial"/>
          <w:sz w:val="20"/>
          <w:szCs w:val="20"/>
          <w:u w:val="single" w:color="auto"/>
          <w:color w:val="404040"/>
        </w:rPr>
        <w:t>Company</w:t>
      </w:r>
      <w:r>
        <w:rPr>
          <w:rFonts w:ascii="Arial" w:cs="Arial" w:eastAsia="Arial" w:hAnsi="Arial"/>
          <w:sz w:val="20"/>
          <w:szCs w:val="20"/>
          <w:color w:val="404040"/>
        </w:rPr>
        <w:t>”), and [NAME] (“</w:t>
      </w:r>
      <w:r>
        <w:rPr>
          <w:rFonts w:ascii="Arial" w:cs="Arial" w:eastAsia="Arial" w:hAnsi="Arial"/>
          <w:sz w:val="20"/>
          <w:szCs w:val="20"/>
          <w:u w:val="single" w:color="auto"/>
          <w:color w:val="404040"/>
        </w:rPr>
        <w:t>Participant</w:t>
      </w:r>
      <w:r>
        <w:rPr>
          <w:rFonts w:ascii="Arial" w:cs="Arial" w:eastAsia="Arial" w:hAnsi="Arial"/>
          <w:sz w:val="20"/>
          <w:szCs w:val="20"/>
          <w:color w:val="404040"/>
        </w:rPr>
        <w:t>”).</w:t>
      </w:r>
    </w:p>
    <w:p>
      <w:pPr>
        <w:spacing w:after="0" w:line="188" w:lineRule="exact"/>
        <w:rPr>
          <w:sz w:val="20"/>
          <w:szCs w:val="20"/>
          <w:color w:val="auto"/>
        </w:rPr>
      </w:pPr>
    </w:p>
    <w:p>
      <w:pPr>
        <w:ind w:right="340" w:firstLine="1297"/>
        <w:spacing w:after="0" w:line="282" w:lineRule="auto"/>
        <w:rPr>
          <w:sz w:val="20"/>
          <w:szCs w:val="20"/>
          <w:color w:val="auto"/>
        </w:rPr>
      </w:pPr>
      <w:r>
        <w:rPr>
          <w:rFonts w:ascii="Arial" w:cs="Arial" w:eastAsia="Arial" w:hAnsi="Arial"/>
          <w:sz w:val="20"/>
          <w:szCs w:val="20"/>
          <w:b w:val="1"/>
          <w:bCs w:val="1"/>
          <w:color w:val="404040"/>
        </w:rPr>
        <w:t>WHEREAS</w:t>
      </w:r>
      <w:r>
        <w:rPr>
          <w:rFonts w:ascii="Arial" w:cs="Arial" w:eastAsia="Arial" w:hAnsi="Arial"/>
          <w:sz w:val="20"/>
          <w:szCs w:val="20"/>
          <w:color w:val="404040"/>
        </w:rPr>
        <w:t>, the Company has adopted the NMI Holdings, Inc. Amended and Restated 2014 Omnibus Incentive</w:t>
      </w:r>
      <w:r>
        <w:rPr>
          <w:rFonts w:ascii="Arial" w:cs="Arial" w:eastAsia="Arial" w:hAnsi="Arial"/>
          <w:sz w:val="20"/>
          <w:szCs w:val="20"/>
          <w:b w:val="1"/>
          <w:bCs w:val="1"/>
          <w:color w:val="404040"/>
        </w:rPr>
        <w:t xml:space="preserve"> </w:t>
      </w:r>
      <w:r>
        <w:rPr>
          <w:rFonts w:ascii="Arial" w:cs="Arial" w:eastAsia="Arial" w:hAnsi="Arial"/>
          <w:sz w:val="20"/>
          <w:szCs w:val="20"/>
          <w:color w:val="404040"/>
        </w:rPr>
        <w:t>Plan (the “</w:t>
      </w:r>
      <w:r>
        <w:rPr>
          <w:rFonts w:ascii="Arial" w:cs="Arial" w:eastAsia="Arial" w:hAnsi="Arial"/>
          <w:sz w:val="20"/>
          <w:szCs w:val="20"/>
          <w:u w:val="single" w:color="auto"/>
          <w:color w:val="404040"/>
        </w:rPr>
        <w:t>Plan</w:t>
      </w:r>
      <w:r>
        <w:rPr>
          <w:rFonts w:ascii="Arial" w:cs="Arial" w:eastAsia="Arial" w:hAnsi="Arial"/>
          <w:sz w:val="20"/>
          <w:szCs w:val="20"/>
          <w:color w:val="404040"/>
        </w:rPr>
        <w:t>”); and</w:t>
      </w:r>
    </w:p>
    <w:p>
      <w:pPr>
        <w:spacing w:after="0" w:line="135" w:lineRule="exact"/>
        <w:rPr>
          <w:sz w:val="20"/>
          <w:szCs w:val="20"/>
          <w:color w:val="auto"/>
        </w:rPr>
      </w:pPr>
    </w:p>
    <w:p>
      <w:pPr>
        <w:ind w:right="240" w:firstLine="1297"/>
        <w:spacing w:after="0" w:line="261" w:lineRule="auto"/>
        <w:rPr>
          <w:sz w:val="20"/>
          <w:szCs w:val="20"/>
          <w:color w:val="auto"/>
        </w:rPr>
      </w:pPr>
      <w:r>
        <w:rPr>
          <w:rFonts w:ascii="Arial" w:cs="Arial" w:eastAsia="Arial" w:hAnsi="Arial"/>
          <w:sz w:val="20"/>
          <w:szCs w:val="20"/>
          <w:b w:val="1"/>
          <w:bCs w:val="1"/>
          <w:color w:val="404040"/>
        </w:rPr>
        <w:t>WHEREAS</w:t>
      </w:r>
      <w:r>
        <w:rPr>
          <w:rFonts w:ascii="Arial" w:cs="Arial" w:eastAsia="Arial" w:hAnsi="Arial"/>
          <w:sz w:val="20"/>
          <w:szCs w:val="20"/>
          <w:color w:val="404040"/>
        </w:rPr>
        <w:t>, the Committee has determined that it would be in the best interests of the Company and its</w:t>
      </w:r>
      <w:r>
        <w:rPr>
          <w:rFonts w:ascii="Arial" w:cs="Arial" w:eastAsia="Arial" w:hAnsi="Arial"/>
          <w:sz w:val="20"/>
          <w:szCs w:val="20"/>
          <w:b w:val="1"/>
          <w:bCs w:val="1"/>
          <w:color w:val="404040"/>
        </w:rPr>
        <w:t xml:space="preserve"> </w:t>
      </w:r>
      <w:r>
        <w:rPr>
          <w:rFonts w:ascii="Arial" w:cs="Arial" w:eastAsia="Arial" w:hAnsi="Arial"/>
          <w:sz w:val="20"/>
          <w:szCs w:val="20"/>
          <w:color w:val="404040"/>
        </w:rPr>
        <w:t>stockholders to grant Participant restricted stock units with respect to a number of shares of the Company’s Common Stock (the “</w:t>
      </w:r>
      <w:r>
        <w:rPr>
          <w:rFonts w:ascii="Arial" w:cs="Arial" w:eastAsia="Arial" w:hAnsi="Arial"/>
          <w:sz w:val="20"/>
          <w:szCs w:val="20"/>
          <w:u w:val="single" w:color="auto"/>
          <w:color w:val="404040"/>
        </w:rPr>
        <w:t>Shares</w:t>
      </w:r>
      <w:r>
        <w:rPr>
          <w:rFonts w:ascii="Arial" w:cs="Arial" w:eastAsia="Arial" w:hAnsi="Arial"/>
          <w:sz w:val="20"/>
          <w:szCs w:val="20"/>
          <w:color w:val="404040"/>
        </w:rPr>
        <w:t>”) on the terms and subject to the conditions set forth in this Agreement and the Plan.</w:t>
      </w:r>
    </w:p>
    <w:p>
      <w:pPr>
        <w:spacing w:after="0" w:line="155" w:lineRule="exact"/>
        <w:rPr>
          <w:sz w:val="20"/>
          <w:szCs w:val="20"/>
          <w:color w:val="auto"/>
        </w:rPr>
      </w:pPr>
    </w:p>
    <w:p>
      <w:pPr>
        <w:ind w:right="320" w:firstLine="1297"/>
        <w:spacing w:after="0" w:line="261" w:lineRule="auto"/>
        <w:rPr>
          <w:sz w:val="20"/>
          <w:szCs w:val="20"/>
          <w:color w:val="auto"/>
        </w:rPr>
      </w:pPr>
      <w:r>
        <w:rPr>
          <w:rFonts w:ascii="Arial" w:cs="Arial" w:eastAsia="Arial" w:hAnsi="Arial"/>
          <w:sz w:val="20"/>
          <w:szCs w:val="20"/>
          <w:b w:val="1"/>
          <w:bCs w:val="1"/>
          <w:color w:val="404040"/>
        </w:rPr>
        <w:t>NOW THEREFORE</w:t>
      </w:r>
      <w:r>
        <w:rPr>
          <w:rFonts w:ascii="Arial" w:cs="Arial" w:eastAsia="Arial" w:hAnsi="Arial"/>
          <w:sz w:val="20"/>
          <w:szCs w:val="20"/>
          <w:color w:val="404040"/>
        </w:rPr>
        <w:t>, for and in consideration of the premises and the covenants of the parties contained in this</w:t>
      </w:r>
      <w:r>
        <w:rPr>
          <w:rFonts w:ascii="Arial" w:cs="Arial" w:eastAsia="Arial" w:hAnsi="Arial"/>
          <w:sz w:val="20"/>
          <w:szCs w:val="20"/>
          <w:b w:val="1"/>
          <w:bCs w:val="1"/>
          <w:color w:val="404040"/>
        </w:rPr>
        <w:t xml:space="preserve"> </w:t>
      </w:r>
      <w:r>
        <w:rPr>
          <w:rFonts w:ascii="Arial" w:cs="Arial" w:eastAsia="Arial" w:hAnsi="Arial"/>
          <w:sz w:val="20"/>
          <w:szCs w:val="20"/>
          <w:color w:val="404040"/>
        </w:rPr>
        <w:t>Agreement, and for other good and valuable consideration, the receipt of which is hereby acknowledged, the parties hereto, for themselves, their successors and assigns, hereby agree as follows:</w:t>
      </w:r>
    </w:p>
    <w:p>
      <w:pPr>
        <w:spacing w:after="0" w:line="170" w:lineRule="exact"/>
        <w:rPr>
          <w:sz w:val="20"/>
          <w:szCs w:val="20"/>
          <w:color w:val="auto"/>
        </w:rPr>
      </w:pPr>
    </w:p>
    <w:p>
      <w:pPr>
        <w:ind w:left="2740" w:hanging="787"/>
        <w:spacing w:after="0"/>
        <w:tabs>
          <w:tab w:leader="none" w:pos="27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Grant of Restricted Stock Unit Award</w:t>
      </w:r>
      <w:r>
        <w:rPr>
          <w:rFonts w:ascii="Arial" w:cs="Arial" w:eastAsia="Arial" w:hAnsi="Arial"/>
          <w:sz w:val="20"/>
          <w:szCs w:val="20"/>
          <w:color w:val="404040"/>
        </w:rPr>
        <w:t>.</w:t>
      </w:r>
    </w:p>
    <w:p>
      <w:pPr>
        <w:spacing w:after="0" w:line="39" w:lineRule="exact"/>
        <w:rPr>
          <w:sz w:val="20"/>
          <w:szCs w:val="20"/>
          <w:color w:val="auto"/>
        </w:rPr>
      </w:pPr>
    </w:p>
    <w:p>
      <w:pPr>
        <w:ind w:left="2800" w:hanging="847"/>
        <w:spacing w:after="0"/>
        <w:tabs>
          <w:tab w:leader="none" w:pos="2800" w:val="left"/>
        </w:tabs>
        <w:numPr>
          <w:ilvl w:val="2"/>
          <w:numId w:val="24"/>
        </w:numPr>
        <w:rPr>
          <w:rFonts w:ascii="Times New Roman" w:cs="Times New Roman" w:eastAsia="Times New Roman" w:hAnsi="Times New Roman"/>
          <w:sz w:val="17"/>
          <w:szCs w:val="17"/>
          <w:color w:val="auto"/>
        </w:rPr>
      </w:pPr>
      <w:r>
        <w:rPr>
          <w:rFonts w:ascii="Arial" w:cs="Arial" w:eastAsia="Arial" w:hAnsi="Arial"/>
          <w:sz w:val="19"/>
          <w:szCs w:val="19"/>
          <w:u w:val="single" w:color="auto"/>
          <w:color w:val="404040"/>
        </w:rPr>
        <w:t>Grant</w:t>
      </w:r>
      <w:r>
        <w:rPr>
          <w:rFonts w:ascii="Arial" w:cs="Arial" w:eastAsia="Arial" w:hAnsi="Arial"/>
          <w:sz w:val="19"/>
          <w:szCs w:val="19"/>
          <w:color w:val="404040"/>
        </w:rPr>
        <w:t>. The Company hereby grants to Participant an award of restricted stock units with respect to</w:t>
      </w:r>
    </w:p>
    <w:p>
      <w:pPr>
        <w:spacing w:after="0" w:line="38" w:lineRule="exact"/>
        <w:rPr>
          <w:rFonts w:ascii="Times New Roman" w:cs="Times New Roman" w:eastAsia="Times New Roman" w:hAnsi="Times New Roman"/>
          <w:sz w:val="17"/>
          <w:szCs w:val="17"/>
          <w:color w:val="auto"/>
        </w:rPr>
      </w:pPr>
    </w:p>
    <w:p>
      <w:pPr>
        <w:ind w:left="240" w:hanging="232"/>
        <w:spacing w:after="0"/>
        <w:tabs>
          <w:tab w:leader="none" w:pos="240" w:val="left"/>
        </w:tabs>
        <w:numPr>
          <w:ilvl w:val="0"/>
          <w:numId w:val="24"/>
        </w:numPr>
        <w:rPr>
          <w:rFonts w:ascii="Arial" w:cs="Arial" w:eastAsia="Arial" w:hAnsi="Arial"/>
          <w:sz w:val="20"/>
          <w:szCs w:val="20"/>
          <w:color w:val="404040"/>
        </w:rPr>
      </w:pPr>
      <w:r>
        <w:rPr>
          <w:rFonts w:ascii="Arial" w:cs="Arial" w:eastAsia="Arial" w:hAnsi="Arial"/>
          <w:sz w:val="20"/>
          <w:szCs w:val="20"/>
          <w:color w:val="404040"/>
        </w:rPr>
        <w:t>Shares (the “</w:t>
      </w:r>
      <w:r>
        <w:rPr>
          <w:rFonts w:ascii="Arial" w:cs="Arial" w:eastAsia="Arial" w:hAnsi="Arial"/>
          <w:sz w:val="20"/>
          <w:szCs w:val="20"/>
          <w:u w:val="single" w:color="auto"/>
          <w:color w:val="404040"/>
        </w:rPr>
        <w:t>RSUs</w:t>
      </w:r>
      <w:r>
        <w:rPr>
          <w:rFonts w:ascii="Arial" w:cs="Arial" w:eastAsia="Arial" w:hAnsi="Arial"/>
          <w:sz w:val="20"/>
          <w:szCs w:val="20"/>
          <w:color w:val="404040"/>
        </w:rPr>
        <w:t>”) on the terms and conditions set forth in this Agreement and as otherwise provided in the Plan.</w:t>
      </w:r>
    </w:p>
    <w:p>
      <w:pPr>
        <w:spacing w:after="0" w:line="26" w:lineRule="exact"/>
        <w:rPr>
          <w:rFonts w:ascii="Arial" w:cs="Arial" w:eastAsia="Arial" w:hAnsi="Arial"/>
          <w:sz w:val="20"/>
          <w:szCs w:val="20"/>
          <w:color w:val="404040"/>
        </w:rPr>
      </w:pPr>
    </w:p>
    <w:p>
      <w:pPr>
        <w:ind w:right="140" w:firstLine="1953"/>
        <w:spacing w:after="0" w:line="267" w:lineRule="auto"/>
        <w:tabs>
          <w:tab w:leader="none" w:pos="2803" w:val="left"/>
        </w:tabs>
        <w:numPr>
          <w:ilvl w:val="2"/>
          <w:numId w:val="2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Incorporation by Reference, Etc.</w:t>
      </w:r>
      <w:r>
        <w:rPr>
          <w:rFonts w:ascii="Arial" w:cs="Arial" w:eastAsia="Arial" w:hAnsi="Arial"/>
          <w:sz w:val="20"/>
          <w:szCs w:val="20"/>
          <w:color w:val="404040"/>
        </w:rPr>
        <w:t xml:space="preserve">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2" w:lineRule="exact"/>
        <w:rPr>
          <w:rFonts w:ascii="Times New Roman" w:cs="Times New Roman" w:eastAsia="Times New Roman" w:hAnsi="Times New Roman"/>
          <w:sz w:val="18"/>
          <w:szCs w:val="18"/>
          <w:color w:val="auto"/>
        </w:rPr>
      </w:pPr>
    </w:p>
    <w:p>
      <w:pPr>
        <w:ind w:left="2080" w:hanging="775"/>
        <w:spacing w:after="0"/>
        <w:tabs>
          <w:tab w:leader="none" w:pos="2080" w:val="left"/>
        </w:tabs>
        <w:numPr>
          <w:ilvl w:val="1"/>
          <w:numId w:val="26"/>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Vesting</w:t>
      </w:r>
      <w:r>
        <w:rPr>
          <w:rFonts w:ascii="Arial" w:cs="Arial" w:eastAsia="Arial" w:hAnsi="Arial"/>
          <w:sz w:val="20"/>
          <w:szCs w:val="20"/>
          <w:color w:val="404040"/>
        </w:rPr>
        <w:t>.</w:t>
      </w:r>
    </w:p>
    <w:p>
      <w:pPr>
        <w:spacing w:after="0" w:line="26" w:lineRule="exact"/>
        <w:rPr>
          <w:rFonts w:ascii="Times New Roman" w:cs="Times New Roman" w:eastAsia="Times New Roman" w:hAnsi="Times New Roman"/>
          <w:sz w:val="18"/>
          <w:szCs w:val="18"/>
          <w:color w:val="auto"/>
        </w:rPr>
      </w:pPr>
    </w:p>
    <w:p>
      <w:pPr>
        <w:ind w:right="160" w:firstLine="1953"/>
        <w:spacing w:after="0" w:line="267" w:lineRule="auto"/>
        <w:tabs>
          <w:tab w:leader="none" w:pos="2793" w:val="left"/>
        </w:tabs>
        <w:numPr>
          <w:ilvl w:val="2"/>
          <w:numId w:val="26"/>
        </w:numPr>
        <w:rPr>
          <w:rFonts w:ascii="Times New Roman" w:cs="Times New Roman" w:eastAsia="Times New Roman" w:hAnsi="Times New Roman"/>
          <w:sz w:val="18"/>
          <w:szCs w:val="18"/>
          <w:color w:val="auto"/>
        </w:rPr>
      </w:pPr>
      <w:r>
        <w:rPr>
          <w:rFonts w:ascii="Arial" w:cs="Arial" w:eastAsia="Arial" w:hAnsi="Arial"/>
          <w:sz w:val="20"/>
          <w:szCs w:val="20"/>
          <w:color w:val="404040"/>
        </w:rPr>
        <w:t>Except as may otherwise be provided herein, (i) one-third of the RSUs (rounded down to the nearest whole Share) shall become vested on the first anniversary of the Grant Date, (ii) one-third of the RSUs (rounded down to the nearest whole Share) shall become vested on the second anniversary of the Grant Date and (iii) the remainder of the RSUs shall become vested on the third anniversary of the Grant Date, in the case of each of clauses (i), (ii) and (iii), subject to Participant not having incurred a Termination of Employment prior to the applicable vesting date.</w:t>
      </w:r>
    </w:p>
    <w:p>
      <w:pPr>
        <w:spacing w:after="0" w:line="3" w:lineRule="exact"/>
        <w:rPr>
          <w:rFonts w:ascii="Times New Roman" w:cs="Times New Roman" w:eastAsia="Times New Roman" w:hAnsi="Times New Roman"/>
          <w:sz w:val="18"/>
          <w:szCs w:val="18"/>
          <w:color w:val="auto"/>
        </w:rPr>
      </w:pPr>
    </w:p>
    <w:p>
      <w:pPr>
        <w:ind w:right="40" w:firstLine="1953"/>
        <w:spacing w:after="0" w:line="267" w:lineRule="auto"/>
        <w:tabs>
          <w:tab w:leader="none" w:pos="2803" w:val="left"/>
        </w:tabs>
        <w:numPr>
          <w:ilvl w:val="2"/>
          <w:numId w:val="26"/>
        </w:numPr>
        <w:rPr>
          <w:rFonts w:ascii="Times New Roman" w:cs="Times New Roman" w:eastAsia="Times New Roman" w:hAnsi="Times New Roman"/>
          <w:sz w:val="18"/>
          <w:szCs w:val="18"/>
          <w:color w:val="auto"/>
        </w:rPr>
      </w:pPr>
      <w:r>
        <w:rPr>
          <w:rFonts w:ascii="Arial" w:cs="Arial" w:eastAsia="Arial" w:hAnsi="Arial"/>
          <w:sz w:val="20"/>
          <w:szCs w:val="20"/>
          <w:color w:val="404040"/>
        </w:rPr>
        <w:t>Except as provided in the immediately following sentence, in the event that Participant incurs a Termination of Employment, any unvested RSUs shall be forfeited by Participant without consideration therefor. Notwithstanding the foregoing, if Participant incurs a Termination of Employment (i) as a result of termination by the Company or its Affiliate without Cause, subject to Participant having served an employee of the Company or its Affiliate for at least one year, or (ii) due to Participant’s death or Disability, any unvested RSUs that are outstanding immediately prior to such Termination of Employment and that would have vested on the next vesting date shall vest pro-rata as of the date of Participant’s Termination of Employment, with the number of RSUs vesting to be determined by multiplying the number of unvested RSUs that would have vested on the next vesting date by a fraction, the numerator of which is the number of days between the prior vesting date (or Grant Date if no vesting date occurred prior to Participant’s Termination of Employment) and the date of Participant’s Termination of Employment and the denominator of which is 365.</w:t>
      </w:r>
    </w:p>
    <w:p>
      <w:pPr>
        <w:spacing w:after="0" w:line="7" w:lineRule="exact"/>
        <w:rPr>
          <w:rFonts w:ascii="Times New Roman" w:cs="Times New Roman" w:eastAsia="Times New Roman" w:hAnsi="Times New Roman"/>
          <w:sz w:val="18"/>
          <w:szCs w:val="18"/>
          <w:color w:val="auto"/>
        </w:rPr>
      </w:pPr>
    </w:p>
    <w:p>
      <w:pPr>
        <w:ind w:right="120" w:firstLine="1305"/>
        <w:spacing w:after="0" w:line="267" w:lineRule="auto"/>
        <w:tabs>
          <w:tab w:leader="none" w:pos="2080" w:val="left"/>
        </w:tabs>
        <w:numPr>
          <w:ilvl w:val="1"/>
          <w:numId w:val="26"/>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Settlement</w:t>
      </w:r>
      <w:r>
        <w:rPr>
          <w:rFonts w:ascii="Arial" w:cs="Arial" w:eastAsia="Arial" w:hAnsi="Arial"/>
          <w:sz w:val="20"/>
          <w:szCs w:val="20"/>
          <w:color w:val="404040"/>
        </w:rPr>
        <w:t>. As soon as practicable after any RSUs have vested (and in any event, no later than fifteen business days immediately following the date of such vesting), such RSUs shall be settled. Subject to Section 4 (pertaining to the withholding of taxes) and Section 3(d) of the Plan (as applicable), for each vested RSU settled pursuant to this Section 3, the Company shall issue to Participant one Share.</w:t>
      </w:r>
    </w:p>
    <w:p>
      <w:pPr>
        <w:spacing w:after="0" w:line="2" w:lineRule="exact"/>
        <w:rPr>
          <w:rFonts w:ascii="Times New Roman" w:cs="Times New Roman" w:eastAsia="Times New Roman" w:hAnsi="Times New Roman"/>
          <w:sz w:val="18"/>
          <w:szCs w:val="18"/>
          <w:color w:val="auto"/>
        </w:rPr>
      </w:pPr>
    </w:p>
    <w:p>
      <w:pPr>
        <w:ind w:right="60" w:firstLine="1305"/>
        <w:spacing w:after="0" w:line="277" w:lineRule="auto"/>
        <w:tabs>
          <w:tab w:leader="none" w:pos="2080" w:val="left"/>
        </w:tabs>
        <w:numPr>
          <w:ilvl w:val="1"/>
          <w:numId w:val="26"/>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Tax Withholding</w:t>
      </w:r>
      <w:r>
        <w:rPr>
          <w:rFonts w:ascii="Arial" w:cs="Arial" w:eastAsia="Arial" w:hAnsi="Arial"/>
          <w:sz w:val="20"/>
          <w:szCs w:val="20"/>
          <w:color w:val="404040"/>
        </w:rPr>
        <w:t>. As a condition to delivery of the Shares in respect of vested RSUs, Section 15(d) of the Plan requires Participant to make provisions satisfactory to the Company for payment of, any federal, state or local taxes and other statutory obligations (including, but not limited to, Participant’s FICA and SDI obligations) in respect of the transfer of Shares in settlement of the RSUs. The Company shall have the power and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71"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99" w:lineRule="exact"/>
        <w:rPr>
          <w:sz w:val="20"/>
          <w:szCs w:val="20"/>
          <w:color w:val="auto"/>
        </w:rPr>
      </w:pPr>
    </w:p>
    <w:p>
      <w:pPr>
        <w:ind w:right="200"/>
        <w:spacing w:after="0" w:line="269" w:lineRule="auto"/>
        <w:rPr>
          <w:sz w:val="20"/>
          <w:szCs w:val="20"/>
          <w:color w:val="auto"/>
        </w:rPr>
      </w:pPr>
      <w:r>
        <w:rPr>
          <w:rFonts w:ascii="Arial" w:cs="Arial" w:eastAsia="Arial" w:hAnsi="Arial"/>
          <w:sz w:val="20"/>
          <w:szCs w:val="20"/>
          <w:color w:val="404040"/>
        </w:rPr>
        <w:t>the right to (i) deduct or withhold from all amounts payable to Participant pursuant to the RSUs or otherwise, or (ii) require Participant to remit to the Company, an amount sufficient to satisfy any applicable taxes of any kind or other statutory obligations (including, but not limited to, Participant’s FICA and SDI obligations) which the Company, in its sole discretion, deems necessary to be withheld or remitted to comply with the Code and/or any other applicable law, rule or regulation with respect to the RSUs and, if Participant fails to do so, the Company may otherwise refuse to issue or transfer any Shares otherwise required to be issued pursuant to this Agreement. The Company may permit or require any such statutorily required minimum withholding obligation with regard to Participant to be satisfied by reducing the amount of Shares otherwise deliverable to Participant hereunder.</w:t>
      </w:r>
    </w:p>
    <w:p>
      <w:pPr>
        <w:spacing w:after="0" w:line="3" w:lineRule="exact"/>
        <w:rPr>
          <w:sz w:val="20"/>
          <w:szCs w:val="20"/>
          <w:color w:val="auto"/>
        </w:rPr>
      </w:pPr>
    </w:p>
    <w:p>
      <w:pPr>
        <w:jc w:val="both"/>
        <w:ind w:right="20" w:firstLine="1305"/>
        <w:spacing w:after="0" w:line="281" w:lineRule="auto"/>
        <w:tabs>
          <w:tab w:leader="none" w:pos="208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No Rights as Stockholder</w:t>
      </w:r>
      <w:r>
        <w:rPr>
          <w:rFonts w:ascii="Arial" w:cs="Arial" w:eastAsia="Arial" w:hAnsi="Arial"/>
          <w:sz w:val="20"/>
          <w:szCs w:val="20"/>
          <w:color w:val="404040"/>
        </w:rPr>
        <w:t>. Until such time as the RSUs have been settled and the underlying Shares have been delivered to Participant and Participant has become the holder of record of such Shares, Participant shall have no rights as a stockholder, including, without limitation, the right to dividends and the right to vote.</w:t>
      </w:r>
    </w:p>
    <w:p>
      <w:pPr>
        <w:spacing w:after="0" w:line="179" w:lineRule="exact"/>
        <w:rPr>
          <w:rFonts w:ascii="Times New Roman" w:cs="Times New Roman" w:eastAsia="Times New Roman" w:hAnsi="Times New Roman"/>
          <w:sz w:val="18"/>
          <w:szCs w:val="18"/>
          <w:color w:val="auto"/>
        </w:rPr>
      </w:pPr>
    </w:p>
    <w:p>
      <w:pPr>
        <w:ind w:firstLine="1305"/>
        <w:spacing w:after="0" w:line="270" w:lineRule="auto"/>
        <w:tabs>
          <w:tab w:leader="none" w:pos="2110" w:val="left"/>
        </w:tabs>
        <w:numPr>
          <w:ilvl w:val="0"/>
          <w:numId w:val="27"/>
        </w:numPr>
        <w:rPr>
          <w:rFonts w:ascii="Arial" w:cs="Arial" w:eastAsia="Arial" w:hAnsi="Arial"/>
          <w:sz w:val="20"/>
          <w:szCs w:val="20"/>
          <w:color w:val="404040"/>
        </w:rPr>
      </w:pPr>
      <w:r>
        <w:rPr>
          <w:rFonts w:ascii="Arial" w:cs="Arial" w:eastAsia="Arial" w:hAnsi="Arial"/>
          <w:sz w:val="20"/>
          <w:szCs w:val="20"/>
          <w:u w:val="single" w:color="auto"/>
          <w:color w:val="404040"/>
        </w:rPr>
        <w:t>Transferability</w:t>
      </w:r>
      <w:r>
        <w:rPr>
          <w:rFonts w:ascii="Arial" w:cs="Arial" w:eastAsia="Arial" w:hAnsi="Arial"/>
          <w:sz w:val="20"/>
          <w:szCs w:val="20"/>
          <w:color w:val="404040"/>
        </w:rPr>
        <w:t xml:space="preserve">. The RSUs may not, at any time prior to becoming vested,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Subsidiary or Affiliate;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that the designation of a beneficiary shall not constitute an assignment, alienation, pledge, attachment, sale, transfer or encumbrance.</w:t>
      </w:r>
    </w:p>
    <w:p>
      <w:pPr>
        <w:spacing w:after="0" w:line="1" w:lineRule="exact"/>
        <w:rPr>
          <w:rFonts w:ascii="Arial" w:cs="Arial" w:eastAsia="Arial" w:hAnsi="Arial"/>
          <w:sz w:val="20"/>
          <w:szCs w:val="20"/>
          <w:color w:val="404040"/>
        </w:rPr>
      </w:pPr>
    </w:p>
    <w:p>
      <w:pPr>
        <w:ind w:right="540" w:firstLine="1305"/>
        <w:spacing w:after="0" w:line="267" w:lineRule="auto"/>
        <w:tabs>
          <w:tab w:leader="none" w:pos="208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Adjustment</w:t>
      </w:r>
      <w:r>
        <w:rPr>
          <w:rFonts w:ascii="Arial" w:cs="Arial" w:eastAsia="Arial" w:hAnsi="Arial"/>
          <w:sz w:val="20"/>
          <w:szCs w:val="20"/>
          <w:color w:val="404040"/>
        </w:rPr>
        <w:t>. Upon any event described in Section 3(d) of the Plan occurring after the Grant Date, the adjustment provisions as provided for under Section 3(d) of the Plan shall apply to the RSUs.</w:t>
      </w:r>
    </w:p>
    <w:p>
      <w:pPr>
        <w:spacing w:after="0" w:line="1" w:lineRule="exact"/>
        <w:rPr>
          <w:rFonts w:ascii="Times New Roman" w:cs="Times New Roman" w:eastAsia="Times New Roman" w:hAnsi="Times New Roman"/>
          <w:sz w:val="18"/>
          <w:szCs w:val="18"/>
          <w:color w:val="auto"/>
        </w:rPr>
      </w:pPr>
    </w:p>
    <w:p>
      <w:pPr>
        <w:ind w:right="120" w:firstLine="1305"/>
        <w:spacing w:after="0" w:line="267" w:lineRule="auto"/>
        <w:tabs>
          <w:tab w:leader="none" w:pos="208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Change in Control</w:t>
      </w:r>
      <w:r>
        <w:rPr>
          <w:rFonts w:ascii="Arial" w:cs="Arial" w:eastAsia="Arial" w:hAnsi="Arial"/>
          <w:sz w:val="20"/>
          <w:szCs w:val="20"/>
          <w:color w:val="404040"/>
        </w:rPr>
        <w:t>. In the event of a Change in Control of the Company occurring after the Grant Date, all outstanding unvested RSUs shall become fully vested upon the occurrence of such Change in Control. Any RSUs that vest in connection with this Section 8 shall be settled as set forth in Section 3 of this Agreement.</w:t>
      </w:r>
    </w:p>
    <w:p>
      <w:pPr>
        <w:spacing w:after="0" w:line="2" w:lineRule="exact"/>
        <w:rPr>
          <w:rFonts w:ascii="Times New Roman" w:cs="Times New Roman" w:eastAsia="Times New Roman" w:hAnsi="Times New Roman"/>
          <w:sz w:val="18"/>
          <w:szCs w:val="18"/>
          <w:color w:val="auto"/>
        </w:rPr>
      </w:pPr>
    </w:p>
    <w:p>
      <w:pPr>
        <w:ind w:left="2080" w:hanging="775"/>
        <w:spacing w:after="0"/>
        <w:tabs>
          <w:tab w:leader="none" w:pos="208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Miscellaneous</w:t>
      </w:r>
      <w:r>
        <w:rPr>
          <w:rFonts w:ascii="Arial" w:cs="Arial" w:eastAsia="Arial" w:hAnsi="Arial"/>
          <w:sz w:val="20"/>
          <w:szCs w:val="20"/>
          <w:color w:val="404040"/>
        </w:rPr>
        <w:t>.</w:t>
      </w:r>
    </w:p>
    <w:p>
      <w:pPr>
        <w:spacing w:after="0" w:line="26" w:lineRule="exact"/>
        <w:rPr>
          <w:rFonts w:ascii="Times New Roman" w:cs="Times New Roman" w:eastAsia="Times New Roman" w:hAnsi="Times New Roman"/>
          <w:sz w:val="18"/>
          <w:szCs w:val="18"/>
          <w:color w:val="auto"/>
        </w:rPr>
      </w:pPr>
    </w:p>
    <w:p>
      <w:pPr>
        <w:ind w:right="120" w:firstLine="1953"/>
        <w:spacing w:after="0" w:line="267" w:lineRule="auto"/>
        <w:tabs>
          <w:tab w:leader="none" w:pos="2793" w:val="left"/>
        </w:tabs>
        <w:numPr>
          <w:ilvl w:val="1"/>
          <w:numId w:val="27"/>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Confidentiality of this Agreement</w:t>
      </w:r>
      <w:r>
        <w:rPr>
          <w:rFonts w:ascii="Arial" w:cs="Arial" w:eastAsia="Arial" w:hAnsi="Arial"/>
          <w:sz w:val="20"/>
          <w:szCs w:val="20"/>
          <w:color w:val="404040"/>
        </w:rPr>
        <w:t>. Participant agrees to keep confidential the terms of this Agreement, unless and until such terms have been disclosed publicly other than through a breach by Participant of this covenant. This provision does not prohibit Participant from providing this information on a confidential and privileged basis to Participant’s attorneys or accountants for purposes of obtaining legal or tax advice or as otherwise required by law.</w:t>
      </w:r>
    </w:p>
    <w:p>
      <w:pPr>
        <w:spacing w:after="0" w:line="2" w:lineRule="exact"/>
        <w:rPr>
          <w:rFonts w:ascii="Times New Roman" w:cs="Times New Roman" w:eastAsia="Times New Roman" w:hAnsi="Times New Roman"/>
          <w:sz w:val="18"/>
          <w:szCs w:val="18"/>
          <w:color w:val="auto"/>
        </w:rPr>
      </w:pPr>
    </w:p>
    <w:p>
      <w:pPr>
        <w:ind w:right="40" w:firstLine="1953"/>
        <w:spacing w:after="0" w:line="267" w:lineRule="auto"/>
        <w:tabs>
          <w:tab w:leader="none" w:pos="2803" w:val="left"/>
        </w:tabs>
        <w:numPr>
          <w:ilvl w:val="1"/>
          <w:numId w:val="27"/>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Waiver and Amendment</w:t>
      </w:r>
      <w:r>
        <w:rPr>
          <w:rFonts w:ascii="Arial" w:cs="Arial" w:eastAsia="Arial" w:hAnsi="Arial"/>
          <w:sz w:val="20"/>
          <w:szCs w:val="20"/>
          <w:color w:val="404040"/>
        </w:rPr>
        <w:t xml:space="preserve">. The Committee may waive any conditions or rights under, or amend any terms of, this Agreement and the RSUs granted thereunder;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that any such waiver or amendment that would materially impair the rights of any Participant or any holder or beneficiary of any RSUs granted 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5" w:lineRule="exact"/>
        <w:rPr>
          <w:rFonts w:ascii="Times New Roman" w:cs="Times New Roman" w:eastAsia="Times New Roman" w:hAnsi="Times New Roman"/>
          <w:sz w:val="18"/>
          <w:szCs w:val="18"/>
          <w:color w:val="auto"/>
        </w:rPr>
      </w:pPr>
    </w:p>
    <w:p>
      <w:pPr>
        <w:ind w:right="20" w:firstLine="1953"/>
        <w:spacing w:after="0" w:line="267" w:lineRule="auto"/>
        <w:tabs>
          <w:tab w:leader="none" w:pos="2793" w:val="left"/>
        </w:tabs>
        <w:numPr>
          <w:ilvl w:val="1"/>
          <w:numId w:val="27"/>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Unsecured Obligation</w:t>
      </w:r>
      <w:r>
        <w:rPr>
          <w:rFonts w:ascii="Arial" w:cs="Arial" w:eastAsia="Arial" w:hAnsi="Arial"/>
          <w:sz w:val="20"/>
          <w:szCs w:val="20"/>
          <w:color w:val="404040"/>
        </w:rPr>
        <w:t>. This Award is unfunded, and even as to any RSUs which vest, Participant shall be considered an unsecured creditor of the Company with respect to the Company’s obligations, if any, to issue Shares pursuant to this Agreement. Nothing contained in this Agreement, and no action taken pursuant to its provisions, shall create or be construed to create a trust of any kind or a fiduciary relationship between Participant and the Company or any other person.</w:t>
      </w:r>
    </w:p>
    <w:p>
      <w:pPr>
        <w:spacing w:after="0" w:line="2" w:lineRule="exact"/>
        <w:rPr>
          <w:rFonts w:ascii="Times New Roman" w:cs="Times New Roman" w:eastAsia="Times New Roman" w:hAnsi="Times New Roman"/>
          <w:sz w:val="18"/>
          <w:szCs w:val="18"/>
          <w:color w:val="auto"/>
        </w:rPr>
      </w:pPr>
    </w:p>
    <w:p>
      <w:pPr>
        <w:ind w:firstLine="1953"/>
        <w:spacing w:after="0" w:line="281" w:lineRule="auto"/>
        <w:tabs>
          <w:tab w:leader="none" w:pos="2803" w:val="left"/>
        </w:tabs>
        <w:numPr>
          <w:ilvl w:val="1"/>
          <w:numId w:val="27"/>
        </w:numPr>
        <w:rPr>
          <w:rFonts w:ascii="Times New Roman" w:cs="Times New Roman" w:eastAsia="Times New Roman" w:hAnsi="Times New Roman"/>
          <w:sz w:val="17"/>
          <w:szCs w:val="17"/>
          <w:color w:val="auto"/>
        </w:rPr>
      </w:pPr>
      <w:r>
        <w:rPr>
          <w:rFonts w:ascii="Arial" w:cs="Arial" w:eastAsia="Arial" w:hAnsi="Arial"/>
          <w:sz w:val="19"/>
          <w:szCs w:val="19"/>
          <w:u w:val="single" w:color="auto"/>
          <w:color w:val="404040"/>
        </w:rPr>
        <w:t>Notices</w:t>
      </w:r>
      <w:r>
        <w:rPr>
          <w:rFonts w:ascii="Arial" w:cs="Arial" w:eastAsia="Arial" w:hAnsi="Arial"/>
          <w:sz w:val="19"/>
          <w:szCs w:val="19"/>
          <w:color w:val="404040"/>
        </w:rPr>
        <w:t>. All notices, demands and other communications provided for or permitted hereunder shall be made in writing and shall be by registered or certified first-class mail, return receipt requested, facsimile, courier service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404040"/>
        </w:rPr>
        <w:t>personal delivery:</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if to the Company:</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NMI Holdings, Inc.</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2100 Powell Street, 12</w:t>
      </w:r>
      <w:r>
        <w:rPr>
          <w:rFonts w:ascii="Arial" w:cs="Arial" w:eastAsia="Arial" w:hAnsi="Arial"/>
          <w:sz w:val="16"/>
          <w:szCs w:val="16"/>
          <w:color w:val="404040"/>
        </w:rPr>
        <w:t>th</w:t>
      </w:r>
      <w:r>
        <w:rPr>
          <w:rFonts w:ascii="Arial" w:cs="Arial" w:eastAsia="Arial" w:hAnsi="Arial"/>
          <w:sz w:val="20"/>
          <w:szCs w:val="20"/>
          <w:color w:val="404040"/>
        </w:rPr>
        <w:t xml:space="preserve"> Floor</w:t>
      </w:r>
    </w:p>
    <w:p>
      <w:pPr>
        <w:ind w:left="1960"/>
        <w:spacing w:after="0"/>
        <w:rPr>
          <w:sz w:val="20"/>
          <w:szCs w:val="20"/>
          <w:color w:val="auto"/>
        </w:rPr>
      </w:pPr>
      <w:r>
        <w:rPr>
          <w:rFonts w:ascii="Arial" w:cs="Arial" w:eastAsia="Arial" w:hAnsi="Arial"/>
          <w:sz w:val="20"/>
          <w:szCs w:val="20"/>
          <w:color w:val="404040"/>
        </w:rPr>
        <w:t>Emeryville, CA 94608</w:t>
      </w:r>
    </w:p>
    <w:p>
      <w:pPr>
        <w:ind w:left="1960"/>
        <w:spacing w:after="0"/>
        <w:rPr>
          <w:sz w:val="20"/>
          <w:szCs w:val="20"/>
          <w:color w:val="auto"/>
        </w:rPr>
      </w:pPr>
      <w:r>
        <w:rPr>
          <w:rFonts w:ascii="Arial" w:cs="Arial" w:eastAsia="Arial" w:hAnsi="Arial"/>
          <w:sz w:val="20"/>
          <w:szCs w:val="20"/>
          <w:color w:val="404040"/>
        </w:rPr>
        <w:t>Attention: General Counsel</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71"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302"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if to Participant: at the address last on the records of the Company.</w:t>
      </w:r>
    </w:p>
    <w:p>
      <w:pPr>
        <w:spacing w:after="0" w:line="216" w:lineRule="exact"/>
        <w:rPr>
          <w:sz w:val="20"/>
          <w:szCs w:val="20"/>
          <w:color w:val="auto"/>
        </w:rPr>
      </w:pPr>
    </w:p>
    <w:p>
      <w:pPr>
        <w:ind w:right="700"/>
        <w:spacing w:after="0" w:line="280" w:lineRule="auto"/>
        <w:rPr>
          <w:sz w:val="20"/>
          <w:szCs w:val="20"/>
          <w:color w:val="auto"/>
        </w:rPr>
      </w:pPr>
      <w:r>
        <w:rPr>
          <w:rFonts w:ascii="Arial" w:cs="Arial" w:eastAsia="Arial" w:hAnsi="Arial"/>
          <w:sz w:val="19"/>
          <w:szCs w:val="19"/>
          <w:color w:val="404040"/>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154" w:lineRule="exact"/>
        <w:rPr>
          <w:sz w:val="20"/>
          <w:szCs w:val="20"/>
          <w:color w:val="auto"/>
        </w:rPr>
      </w:pPr>
    </w:p>
    <w:p>
      <w:pPr>
        <w:ind w:right="280" w:firstLine="1953"/>
        <w:spacing w:after="0" w:line="272" w:lineRule="auto"/>
        <w:tabs>
          <w:tab w:leader="none" w:pos="2793" w:val="left"/>
        </w:tabs>
        <w:numPr>
          <w:ilvl w:val="1"/>
          <w:numId w:val="28"/>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Severability</w:t>
      </w:r>
      <w:r>
        <w:rPr>
          <w:rFonts w:ascii="Arial" w:cs="Arial" w:eastAsia="Arial" w:hAnsi="Arial"/>
          <w:sz w:val="20"/>
          <w:szCs w:val="20"/>
          <w:color w:val="404040"/>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ind w:right="40" w:firstLine="1953"/>
        <w:spacing w:after="0" w:line="267" w:lineRule="auto"/>
        <w:tabs>
          <w:tab w:leader="none" w:pos="2773" w:val="left"/>
        </w:tabs>
        <w:numPr>
          <w:ilvl w:val="1"/>
          <w:numId w:val="28"/>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No Rights to Service</w:t>
      </w:r>
      <w:r>
        <w:rPr>
          <w:rFonts w:ascii="Arial" w:cs="Arial" w:eastAsia="Arial" w:hAnsi="Arial"/>
          <w:sz w:val="20"/>
          <w:szCs w:val="20"/>
          <w:color w:val="404040"/>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2" w:lineRule="exact"/>
        <w:rPr>
          <w:rFonts w:ascii="Times New Roman" w:cs="Times New Roman" w:eastAsia="Times New Roman" w:hAnsi="Times New Roman"/>
          <w:sz w:val="18"/>
          <w:szCs w:val="18"/>
          <w:color w:val="auto"/>
        </w:rPr>
      </w:pPr>
    </w:p>
    <w:p>
      <w:pPr>
        <w:ind w:right="200" w:firstLine="1953"/>
        <w:spacing w:after="0" w:line="267" w:lineRule="auto"/>
        <w:tabs>
          <w:tab w:leader="none" w:pos="2803" w:val="left"/>
        </w:tabs>
        <w:numPr>
          <w:ilvl w:val="1"/>
          <w:numId w:val="28"/>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Beneficiary</w:t>
      </w:r>
      <w:r>
        <w:rPr>
          <w:rFonts w:ascii="Arial" w:cs="Arial" w:eastAsia="Arial" w:hAnsi="Arial"/>
          <w:sz w:val="20"/>
          <w:szCs w:val="20"/>
          <w:color w:val="404040"/>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w:t>
      </w:r>
      <w:r>
        <w:rPr>
          <w:rFonts w:ascii="Arial" w:cs="Arial" w:eastAsia="Arial" w:hAnsi="Arial"/>
          <w:sz w:val="20"/>
          <w:szCs w:val="20"/>
          <w:u w:val="single" w:color="auto"/>
          <w:color w:val="404040"/>
        </w:rPr>
        <w:t>however</w:t>
      </w:r>
      <w:r>
        <w:rPr>
          <w:rFonts w:ascii="Arial" w:cs="Arial" w:eastAsia="Arial" w:hAnsi="Arial"/>
          <w:sz w:val="20"/>
          <w:szCs w:val="20"/>
          <w:color w:val="404040"/>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his spouse or, if Participant is unmarried at the time of death, his estate.</w:t>
      </w:r>
    </w:p>
    <w:p>
      <w:pPr>
        <w:spacing w:after="0" w:line="4" w:lineRule="exact"/>
        <w:rPr>
          <w:rFonts w:ascii="Times New Roman" w:cs="Times New Roman" w:eastAsia="Times New Roman" w:hAnsi="Times New Roman"/>
          <w:sz w:val="18"/>
          <w:szCs w:val="18"/>
          <w:color w:val="auto"/>
        </w:rPr>
      </w:pPr>
    </w:p>
    <w:p>
      <w:pPr>
        <w:ind w:right="80" w:firstLine="1953"/>
        <w:spacing w:after="0" w:line="267" w:lineRule="auto"/>
        <w:tabs>
          <w:tab w:leader="none" w:pos="2803" w:val="left"/>
        </w:tabs>
        <w:numPr>
          <w:ilvl w:val="1"/>
          <w:numId w:val="28"/>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Successors</w:t>
      </w:r>
      <w:r>
        <w:rPr>
          <w:rFonts w:ascii="Arial" w:cs="Arial" w:eastAsia="Arial" w:hAnsi="Arial"/>
          <w:sz w:val="20"/>
          <w:szCs w:val="20"/>
          <w:color w:val="404040"/>
        </w:rPr>
        <w:t>. The terms of this Agreement shall be binding upon and inure to the benefit of the Company, its successors and assigns, and of Participant and the beneficiaries, executors, administrators, heirs and successors of Participant.</w:t>
      </w:r>
    </w:p>
    <w:p>
      <w:pPr>
        <w:spacing w:after="0" w:line="2" w:lineRule="exact"/>
        <w:rPr>
          <w:rFonts w:ascii="Times New Roman" w:cs="Times New Roman" w:eastAsia="Times New Roman" w:hAnsi="Times New Roman"/>
          <w:sz w:val="18"/>
          <w:szCs w:val="18"/>
          <w:color w:val="auto"/>
        </w:rPr>
      </w:pPr>
    </w:p>
    <w:p>
      <w:pPr>
        <w:jc w:val="both"/>
        <w:ind w:right="140" w:firstLine="1953"/>
        <w:spacing w:after="0" w:line="267" w:lineRule="auto"/>
        <w:tabs>
          <w:tab w:leader="none" w:pos="2763" w:val="left"/>
        </w:tabs>
        <w:numPr>
          <w:ilvl w:val="1"/>
          <w:numId w:val="28"/>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Entire Agreement</w:t>
      </w:r>
      <w:r>
        <w:rPr>
          <w:rFonts w:ascii="Arial" w:cs="Arial" w:eastAsia="Arial" w:hAnsi="Arial"/>
          <w:sz w:val="20"/>
          <w:szCs w:val="20"/>
          <w:color w:val="404040"/>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2" w:lineRule="exact"/>
        <w:rPr>
          <w:rFonts w:ascii="Times New Roman" w:cs="Times New Roman" w:eastAsia="Times New Roman" w:hAnsi="Times New Roman"/>
          <w:sz w:val="18"/>
          <w:szCs w:val="18"/>
          <w:color w:val="auto"/>
        </w:rPr>
      </w:pPr>
    </w:p>
    <w:p>
      <w:pPr>
        <w:ind w:right="260" w:firstLine="1953"/>
        <w:spacing w:after="0" w:line="267" w:lineRule="auto"/>
        <w:tabs>
          <w:tab w:leader="none" w:pos="2763" w:val="left"/>
        </w:tabs>
        <w:numPr>
          <w:ilvl w:val="1"/>
          <w:numId w:val="28"/>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Bound by the Plan</w:t>
      </w:r>
      <w:r>
        <w:rPr>
          <w:rFonts w:ascii="Arial" w:cs="Arial" w:eastAsia="Arial" w:hAnsi="Arial"/>
          <w:sz w:val="20"/>
          <w:szCs w:val="20"/>
          <w:color w:val="404040"/>
        </w:rPr>
        <w:t>. By signing this Agreement, Participant acknowledges that he has received a copy of the Plan and has had an opportunity to review the Plan and agrees to be bound by all the terms and provisions of the Plan.</w:t>
      </w:r>
    </w:p>
    <w:p>
      <w:pPr>
        <w:spacing w:after="0" w:line="2" w:lineRule="exact"/>
        <w:rPr>
          <w:rFonts w:ascii="Times New Roman" w:cs="Times New Roman" w:eastAsia="Times New Roman" w:hAnsi="Times New Roman"/>
          <w:sz w:val="18"/>
          <w:szCs w:val="18"/>
          <w:color w:val="auto"/>
        </w:rPr>
      </w:pPr>
    </w:p>
    <w:p>
      <w:pPr>
        <w:ind w:right="60" w:firstLine="1953"/>
        <w:spacing w:after="0" w:line="267" w:lineRule="auto"/>
        <w:tabs>
          <w:tab w:leader="none" w:pos="2803" w:val="left"/>
        </w:tabs>
        <w:numPr>
          <w:ilvl w:val="1"/>
          <w:numId w:val="28"/>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Section 409A.</w:t>
      </w:r>
      <w:r>
        <w:rPr>
          <w:rFonts w:ascii="Arial" w:cs="Arial" w:eastAsia="Arial" w:hAnsi="Arial"/>
          <w:sz w:val="20"/>
          <w:szCs w:val="20"/>
          <w:color w:val="404040"/>
        </w:rPr>
        <w:t xml:space="preserve"> It is intended that the Awards granted pursuant to this Agreement and the provisions of this Agreement be exempt from or be designed such that the taxes and/or penalties under Section 409A of the Code are not imposed, and all provisions of this Agreement shall be construed and interpreted in a manner consistent with the requirements for avoiding taxes or penalties under Section 409A of the Code.</w:t>
      </w:r>
    </w:p>
    <w:p>
      <w:pPr>
        <w:spacing w:after="0" w:line="2" w:lineRule="exact"/>
        <w:rPr>
          <w:rFonts w:ascii="Times New Roman" w:cs="Times New Roman" w:eastAsia="Times New Roman" w:hAnsi="Times New Roman"/>
          <w:sz w:val="18"/>
          <w:szCs w:val="18"/>
          <w:color w:val="auto"/>
        </w:rPr>
      </w:pPr>
    </w:p>
    <w:p>
      <w:pPr>
        <w:ind w:right="40" w:firstLine="1953"/>
        <w:spacing w:after="0" w:line="267" w:lineRule="auto"/>
        <w:tabs>
          <w:tab w:leader="none" w:pos="2763" w:val="left"/>
        </w:tabs>
        <w:numPr>
          <w:ilvl w:val="1"/>
          <w:numId w:val="28"/>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Governing Law</w:t>
      </w:r>
      <w:r>
        <w:rPr>
          <w:rFonts w:ascii="Arial" w:cs="Arial" w:eastAsia="Arial" w:hAnsi="Arial"/>
          <w:sz w:val="20"/>
          <w:szCs w:val="20"/>
          <w:color w:val="404040"/>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2" w:lineRule="exact"/>
        <w:rPr>
          <w:rFonts w:ascii="Times New Roman" w:cs="Times New Roman" w:eastAsia="Times New Roman" w:hAnsi="Times New Roman"/>
          <w:sz w:val="18"/>
          <w:szCs w:val="18"/>
          <w:color w:val="auto"/>
        </w:rPr>
      </w:pPr>
    </w:p>
    <w:p>
      <w:pPr>
        <w:ind w:right="140" w:firstLine="1953"/>
        <w:spacing w:after="0" w:line="267" w:lineRule="auto"/>
        <w:tabs>
          <w:tab w:leader="none" w:pos="2853" w:val="left"/>
        </w:tabs>
        <w:numPr>
          <w:ilvl w:val="1"/>
          <w:numId w:val="28"/>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Headings</w:t>
      </w:r>
      <w:r>
        <w:rPr>
          <w:rFonts w:ascii="Arial" w:cs="Arial" w:eastAsia="Arial" w:hAnsi="Arial"/>
          <w:sz w:val="20"/>
          <w:szCs w:val="20"/>
          <w:color w:val="404040"/>
        </w:rPr>
        <w:t>. The headings of the Sections hereof are provided for convenience only and are not to serve as a basis for interpretation or construction, and shall not constitute a part, of this Agreement.</w:t>
      </w:r>
    </w:p>
    <w:p>
      <w:pPr>
        <w:spacing w:after="0" w:line="1" w:lineRule="exact"/>
        <w:rPr>
          <w:rFonts w:ascii="Times New Roman" w:cs="Times New Roman" w:eastAsia="Times New Roman" w:hAnsi="Times New Roman"/>
          <w:sz w:val="18"/>
          <w:szCs w:val="18"/>
          <w:color w:val="auto"/>
        </w:rPr>
      </w:pPr>
    </w:p>
    <w:p>
      <w:pPr>
        <w:ind w:right="80" w:firstLine="1953"/>
        <w:spacing w:after="0" w:line="267" w:lineRule="auto"/>
        <w:tabs>
          <w:tab w:leader="none" w:pos="2803" w:val="left"/>
        </w:tabs>
        <w:numPr>
          <w:ilvl w:val="1"/>
          <w:numId w:val="28"/>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Signature in Counterparts</w:t>
      </w:r>
      <w:r>
        <w:rPr>
          <w:rFonts w:ascii="Arial" w:cs="Arial" w:eastAsia="Arial" w:hAnsi="Arial"/>
          <w:sz w:val="20"/>
          <w:szCs w:val="20"/>
          <w:color w:val="404040"/>
        </w:rPr>
        <w:t>. This Agreement may be signed in counterparts, each of which shall be an original, with the same effect as if the signatures thereto and hereto were upon the same instrument.</w:t>
      </w:r>
    </w:p>
    <w:p>
      <w:pPr>
        <w:spacing w:after="0" w:line="1" w:lineRule="exact"/>
        <w:rPr>
          <w:rFonts w:ascii="Times New Roman" w:cs="Times New Roman" w:eastAsia="Times New Roman" w:hAnsi="Times New Roman"/>
          <w:sz w:val="18"/>
          <w:szCs w:val="18"/>
          <w:color w:val="auto"/>
        </w:rPr>
      </w:pPr>
    </w:p>
    <w:p>
      <w:pPr>
        <w:ind w:right="20" w:firstLine="1305"/>
        <w:spacing w:after="0" w:line="272" w:lineRule="auto"/>
        <w:tabs>
          <w:tab w:leader="none" w:pos="217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Compliance with Legal Requirements</w:t>
      </w:r>
      <w:r>
        <w:rPr>
          <w:rFonts w:ascii="Arial" w:cs="Arial" w:eastAsia="Arial" w:hAnsi="Arial"/>
          <w:sz w:val="20"/>
          <w:szCs w:val="20"/>
          <w:color w:val="404040"/>
        </w:rPr>
        <w:t>. The grant of the RSUs and the delivery of the Shares in settlement thereof, and any other obligations of the Company under this Agreement shall be subject to all applicable federal and state laws, rules and regulations and to such approvals by any regulatory or governmental agency as may be required. Subject to Section 9(k) of this Agreement,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71"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404040"/>
        </w:rPr>
        <w:t>IN WITNESS WHEREOF</w:t>
      </w:r>
      <w:r>
        <w:rPr>
          <w:rFonts w:ascii="Arial" w:cs="Arial" w:eastAsia="Arial" w:hAnsi="Arial"/>
          <w:sz w:val="20"/>
          <w:szCs w:val="20"/>
          <w:color w:val="404040"/>
        </w:rPr>
        <w:t>, the parties hereto have executed this Agreement.</w:t>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NMI HOLDINGS,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___________________________________</w:t>
      </w:r>
    </w:p>
    <w:p>
      <w:pPr>
        <w:spacing w:after="0" w:line="25" w:lineRule="exact"/>
        <w:rPr>
          <w:sz w:val="20"/>
          <w:szCs w:val="20"/>
          <w:color w:val="auto"/>
        </w:rPr>
      </w:pPr>
    </w:p>
    <w:p>
      <w:pPr>
        <w:ind w:left="3880"/>
        <w:spacing w:after="0"/>
        <w:rPr>
          <w:sz w:val="20"/>
          <w:szCs w:val="20"/>
          <w:color w:val="auto"/>
        </w:rPr>
      </w:pPr>
      <w:r>
        <w:rPr>
          <w:rFonts w:ascii="Arial" w:cs="Arial" w:eastAsia="Arial" w:hAnsi="Arial"/>
          <w:sz w:val="20"/>
          <w:szCs w:val="20"/>
          <w:color w:val="404040"/>
        </w:rPr>
        <w:t>By:</w:t>
      </w:r>
    </w:p>
    <w:p>
      <w:pPr>
        <w:ind w:left="3880"/>
        <w:spacing w:after="0"/>
        <w:rPr>
          <w:sz w:val="20"/>
          <w:szCs w:val="20"/>
          <w:color w:val="auto"/>
        </w:rPr>
      </w:pPr>
      <w:r>
        <w:rPr>
          <w:rFonts w:ascii="Arial" w:cs="Arial" w:eastAsia="Arial" w:hAnsi="Arial"/>
          <w:sz w:val="20"/>
          <w:szCs w:val="20"/>
          <w:color w:val="404040"/>
        </w:rPr>
        <w:t>Title: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PARTICIPANT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404040"/>
        </w:rPr>
        <w:t>[Signature Page to Restricted Stock Unit Award Agreement (Executive Officers)]</w:t>
      </w:r>
    </w:p>
    <w:p>
      <w:pPr>
        <w:sectPr>
          <w:pgSz w:w="11900" w:h="16838" w:orient="portrait"/>
          <w:cols w:equalWidth="0" w:num="1">
            <w:col w:w="11420"/>
          </w:cols>
          <w:pgMar w:left="240" w:top="17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71" w:right="239" w:bottom="1440" w:gutter="0" w:footer="0" w:header="0"/>
          <w:type w:val="continuous"/>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04040"/>
        </w:rPr>
        <w:t>NMI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04040"/>
        </w:rPr>
        <w:t>AMENDED AND RESTATED 2014 OMNIBUS INCENTIVE PLAN</w:t>
      </w:r>
    </w:p>
    <w:p>
      <w:pPr>
        <w:jc w:val="center"/>
        <w:spacing w:after="0"/>
        <w:rPr>
          <w:sz w:val="20"/>
          <w:szCs w:val="20"/>
          <w:color w:val="auto"/>
        </w:rPr>
      </w:pPr>
      <w:r>
        <w:rPr>
          <w:rFonts w:ascii="Arial" w:cs="Arial" w:eastAsia="Arial" w:hAnsi="Arial"/>
          <w:sz w:val="20"/>
          <w:szCs w:val="20"/>
          <w:b w:val="1"/>
          <w:bCs w:val="1"/>
          <w:color w:val="404040"/>
        </w:rPr>
        <w:t>RESTRICTED STOCK UNIT AWARD AGREEMENT</w:t>
      </w:r>
    </w:p>
    <w:p>
      <w:pPr>
        <w:jc w:val="center"/>
        <w:spacing w:after="0"/>
        <w:rPr>
          <w:sz w:val="20"/>
          <w:szCs w:val="20"/>
          <w:color w:val="auto"/>
        </w:rPr>
      </w:pPr>
      <w:r>
        <w:rPr>
          <w:rFonts w:ascii="Arial" w:cs="Arial" w:eastAsia="Arial" w:hAnsi="Arial"/>
          <w:sz w:val="20"/>
          <w:szCs w:val="20"/>
          <w:b w:val="1"/>
          <w:bCs w:val="1"/>
          <w:color w:val="404040"/>
        </w:rPr>
        <w:t>(FOR EMPLOYEES)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404040"/>
        </w:rPr>
        <w:t xml:space="preserve">THIS RESTRICTED STOCK UNIT AWARD AGREEMENT </w:t>
      </w:r>
      <w:r>
        <w:rPr>
          <w:rFonts w:ascii="Arial" w:cs="Arial" w:eastAsia="Arial" w:hAnsi="Arial"/>
          <w:sz w:val="20"/>
          <w:szCs w:val="20"/>
          <w:color w:val="404040"/>
        </w:rPr>
        <w:t>(this “</w:t>
      </w:r>
      <w:r>
        <w:rPr>
          <w:rFonts w:ascii="Arial" w:cs="Arial" w:eastAsia="Arial" w:hAnsi="Arial"/>
          <w:sz w:val="20"/>
          <w:szCs w:val="20"/>
          <w:u w:val="single" w:color="auto"/>
          <w:color w:val="404040"/>
        </w:rPr>
        <w:t>Agreement</w:t>
      </w:r>
      <w:r>
        <w:rPr>
          <w:rFonts w:ascii="Arial" w:cs="Arial" w:eastAsia="Arial" w:hAnsi="Arial"/>
          <w:sz w:val="20"/>
          <w:szCs w:val="20"/>
          <w:color w:val="404040"/>
        </w:rPr>
        <w:t>”), dated as of [•], _____ (the “</w:t>
      </w:r>
      <w:r>
        <w:rPr>
          <w:rFonts w:ascii="Arial" w:cs="Arial" w:eastAsia="Arial" w:hAnsi="Arial"/>
          <w:sz w:val="20"/>
          <w:szCs w:val="20"/>
          <w:u w:val="single" w:color="auto"/>
          <w:color w:val="404040"/>
        </w:rPr>
        <w:t>Grant</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u w:val="single" w:color="auto"/>
          <w:color w:val="404040"/>
        </w:rPr>
        <w:t>Date</w:t>
      </w:r>
      <w:r>
        <w:rPr>
          <w:rFonts w:ascii="Arial" w:cs="Arial" w:eastAsia="Arial" w:hAnsi="Arial"/>
          <w:sz w:val="20"/>
          <w:szCs w:val="20"/>
          <w:color w:val="404040"/>
        </w:rPr>
        <w:t>”), is made by and between NMI Holdings, Inc., a Delaware corporation (the “</w:t>
      </w:r>
      <w:r>
        <w:rPr>
          <w:rFonts w:ascii="Arial" w:cs="Arial" w:eastAsia="Arial" w:hAnsi="Arial"/>
          <w:sz w:val="20"/>
          <w:szCs w:val="20"/>
          <w:u w:val="single" w:color="auto"/>
          <w:color w:val="404040"/>
        </w:rPr>
        <w:t>Company</w:t>
      </w:r>
      <w:r>
        <w:rPr>
          <w:rFonts w:ascii="Arial" w:cs="Arial" w:eastAsia="Arial" w:hAnsi="Arial"/>
          <w:sz w:val="20"/>
          <w:szCs w:val="20"/>
          <w:color w:val="404040"/>
        </w:rPr>
        <w:t>”), and [NAME] (“</w:t>
      </w:r>
      <w:r>
        <w:rPr>
          <w:rFonts w:ascii="Arial" w:cs="Arial" w:eastAsia="Arial" w:hAnsi="Arial"/>
          <w:sz w:val="20"/>
          <w:szCs w:val="20"/>
          <w:u w:val="single" w:color="auto"/>
          <w:color w:val="404040"/>
        </w:rPr>
        <w:t>Participant</w:t>
      </w:r>
      <w:r>
        <w:rPr>
          <w:rFonts w:ascii="Arial" w:cs="Arial" w:eastAsia="Arial" w:hAnsi="Arial"/>
          <w:sz w:val="20"/>
          <w:szCs w:val="20"/>
          <w:color w:val="404040"/>
        </w:rPr>
        <w:t>”).</w:t>
      </w:r>
    </w:p>
    <w:p>
      <w:pPr>
        <w:spacing w:after="0" w:line="188" w:lineRule="exact"/>
        <w:rPr>
          <w:sz w:val="20"/>
          <w:szCs w:val="20"/>
          <w:color w:val="auto"/>
        </w:rPr>
      </w:pPr>
    </w:p>
    <w:p>
      <w:pPr>
        <w:ind w:right="340" w:firstLine="1297"/>
        <w:spacing w:after="0" w:line="282" w:lineRule="auto"/>
        <w:rPr>
          <w:sz w:val="20"/>
          <w:szCs w:val="20"/>
          <w:color w:val="auto"/>
        </w:rPr>
      </w:pPr>
      <w:r>
        <w:rPr>
          <w:rFonts w:ascii="Arial" w:cs="Arial" w:eastAsia="Arial" w:hAnsi="Arial"/>
          <w:sz w:val="20"/>
          <w:szCs w:val="20"/>
          <w:b w:val="1"/>
          <w:bCs w:val="1"/>
          <w:color w:val="404040"/>
        </w:rPr>
        <w:t>WHEREAS</w:t>
      </w:r>
      <w:r>
        <w:rPr>
          <w:rFonts w:ascii="Arial" w:cs="Arial" w:eastAsia="Arial" w:hAnsi="Arial"/>
          <w:sz w:val="20"/>
          <w:szCs w:val="20"/>
          <w:color w:val="404040"/>
        </w:rPr>
        <w:t>, the Company has adopted the NMI Holdings, Inc. Amended and Restated 2014 Omnibus Incentive</w:t>
      </w:r>
      <w:r>
        <w:rPr>
          <w:rFonts w:ascii="Arial" w:cs="Arial" w:eastAsia="Arial" w:hAnsi="Arial"/>
          <w:sz w:val="20"/>
          <w:szCs w:val="20"/>
          <w:b w:val="1"/>
          <w:bCs w:val="1"/>
          <w:color w:val="404040"/>
        </w:rPr>
        <w:t xml:space="preserve"> </w:t>
      </w:r>
      <w:r>
        <w:rPr>
          <w:rFonts w:ascii="Arial" w:cs="Arial" w:eastAsia="Arial" w:hAnsi="Arial"/>
          <w:sz w:val="20"/>
          <w:szCs w:val="20"/>
          <w:color w:val="404040"/>
        </w:rPr>
        <w:t>Plan (the “</w:t>
      </w:r>
      <w:r>
        <w:rPr>
          <w:rFonts w:ascii="Arial" w:cs="Arial" w:eastAsia="Arial" w:hAnsi="Arial"/>
          <w:sz w:val="20"/>
          <w:szCs w:val="20"/>
          <w:u w:val="single" w:color="auto"/>
          <w:color w:val="404040"/>
        </w:rPr>
        <w:t>Plan</w:t>
      </w:r>
      <w:r>
        <w:rPr>
          <w:rFonts w:ascii="Arial" w:cs="Arial" w:eastAsia="Arial" w:hAnsi="Arial"/>
          <w:sz w:val="20"/>
          <w:szCs w:val="20"/>
          <w:color w:val="404040"/>
        </w:rPr>
        <w:t>”); and</w:t>
      </w:r>
    </w:p>
    <w:p>
      <w:pPr>
        <w:spacing w:after="0" w:line="135" w:lineRule="exact"/>
        <w:rPr>
          <w:sz w:val="20"/>
          <w:szCs w:val="20"/>
          <w:color w:val="auto"/>
        </w:rPr>
      </w:pPr>
    </w:p>
    <w:p>
      <w:pPr>
        <w:ind w:right="240" w:firstLine="1297"/>
        <w:spacing w:after="0" w:line="261" w:lineRule="auto"/>
        <w:rPr>
          <w:sz w:val="20"/>
          <w:szCs w:val="20"/>
          <w:color w:val="auto"/>
        </w:rPr>
      </w:pPr>
      <w:r>
        <w:rPr>
          <w:rFonts w:ascii="Arial" w:cs="Arial" w:eastAsia="Arial" w:hAnsi="Arial"/>
          <w:sz w:val="20"/>
          <w:szCs w:val="20"/>
          <w:b w:val="1"/>
          <w:bCs w:val="1"/>
          <w:color w:val="404040"/>
        </w:rPr>
        <w:t>WHEREAS</w:t>
      </w:r>
      <w:r>
        <w:rPr>
          <w:rFonts w:ascii="Arial" w:cs="Arial" w:eastAsia="Arial" w:hAnsi="Arial"/>
          <w:sz w:val="20"/>
          <w:szCs w:val="20"/>
          <w:color w:val="404040"/>
        </w:rPr>
        <w:t>, the Committee has determined that it would be in the best interests of the Company and its</w:t>
      </w:r>
      <w:r>
        <w:rPr>
          <w:rFonts w:ascii="Arial" w:cs="Arial" w:eastAsia="Arial" w:hAnsi="Arial"/>
          <w:sz w:val="20"/>
          <w:szCs w:val="20"/>
          <w:b w:val="1"/>
          <w:bCs w:val="1"/>
          <w:color w:val="404040"/>
        </w:rPr>
        <w:t xml:space="preserve"> </w:t>
      </w:r>
      <w:r>
        <w:rPr>
          <w:rFonts w:ascii="Arial" w:cs="Arial" w:eastAsia="Arial" w:hAnsi="Arial"/>
          <w:sz w:val="20"/>
          <w:szCs w:val="20"/>
          <w:color w:val="404040"/>
        </w:rPr>
        <w:t>stockholders to grant Participant restricted stock units with respect to a number of shares of the Company’s Common Stock (the “</w:t>
      </w:r>
      <w:r>
        <w:rPr>
          <w:rFonts w:ascii="Arial" w:cs="Arial" w:eastAsia="Arial" w:hAnsi="Arial"/>
          <w:sz w:val="20"/>
          <w:szCs w:val="20"/>
          <w:u w:val="single" w:color="auto"/>
          <w:color w:val="404040"/>
        </w:rPr>
        <w:t>Shares</w:t>
      </w:r>
      <w:r>
        <w:rPr>
          <w:rFonts w:ascii="Arial" w:cs="Arial" w:eastAsia="Arial" w:hAnsi="Arial"/>
          <w:sz w:val="20"/>
          <w:szCs w:val="20"/>
          <w:color w:val="404040"/>
        </w:rPr>
        <w:t>”) on the terms and subject to the conditions set forth in this Agreement and the Plan.</w:t>
      </w:r>
    </w:p>
    <w:p>
      <w:pPr>
        <w:spacing w:after="0" w:line="155" w:lineRule="exact"/>
        <w:rPr>
          <w:sz w:val="20"/>
          <w:szCs w:val="20"/>
          <w:color w:val="auto"/>
        </w:rPr>
      </w:pPr>
    </w:p>
    <w:p>
      <w:pPr>
        <w:ind w:right="320" w:firstLine="1297"/>
        <w:spacing w:after="0" w:line="261" w:lineRule="auto"/>
        <w:rPr>
          <w:sz w:val="20"/>
          <w:szCs w:val="20"/>
          <w:color w:val="auto"/>
        </w:rPr>
      </w:pPr>
      <w:r>
        <w:rPr>
          <w:rFonts w:ascii="Arial" w:cs="Arial" w:eastAsia="Arial" w:hAnsi="Arial"/>
          <w:sz w:val="20"/>
          <w:szCs w:val="20"/>
          <w:b w:val="1"/>
          <w:bCs w:val="1"/>
          <w:color w:val="404040"/>
        </w:rPr>
        <w:t>NOW THEREFORE</w:t>
      </w:r>
      <w:r>
        <w:rPr>
          <w:rFonts w:ascii="Arial" w:cs="Arial" w:eastAsia="Arial" w:hAnsi="Arial"/>
          <w:sz w:val="20"/>
          <w:szCs w:val="20"/>
          <w:color w:val="404040"/>
        </w:rPr>
        <w:t>, for and in consideration of the premises and the covenants of the parties contained in this</w:t>
      </w:r>
      <w:r>
        <w:rPr>
          <w:rFonts w:ascii="Arial" w:cs="Arial" w:eastAsia="Arial" w:hAnsi="Arial"/>
          <w:sz w:val="20"/>
          <w:szCs w:val="20"/>
          <w:b w:val="1"/>
          <w:bCs w:val="1"/>
          <w:color w:val="404040"/>
        </w:rPr>
        <w:t xml:space="preserve"> </w:t>
      </w:r>
      <w:r>
        <w:rPr>
          <w:rFonts w:ascii="Arial" w:cs="Arial" w:eastAsia="Arial" w:hAnsi="Arial"/>
          <w:sz w:val="20"/>
          <w:szCs w:val="20"/>
          <w:color w:val="404040"/>
        </w:rPr>
        <w:t>Agreement, and for other good and valuable consideration, the receipt of which is hereby acknowledged, the parties hereto, for themselves, their successors and assigns, hereby agree as follows:</w:t>
      </w:r>
    </w:p>
    <w:p>
      <w:pPr>
        <w:spacing w:after="0" w:line="170" w:lineRule="exact"/>
        <w:rPr>
          <w:sz w:val="20"/>
          <w:szCs w:val="20"/>
          <w:color w:val="auto"/>
        </w:rPr>
      </w:pPr>
    </w:p>
    <w:p>
      <w:pPr>
        <w:ind w:left="2120" w:hanging="815"/>
        <w:spacing w:after="0"/>
        <w:tabs>
          <w:tab w:leader="none" w:pos="2120" w:val="left"/>
        </w:tabs>
        <w:numPr>
          <w:ilvl w:val="1"/>
          <w:numId w:val="30"/>
        </w:numPr>
        <w:rPr>
          <w:rFonts w:ascii="Arial" w:cs="Arial" w:eastAsia="Arial" w:hAnsi="Arial"/>
          <w:sz w:val="20"/>
          <w:szCs w:val="20"/>
          <w:color w:val="404040"/>
        </w:rPr>
      </w:pPr>
      <w:r>
        <w:rPr>
          <w:rFonts w:ascii="Arial" w:cs="Arial" w:eastAsia="Arial" w:hAnsi="Arial"/>
          <w:sz w:val="20"/>
          <w:szCs w:val="20"/>
          <w:u w:val="single" w:color="auto"/>
          <w:color w:val="404040"/>
        </w:rPr>
        <w:t>Grant of Restricted Stock Unit Award</w:t>
      </w:r>
      <w:r>
        <w:rPr>
          <w:rFonts w:ascii="Arial" w:cs="Arial" w:eastAsia="Arial" w:hAnsi="Arial"/>
          <w:sz w:val="20"/>
          <w:szCs w:val="20"/>
          <w:color w:val="404040"/>
        </w:rPr>
        <w:t>.</w:t>
      </w:r>
    </w:p>
    <w:p>
      <w:pPr>
        <w:spacing w:after="0" w:line="39" w:lineRule="exact"/>
        <w:rPr>
          <w:rFonts w:ascii="Arial" w:cs="Arial" w:eastAsia="Arial" w:hAnsi="Arial"/>
          <w:sz w:val="20"/>
          <w:szCs w:val="20"/>
          <w:color w:val="404040"/>
        </w:rPr>
      </w:pPr>
    </w:p>
    <w:p>
      <w:pPr>
        <w:ind w:left="2800" w:hanging="847"/>
        <w:spacing w:after="0"/>
        <w:tabs>
          <w:tab w:leader="none" w:pos="2800" w:val="left"/>
        </w:tabs>
        <w:numPr>
          <w:ilvl w:val="2"/>
          <w:numId w:val="30"/>
        </w:numPr>
        <w:rPr>
          <w:rFonts w:ascii="Times New Roman" w:cs="Times New Roman" w:eastAsia="Times New Roman" w:hAnsi="Times New Roman"/>
          <w:sz w:val="17"/>
          <w:szCs w:val="17"/>
          <w:color w:val="auto"/>
        </w:rPr>
      </w:pPr>
      <w:r>
        <w:rPr>
          <w:rFonts w:ascii="Arial" w:cs="Arial" w:eastAsia="Arial" w:hAnsi="Arial"/>
          <w:sz w:val="19"/>
          <w:szCs w:val="19"/>
          <w:u w:val="single" w:color="auto"/>
          <w:color w:val="404040"/>
        </w:rPr>
        <w:t>Grant</w:t>
      </w:r>
      <w:r>
        <w:rPr>
          <w:rFonts w:ascii="Arial" w:cs="Arial" w:eastAsia="Arial" w:hAnsi="Arial"/>
          <w:sz w:val="19"/>
          <w:szCs w:val="19"/>
          <w:color w:val="404040"/>
        </w:rPr>
        <w:t>. The Company hereby grants to Participant an award of restricted stock units with respect to</w:t>
      </w:r>
    </w:p>
    <w:p>
      <w:pPr>
        <w:spacing w:after="0" w:line="38" w:lineRule="exact"/>
        <w:rPr>
          <w:rFonts w:ascii="Times New Roman" w:cs="Times New Roman" w:eastAsia="Times New Roman" w:hAnsi="Times New Roman"/>
          <w:sz w:val="17"/>
          <w:szCs w:val="17"/>
          <w:color w:val="auto"/>
        </w:rPr>
      </w:pPr>
    </w:p>
    <w:p>
      <w:pPr>
        <w:ind w:left="240" w:hanging="232"/>
        <w:spacing w:after="0"/>
        <w:tabs>
          <w:tab w:leader="none" w:pos="240" w:val="left"/>
        </w:tabs>
        <w:numPr>
          <w:ilvl w:val="0"/>
          <w:numId w:val="30"/>
        </w:numPr>
        <w:rPr>
          <w:rFonts w:ascii="Arial" w:cs="Arial" w:eastAsia="Arial" w:hAnsi="Arial"/>
          <w:sz w:val="20"/>
          <w:szCs w:val="20"/>
          <w:color w:val="404040"/>
        </w:rPr>
      </w:pPr>
      <w:r>
        <w:rPr>
          <w:rFonts w:ascii="Arial" w:cs="Arial" w:eastAsia="Arial" w:hAnsi="Arial"/>
          <w:sz w:val="20"/>
          <w:szCs w:val="20"/>
          <w:color w:val="404040"/>
        </w:rPr>
        <w:t>Shares (the “</w:t>
      </w:r>
      <w:r>
        <w:rPr>
          <w:rFonts w:ascii="Arial" w:cs="Arial" w:eastAsia="Arial" w:hAnsi="Arial"/>
          <w:sz w:val="20"/>
          <w:szCs w:val="20"/>
          <w:u w:val="single" w:color="auto"/>
          <w:color w:val="404040"/>
        </w:rPr>
        <w:t>RSUs</w:t>
      </w:r>
      <w:r>
        <w:rPr>
          <w:rFonts w:ascii="Arial" w:cs="Arial" w:eastAsia="Arial" w:hAnsi="Arial"/>
          <w:sz w:val="20"/>
          <w:szCs w:val="20"/>
          <w:color w:val="404040"/>
        </w:rPr>
        <w:t>”) on the terms and conditions set forth in this Agreement and as otherwise provided in the Plan.</w:t>
      </w:r>
    </w:p>
    <w:p>
      <w:pPr>
        <w:spacing w:after="0" w:line="26" w:lineRule="exact"/>
        <w:rPr>
          <w:rFonts w:ascii="Arial" w:cs="Arial" w:eastAsia="Arial" w:hAnsi="Arial"/>
          <w:sz w:val="20"/>
          <w:szCs w:val="20"/>
          <w:color w:val="404040"/>
        </w:rPr>
      </w:pPr>
    </w:p>
    <w:p>
      <w:pPr>
        <w:ind w:right="140" w:firstLine="1953"/>
        <w:spacing w:after="0" w:line="267" w:lineRule="auto"/>
        <w:tabs>
          <w:tab w:leader="none" w:pos="2803" w:val="left"/>
        </w:tabs>
        <w:numPr>
          <w:ilvl w:val="2"/>
          <w:numId w:val="3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Incorporation by Reference, Etc.</w:t>
      </w:r>
      <w:r>
        <w:rPr>
          <w:rFonts w:ascii="Arial" w:cs="Arial" w:eastAsia="Arial" w:hAnsi="Arial"/>
          <w:sz w:val="20"/>
          <w:szCs w:val="20"/>
          <w:color w:val="404040"/>
        </w:rPr>
        <w:t xml:space="preserve">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2" w:lineRule="exact"/>
        <w:rPr>
          <w:rFonts w:ascii="Times New Roman" w:cs="Times New Roman" w:eastAsia="Times New Roman" w:hAnsi="Times New Roman"/>
          <w:sz w:val="18"/>
          <w:szCs w:val="18"/>
          <w:color w:val="auto"/>
        </w:rPr>
      </w:pPr>
    </w:p>
    <w:p>
      <w:pPr>
        <w:ind w:left="2080" w:hanging="775"/>
        <w:spacing w:after="0"/>
        <w:tabs>
          <w:tab w:leader="none" w:pos="2080" w:val="left"/>
        </w:tabs>
        <w:numPr>
          <w:ilvl w:val="1"/>
          <w:numId w:val="32"/>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Vesting</w:t>
      </w:r>
      <w:r>
        <w:rPr>
          <w:rFonts w:ascii="Arial" w:cs="Arial" w:eastAsia="Arial" w:hAnsi="Arial"/>
          <w:sz w:val="20"/>
          <w:szCs w:val="20"/>
          <w:color w:val="404040"/>
        </w:rPr>
        <w:t>.</w:t>
      </w:r>
    </w:p>
    <w:p>
      <w:pPr>
        <w:spacing w:after="0" w:line="26" w:lineRule="exact"/>
        <w:rPr>
          <w:rFonts w:ascii="Times New Roman" w:cs="Times New Roman" w:eastAsia="Times New Roman" w:hAnsi="Times New Roman"/>
          <w:sz w:val="18"/>
          <w:szCs w:val="18"/>
          <w:color w:val="auto"/>
        </w:rPr>
      </w:pPr>
    </w:p>
    <w:p>
      <w:pPr>
        <w:ind w:right="160" w:firstLine="1953"/>
        <w:spacing w:after="0" w:line="267" w:lineRule="auto"/>
        <w:tabs>
          <w:tab w:leader="none" w:pos="2793" w:val="left"/>
        </w:tabs>
        <w:numPr>
          <w:ilvl w:val="2"/>
          <w:numId w:val="32"/>
        </w:numPr>
        <w:rPr>
          <w:rFonts w:ascii="Times New Roman" w:cs="Times New Roman" w:eastAsia="Times New Roman" w:hAnsi="Times New Roman"/>
          <w:sz w:val="18"/>
          <w:szCs w:val="18"/>
          <w:color w:val="auto"/>
        </w:rPr>
      </w:pPr>
      <w:r>
        <w:rPr>
          <w:rFonts w:ascii="Arial" w:cs="Arial" w:eastAsia="Arial" w:hAnsi="Arial"/>
          <w:sz w:val="20"/>
          <w:szCs w:val="20"/>
          <w:color w:val="404040"/>
        </w:rPr>
        <w:t>Except as may otherwise be provided herein, (i) one-third of the RSUs (rounded down to the nearest whole Share) shall become vested on the first anniversary of the Grant Date, (ii) one-third of the RSUs (rounded down to the nearest whole Share) shall become vested on the second anniversary of the Grant Date and (iii) the remainder of the RSUs shall become vested on the third anniversary of the Grant Date, in the case of each of clauses (i), (ii) and (iii), subject to Participant not having incurred a Termination of Employment prior to the applicable vesting date.</w:t>
      </w:r>
    </w:p>
    <w:p>
      <w:pPr>
        <w:spacing w:after="0" w:line="3" w:lineRule="exact"/>
        <w:rPr>
          <w:rFonts w:ascii="Times New Roman" w:cs="Times New Roman" w:eastAsia="Times New Roman" w:hAnsi="Times New Roman"/>
          <w:sz w:val="18"/>
          <w:szCs w:val="18"/>
          <w:color w:val="auto"/>
        </w:rPr>
      </w:pPr>
    </w:p>
    <w:p>
      <w:pPr>
        <w:ind w:right="40" w:firstLine="1953"/>
        <w:spacing w:after="0" w:line="267" w:lineRule="auto"/>
        <w:tabs>
          <w:tab w:leader="none" w:pos="2803" w:val="left"/>
        </w:tabs>
        <w:numPr>
          <w:ilvl w:val="2"/>
          <w:numId w:val="32"/>
        </w:numPr>
        <w:rPr>
          <w:rFonts w:ascii="Times New Roman" w:cs="Times New Roman" w:eastAsia="Times New Roman" w:hAnsi="Times New Roman"/>
          <w:sz w:val="18"/>
          <w:szCs w:val="18"/>
          <w:color w:val="auto"/>
        </w:rPr>
      </w:pPr>
      <w:r>
        <w:rPr>
          <w:rFonts w:ascii="Arial" w:cs="Arial" w:eastAsia="Arial" w:hAnsi="Arial"/>
          <w:sz w:val="20"/>
          <w:szCs w:val="20"/>
          <w:color w:val="404040"/>
        </w:rPr>
        <w:t>Except as provided in the immediately following sentence, in the event that Participant incurs a Termination of Employment, any unvested RSUs shall be forfeited by Participant without consideration therefor. Notwithstanding the foregoing, if Participant incurs a Termination of Employment (i) as a result of termination by the Company or its Affiliate without Cause, subject to Participant having served as an employee of the Company or its Affiliate for at least one year, or (ii) due to Participant’s death or Disability, any unvested RSUs that are outstanding immediately prior to such Termination of Employment and that would have vested on the next vesting date shall vest pro-rata as of the date of Participant’s Termination of Employment, with the number of RSUs vesting to be determined by multiplying the number of unvested RSUs that would have vested on the next vesting date by a fraction, the numerator of which is the number of days between the prior vesting date (or Grant Date if no vesting date occurred prior to Participant’s Termination of Employment) and the date of Participant’s Termination of Employment and the denominator of which is 365.</w:t>
      </w:r>
    </w:p>
    <w:p>
      <w:pPr>
        <w:spacing w:after="0" w:line="7" w:lineRule="exact"/>
        <w:rPr>
          <w:rFonts w:ascii="Times New Roman" w:cs="Times New Roman" w:eastAsia="Times New Roman" w:hAnsi="Times New Roman"/>
          <w:sz w:val="18"/>
          <w:szCs w:val="18"/>
          <w:color w:val="auto"/>
        </w:rPr>
      </w:pPr>
    </w:p>
    <w:p>
      <w:pPr>
        <w:ind w:right="120" w:firstLine="1305"/>
        <w:spacing w:after="0" w:line="267" w:lineRule="auto"/>
        <w:tabs>
          <w:tab w:leader="none" w:pos="2080" w:val="left"/>
        </w:tabs>
        <w:numPr>
          <w:ilvl w:val="1"/>
          <w:numId w:val="32"/>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Settlement</w:t>
      </w:r>
      <w:r>
        <w:rPr>
          <w:rFonts w:ascii="Arial" w:cs="Arial" w:eastAsia="Arial" w:hAnsi="Arial"/>
          <w:sz w:val="20"/>
          <w:szCs w:val="20"/>
          <w:color w:val="404040"/>
        </w:rPr>
        <w:t>. As soon as practicable after any RSUs have vested (and in any event, no later than fifteen business days immediately following the date of such vesting), such RSUs shall be settled. Subject to Section 4 (pertaining to the withholding of taxes) and Section 3(d) of the Plan (as applicable), for each vested RSU settled pursuant to this Section 3, the Company shall issue to Participant one Share.</w:t>
      </w:r>
    </w:p>
    <w:p>
      <w:pPr>
        <w:spacing w:after="0" w:line="2" w:lineRule="exact"/>
        <w:rPr>
          <w:rFonts w:ascii="Times New Roman" w:cs="Times New Roman" w:eastAsia="Times New Roman" w:hAnsi="Times New Roman"/>
          <w:sz w:val="18"/>
          <w:szCs w:val="18"/>
          <w:color w:val="auto"/>
        </w:rPr>
      </w:pPr>
    </w:p>
    <w:p>
      <w:pPr>
        <w:jc w:val="both"/>
        <w:ind w:right="40" w:firstLine="1305"/>
        <w:spacing w:after="0" w:line="277" w:lineRule="auto"/>
        <w:tabs>
          <w:tab w:leader="none" w:pos="2080" w:val="left"/>
        </w:tabs>
        <w:numPr>
          <w:ilvl w:val="1"/>
          <w:numId w:val="32"/>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Tax Withholding</w:t>
      </w:r>
      <w:r>
        <w:rPr>
          <w:rFonts w:ascii="Arial" w:cs="Arial" w:eastAsia="Arial" w:hAnsi="Arial"/>
          <w:sz w:val="20"/>
          <w:szCs w:val="20"/>
          <w:color w:val="404040"/>
        </w:rPr>
        <w:t>. As a condition to delivery of the Shares in respect of vested RSUs, Participant will pay to the Company, or, pursuant to Section 15(d) of the Plan, make provisions satisfactory to the Company for payment of, any federal, state or local taxes and other statutory obligations (including but not limited to Participant’s FICA and SDI obligations) in respect of the transfer of Shares in settlement of the RSUs. The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71"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99" w:lineRule="exact"/>
        <w:rPr>
          <w:sz w:val="20"/>
          <w:szCs w:val="20"/>
          <w:color w:val="auto"/>
        </w:rPr>
      </w:pPr>
    </w:p>
    <w:p>
      <w:pPr>
        <w:spacing w:after="0" w:line="282" w:lineRule="auto"/>
        <w:rPr>
          <w:sz w:val="20"/>
          <w:szCs w:val="20"/>
          <w:color w:val="auto"/>
        </w:rPr>
      </w:pPr>
      <w:r>
        <w:rPr>
          <w:rFonts w:ascii="Arial" w:cs="Arial" w:eastAsia="Arial" w:hAnsi="Arial"/>
          <w:sz w:val="19"/>
          <w:szCs w:val="19"/>
          <w:color w:val="404040"/>
        </w:rPr>
        <w:t>Company shall have the power and the right to deduct or withhold from all amounts payable to Participant pursuant to the RSUs or otherwise, or require Participant to remit to the Company, an amount sufficient to satisfy any federal, state, local and foreign taxes of any kind or other statutory obligations (including, but not limited to, Participant’s FICA and SDI obligations) which the Company, in its sole discretion, deems necessary to be withheld or remitted to comply with the Code and/or any other applicable law, rule or regulation with respect to the RSUs and, if Participant fails to do so, the Company may otherwise refuse to issue or transfer any Shares otherwise required to be issued pursuant to this Agreement. Any such statutorily required minimum withholding obligation with regard to Participant shall be satisfied solely by retaining and instructing a registered broker(s) of the Company’s choosing to sell such number of Shares necessary to satisfy such withholding obligations, after deduction of the broker’s commission, and the broker shall remit to the Company the cash proceeds thereof. In furtherance of the foregoing, by the execution of this Agreement, Participant hereby irrevocably instructs the Company and a registered broker(s) of the Company’s choosing to sell on behalf of Participant at the “market price,” that number of Shares required to generate sufficient cash necessary in order for the Company to satisfy its withholding obligations with regard to Participant. Participant represents to the Company and the broker that Participant is entering into this Agreement in good faith. Participant shall have no ability to modify these instructions. Participant further agrees to execute any such documents as are requested by the broker or the Company in order to effectuate the sale of the Shares and payment of the tax obligations to the Company as contemplated hereby. The Participant represents to the Company that, as of the date hereof, he or she is not aware of any material nonpublic information about the Company or the Shares. It is Participant’s intention that this provision comply with the requirements of Rule 10b5-1 promulgated under the Exchange Act.</w:t>
      </w:r>
    </w:p>
    <w:p>
      <w:pPr>
        <w:spacing w:after="0" w:line="10" w:lineRule="exact"/>
        <w:rPr>
          <w:sz w:val="20"/>
          <w:szCs w:val="20"/>
          <w:color w:val="auto"/>
        </w:rPr>
      </w:pPr>
    </w:p>
    <w:p>
      <w:pPr>
        <w:jc w:val="both"/>
        <w:ind w:right="20" w:firstLine="1305"/>
        <w:spacing w:after="0" w:line="281" w:lineRule="auto"/>
        <w:tabs>
          <w:tab w:leader="none" w:pos="208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No Rights as Stockholder</w:t>
      </w:r>
      <w:r>
        <w:rPr>
          <w:rFonts w:ascii="Arial" w:cs="Arial" w:eastAsia="Arial" w:hAnsi="Arial"/>
          <w:sz w:val="20"/>
          <w:szCs w:val="20"/>
          <w:color w:val="404040"/>
        </w:rPr>
        <w:t>. Until such time as the RSUs have been settled and the underlying Shares have been delivered to Participant and Participant has become the holder of record of such Shares, Participant shall have no rights as a stockholder, including, without limitation, the right to dividends and the right to vote.</w:t>
      </w:r>
    </w:p>
    <w:p>
      <w:pPr>
        <w:spacing w:after="0" w:line="179" w:lineRule="exact"/>
        <w:rPr>
          <w:rFonts w:ascii="Times New Roman" w:cs="Times New Roman" w:eastAsia="Times New Roman" w:hAnsi="Times New Roman"/>
          <w:sz w:val="18"/>
          <w:szCs w:val="18"/>
          <w:color w:val="auto"/>
        </w:rPr>
      </w:pPr>
    </w:p>
    <w:p>
      <w:pPr>
        <w:ind w:firstLine="1305"/>
        <w:spacing w:after="0" w:line="270" w:lineRule="auto"/>
        <w:tabs>
          <w:tab w:leader="none" w:pos="208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Transferability</w:t>
      </w:r>
      <w:r>
        <w:rPr>
          <w:rFonts w:ascii="Arial" w:cs="Arial" w:eastAsia="Arial" w:hAnsi="Arial"/>
          <w:sz w:val="20"/>
          <w:szCs w:val="20"/>
          <w:color w:val="404040"/>
        </w:rPr>
        <w:t xml:space="preserve">. The RSUs may not, at any time prior to becoming vested,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Subsidiary or Affiliate;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that the designation of a beneficiary shall not constitute an assignment, alienation, pledge, attachment, sale, transfer or encumbrance.</w:t>
      </w:r>
    </w:p>
    <w:p>
      <w:pPr>
        <w:spacing w:after="0" w:line="1" w:lineRule="exact"/>
        <w:rPr>
          <w:rFonts w:ascii="Times New Roman" w:cs="Times New Roman" w:eastAsia="Times New Roman" w:hAnsi="Times New Roman"/>
          <w:sz w:val="18"/>
          <w:szCs w:val="18"/>
          <w:color w:val="auto"/>
        </w:rPr>
      </w:pPr>
    </w:p>
    <w:p>
      <w:pPr>
        <w:ind w:right="540" w:firstLine="1305"/>
        <w:spacing w:after="0" w:line="267" w:lineRule="auto"/>
        <w:tabs>
          <w:tab w:leader="none" w:pos="208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Adjustment</w:t>
      </w:r>
      <w:r>
        <w:rPr>
          <w:rFonts w:ascii="Arial" w:cs="Arial" w:eastAsia="Arial" w:hAnsi="Arial"/>
          <w:sz w:val="20"/>
          <w:szCs w:val="20"/>
          <w:color w:val="404040"/>
        </w:rPr>
        <w:t>. Upon any event described in Section 3(d) of the Plan occurring after the Grant Date, the adjustment provisions as provided for under Section 3(d) of the Plan shall apply to the RSUs.</w:t>
      </w:r>
    </w:p>
    <w:p>
      <w:pPr>
        <w:spacing w:after="0" w:line="1" w:lineRule="exact"/>
        <w:rPr>
          <w:rFonts w:ascii="Times New Roman" w:cs="Times New Roman" w:eastAsia="Times New Roman" w:hAnsi="Times New Roman"/>
          <w:sz w:val="18"/>
          <w:szCs w:val="18"/>
          <w:color w:val="auto"/>
        </w:rPr>
      </w:pPr>
    </w:p>
    <w:p>
      <w:pPr>
        <w:ind w:right="120" w:firstLine="1305"/>
        <w:spacing w:after="0" w:line="267" w:lineRule="auto"/>
        <w:tabs>
          <w:tab w:leader="none" w:pos="208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Change in Control</w:t>
      </w:r>
      <w:r>
        <w:rPr>
          <w:rFonts w:ascii="Arial" w:cs="Arial" w:eastAsia="Arial" w:hAnsi="Arial"/>
          <w:sz w:val="20"/>
          <w:szCs w:val="20"/>
          <w:color w:val="404040"/>
        </w:rPr>
        <w:t>. In the event of a Change in Control of the Company occurring after the Grant Date, all outstanding unvested RSUs shall become fully vested upon the occurrence of such Change in Control. Any RSUs that vest in connection with this Section 8 shall be settled as set forth in Section 3 of this Agreement.</w:t>
      </w:r>
    </w:p>
    <w:p>
      <w:pPr>
        <w:spacing w:after="0" w:line="2" w:lineRule="exact"/>
        <w:rPr>
          <w:rFonts w:ascii="Times New Roman" w:cs="Times New Roman" w:eastAsia="Times New Roman" w:hAnsi="Times New Roman"/>
          <w:sz w:val="18"/>
          <w:szCs w:val="18"/>
          <w:color w:val="auto"/>
        </w:rPr>
      </w:pPr>
    </w:p>
    <w:p>
      <w:pPr>
        <w:ind w:left="2080" w:hanging="775"/>
        <w:spacing w:after="0"/>
        <w:tabs>
          <w:tab w:leader="none" w:pos="208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Miscellaneous</w:t>
      </w:r>
      <w:r>
        <w:rPr>
          <w:rFonts w:ascii="Arial" w:cs="Arial" w:eastAsia="Arial" w:hAnsi="Arial"/>
          <w:sz w:val="20"/>
          <w:szCs w:val="20"/>
          <w:color w:val="404040"/>
        </w:rPr>
        <w:t>.</w:t>
      </w:r>
    </w:p>
    <w:p>
      <w:pPr>
        <w:spacing w:after="0" w:line="26" w:lineRule="exact"/>
        <w:rPr>
          <w:rFonts w:ascii="Times New Roman" w:cs="Times New Roman" w:eastAsia="Times New Roman" w:hAnsi="Times New Roman"/>
          <w:sz w:val="18"/>
          <w:szCs w:val="18"/>
          <w:color w:val="auto"/>
        </w:rPr>
      </w:pPr>
    </w:p>
    <w:p>
      <w:pPr>
        <w:ind w:right="120" w:firstLine="1953"/>
        <w:spacing w:after="0" w:line="267" w:lineRule="auto"/>
        <w:tabs>
          <w:tab w:leader="none" w:pos="2793" w:val="left"/>
        </w:tabs>
        <w:numPr>
          <w:ilvl w:val="1"/>
          <w:numId w:val="3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Confidentiality of this Agreement</w:t>
      </w:r>
      <w:r>
        <w:rPr>
          <w:rFonts w:ascii="Arial" w:cs="Arial" w:eastAsia="Arial" w:hAnsi="Arial"/>
          <w:sz w:val="20"/>
          <w:szCs w:val="20"/>
          <w:color w:val="404040"/>
        </w:rPr>
        <w:t>. Participant agrees to keep confidential the terms of this Agreement, unless and until such terms have been disclosed publicly other than through a breach by Participant of this covenant. This provision does not prohibit Participant from providing this information on a confidential and privileged basis to Participant’s attorneys or accountants for purposes of obtaining legal or tax advice or as otherwise required by law.</w:t>
      </w:r>
    </w:p>
    <w:p>
      <w:pPr>
        <w:spacing w:after="0" w:line="2" w:lineRule="exact"/>
        <w:rPr>
          <w:rFonts w:ascii="Times New Roman" w:cs="Times New Roman" w:eastAsia="Times New Roman" w:hAnsi="Times New Roman"/>
          <w:sz w:val="18"/>
          <w:szCs w:val="18"/>
          <w:color w:val="auto"/>
        </w:rPr>
      </w:pPr>
    </w:p>
    <w:p>
      <w:pPr>
        <w:ind w:right="40" w:firstLine="1953"/>
        <w:spacing w:after="0" w:line="267" w:lineRule="auto"/>
        <w:tabs>
          <w:tab w:leader="none" w:pos="2803" w:val="left"/>
        </w:tabs>
        <w:numPr>
          <w:ilvl w:val="1"/>
          <w:numId w:val="3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Waiver and Amendment</w:t>
      </w:r>
      <w:r>
        <w:rPr>
          <w:rFonts w:ascii="Arial" w:cs="Arial" w:eastAsia="Arial" w:hAnsi="Arial"/>
          <w:sz w:val="20"/>
          <w:szCs w:val="20"/>
          <w:color w:val="404040"/>
        </w:rPr>
        <w:t xml:space="preserve">. The Committee may waive any conditions or rights under, or amend any terms of, this Agreement and the RSUs granted thereunder;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that any such waiver or amendment that would materially impair the rights of any Participant or any holder or beneficiary of any RSUs granted 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5" w:lineRule="exact"/>
        <w:rPr>
          <w:rFonts w:ascii="Times New Roman" w:cs="Times New Roman" w:eastAsia="Times New Roman" w:hAnsi="Times New Roman"/>
          <w:sz w:val="18"/>
          <w:szCs w:val="18"/>
          <w:color w:val="auto"/>
        </w:rPr>
      </w:pPr>
    </w:p>
    <w:p>
      <w:pPr>
        <w:ind w:right="160" w:firstLine="1953"/>
        <w:spacing w:after="0" w:line="295" w:lineRule="auto"/>
        <w:tabs>
          <w:tab w:leader="none" w:pos="2793" w:val="left"/>
        </w:tabs>
        <w:numPr>
          <w:ilvl w:val="1"/>
          <w:numId w:val="3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Unsecured Obligation</w:t>
      </w:r>
      <w:r>
        <w:rPr>
          <w:rFonts w:ascii="Arial" w:cs="Arial" w:eastAsia="Arial" w:hAnsi="Arial"/>
          <w:sz w:val="20"/>
          <w:szCs w:val="20"/>
          <w:color w:val="404040"/>
        </w:rPr>
        <w:t>. This Award is unfunded, and even as to any RSUs which vest, Participant shall be considered an unsecured creditor of the Company with respect to the Company’s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71"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99" w:lineRule="exact"/>
        <w:rPr>
          <w:sz w:val="20"/>
          <w:szCs w:val="20"/>
          <w:color w:val="auto"/>
        </w:rPr>
      </w:pPr>
    </w:p>
    <w:p>
      <w:pPr>
        <w:ind w:right="20"/>
        <w:spacing w:after="0" w:line="272" w:lineRule="auto"/>
        <w:rPr>
          <w:sz w:val="20"/>
          <w:szCs w:val="20"/>
          <w:color w:val="auto"/>
        </w:rPr>
      </w:pPr>
      <w:r>
        <w:rPr>
          <w:rFonts w:ascii="Arial" w:cs="Arial" w:eastAsia="Arial" w:hAnsi="Arial"/>
          <w:sz w:val="20"/>
          <w:szCs w:val="20"/>
          <w:color w:val="404040"/>
        </w:rPr>
        <w:t>obligations, if any, to issue Shares pursuant to this Agreement. Nothing contained in this Agreement, and no action taken pursuant to its provisions, shall create or be construed to create a trust of any kind or a fiduciary relationship between Participant and the Company or any other person.</w:t>
      </w:r>
    </w:p>
    <w:p>
      <w:pPr>
        <w:ind w:firstLine="1953"/>
        <w:spacing w:after="0" w:line="267" w:lineRule="auto"/>
        <w:tabs>
          <w:tab w:leader="none" w:pos="2803" w:val="left"/>
        </w:tabs>
        <w:numPr>
          <w:ilvl w:val="0"/>
          <w:numId w:val="34"/>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Notices</w:t>
      </w:r>
      <w:r>
        <w:rPr>
          <w:rFonts w:ascii="Arial" w:cs="Arial" w:eastAsia="Arial" w:hAnsi="Arial"/>
          <w:sz w:val="20"/>
          <w:szCs w:val="20"/>
          <w:color w:val="404040"/>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if to the Company:</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NMI Holdings, Inc.</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2100 Powell Street, 12</w:t>
      </w:r>
      <w:r>
        <w:rPr>
          <w:rFonts w:ascii="Arial" w:cs="Arial" w:eastAsia="Arial" w:hAnsi="Arial"/>
          <w:sz w:val="16"/>
          <w:szCs w:val="16"/>
          <w:color w:val="404040"/>
        </w:rPr>
        <w:t>th</w:t>
      </w:r>
      <w:r>
        <w:rPr>
          <w:rFonts w:ascii="Arial" w:cs="Arial" w:eastAsia="Arial" w:hAnsi="Arial"/>
          <w:sz w:val="20"/>
          <w:szCs w:val="20"/>
          <w:color w:val="404040"/>
        </w:rPr>
        <w:t xml:space="preserve"> Floor</w:t>
      </w:r>
    </w:p>
    <w:p>
      <w:pPr>
        <w:ind w:left="1960"/>
        <w:spacing w:after="0"/>
        <w:rPr>
          <w:sz w:val="20"/>
          <w:szCs w:val="20"/>
          <w:color w:val="auto"/>
        </w:rPr>
      </w:pPr>
      <w:r>
        <w:rPr>
          <w:rFonts w:ascii="Arial" w:cs="Arial" w:eastAsia="Arial" w:hAnsi="Arial"/>
          <w:sz w:val="20"/>
          <w:szCs w:val="20"/>
          <w:color w:val="404040"/>
        </w:rPr>
        <w:t>Emeryville, CA 94608</w:t>
      </w:r>
    </w:p>
    <w:p>
      <w:pPr>
        <w:ind w:left="1960"/>
        <w:spacing w:after="0"/>
        <w:rPr>
          <w:sz w:val="20"/>
          <w:szCs w:val="20"/>
          <w:color w:val="auto"/>
        </w:rPr>
      </w:pPr>
      <w:r>
        <w:rPr>
          <w:rFonts w:ascii="Arial" w:cs="Arial" w:eastAsia="Arial" w:hAnsi="Arial"/>
          <w:sz w:val="20"/>
          <w:szCs w:val="20"/>
          <w:color w:val="404040"/>
        </w:rPr>
        <w:t>Attention: General Counsel</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if to Participant: at the address last on the records of the Company.</w:t>
      </w:r>
    </w:p>
    <w:p>
      <w:pPr>
        <w:spacing w:after="0" w:line="216" w:lineRule="exact"/>
        <w:rPr>
          <w:sz w:val="20"/>
          <w:szCs w:val="20"/>
          <w:color w:val="auto"/>
        </w:rPr>
      </w:pPr>
    </w:p>
    <w:p>
      <w:pPr>
        <w:ind w:right="700"/>
        <w:spacing w:after="0" w:line="280" w:lineRule="auto"/>
        <w:rPr>
          <w:sz w:val="20"/>
          <w:szCs w:val="20"/>
          <w:color w:val="auto"/>
        </w:rPr>
      </w:pPr>
      <w:r>
        <w:rPr>
          <w:rFonts w:ascii="Arial" w:cs="Arial" w:eastAsia="Arial" w:hAnsi="Arial"/>
          <w:sz w:val="19"/>
          <w:szCs w:val="19"/>
          <w:color w:val="404040"/>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154" w:lineRule="exact"/>
        <w:rPr>
          <w:sz w:val="20"/>
          <w:szCs w:val="20"/>
          <w:color w:val="auto"/>
        </w:rPr>
      </w:pPr>
    </w:p>
    <w:p>
      <w:pPr>
        <w:ind w:right="240" w:firstLine="1953"/>
        <w:spacing w:after="0" w:line="272" w:lineRule="auto"/>
        <w:tabs>
          <w:tab w:leader="none" w:pos="2835" w:val="left"/>
        </w:tabs>
        <w:numPr>
          <w:ilvl w:val="0"/>
          <w:numId w:val="35"/>
        </w:numPr>
        <w:rPr>
          <w:rFonts w:ascii="Arial" w:cs="Arial" w:eastAsia="Arial" w:hAnsi="Arial"/>
          <w:sz w:val="20"/>
          <w:szCs w:val="20"/>
          <w:u w:val="single" w:color="auto"/>
          <w:color w:val="404040"/>
        </w:rPr>
      </w:pPr>
      <w:r>
        <w:rPr>
          <w:rFonts w:ascii="Arial" w:cs="Arial" w:eastAsia="Arial" w:hAnsi="Arial"/>
          <w:sz w:val="20"/>
          <w:szCs w:val="20"/>
          <w:u w:val="single" w:color="auto"/>
          <w:color w:val="404040"/>
        </w:rPr>
        <w:t>Severability</w:t>
      </w:r>
      <w:r>
        <w:rPr>
          <w:rFonts w:ascii="Arial" w:cs="Arial" w:eastAsia="Arial" w:hAnsi="Arial"/>
          <w:sz w:val="20"/>
          <w:szCs w:val="20"/>
          <w:color w:val="404040"/>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ind w:right="40" w:firstLine="1953"/>
        <w:spacing w:after="0" w:line="267" w:lineRule="auto"/>
        <w:tabs>
          <w:tab w:leader="none" w:pos="2773" w:val="left"/>
        </w:tabs>
        <w:numPr>
          <w:ilvl w:val="0"/>
          <w:numId w:val="3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No Rights to Service</w:t>
      </w:r>
      <w:r>
        <w:rPr>
          <w:rFonts w:ascii="Arial" w:cs="Arial" w:eastAsia="Arial" w:hAnsi="Arial"/>
          <w:sz w:val="20"/>
          <w:szCs w:val="20"/>
          <w:color w:val="404040"/>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2" w:lineRule="exact"/>
        <w:rPr>
          <w:rFonts w:ascii="Times New Roman" w:cs="Times New Roman" w:eastAsia="Times New Roman" w:hAnsi="Times New Roman"/>
          <w:sz w:val="18"/>
          <w:szCs w:val="18"/>
          <w:color w:val="auto"/>
        </w:rPr>
      </w:pPr>
    </w:p>
    <w:p>
      <w:pPr>
        <w:ind w:right="200" w:firstLine="1953"/>
        <w:spacing w:after="0" w:line="267" w:lineRule="auto"/>
        <w:tabs>
          <w:tab w:leader="none" w:pos="2803" w:val="left"/>
        </w:tabs>
        <w:numPr>
          <w:ilvl w:val="0"/>
          <w:numId w:val="3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Beneficiary</w:t>
      </w:r>
      <w:r>
        <w:rPr>
          <w:rFonts w:ascii="Arial" w:cs="Arial" w:eastAsia="Arial" w:hAnsi="Arial"/>
          <w:sz w:val="20"/>
          <w:szCs w:val="20"/>
          <w:color w:val="404040"/>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w:t>
      </w:r>
      <w:r>
        <w:rPr>
          <w:rFonts w:ascii="Arial" w:cs="Arial" w:eastAsia="Arial" w:hAnsi="Arial"/>
          <w:sz w:val="20"/>
          <w:szCs w:val="20"/>
          <w:u w:val="single" w:color="auto"/>
          <w:color w:val="404040"/>
        </w:rPr>
        <w:t>however</w:t>
      </w:r>
      <w:r>
        <w:rPr>
          <w:rFonts w:ascii="Arial" w:cs="Arial" w:eastAsia="Arial" w:hAnsi="Arial"/>
          <w:sz w:val="20"/>
          <w:szCs w:val="20"/>
          <w:color w:val="404040"/>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his spouse or, if Participant is unmarried at the time of death, his estate.</w:t>
      </w:r>
    </w:p>
    <w:p>
      <w:pPr>
        <w:spacing w:after="0" w:line="4" w:lineRule="exact"/>
        <w:rPr>
          <w:rFonts w:ascii="Times New Roman" w:cs="Times New Roman" w:eastAsia="Times New Roman" w:hAnsi="Times New Roman"/>
          <w:sz w:val="18"/>
          <w:szCs w:val="18"/>
          <w:color w:val="auto"/>
        </w:rPr>
      </w:pPr>
    </w:p>
    <w:p>
      <w:pPr>
        <w:ind w:right="80" w:firstLine="1953"/>
        <w:spacing w:after="0" w:line="267" w:lineRule="auto"/>
        <w:tabs>
          <w:tab w:leader="none" w:pos="2803" w:val="left"/>
        </w:tabs>
        <w:numPr>
          <w:ilvl w:val="0"/>
          <w:numId w:val="3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Successors</w:t>
      </w:r>
      <w:r>
        <w:rPr>
          <w:rFonts w:ascii="Arial" w:cs="Arial" w:eastAsia="Arial" w:hAnsi="Arial"/>
          <w:sz w:val="20"/>
          <w:szCs w:val="20"/>
          <w:color w:val="404040"/>
        </w:rPr>
        <w:t>. The terms of this Agreement shall be binding upon and inure to the benefit of the Company, its successors and assigns, and of Participant and the beneficiaries, executors, administrators, heirs and successors of Participant.</w:t>
      </w:r>
    </w:p>
    <w:p>
      <w:pPr>
        <w:spacing w:after="0" w:line="2" w:lineRule="exact"/>
        <w:rPr>
          <w:rFonts w:ascii="Times New Roman" w:cs="Times New Roman" w:eastAsia="Times New Roman" w:hAnsi="Times New Roman"/>
          <w:sz w:val="18"/>
          <w:szCs w:val="18"/>
          <w:color w:val="auto"/>
        </w:rPr>
      </w:pPr>
    </w:p>
    <w:p>
      <w:pPr>
        <w:jc w:val="both"/>
        <w:ind w:right="140" w:firstLine="1953"/>
        <w:spacing w:after="0" w:line="267" w:lineRule="auto"/>
        <w:tabs>
          <w:tab w:leader="none" w:pos="2763" w:val="left"/>
        </w:tabs>
        <w:numPr>
          <w:ilvl w:val="0"/>
          <w:numId w:val="3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Entire Agreement</w:t>
      </w:r>
      <w:r>
        <w:rPr>
          <w:rFonts w:ascii="Arial" w:cs="Arial" w:eastAsia="Arial" w:hAnsi="Arial"/>
          <w:sz w:val="20"/>
          <w:szCs w:val="20"/>
          <w:color w:val="404040"/>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2" w:lineRule="exact"/>
        <w:rPr>
          <w:rFonts w:ascii="Times New Roman" w:cs="Times New Roman" w:eastAsia="Times New Roman" w:hAnsi="Times New Roman"/>
          <w:sz w:val="18"/>
          <w:szCs w:val="18"/>
          <w:color w:val="auto"/>
        </w:rPr>
      </w:pPr>
    </w:p>
    <w:p>
      <w:pPr>
        <w:ind w:right="260" w:firstLine="1953"/>
        <w:spacing w:after="0" w:line="267" w:lineRule="auto"/>
        <w:tabs>
          <w:tab w:leader="none" w:pos="2763" w:val="left"/>
        </w:tabs>
        <w:numPr>
          <w:ilvl w:val="0"/>
          <w:numId w:val="3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Bound by the Plan</w:t>
      </w:r>
      <w:r>
        <w:rPr>
          <w:rFonts w:ascii="Arial" w:cs="Arial" w:eastAsia="Arial" w:hAnsi="Arial"/>
          <w:sz w:val="20"/>
          <w:szCs w:val="20"/>
          <w:color w:val="404040"/>
        </w:rPr>
        <w:t>. By signing this Agreement, Participant acknowledges that he has received a copy of the Plan and has had an opportunity to review the Plan and agrees to be bound by all the terms and provisions of the Plan.</w:t>
      </w:r>
    </w:p>
    <w:p>
      <w:pPr>
        <w:spacing w:after="0" w:line="2" w:lineRule="exact"/>
        <w:rPr>
          <w:rFonts w:ascii="Times New Roman" w:cs="Times New Roman" w:eastAsia="Times New Roman" w:hAnsi="Times New Roman"/>
          <w:sz w:val="18"/>
          <w:szCs w:val="18"/>
          <w:color w:val="auto"/>
        </w:rPr>
      </w:pPr>
    </w:p>
    <w:p>
      <w:pPr>
        <w:ind w:right="60" w:firstLine="1953"/>
        <w:spacing w:after="0" w:line="267" w:lineRule="auto"/>
        <w:tabs>
          <w:tab w:leader="none" w:pos="2803" w:val="left"/>
        </w:tabs>
        <w:numPr>
          <w:ilvl w:val="0"/>
          <w:numId w:val="3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Section 409A.</w:t>
      </w:r>
      <w:r>
        <w:rPr>
          <w:rFonts w:ascii="Arial" w:cs="Arial" w:eastAsia="Arial" w:hAnsi="Arial"/>
          <w:sz w:val="20"/>
          <w:szCs w:val="20"/>
          <w:color w:val="404040"/>
        </w:rPr>
        <w:t xml:space="preserve"> It is intended that the Awards granted pursuant to this Agreement and the provisions of this Agreement be exempt from or be designed such that the taxes and/or penalties under Section 409A of the Code are not imposed, and all provisions of this Agreement shall be construed and interpreted in a manner consistent with the requirements for avoiding taxes or penalties under Section 409A of the Code.</w:t>
      </w:r>
    </w:p>
    <w:p>
      <w:pPr>
        <w:spacing w:after="0" w:line="2" w:lineRule="exact"/>
        <w:rPr>
          <w:rFonts w:ascii="Times New Roman" w:cs="Times New Roman" w:eastAsia="Times New Roman" w:hAnsi="Times New Roman"/>
          <w:sz w:val="18"/>
          <w:szCs w:val="18"/>
          <w:color w:val="auto"/>
        </w:rPr>
      </w:pPr>
    </w:p>
    <w:p>
      <w:pPr>
        <w:ind w:right="40" w:firstLine="1953"/>
        <w:spacing w:after="0" w:line="267" w:lineRule="auto"/>
        <w:tabs>
          <w:tab w:leader="none" w:pos="2763" w:val="left"/>
        </w:tabs>
        <w:numPr>
          <w:ilvl w:val="0"/>
          <w:numId w:val="3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Governing Law</w:t>
      </w:r>
      <w:r>
        <w:rPr>
          <w:rFonts w:ascii="Arial" w:cs="Arial" w:eastAsia="Arial" w:hAnsi="Arial"/>
          <w:sz w:val="20"/>
          <w:szCs w:val="20"/>
          <w:color w:val="404040"/>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2" w:lineRule="exact"/>
        <w:rPr>
          <w:rFonts w:ascii="Times New Roman" w:cs="Times New Roman" w:eastAsia="Times New Roman" w:hAnsi="Times New Roman"/>
          <w:sz w:val="18"/>
          <w:szCs w:val="18"/>
          <w:color w:val="auto"/>
        </w:rPr>
      </w:pPr>
    </w:p>
    <w:p>
      <w:pPr>
        <w:ind w:right="140" w:firstLine="1953"/>
        <w:spacing w:after="0" w:line="295" w:lineRule="auto"/>
        <w:tabs>
          <w:tab w:leader="none" w:pos="2853" w:val="left"/>
        </w:tabs>
        <w:numPr>
          <w:ilvl w:val="0"/>
          <w:numId w:val="3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Headings</w:t>
      </w:r>
      <w:r>
        <w:rPr>
          <w:rFonts w:ascii="Arial" w:cs="Arial" w:eastAsia="Arial" w:hAnsi="Arial"/>
          <w:sz w:val="20"/>
          <w:szCs w:val="20"/>
          <w:color w:val="404040"/>
        </w:rPr>
        <w:t>. The headings of the Sections hereof are provided for convenience only and are not to serve as a basis for interpretation or construction, and shall not constitute a part, of this Agreement.</w:t>
      </w:r>
    </w:p>
    <w:p>
      <w:pPr>
        <w:sectPr>
          <w:pgSz w:w="11900" w:h="16838" w:orient="portrait"/>
          <w:cols w:equalWidth="0" w:num="1">
            <w:col w:w="11420"/>
          </w:cols>
          <w:pgMar w:left="240" w:top="171"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71" w:right="239" w:bottom="1440" w:gutter="0" w:footer="0" w:header="0"/>
          <w:type w:val="continuous"/>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99" w:lineRule="exact"/>
        <w:rPr>
          <w:sz w:val="20"/>
          <w:szCs w:val="20"/>
          <w:color w:val="auto"/>
        </w:rPr>
      </w:pPr>
    </w:p>
    <w:p>
      <w:pPr>
        <w:ind w:right="80" w:firstLine="1953"/>
        <w:spacing w:after="0" w:line="274" w:lineRule="auto"/>
        <w:tabs>
          <w:tab w:leader="none" w:pos="2803" w:val="left"/>
        </w:tabs>
        <w:numPr>
          <w:ilvl w:val="1"/>
          <w:numId w:val="36"/>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Signature in Counterparts</w:t>
      </w:r>
      <w:r>
        <w:rPr>
          <w:rFonts w:ascii="Arial" w:cs="Arial" w:eastAsia="Arial" w:hAnsi="Arial"/>
          <w:sz w:val="20"/>
          <w:szCs w:val="20"/>
          <w:color w:val="404040"/>
        </w:rPr>
        <w:t>. This Agreement may be signed in counterparts, each of which shall be an original, with the same effect as if the signatures thereto and hereto were upon the same instrument.</w:t>
      </w:r>
    </w:p>
    <w:p>
      <w:pPr>
        <w:ind w:right="20" w:firstLine="1305"/>
        <w:spacing w:after="0" w:line="272" w:lineRule="auto"/>
        <w:tabs>
          <w:tab w:leader="none" w:pos="217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Compliance with Legal Requirements</w:t>
      </w:r>
      <w:r>
        <w:rPr>
          <w:rFonts w:ascii="Arial" w:cs="Arial" w:eastAsia="Arial" w:hAnsi="Arial"/>
          <w:sz w:val="20"/>
          <w:szCs w:val="20"/>
          <w:color w:val="404040"/>
        </w:rPr>
        <w:t>. The grant of the RSUs and the delivery of the Shares in settlement thereof, and any other obligations of the Company under this Agreement shall be subject to all applicable federal and state laws, rules and regulations and to such approvals by any regulatory or governmental agency as may be required. Subject to Section 9(k) of this Agreement,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404040"/>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71"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404040"/>
        </w:rPr>
        <w:t>IN WITNESS WHEREOF</w:t>
      </w:r>
      <w:r>
        <w:rPr>
          <w:rFonts w:ascii="Arial" w:cs="Arial" w:eastAsia="Arial" w:hAnsi="Arial"/>
          <w:sz w:val="20"/>
          <w:szCs w:val="20"/>
          <w:color w:val="404040"/>
        </w:rPr>
        <w:t>, the parties hereto have executed this Agreement.</w:t>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NMI HOLDINGS,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___________________________________</w:t>
      </w:r>
    </w:p>
    <w:p>
      <w:pPr>
        <w:spacing w:after="0" w:line="25" w:lineRule="exact"/>
        <w:rPr>
          <w:sz w:val="20"/>
          <w:szCs w:val="20"/>
          <w:color w:val="auto"/>
        </w:rPr>
      </w:pPr>
    </w:p>
    <w:p>
      <w:pPr>
        <w:ind w:left="3880"/>
        <w:spacing w:after="0"/>
        <w:rPr>
          <w:sz w:val="20"/>
          <w:szCs w:val="20"/>
          <w:color w:val="auto"/>
        </w:rPr>
      </w:pPr>
      <w:r>
        <w:rPr>
          <w:rFonts w:ascii="Arial" w:cs="Arial" w:eastAsia="Arial" w:hAnsi="Arial"/>
          <w:sz w:val="20"/>
          <w:szCs w:val="20"/>
          <w:color w:val="404040"/>
        </w:rPr>
        <w:t>By:</w:t>
      </w:r>
    </w:p>
    <w:p>
      <w:pPr>
        <w:ind w:left="3880"/>
        <w:spacing w:after="0"/>
        <w:rPr>
          <w:sz w:val="20"/>
          <w:szCs w:val="20"/>
          <w:color w:val="auto"/>
        </w:rPr>
      </w:pPr>
      <w:r>
        <w:rPr>
          <w:rFonts w:ascii="Arial" w:cs="Arial" w:eastAsia="Arial" w:hAnsi="Arial"/>
          <w:sz w:val="20"/>
          <w:szCs w:val="20"/>
          <w:color w:val="404040"/>
        </w:rPr>
        <w:t>Title: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PARTICIPANT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404040"/>
        </w:rPr>
        <w:t>[Signature Page to Restricted Stock Unit Award Agreement (Employees)]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71"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04040"/>
        </w:rPr>
        <w:t>NMI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04040"/>
        </w:rPr>
        <w:t>AMENDED AND RESTATED 2014 OMNIBUS INCENTIVE PLAN</w:t>
      </w:r>
    </w:p>
    <w:p>
      <w:pPr>
        <w:jc w:val="center"/>
        <w:spacing w:after="0"/>
        <w:rPr>
          <w:sz w:val="20"/>
          <w:szCs w:val="20"/>
          <w:color w:val="auto"/>
        </w:rPr>
      </w:pPr>
      <w:r>
        <w:rPr>
          <w:rFonts w:ascii="Arial" w:cs="Arial" w:eastAsia="Arial" w:hAnsi="Arial"/>
          <w:sz w:val="20"/>
          <w:szCs w:val="20"/>
          <w:b w:val="1"/>
          <w:bCs w:val="1"/>
          <w:color w:val="404040"/>
        </w:rPr>
        <w:t>RESTRICTED STOCK UNIT AWARD AGREEMENT</w:t>
      </w:r>
    </w:p>
    <w:p>
      <w:pPr>
        <w:jc w:val="center"/>
        <w:spacing w:after="0"/>
        <w:rPr>
          <w:sz w:val="20"/>
          <w:szCs w:val="20"/>
          <w:color w:val="auto"/>
        </w:rPr>
      </w:pPr>
      <w:r>
        <w:rPr>
          <w:rFonts w:ascii="Arial" w:cs="Arial" w:eastAsia="Arial" w:hAnsi="Arial"/>
          <w:sz w:val="20"/>
          <w:szCs w:val="20"/>
          <w:b w:val="1"/>
          <w:bCs w:val="1"/>
          <w:color w:val="404040"/>
        </w:rPr>
        <w:t>(FOR INDEPENDENT DIRECTORS)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404040"/>
        </w:rPr>
        <w:t xml:space="preserve">THIS RESTRICTED STOCK UNIT AWARD AGREEMENT </w:t>
      </w:r>
      <w:r>
        <w:rPr>
          <w:rFonts w:ascii="Arial" w:cs="Arial" w:eastAsia="Arial" w:hAnsi="Arial"/>
          <w:sz w:val="20"/>
          <w:szCs w:val="20"/>
          <w:color w:val="404040"/>
        </w:rPr>
        <w:t>(this “</w:t>
      </w:r>
      <w:r>
        <w:rPr>
          <w:rFonts w:ascii="Arial" w:cs="Arial" w:eastAsia="Arial" w:hAnsi="Arial"/>
          <w:sz w:val="20"/>
          <w:szCs w:val="20"/>
          <w:u w:val="single" w:color="auto"/>
          <w:color w:val="404040"/>
        </w:rPr>
        <w:t>Agreement</w:t>
      </w:r>
      <w:r>
        <w:rPr>
          <w:rFonts w:ascii="Arial" w:cs="Arial" w:eastAsia="Arial" w:hAnsi="Arial"/>
          <w:sz w:val="20"/>
          <w:szCs w:val="20"/>
          <w:color w:val="404040"/>
        </w:rPr>
        <w:t>”), dated as of [•], -----________ (the</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404040"/>
        </w:rPr>
        <w:t>“</w:t>
      </w:r>
      <w:r>
        <w:rPr>
          <w:rFonts w:ascii="Arial" w:cs="Arial" w:eastAsia="Arial" w:hAnsi="Arial"/>
          <w:sz w:val="20"/>
          <w:szCs w:val="20"/>
          <w:u w:val="single" w:color="auto"/>
          <w:color w:val="404040"/>
        </w:rPr>
        <w:t>Grant Date</w:t>
      </w:r>
      <w:r>
        <w:rPr>
          <w:rFonts w:ascii="Arial" w:cs="Arial" w:eastAsia="Arial" w:hAnsi="Arial"/>
          <w:sz w:val="20"/>
          <w:szCs w:val="20"/>
          <w:color w:val="404040"/>
        </w:rPr>
        <w:t>”), is made by and between NMI Holdings, Inc., a Delaware corporation (the “</w:t>
      </w:r>
      <w:r>
        <w:rPr>
          <w:rFonts w:ascii="Arial" w:cs="Arial" w:eastAsia="Arial" w:hAnsi="Arial"/>
          <w:sz w:val="20"/>
          <w:szCs w:val="20"/>
          <w:u w:val="single" w:color="auto"/>
          <w:color w:val="404040"/>
        </w:rPr>
        <w:t>Company</w:t>
      </w:r>
      <w:r>
        <w:rPr>
          <w:rFonts w:ascii="Arial" w:cs="Arial" w:eastAsia="Arial" w:hAnsi="Arial"/>
          <w:sz w:val="20"/>
          <w:szCs w:val="20"/>
          <w:color w:val="404040"/>
        </w:rPr>
        <w:t>”), and [NAME] (“</w:t>
      </w:r>
      <w:r>
        <w:rPr>
          <w:rFonts w:ascii="Arial" w:cs="Arial" w:eastAsia="Arial" w:hAnsi="Arial"/>
          <w:sz w:val="20"/>
          <w:szCs w:val="20"/>
          <w:u w:val="single" w:color="auto"/>
          <w:color w:val="404040"/>
        </w:rPr>
        <w:t>Participant</w:t>
      </w:r>
      <w:r>
        <w:rPr>
          <w:rFonts w:ascii="Arial" w:cs="Arial" w:eastAsia="Arial" w:hAnsi="Arial"/>
          <w:sz w:val="20"/>
          <w:szCs w:val="20"/>
          <w:color w:val="404040"/>
        </w:rPr>
        <w:t>”).</w:t>
      </w:r>
    </w:p>
    <w:p>
      <w:pPr>
        <w:spacing w:after="0" w:line="188" w:lineRule="exact"/>
        <w:rPr>
          <w:sz w:val="20"/>
          <w:szCs w:val="20"/>
          <w:color w:val="auto"/>
        </w:rPr>
      </w:pPr>
    </w:p>
    <w:p>
      <w:pPr>
        <w:ind w:right="340" w:firstLine="1297"/>
        <w:spacing w:after="0" w:line="282" w:lineRule="auto"/>
        <w:rPr>
          <w:sz w:val="20"/>
          <w:szCs w:val="20"/>
          <w:color w:val="auto"/>
        </w:rPr>
      </w:pPr>
      <w:r>
        <w:rPr>
          <w:rFonts w:ascii="Arial" w:cs="Arial" w:eastAsia="Arial" w:hAnsi="Arial"/>
          <w:sz w:val="20"/>
          <w:szCs w:val="20"/>
          <w:b w:val="1"/>
          <w:bCs w:val="1"/>
          <w:color w:val="404040"/>
        </w:rPr>
        <w:t>WHEREAS</w:t>
      </w:r>
      <w:r>
        <w:rPr>
          <w:rFonts w:ascii="Arial" w:cs="Arial" w:eastAsia="Arial" w:hAnsi="Arial"/>
          <w:sz w:val="20"/>
          <w:szCs w:val="20"/>
          <w:color w:val="404040"/>
        </w:rPr>
        <w:t>, the Company has adopted the NMI Holdings, Inc. Amended and Restated 2014 Omnibus Incentive</w:t>
      </w:r>
      <w:r>
        <w:rPr>
          <w:rFonts w:ascii="Arial" w:cs="Arial" w:eastAsia="Arial" w:hAnsi="Arial"/>
          <w:sz w:val="20"/>
          <w:szCs w:val="20"/>
          <w:b w:val="1"/>
          <w:bCs w:val="1"/>
          <w:color w:val="404040"/>
        </w:rPr>
        <w:t xml:space="preserve"> </w:t>
      </w:r>
      <w:r>
        <w:rPr>
          <w:rFonts w:ascii="Arial" w:cs="Arial" w:eastAsia="Arial" w:hAnsi="Arial"/>
          <w:sz w:val="20"/>
          <w:szCs w:val="20"/>
          <w:color w:val="404040"/>
        </w:rPr>
        <w:t>Plan (the “</w:t>
      </w:r>
      <w:r>
        <w:rPr>
          <w:rFonts w:ascii="Arial" w:cs="Arial" w:eastAsia="Arial" w:hAnsi="Arial"/>
          <w:sz w:val="20"/>
          <w:szCs w:val="20"/>
          <w:u w:val="single" w:color="auto"/>
          <w:color w:val="404040"/>
        </w:rPr>
        <w:t>Plan</w:t>
      </w:r>
      <w:r>
        <w:rPr>
          <w:rFonts w:ascii="Arial" w:cs="Arial" w:eastAsia="Arial" w:hAnsi="Arial"/>
          <w:sz w:val="20"/>
          <w:szCs w:val="20"/>
          <w:color w:val="404040"/>
        </w:rPr>
        <w:t>”); and</w:t>
      </w:r>
    </w:p>
    <w:p>
      <w:pPr>
        <w:spacing w:after="0" w:line="135" w:lineRule="exact"/>
        <w:rPr>
          <w:sz w:val="20"/>
          <w:szCs w:val="20"/>
          <w:color w:val="auto"/>
        </w:rPr>
      </w:pPr>
    </w:p>
    <w:p>
      <w:pPr>
        <w:ind w:right="240" w:firstLine="1297"/>
        <w:spacing w:after="0" w:line="261" w:lineRule="auto"/>
        <w:rPr>
          <w:sz w:val="20"/>
          <w:szCs w:val="20"/>
          <w:color w:val="auto"/>
        </w:rPr>
      </w:pPr>
      <w:r>
        <w:rPr>
          <w:rFonts w:ascii="Arial" w:cs="Arial" w:eastAsia="Arial" w:hAnsi="Arial"/>
          <w:sz w:val="20"/>
          <w:szCs w:val="20"/>
          <w:b w:val="1"/>
          <w:bCs w:val="1"/>
          <w:color w:val="404040"/>
        </w:rPr>
        <w:t>WHEREAS</w:t>
      </w:r>
      <w:r>
        <w:rPr>
          <w:rFonts w:ascii="Arial" w:cs="Arial" w:eastAsia="Arial" w:hAnsi="Arial"/>
          <w:sz w:val="20"/>
          <w:szCs w:val="20"/>
          <w:color w:val="404040"/>
        </w:rPr>
        <w:t>, the Committee has determined that it would be in the best interests of the Company and its</w:t>
      </w:r>
      <w:r>
        <w:rPr>
          <w:rFonts w:ascii="Arial" w:cs="Arial" w:eastAsia="Arial" w:hAnsi="Arial"/>
          <w:sz w:val="20"/>
          <w:szCs w:val="20"/>
          <w:b w:val="1"/>
          <w:bCs w:val="1"/>
          <w:color w:val="404040"/>
        </w:rPr>
        <w:t xml:space="preserve"> </w:t>
      </w:r>
      <w:r>
        <w:rPr>
          <w:rFonts w:ascii="Arial" w:cs="Arial" w:eastAsia="Arial" w:hAnsi="Arial"/>
          <w:sz w:val="20"/>
          <w:szCs w:val="20"/>
          <w:color w:val="404040"/>
        </w:rPr>
        <w:t>stockholders to grant Participant restricted stock units with respect to a number of shares of the Company’s Common Stock (the “</w:t>
      </w:r>
      <w:r>
        <w:rPr>
          <w:rFonts w:ascii="Arial" w:cs="Arial" w:eastAsia="Arial" w:hAnsi="Arial"/>
          <w:sz w:val="20"/>
          <w:szCs w:val="20"/>
          <w:u w:val="single" w:color="auto"/>
          <w:color w:val="404040"/>
        </w:rPr>
        <w:t>Shares</w:t>
      </w:r>
      <w:r>
        <w:rPr>
          <w:rFonts w:ascii="Arial" w:cs="Arial" w:eastAsia="Arial" w:hAnsi="Arial"/>
          <w:sz w:val="20"/>
          <w:szCs w:val="20"/>
          <w:color w:val="404040"/>
        </w:rPr>
        <w:t>”) on the terms and subject to the conditions set forth in this Agreement and the Plan.</w:t>
      </w:r>
    </w:p>
    <w:p>
      <w:pPr>
        <w:spacing w:after="0" w:line="155" w:lineRule="exact"/>
        <w:rPr>
          <w:sz w:val="20"/>
          <w:szCs w:val="20"/>
          <w:color w:val="auto"/>
        </w:rPr>
      </w:pPr>
    </w:p>
    <w:p>
      <w:pPr>
        <w:ind w:right="320" w:firstLine="1297"/>
        <w:spacing w:after="0" w:line="261" w:lineRule="auto"/>
        <w:rPr>
          <w:sz w:val="20"/>
          <w:szCs w:val="20"/>
          <w:color w:val="auto"/>
        </w:rPr>
      </w:pPr>
      <w:r>
        <w:rPr>
          <w:rFonts w:ascii="Arial" w:cs="Arial" w:eastAsia="Arial" w:hAnsi="Arial"/>
          <w:sz w:val="20"/>
          <w:szCs w:val="20"/>
          <w:b w:val="1"/>
          <w:bCs w:val="1"/>
          <w:color w:val="404040"/>
        </w:rPr>
        <w:t>NOW THEREFORE</w:t>
      </w:r>
      <w:r>
        <w:rPr>
          <w:rFonts w:ascii="Arial" w:cs="Arial" w:eastAsia="Arial" w:hAnsi="Arial"/>
          <w:sz w:val="20"/>
          <w:szCs w:val="20"/>
          <w:color w:val="404040"/>
        </w:rPr>
        <w:t>, for and in consideration of the premises and the covenants of the parties contained in this</w:t>
      </w:r>
      <w:r>
        <w:rPr>
          <w:rFonts w:ascii="Arial" w:cs="Arial" w:eastAsia="Arial" w:hAnsi="Arial"/>
          <w:sz w:val="20"/>
          <w:szCs w:val="20"/>
          <w:b w:val="1"/>
          <w:bCs w:val="1"/>
          <w:color w:val="404040"/>
        </w:rPr>
        <w:t xml:space="preserve"> </w:t>
      </w:r>
      <w:r>
        <w:rPr>
          <w:rFonts w:ascii="Arial" w:cs="Arial" w:eastAsia="Arial" w:hAnsi="Arial"/>
          <w:sz w:val="20"/>
          <w:szCs w:val="20"/>
          <w:color w:val="404040"/>
        </w:rPr>
        <w:t>Agreement, and for other good and valuable consideration, the receipt of which is hereby acknowledged, the parties hereto, for themselves, their successors and assigns, hereby agree as follows:</w:t>
      </w:r>
    </w:p>
    <w:p>
      <w:pPr>
        <w:spacing w:after="0" w:line="170" w:lineRule="exact"/>
        <w:rPr>
          <w:sz w:val="20"/>
          <w:szCs w:val="20"/>
          <w:color w:val="auto"/>
        </w:rPr>
      </w:pPr>
    </w:p>
    <w:p>
      <w:pPr>
        <w:ind w:left="2120" w:hanging="815"/>
        <w:spacing w:after="0"/>
        <w:tabs>
          <w:tab w:leader="none" w:pos="2120" w:val="left"/>
        </w:tabs>
        <w:numPr>
          <w:ilvl w:val="1"/>
          <w:numId w:val="38"/>
        </w:numPr>
        <w:rPr>
          <w:rFonts w:ascii="Arial" w:cs="Arial" w:eastAsia="Arial" w:hAnsi="Arial"/>
          <w:sz w:val="20"/>
          <w:szCs w:val="20"/>
          <w:color w:val="404040"/>
        </w:rPr>
      </w:pPr>
      <w:r>
        <w:rPr>
          <w:rFonts w:ascii="Arial" w:cs="Arial" w:eastAsia="Arial" w:hAnsi="Arial"/>
          <w:sz w:val="20"/>
          <w:szCs w:val="20"/>
          <w:u w:val="single" w:color="auto"/>
          <w:color w:val="404040"/>
        </w:rPr>
        <w:t>Grant of Restricted Stock Unit Award</w:t>
      </w:r>
      <w:r>
        <w:rPr>
          <w:rFonts w:ascii="Arial" w:cs="Arial" w:eastAsia="Arial" w:hAnsi="Arial"/>
          <w:sz w:val="20"/>
          <w:szCs w:val="20"/>
          <w:color w:val="404040"/>
        </w:rPr>
        <w:t>.</w:t>
      </w:r>
    </w:p>
    <w:p>
      <w:pPr>
        <w:spacing w:after="0" w:line="39" w:lineRule="exact"/>
        <w:rPr>
          <w:rFonts w:ascii="Arial" w:cs="Arial" w:eastAsia="Arial" w:hAnsi="Arial"/>
          <w:sz w:val="20"/>
          <w:szCs w:val="20"/>
          <w:color w:val="404040"/>
        </w:rPr>
      </w:pPr>
    </w:p>
    <w:p>
      <w:pPr>
        <w:ind w:left="2800" w:hanging="847"/>
        <w:spacing w:after="0"/>
        <w:tabs>
          <w:tab w:leader="none" w:pos="2800" w:val="left"/>
        </w:tabs>
        <w:numPr>
          <w:ilvl w:val="2"/>
          <w:numId w:val="38"/>
        </w:numPr>
        <w:rPr>
          <w:rFonts w:ascii="Times New Roman" w:cs="Times New Roman" w:eastAsia="Times New Roman" w:hAnsi="Times New Roman"/>
          <w:sz w:val="17"/>
          <w:szCs w:val="17"/>
          <w:color w:val="auto"/>
        </w:rPr>
      </w:pPr>
      <w:r>
        <w:rPr>
          <w:rFonts w:ascii="Arial" w:cs="Arial" w:eastAsia="Arial" w:hAnsi="Arial"/>
          <w:sz w:val="19"/>
          <w:szCs w:val="19"/>
          <w:u w:val="single" w:color="auto"/>
          <w:color w:val="404040"/>
        </w:rPr>
        <w:t>Grant</w:t>
      </w:r>
      <w:r>
        <w:rPr>
          <w:rFonts w:ascii="Arial" w:cs="Arial" w:eastAsia="Arial" w:hAnsi="Arial"/>
          <w:sz w:val="19"/>
          <w:szCs w:val="19"/>
          <w:color w:val="404040"/>
        </w:rPr>
        <w:t>. The Company hereby grants to Participant an award of restricted stock units with respect to</w:t>
      </w:r>
    </w:p>
    <w:p>
      <w:pPr>
        <w:spacing w:after="0" w:line="38" w:lineRule="exact"/>
        <w:rPr>
          <w:rFonts w:ascii="Times New Roman" w:cs="Times New Roman" w:eastAsia="Times New Roman" w:hAnsi="Times New Roman"/>
          <w:sz w:val="17"/>
          <w:szCs w:val="17"/>
          <w:color w:val="auto"/>
        </w:rPr>
      </w:pPr>
    </w:p>
    <w:p>
      <w:pPr>
        <w:ind w:left="240" w:hanging="232"/>
        <w:spacing w:after="0"/>
        <w:tabs>
          <w:tab w:leader="none" w:pos="240" w:val="left"/>
        </w:tabs>
        <w:numPr>
          <w:ilvl w:val="0"/>
          <w:numId w:val="38"/>
        </w:numPr>
        <w:rPr>
          <w:rFonts w:ascii="Arial" w:cs="Arial" w:eastAsia="Arial" w:hAnsi="Arial"/>
          <w:sz w:val="20"/>
          <w:szCs w:val="20"/>
          <w:color w:val="404040"/>
        </w:rPr>
      </w:pPr>
      <w:r>
        <w:rPr>
          <w:rFonts w:ascii="Arial" w:cs="Arial" w:eastAsia="Arial" w:hAnsi="Arial"/>
          <w:sz w:val="20"/>
          <w:szCs w:val="20"/>
          <w:color w:val="404040"/>
        </w:rPr>
        <w:t>Shares (the “</w:t>
      </w:r>
      <w:r>
        <w:rPr>
          <w:rFonts w:ascii="Arial" w:cs="Arial" w:eastAsia="Arial" w:hAnsi="Arial"/>
          <w:sz w:val="20"/>
          <w:szCs w:val="20"/>
          <w:u w:val="single" w:color="auto"/>
          <w:color w:val="404040"/>
        </w:rPr>
        <w:t>RSUs</w:t>
      </w:r>
      <w:r>
        <w:rPr>
          <w:rFonts w:ascii="Arial" w:cs="Arial" w:eastAsia="Arial" w:hAnsi="Arial"/>
          <w:sz w:val="20"/>
          <w:szCs w:val="20"/>
          <w:color w:val="404040"/>
        </w:rPr>
        <w:t>”) on the terms and conditions set forth in this Agreement and as otherwise provided in the Plan.</w:t>
      </w:r>
    </w:p>
    <w:p>
      <w:pPr>
        <w:spacing w:after="0" w:line="26" w:lineRule="exact"/>
        <w:rPr>
          <w:rFonts w:ascii="Arial" w:cs="Arial" w:eastAsia="Arial" w:hAnsi="Arial"/>
          <w:sz w:val="20"/>
          <w:szCs w:val="20"/>
          <w:color w:val="404040"/>
        </w:rPr>
      </w:pPr>
    </w:p>
    <w:p>
      <w:pPr>
        <w:ind w:right="140" w:firstLine="1953"/>
        <w:spacing w:after="0" w:line="267" w:lineRule="auto"/>
        <w:tabs>
          <w:tab w:leader="none" w:pos="2803" w:val="left"/>
        </w:tabs>
        <w:numPr>
          <w:ilvl w:val="2"/>
          <w:numId w:val="39"/>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Incorporation by Reference, Etc.</w:t>
      </w:r>
      <w:r>
        <w:rPr>
          <w:rFonts w:ascii="Arial" w:cs="Arial" w:eastAsia="Arial" w:hAnsi="Arial"/>
          <w:sz w:val="20"/>
          <w:szCs w:val="20"/>
          <w:color w:val="404040"/>
        </w:rPr>
        <w:t xml:space="preserve">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2" w:lineRule="exact"/>
        <w:rPr>
          <w:rFonts w:ascii="Times New Roman" w:cs="Times New Roman" w:eastAsia="Times New Roman" w:hAnsi="Times New Roman"/>
          <w:sz w:val="18"/>
          <w:szCs w:val="18"/>
          <w:color w:val="auto"/>
        </w:rPr>
      </w:pPr>
    </w:p>
    <w:p>
      <w:pPr>
        <w:ind w:left="2080" w:hanging="775"/>
        <w:spacing w:after="0"/>
        <w:tabs>
          <w:tab w:leader="none" w:pos="208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Vesting</w:t>
      </w:r>
      <w:r>
        <w:rPr>
          <w:rFonts w:ascii="Arial" w:cs="Arial" w:eastAsia="Arial" w:hAnsi="Arial"/>
          <w:sz w:val="20"/>
          <w:szCs w:val="20"/>
          <w:color w:val="404040"/>
        </w:rPr>
        <w:t>.</w:t>
      </w:r>
    </w:p>
    <w:p>
      <w:pPr>
        <w:spacing w:after="0" w:line="26" w:lineRule="exact"/>
        <w:rPr>
          <w:rFonts w:ascii="Times New Roman" w:cs="Times New Roman" w:eastAsia="Times New Roman" w:hAnsi="Times New Roman"/>
          <w:sz w:val="18"/>
          <w:szCs w:val="18"/>
          <w:color w:val="auto"/>
        </w:rPr>
      </w:pPr>
    </w:p>
    <w:p>
      <w:pPr>
        <w:ind w:right="20" w:firstLine="1953"/>
        <w:spacing w:after="0" w:line="281" w:lineRule="auto"/>
        <w:tabs>
          <w:tab w:leader="none" w:pos="2793" w:val="left"/>
        </w:tabs>
        <w:numPr>
          <w:ilvl w:val="2"/>
          <w:numId w:val="40"/>
        </w:numPr>
        <w:rPr>
          <w:rFonts w:ascii="Times New Roman" w:cs="Times New Roman" w:eastAsia="Times New Roman" w:hAnsi="Times New Roman"/>
          <w:sz w:val="17"/>
          <w:szCs w:val="17"/>
          <w:color w:val="auto"/>
        </w:rPr>
      </w:pPr>
      <w:r>
        <w:rPr>
          <w:rFonts w:ascii="Arial" w:cs="Arial" w:eastAsia="Arial" w:hAnsi="Arial"/>
          <w:sz w:val="19"/>
          <w:szCs w:val="19"/>
          <w:u w:val="single" w:color="auto"/>
          <w:color w:val="404040"/>
        </w:rPr>
        <w:t>General</w:t>
      </w:r>
      <w:r>
        <w:rPr>
          <w:rFonts w:ascii="Arial" w:cs="Arial" w:eastAsia="Arial" w:hAnsi="Arial"/>
          <w:sz w:val="19"/>
          <w:szCs w:val="19"/>
          <w:color w:val="404040"/>
        </w:rPr>
        <w:t>. Except as may otherwise be provided herein, the RSUs shall vest on the first anniversary of the Grant Date, subject to Participant not having incurred a Termination of Employment as of the applicable vesting date.</w:t>
      </w:r>
    </w:p>
    <w:p>
      <w:pPr>
        <w:spacing w:after="0" w:line="1" w:lineRule="exact"/>
        <w:rPr>
          <w:rFonts w:ascii="Times New Roman" w:cs="Times New Roman" w:eastAsia="Times New Roman" w:hAnsi="Times New Roman"/>
          <w:sz w:val="17"/>
          <w:szCs w:val="17"/>
          <w:color w:val="auto"/>
        </w:rPr>
      </w:pPr>
    </w:p>
    <w:p>
      <w:pPr>
        <w:ind w:right="20" w:firstLine="1953"/>
        <w:spacing w:after="0" w:line="267" w:lineRule="auto"/>
        <w:tabs>
          <w:tab w:leader="none" w:pos="2803" w:val="left"/>
        </w:tabs>
        <w:numPr>
          <w:ilvl w:val="2"/>
          <w:numId w:val="4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Termination of Employment</w:t>
      </w:r>
      <w:r>
        <w:rPr>
          <w:rFonts w:ascii="Arial" w:cs="Arial" w:eastAsia="Arial" w:hAnsi="Arial"/>
          <w:sz w:val="20"/>
          <w:szCs w:val="20"/>
          <w:color w:val="404040"/>
        </w:rPr>
        <w:t>. Except as provided in the immediately following sentence, in the event that Participant incurs a Termination of Employment, unvested RSUs shall be forfeited by Participant without consideration therefor. Notwithstanding the foregoing, in the event that Participant incurs a Termination of Employment due to Participant’s death or “Disability” (as defined in the Plan), any unvested RSUs shall accelerate and vest in full as of the date of Termination of Employment.</w:t>
      </w:r>
    </w:p>
    <w:p>
      <w:pPr>
        <w:spacing w:after="0" w:line="3" w:lineRule="exact"/>
        <w:rPr>
          <w:rFonts w:ascii="Times New Roman" w:cs="Times New Roman" w:eastAsia="Times New Roman" w:hAnsi="Times New Roman"/>
          <w:sz w:val="18"/>
          <w:szCs w:val="18"/>
          <w:color w:val="auto"/>
        </w:rPr>
      </w:pPr>
    </w:p>
    <w:p>
      <w:pPr>
        <w:ind w:right="60" w:firstLine="1305"/>
        <w:spacing w:after="0" w:line="281" w:lineRule="auto"/>
        <w:tabs>
          <w:tab w:leader="none" w:pos="208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Settlement</w:t>
      </w:r>
      <w:r>
        <w:rPr>
          <w:rFonts w:ascii="Arial" w:cs="Arial" w:eastAsia="Arial" w:hAnsi="Arial"/>
          <w:sz w:val="20"/>
          <w:szCs w:val="20"/>
          <w:color w:val="404040"/>
        </w:rPr>
        <w:t>. As soon as practicable after any RSUs have vested (and in any event, no later than fifteen business days immediately following the date of such vesting), such RSUs shall be settled. For each vested RSU settled pursuant to this Section 3, the Company shall issue to Participant one Share.</w:t>
      </w:r>
    </w:p>
    <w:p>
      <w:pPr>
        <w:spacing w:after="0" w:line="165" w:lineRule="exact"/>
        <w:rPr>
          <w:rFonts w:ascii="Times New Roman" w:cs="Times New Roman" w:eastAsia="Times New Roman" w:hAnsi="Times New Roman"/>
          <w:sz w:val="18"/>
          <w:szCs w:val="18"/>
          <w:color w:val="auto"/>
        </w:rPr>
      </w:pPr>
    </w:p>
    <w:p>
      <w:pPr>
        <w:ind w:right="100" w:firstLine="1305"/>
        <w:spacing w:after="0" w:line="278" w:lineRule="auto"/>
        <w:tabs>
          <w:tab w:leader="none" w:pos="2110" w:val="left"/>
        </w:tabs>
        <w:numPr>
          <w:ilvl w:val="1"/>
          <w:numId w:val="40"/>
        </w:numPr>
        <w:rPr>
          <w:rFonts w:ascii="Arial" w:cs="Arial" w:eastAsia="Arial" w:hAnsi="Arial"/>
          <w:sz w:val="20"/>
          <w:szCs w:val="20"/>
          <w:color w:val="404040"/>
        </w:rPr>
      </w:pPr>
      <w:r>
        <w:rPr>
          <w:rFonts w:ascii="Arial" w:cs="Arial" w:eastAsia="Arial" w:hAnsi="Arial"/>
          <w:sz w:val="20"/>
          <w:szCs w:val="20"/>
          <w:u w:val="single" w:color="auto"/>
          <w:color w:val="404040"/>
        </w:rPr>
        <w:t>Taxes</w:t>
      </w:r>
      <w:r>
        <w:rPr>
          <w:rFonts w:ascii="Arial" w:cs="Arial" w:eastAsia="Arial" w:hAnsi="Arial"/>
          <w:sz w:val="20"/>
          <w:szCs w:val="20"/>
          <w:color w:val="404040"/>
        </w:rPr>
        <w:t>. Participant (or, in the event of Participant’s death, any beneficiary), shall be solely responsible for any federal, state or local income or self-employment taxes that Participant incurs in connection with the receipt of the award of RSUs or the vesting of such RSUs and the Company shall have no obligation or liability with respect to the Participant’s (or, in the event of Participant’s death, any beneficiary’s) satisfaction of such taxes and shall have no withholding obligations with respect thereof.</w:t>
      </w:r>
    </w:p>
    <w:p>
      <w:pPr>
        <w:spacing w:after="0" w:line="167" w:lineRule="exact"/>
        <w:rPr>
          <w:rFonts w:ascii="Arial" w:cs="Arial" w:eastAsia="Arial" w:hAnsi="Arial"/>
          <w:sz w:val="20"/>
          <w:szCs w:val="20"/>
          <w:color w:val="404040"/>
        </w:rPr>
      </w:pPr>
    </w:p>
    <w:p>
      <w:pPr>
        <w:jc w:val="both"/>
        <w:ind w:right="20" w:firstLine="1305"/>
        <w:spacing w:after="0" w:line="272" w:lineRule="auto"/>
        <w:tabs>
          <w:tab w:leader="none" w:pos="2110" w:val="left"/>
        </w:tabs>
        <w:numPr>
          <w:ilvl w:val="1"/>
          <w:numId w:val="40"/>
        </w:numPr>
        <w:rPr>
          <w:rFonts w:ascii="Arial" w:cs="Arial" w:eastAsia="Arial" w:hAnsi="Arial"/>
          <w:sz w:val="20"/>
          <w:szCs w:val="20"/>
          <w:color w:val="404040"/>
        </w:rPr>
      </w:pPr>
      <w:r>
        <w:rPr>
          <w:rFonts w:ascii="Arial" w:cs="Arial" w:eastAsia="Arial" w:hAnsi="Arial"/>
          <w:sz w:val="20"/>
          <w:szCs w:val="20"/>
          <w:u w:val="single" w:color="auto"/>
          <w:color w:val="404040"/>
        </w:rPr>
        <w:t>No Rights as Stockholder</w:t>
      </w:r>
      <w:r>
        <w:rPr>
          <w:rFonts w:ascii="Arial" w:cs="Arial" w:eastAsia="Arial" w:hAnsi="Arial"/>
          <w:sz w:val="20"/>
          <w:szCs w:val="20"/>
          <w:color w:val="404040"/>
        </w:rPr>
        <w:t>. Until such time as the RSUs have been settled and the underlying Shares have been delivered to Participant and Participant has become the holder of record of such Shares, Participant shall have no rights as a stockholder, including, without limitation, the right to dividends and the right to vote.</w:t>
      </w:r>
    </w:p>
    <w:p>
      <w:pPr>
        <w:ind w:right="60" w:firstLine="1305"/>
        <w:spacing w:after="0" w:line="295" w:lineRule="auto"/>
        <w:tabs>
          <w:tab w:leader="none" w:pos="208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Transferability</w:t>
      </w:r>
      <w:r>
        <w:rPr>
          <w:rFonts w:ascii="Arial" w:cs="Arial" w:eastAsia="Arial" w:hAnsi="Arial"/>
          <w:sz w:val="20"/>
          <w:szCs w:val="20"/>
          <w:color w:val="404040"/>
        </w:rPr>
        <w:t>. The RSUs may not, at any time prior to becoming vested, be assigned, alienated, pledged, attached, sold or otherwise transferred or encumbered by Participant other than by will or 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71"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99" w:lineRule="exact"/>
        <w:rPr>
          <w:sz w:val="20"/>
          <w:szCs w:val="20"/>
          <w:color w:val="auto"/>
        </w:rPr>
      </w:pPr>
    </w:p>
    <w:p>
      <w:pPr>
        <w:ind w:right="200"/>
        <w:spacing w:after="0" w:line="272" w:lineRule="auto"/>
        <w:rPr>
          <w:sz w:val="20"/>
          <w:szCs w:val="20"/>
          <w:color w:val="auto"/>
        </w:rPr>
      </w:pPr>
      <w:r>
        <w:rPr>
          <w:rFonts w:ascii="Arial" w:cs="Arial" w:eastAsia="Arial" w:hAnsi="Arial"/>
          <w:sz w:val="20"/>
          <w:szCs w:val="20"/>
          <w:color w:val="404040"/>
        </w:rPr>
        <w:t xml:space="preserve">the laws of descent and distribution and any such purported assignment, alienation, pledge, attachment, sale, transfer or encumbrance shall be void and unenforceable against the Company, its Subsidiary or Affiliate;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that the designation of a beneficiary shall not constitute an assignment, alienation, pledge, attachment, sale, transfer or encumbrance.</w:t>
      </w:r>
    </w:p>
    <w:p>
      <w:pPr>
        <w:ind w:right="540" w:firstLine="1305"/>
        <w:spacing w:after="0" w:line="267" w:lineRule="auto"/>
        <w:tabs>
          <w:tab w:leader="none" w:pos="208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Adjustment</w:t>
      </w:r>
      <w:r>
        <w:rPr>
          <w:rFonts w:ascii="Arial" w:cs="Arial" w:eastAsia="Arial" w:hAnsi="Arial"/>
          <w:sz w:val="20"/>
          <w:szCs w:val="20"/>
          <w:color w:val="404040"/>
        </w:rPr>
        <w:t>. Upon any event described in Section 3(d) of the Plan occurring after the Grant Date, the adjustment provisions as provided for under Section 3(d) of the Plan shall apply to the RSUs.</w:t>
      </w:r>
    </w:p>
    <w:p>
      <w:pPr>
        <w:spacing w:after="0" w:line="1" w:lineRule="exact"/>
        <w:rPr>
          <w:rFonts w:ascii="Times New Roman" w:cs="Times New Roman" w:eastAsia="Times New Roman" w:hAnsi="Times New Roman"/>
          <w:sz w:val="18"/>
          <w:szCs w:val="18"/>
          <w:color w:val="auto"/>
        </w:rPr>
      </w:pPr>
    </w:p>
    <w:p>
      <w:pPr>
        <w:ind w:right="120" w:firstLine="1305"/>
        <w:spacing w:after="0" w:line="267" w:lineRule="auto"/>
        <w:tabs>
          <w:tab w:leader="none" w:pos="208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Change in Control</w:t>
      </w:r>
      <w:r>
        <w:rPr>
          <w:rFonts w:ascii="Arial" w:cs="Arial" w:eastAsia="Arial" w:hAnsi="Arial"/>
          <w:sz w:val="20"/>
          <w:szCs w:val="20"/>
          <w:color w:val="404040"/>
        </w:rPr>
        <w:t>. In the event of a Change in Control of the Company occurring after the Grant Date, all outstanding unvested RSUs shall become fully vested upon the occurrence of such Change in Control. Any RSUs that vest in connection with this Section 8 shall be settled in a manner consistent with Section 3 of this Agreement.</w:t>
      </w:r>
    </w:p>
    <w:p>
      <w:pPr>
        <w:spacing w:after="0" w:line="2" w:lineRule="exact"/>
        <w:rPr>
          <w:rFonts w:ascii="Times New Roman" w:cs="Times New Roman" w:eastAsia="Times New Roman" w:hAnsi="Times New Roman"/>
          <w:sz w:val="18"/>
          <w:szCs w:val="18"/>
          <w:color w:val="auto"/>
        </w:rPr>
      </w:pPr>
    </w:p>
    <w:p>
      <w:pPr>
        <w:ind w:left="2080" w:hanging="775"/>
        <w:spacing w:after="0"/>
        <w:tabs>
          <w:tab w:leader="none" w:pos="208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Miscellaneous</w:t>
      </w:r>
      <w:r>
        <w:rPr>
          <w:rFonts w:ascii="Arial" w:cs="Arial" w:eastAsia="Arial" w:hAnsi="Arial"/>
          <w:sz w:val="20"/>
          <w:szCs w:val="20"/>
          <w:color w:val="404040"/>
        </w:rPr>
        <w:t>.</w:t>
      </w:r>
    </w:p>
    <w:p>
      <w:pPr>
        <w:spacing w:after="0" w:line="26" w:lineRule="exact"/>
        <w:rPr>
          <w:rFonts w:ascii="Times New Roman" w:cs="Times New Roman" w:eastAsia="Times New Roman" w:hAnsi="Times New Roman"/>
          <w:sz w:val="18"/>
          <w:szCs w:val="18"/>
          <w:color w:val="auto"/>
        </w:rPr>
      </w:pPr>
    </w:p>
    <w:p>
      <w:pPr>
        <w:ind w:right="40" w:firstLine="1953"/>
        <w:spacing w:after="0" w:line="267" w:lineRule="auto"/>
        <w:tabs>
          <w:tab w:leader="none" w:pos="2793" w:val="left"/>
        </w:tabs>
        <w:numPr>
          <w:ilvl w:val="1"/>
          <w:numId w:val="4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Waiver and Amendment</w:t>
      </w:r>
      <w:r>
        <w:rPr>
          <w:rFonts w:ascii="Arial" w:cs="Arial" w:eastAsia="Arial" w:hAnsi="Arial"/>
          <w:sz w:val="20"/>
          <w:szCs w:val="20"/>
          <w:color w:val="404040"/>
        </w:rPr>
        <w:t xml:space="preserve">. The Committee may waive any conditions or rights under, or amend any terms of, this Agreement and the RSUs granted thereunder;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that any such waiver or amendment that would materially impair the rights of any Participant or any holder or beneficiary of any RSUs granted 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5" w:lineRule="exact"/>
        <w:rPr>
          <w:rFonts w:ascii="Times New Roman" w:cs="Times New Roman" w:eastAsia="Times New Roman" w:hAnsi="Times New Roman"/>
          <w:sz w:val="18"/>
          <w:szCs w:val="18"/>
          <w:color w:val="auto"/>
        </w:rPr>
      </w:pPr>
    </w:p>
    <w:p>
      <w:pPr>
        <w:ind w:right="20" w:firstLine="1953"/>
        <w:spacing w:after="0" w:line="267" w:lineRule="auto"/>
        <w:tabs>
          <w:tab w:leader="none" w:pos="2803" w:val="left"/>
        </w:tabs>
        <w:numPr>
          <w:ilvl w:val="1"/>
          <w:numId w:val="4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Unsecured Obligation</w:t>
      </w:r>
      <w:r>
        <w:rPr>
          <w:rFonts w:ascii="Arial" w:cs="Arial" w:eastAsia="Arial" w:hAnsi="Arial"/>
          <w:sz w:val="20"/>
          <w:szCs w:val="20"/>
          <w:color w:val="404040"/>
        </w:rPr>
        <w:t>. This Award is unfunded, and even as to any RSUs which vest, Participant shall be considered an unsecured creditor of the Company with respect to the Company’s obligations, if any, to issue Shares pursuant to this Agreement. Nothing contained in this Agreement, and no action taken pursuant to its provisions, shall create or be construed to create a trust of any kind or a fiduciary relationship between Participant and the Company or any other person.</w:t>
      </w:r>
    </w:p>
    <w:p>
      <w:pPr>
        <w:spacing w:after="0" w:line="2" w:lineRule="exact"/>
        <w:rPr>
          <w:rFonts w:ascii="Times New Roman" w:cs="Times New Roman" w:eastAsia="Times New Roman" w:hAnsi="Times New Roman"/>
          <w:sz w:val="18"/>
          <w:szCs w:val="18"/>
          <w:color w:val="auto"/>
        </w:rPr>
      </w:pPr>
    </w:p>
    <w:p>
      <w:pPr>
        <w:ind w:right="20" w:firstLine="1953"/>
        <w:spacing w:after="0" w:line="267" w:lineRule="auto"/>
        <w:tabs>
          <w:tab w:leader="none" w:pos="2793" w:val="left"/>
        </w:tabs>
        <w:numPr>
          <w:ilvl w:val="1"/>
          <w:numId w:val="4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Notices</w:t>
      </w:r>
      <w:r>
        <w:rPr>
          <w:rFonts w:ascii="Arial" w:cs="Arial" w:eastAsia="Arial" w:hAnsi="Arial"/>
          <w:sz w:val="20"/>
          <w:szCs w:val="20"/>
          <w:color w:val="404040"/>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if to the Company:</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NMI Holdings, Inc.</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2100 Powell Street, 12</w:t>
      </w:r>
      <w:r>
        <w:rPr>
          <w:rFonts w:ascii="Arial" w:cs="Arial" w:eastAsia="Arial" w:hAnsi="Arial"/>
          <w:sz w:val="16"/>
          <w:szCs w:val="16"/>
          <w:color w:val="404040"/>
        </w:rPr>
        <w:t>th</w:t>
      </w:r>
      <w:r>
        <w:rPr>
          <w:rFonts w:ascii="Arial" w:cs="Arial" w:eastAsia="Arial" w:hAnsi="Arial"/>
          <w:sz w:val="20"/>
          <w:szCs w:val="20"/>
          <w:color w:val="404040"/>
        </w:rPr>
        <w:t xml:space="preserve"> Floor</w:t>
      </w:r>
    </w:p>
    <w:p>
      <w:pPr>
        <w:ind w:left="1960"/>
        <w:spacing w:after="0"/>
        <w:rPr>
          <w:sz w:val="20"/>
          <w:szCs w:val="20"/>
          <w:color w:val="auto"/>
        </w:rPr>
      </w:pPr>
      <w:r>
        <w:rPr>
          <w:rFonts w:ascii="Arial" w:cs="Arial" w:eastAsia="Arial" w:hAnsi="Arial"/>
          <w:sz w:val="20"/>
          <w:szCs w:val="20"/>
          <w:color w:val="404040"/>
        </w:rPr>
        <w:t>Emeryville, CA 94608</w:t>
      </w:r>
    </w:p>
    <w:p>
      <w:pPr>
        <w:ind w:left="1960"/>
        <w:spacing w:after="0"/>
        <w:rPr>
          <w:sz w:val="20"/>
          <w:szCs w:val="20"/>
          <w:color w:val="auto"/>
        </w:rPr>
      </w:pPr>
      <w:r>
        <w:rPr>
          <w:rFonts w:ascii="Arial" w:cs="Arial" w:eastAsia="Arial" w:hAnsi="Arial"/>
          <w:sz w:val="20"/>
          <w:szCs w:val="20"/>
          <w:color w:val="404040"/>
        </w:rPr>
        <w:t>Facsimile: 510 225 3832</w:t>
      </w:r>
    </w:p>
    <w:p>
      <w:pPr>
        <w:ind w:left="1960"/>
        <w:spacing w:after="0"/>
        <w:rPr>
          <w:sz w:val="20"/>
          <w:szCs w:val="20"/>
          <w:color w:val="auto"/>
        </w:rPr>
      </w:pPr>
      <w:r>
        <w:rPr>
          <w:rFonts w:ascii="Arial" w:cs="Arial" w:eastAsia="Arial" w:hAnsi="Arial"/>
          <w:sz w:val="20"/>
          <w:szCs w:val="20"/>
          <w:color w:val="404040"/>
        </w:rPr>
        <w:t>Attention: General Counsel</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if to Participant: at the address last on the records of the Company.</w:t>
      </w:r>
    </w:p>
    <w:p>
      <w:pPr>
        <w:spacing w:after="0" w:line="216" w:lineRule="exact"/>
        <w:rPr>
          <w:sz w:val="20"/>
          <w:szCs w:val="20"/>
          <w:color w:val="auto"/>
        </w:rPr>
      </w:pPr>
    </w:p>
    <w:p>
      <w:pPr>
        <w:ind w:right="700"/>
        <w:spacing w:after="0" w:line="280" w:lineRule="auto"/>
        <w:rPr>
          <w:sz w:val="20"/>
          <w:szCs w:val="20"/>
          <w:color w:val="auto"/>
        </w:rPr>
      </w:pPr>
      <w:r>
        <w:rPr>
          <w:rFonts w:ascii="Arial" w:cs="Arial" w:eastAsia="Arial" w:hAnsi="Arial"/>
          <w:sz w:val="19"/>
          <w:szCs w:val="19"/>
          <w:color w:val="404040"/>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154" w:lineRule="exact"/>
        <w:rPr>
          <w:sz w:val="20"/>
          <w:szCs w:val="20"/>
          <w:color w:val="auto"/>
        </w:rPr>
      </w:pPr>
    </w:p>
    <w:p>
      <w:pPr>
        <w:ind w:right="240" w:firstLine="1953"/>
        <w:spacing w:after="0" w:line="272" w:lineRule="auto"/>
        <w:tabs>
          <w:tab w:leader="none" w:pos="2835" w:val="left"/>
        </w:tabs>
        <w:numPr>
          <w:ilvl w:val="0"/>
          <w:numId w:val="42"/>
        </w:numPr>
        <w:rPr>
          <w:rFonts w:ascii="Arial" w:cs="Arial" w:eastAsia="Arial" w:hAnsi="Arial"/>
          <w:sz w:val="20"/>
          <w:szCs w:val="20"/>
          <w:color w:val="404040"/>
        </w:rPr>
      </w:pPr>
      <w:r>
        <w:rPr>
          <w:rFonts w:ascii="Arial" w:cs="Arial" w:eastAsia="Arial" w:hAnsi="Arial"/>
          <w:sz w:val="20"/>
          <w:szCs w:val="20"/>
          <w:u w:val="single" w:color="auto"/>
          <w:color w:val="404040"/>
        </w:rPr>
        <w:t>Severability</w:t>
      </w:r>
      <w:r>
        <w:rPr>
          <w:rFonts w:ascii="Arial" w:cs="Arial" w:eastAsia="Arial" w:hAnsi="Arial"/>
          <w:sz w:val="20"/>
          <w:szCs w:val="20"/>
          <w:color w:val="404040"/>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ind w:right="20" w:firstLine="1953"/>
        <w:spacing w:after="0" w:line="267" w:lineRule="auto"/>
        <w:tabs>
          <w:tab w:leader="none" w:pos="2793" w:val="left"/>
        </w:tabs>
        <w:numPr>
          <w:ilvl w:val="0"/>
          <w:numId w:val="42"/>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No Rights to Service</w:t>
      </w:r>
      <w:r>
        <w:rPr>
          <w:rFonts w:ascii="Arial" w:cs="Arial" w:eastAsia="Arial" w:hAnsi="Arial"/>
          <w:sz w:val="20"/>
          <w:szCs w:val="20"/>
          <w:color w:val="404040"/>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2" w:lineRule="exact"/>
        <w:rPr>
          <w:rFonts w:ascii="Times New Roman" w:cs="Times New Roman" w:eastAsia="Times New Roman" w:hAnsi="Times New Roman"/>
          <w:sz w:val="18"/>
          <w:szCs w:val="18"/>
          <w:color w:val="auto"/>
        </w:rPr>
      </w:pPr>
    </w:p>
    <w:p>
      <w:pPr>
        <w:ind w:right="220" w:firstLine="1953"/>
        <w:spacing w:after="0" w:line="274" w:lineRule="auto"/>
        <w:tabs>
          <w:tab w:leader="none" w:pos="2773" w:val="left"/>
        </w:tabs>
        <w:numPr>
          <w:ilvl w:val="0"/>
          <w:numId w:val="42"/>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Beneficiary</w:t>
      </w:r>
      <w:r>
        <w:rPr>
          <w:rFonts w:ascii="Arial" w:cs="Arial" w:eastAsia="Arial" w:hAnsi="Arial"/>
          <w:sz w:val="20"/>
          <w:szCs w:val="20"/>
          <w:color w:val="404040"/>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w:t>
      </w:r>
      <w:r>
        <w:rPr>
          <w:rFonts w:ascii="Arial" w:cs="Arial" w:eastAsia="Arial" w:hAnsi="Arial"/>
          <w:sz w:val="20"/>
          <w:szCs w:val="20"/>
          <w:u w:val="single" w:color="auto"/>
          <w:color w:val="404040"/>
        </w:rPr>
        <w:t>however</w:t>
      </w:r>
      <w:r>
        <w:rPr>
          <w:rFonts w:ascii="Arial" w:cs="Arial" w:eastAsia="Arial" w:hAnsi="Arial"/>
          <w:sz w:val="20"/>
          <w:szCs w:val="20"/>
          <w:color w:val="404040"/>
        </w:rPr>
        <w:t>, that no designation, or change or revocation thereof, shall be effective unless received by the Company prior to Participant’s death, and in no event shall it be effective as of 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71"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99" w:lineRule="exact"/>
        <w:rPr>
          <w:sz w:val="20"/>
          <w:szCs w:val="20"/>
          <w:color w:val="auto"/>
        </w:rPr>
      </w:pPr>
    </w:p>
    <w:p>
      <w:pPr>
        <w:ind w:right="120"/>
        <w:spacing w:after="0" w:line="274" w:lineRule="auto"/>
        <w:rPr>
          <w:sz w:val="20"/>
          <w:szCs w:val="20"/>
          <w:color w:val="auto"/>
        </w:rPr>
      </w:pPr>
      <w:r>
        <w:rPr>
          <w:rFonts w:ascii="Arial" w:cs="Arial" w:eastAsia="Arial" w:hAnsi="Arial"/>
          <w:sz w:val="20"/>
          <w:szCs w:val="20"/>
          <w:color w:val="404040"/>
        </w:rPr>
        <w:t>date prior to such receipt. If no beneficiary designation is filed by Participant, the beneficiary shall be deemed to be his spouse or, if Participant is unmarried at the time of death, his estate.</w:t>
      </w:r>
    </w:p>
    <w:p>
      <w:pPr>
        <w:spacing w:after="0" w:line="1" w:lineRule="exact"/>
        <w:rPr>
          <w:sz w:val="20"/>
          <w:szCs w:val="20"/>
          <w:color w:val="auto"/>
        </w:rPr>
      </w:pPr>
    </w:p>
    <w:p>
      <w:pPr>
        <w:ind w:right="80" w:firstLine="1953"/>
        <w:spacing w:after="0" w:line="267" w:lineRule="auto"/>
        <w:tabs>
          <w:tab w:leader="none" w:pos="2803" w:val="left"/>
        </w:tabs>
        <w:numPr>
          <w:ilvl w:val="1"/>
          <w:numId w:val="4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Successors</w:t>
      </w:r>
      <w:r>
        <w:rPr>
          <w:rFonts w:ascii="Arial" w:cs="Arial" w:eastAsia="Arial" w:hAnsi="Arial"/>
          <w:sz w:val="20"/>
          <w:szCs w:val="20"/>
          <w:color w:val="404040"/>
        </w:rPr>
        <w:t>. The terms of this Agreement shall be binding upon and inure to the benefit of the Company, its successors and assigns, and of Participant and the beneficiaries, executors, administrators, heirs and successors of Participant.</w:t>
      </w:r>
    </w:p>
    <w:p>
      <w:pPr>
        <w:spacing w:after="0" w:line="2" w:lineRule="exact"/>
        <w:rPr>
          <w:rFonts w:ascii="Times New Roman" w:cs="Times New Roman" w:eastAsia="Times New Roman" w:hAnsi="Times New Roman"/>
          <w:sz w:val="18"/>
          <w:szCs w:val="18"/>
          <w:color w:val="auto"/>
        </w:rPr>
      </w:pPr>
    </w:p>
    <w:p>
      <w:pPr>
        <w:ind w:right="60" w:firstLine="1953"/>
        <w:spacing w:after="0" w:line="267" w:lineRule="auto"/>
        <w:tabs>
          <w:tab w:leader="none" w:pos="2803" w:val="left"/>
        </w:tabs>
        <w:numPr>
          <w:ilvl w:val="1"/>
          <w:numId w:val="4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Section 409A</w:t>
      </w:r>
      <w:r>
        <w:rPr>
          <w:rFonts w:ascii="Arial" w:cs="Arial" w:eastAsia="Arial" w:hAnsi="Arial"/>
          <w:sz w:val="20"/>
          <w:szCs w:val="20"/>
          <w:color w:val="404040"/>
        </w:rPr>
        <w:t>. It is intended that the Awards granted pursuant to this Agreement and the provisions of this Agreement be exempt from or be designed such that the taxes and/or penalties under Section 409A of the Code are not imposed, and all provisions of this Agreement shall be construed and interpreted in a manner consistent with the requirements for avoiding taxes or penalties under Section 409A of the Code.</w:t>
      </w:r>
    </w:p>
    <w:p>
      <w:pPr>
        <w:spacing w:after="0" w:line="2" w:lineRule="exact"/>
        <w:rPr>
          <w:rFonts w:ascii="Times New Roman" w:cs="Times New Roman" w:eastAsia="Times New Roman" w:hAnsi="Times New Roman"/>
          <w:sz w:val="18"/>
          <w:szCs w:val="18"/>
          <w:color w:val="auto"/>
        </w:rPr>
      </w:pPr>
    </w:p>
    <w:p>
      <w:pPr>
        <w:jc w:val="both"/>
        <w:ind w:right="140" w:firstLine="1953"/>
        <w:spacing w:after="0" w:line="267" w:lineRule="auto"/>
        <w:tabs>
          <w:tab w:leader="none" w:pos="2763" w:val="left"/>
        </w:tabs>
        <w:numPr>
          <w:ilvl w:val="1"/>
          <w:numId w:val="4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Entire Agreement</w:t>
      </w:r>
      <w:r>
        <w:rPr>
          <w:rFonts w:ascii="Arial" w:cs="Arial" w:eastAsia="Arial" w:hAnsi="Arial"/>
          <w:sz w:val="20"/>
          <w:szCs w:val="20"/>
          <w:color w:val="404040"/>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2" w:lineRule="exact"/>
        <w:rPr>
          <w:rFonts w:ascii="Times New Roman" w:cs="Times New Roman" w:eastAsia="Times New Roman" w:hAnsi="Times New Roman"/>
          <w:sz w:val="18"/>
          <w:szCs w:val="18"/>
          <w:color w:val="auto"/>
        </w:rPr>
      </w:pPr>
    </w:p>
    <w:p>
      <w:pPr>
        <w:ind w:right="260" w:firstLine="1953"/>
        <w:spacing w:after="0" w:line="267" w:lineRule="auto"/>
        <w:tabs>
          <w:tab w:leader="none" w:pos="2763" w:val="left"/>
        </w:tabs>
        <w:numPr>
          <w:ilvl w:val="1"/>
          <w:numId w:val="4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Bound by the Plan</w:t>
      </w:r>
      <w:r>
        <w:rPr>
          <w:rFonts w:ascii="Arial" w:cs="Arial" w:eastAsia="Arial" w:hAnsi="Arial"/>
          <w:sz w:val="20"/>
          <w:szCs w:val="20"/>
          <w:color w:val="404040"/>
        </w:rPr>
        <w:t>. By signing this Agreement, Participant acknowledges that he has received a copy of the Plan and has had an opportunity to review the Plan and agrees to be bound by all the terms and provisions of the Plan.</w:t>
      </w:r>
    </w:p>
    <w:p>
      <w:pPr>
        <w:spacing w:after="0" w:line="2" w:lineRule="exact"/>
        <w:rPr>
          <w:rFonts w:ascii="Times New Roman" w:cs="Times New Roman" w:eastAsia="Times New Roman" w:hAnsi="Times New Roman"/>
          <w:sz w:val="18"/>
          <w:szCs w:val="18"/>
          <w:color w:val="auto"/>
        </w:rPr>
      </w:pPr>
    </w:p>
    <w:p>
      <w:pPr>
        <w:ind w:right="40" w:firstLine="1953"/>
        <w:spacing w:after="0" w:line="267" w:lineRule="auto"/>
        <w:tabs>
          <w:tab w:leader="none" w:pos="2803" w:val="left"/>
        </w:tabs>
        <w:numPr>
          <w:ilvl w:val="1"/>
          <w:numId w:val="4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Governing Law</w:t>
      </w:r>
      <w:r>
        <w:rPr>
          <w:rFonts w:ascii="Arial" w:cs="Arial" w:eastAsia="Arial" w:hAnsi="Arial"/>
          <w:sz w:val="20"/>
          <w:szCs w:val="20"/>
          <w:color w:val="404040"/>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2" w:lineRule="exact"/>
        <w:rPr>
          <w:rFonts w:ascii="Times New Roman" w:cs="Times New Roman" w:eastAsia="Times New Roman" w:hAnsi="Times New Roman"/>
          <w:sz w:val="18"/>
          <w:szCs w:val="18"/>
          <w:color w:val="auto"/>
        </w:rPr>
      </w:pPr>
    </w:p>
    <w:p>
      <w:pPr>
        <w:ind w:right="220" w:firstLine="1953"/>
        <w:spacing w:after="0" w:line="267" w:lineRule="auto"/>
        <w:tabs>
          <w:tab w:leader="none" w:pos="2763" w:val="left"/>
        </w:tabs>
        <w:numPr>
          <w:ilvl w:val="1"/>
          <w:numId w:val="4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Headings</w:t>
      </w:r>
      <w:r>
        <w:rPr>
          <w:rFonts w:ascii="Arial" w:cs="Arial" w:eastAsia="Arial" w:hAnsi="Arial"/>
          <w:sz w:val="20"/>
          <w:szCs w:val="20"/>
          <w:color w:val="404040"/>
        </w:rPr>
        <w:t>. The headings of the Sections hereof are provided for convenience only and are not to serve as a basis for interpretation or construction, and shall not constitute a part, of this Agreement.</w:t>
      </w:r>
    </w:p>
    <w:p>
      <w:pPr>
        <w:spacing w:after="0" w:line="1" w:lineRule="exact"/>
        <w:rPr>
          <w:rFonts w:ascii="Times New Roman" w:cs="Times New Roman" w:eastAsia="Times New Roman" w:hAnsi="Times New Roman"/>
          <w:sz w:val="18"/>
          <w:szCs w:val="18"/>
          <w:color w:val="auto"/>
        </w:rPr>
      </w:pPr>
    </w:p>
    <w:p>
      <w:pPr>
        <w:ind w:right="40" w:firstLine="1953"/>
        <w:spacing w:after="0" w:line="267" w:lineRule="auto"/>
        <w:tabs>
          <w:tab w:leader="none" w:pos="2853" w:val="left"/>
        </w:tabs>
        <w:numPr>
          <w:ilvl w:val="1"/>
          <w:numId w:val="4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Signature in Counterparts</w:t>
      </w:r>
      <w:r>
        <w:rPr>
          <w:rFonts w:ascii="Arial" w:cs="Arial" w:eastAsia="Arial" w:hAnsi="Arial"/>
          <w:sz w:val="20"/>
          <w:szCs w:val="20"/>
          <w:color w:val="404040"/>
        </w:rPr>
        <w:t>. This Agreement may be signed in counterparts, each of which shall be an original, with the same effect as if the signatures thereto and hereto were upon the same instrument.</w:t>
      </w:r>
    </w:p>
    <w:p>
      <w:pPr>
        <w:spacing w:after="0" w:line="1" w:lineRule="exact"/>
        <w:rPr>
          <w:rFonts w:ascii="Times New Roman" w:cs="Times New Roman" w:eastAsia="Times New Roman" w:hAnsi="Times New Roman"/>
          <w:sz w:val="18"/>
          <w:szCs w:val="18"/>
          <w:color w:val="auto"/>
        </w:rPr>
      </w:pPr>
    </w:p>
    <w:p>
      <w:pPr>
        <w:ind w:right="80" w:firstLine="1305"/>
        <w:spacing w:after="0" w:line="272" w:lineRule="auto"/>
        <w:tabs>
          <w:tab w:leader="none" w:pos="217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Compliance with Legal Requirements</w:t>
      </w:r>
      <w:r>
        <w:rPr>
          <w:rFonts w:ascii="Arial" w:cs="Arial" w:eastAsia="Arial" w:hAnsi="Arial"/>
          <w:sz w:val="20"/>
          <w:szCs w:val="20"/>
          <w:color w:val="404040"/>
        </w:rPr>
        <w:t>. The grant of the RSUs, and the delivery of the Shares in settlement thereof and any other obligations of the Company under this Agreement shall be subject to all applicable federal and state laws, rules and regulations and to such approvals by any regulatory or governmental agency as may be required. Subject to Section 9(h) of this Agreement,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404040"/>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71"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404040"/>
        </w:rPr>
        <w:t>IN WITNESS WHEREOF</w:t>
      </w:r>
      <w:r>
        <w:rPr>
          <w:rFonts w:ascii="Arial" w:cs="Arial" w:eastAsia="Arial" w:hAnsi="Arial"/>
          <w:sz w:val="20"/>
          <w:szCs w:val="20"/>
          <w:color w:val="404040"/>
        </w:rPr>
        <w:t>, the parties hereto have executed this Agreement.</w:t>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NMI HOLDINGS,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___________________________________</w:t>
      </w:r>
    </w:p>
    <w:p>
      <w:pPr>
        <w:spacing w:after="0" w:line="25"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By:</w:t>
      </w:r>
    </w:p>
    <w:p>
      <w:pPr>
        <w:ind w:left="3900"/>
        <w:spacing w:after="0"/>
        <w:rPr>
          <w:sz w:val="20"/>
          <w:szCs w:val="20"/>
          <w:color w:val="auto"/>
        </w:rPr>
      </w:pPr>
      <w:r>
        <w:rPr>
          <w:rFonts w:ascii="Arial" w:cs="Arial" w:eastAsia="Arial" w:hAnsi="Arial"/>
          <w:sz w:val="20"/>
          <w:szCs w:val="20"/>
          <w:color w:val="404040"/>
        </w:rPr>
        <w:t>Title: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PARTICIPANT</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404040"/>
        </w:rPr>
        <w:t>[Signature Page to Restricted Stock Unit Award Agreement (Independent Directors)]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71"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04040"/>
        </w:rPr>
        <w:t>NMI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04040"/>
        </w:rPr>
        <w:t>AMENDED AND RESTATED 2014 OMNIBUS INCENTIVE PLAN</w:t>
      </w:r>
    </w:p>
    <w:p>
      <w:pPr>
        <w:jc w:val="center"/>
        <w:spacing w:after="0"/>
        <w:rPr>
          <w:sz w:val="20"/>
          <w:szCs w:val="20"/>
          <w:color w:val="auto"/>
        </w:rPr>
      </w:pPr>
      <w:r>
        <w:rPr>
          <w:rFonts w:ascii="Arial" w:cs="Arial" w:eastAsia="Arial" w:hAnsi="Arial"/>
          <w:sz w:val="20"/>
          <w:szCs w:val="20"/>
          <w:b w:val="1"/>
          <w:bCs w:val="1"/>
          <w:color w:val="404040"/>
        </w:rPr>
        <w:t>NONQUALIFIED STOCK OPTION AGREEMENT</w:t>
      </w:r>
    </w:p>
    <w:p>
      <w:pPr>
        <w:jc w:val="center"/>
        <w:spacing w:after="0"/>
        <w:rPr>
          <w:sz w:val="20"/>
          <w:szCs w:val="20"/>
          <w:color w:val="auto"/>
        </w:rPr>
      </w:pPr>
      <w:r>
        <w:rPr>
          <w:rFonts w:ascii="Arial" w:cs="Arial" w:eastAsia="Arial" w:hAnsi="Arial"/>
          <w:sz w:val="20"/>
          <w:szCs w:val="20"/>
          <w:b w:val="1"/>
          <w:bCs w:val="1"/>
          <w:color w:val="404040"/>
        </w:rPr>
        <w:t>(FOR CEO )</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404040"/>
        </w:rPr>
        <w:t xml:space="preserve">THIS STOCK OPTION AGREEMENT </w:t>
      </w:r>
      <w:r>
        <w:rPr>
          <w:rFonts w:ascii="Arial" w:cs="Arial" w:eastAsia="Arial" w:hAnsi="Arial"/>
          <w:sz w:val="20"/>
          <w:szCs w:val="20"/>
          <w:color w:val="404040"/>
        </w:rPr>
        <w:t>(this “</w:t>
      </w:r>
      <w:r>
        <w:rPr>
          <w:rFonts w:ascii="Arial" w:cs="Arial" w:eastAsia="Arial" w:hAnsi="Arial"/>
          <w:sz w:val="20"/>
          <w:szCs w:val="20"/>
          <w:u w:val="single" w:color="auto"/>
          <w:color w:val="404040"/>
        </w:rPr>
        <w:t>Agreement</w:t>
      </w:r>
      <w:r>
        <w:rPr>
          <w:rFonts w:ascii="Arial" w:cs="Arial" w:eastAsia="Arial" w:hAnsi="Arial"/>
          <w:sz w:val="20"/>
          <w:szCs w:val="20"/>
          <w:color w:val="404040"/>
        </w:rPr>
        <w:t>”), dated as of [•],_____ (the “</w:t>
      </w:r>
      <w:r>
        <w:rPr>
          <w:rFonts w:ascii="Arial" w:cs="Arial" w:eastAsia="Arial" w:hAnsi="Arial"/>
          <w:sz w:val="20"/>
          <w:szCs w:val="20"/>
          <w:u w:val="single" w:color="auto"/>
          <w:color w:val="404040"/>
        </w:rPr>
        <w:t>Grant Date</w:t>
      </w:r>
      <w:r>
        <w:rPr>
          <w:rFonts w:ascii="Arial" w:cs="Arial" w:eastAsia="Arial" w:hAnsi="Arial"/>
          <w:sz w:val="20"/>
          <w:szCs w:val="20"/>
          <w:color w:val="404040"/>
        </w:rPr>
        <w:t>”), is made by and</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404040"/>
        </w:rPr>
        <w:t>between NMI Holdings, Inc., a Delaware corporation (the “</w:t>
      </w:r>
      <w:r>
        <w:rPr>
          <w:rFonts w:ascii="Arial" w:cs="Arial" w:eastAsia="Arial" w:hAnsi="Arial"/>
          <w:sz w:val="20"/>
          <w:szCs w:val="20"/>
          <w:u w:val="single" w:color="auto"/>
          <w:color w:val="404040"/>
        </w:rPr>
        <w:t>Company</w:t>
      </w:r>
      <w:r>
        <w:rPr>
          <w:rFonts w:ascii="Arial" w:cs="Arial" w:eastAsia="Arial" w:hAnsi="Arial"/>
          <w:sz w:val="20"/>
          <w:szCs w:val="20"/>
          <w:color w:val="404040"/>
        </w:rPr>
        <w:t>”), and [NAME] (“</w:t>
      </w:r>
      <w:r>
        <w:rPr>
          <w:rFonts w:ascii="Arial" w:cs="Arial" w:eastAsia="Arial" w:hAnsi="Arial"/>
          <w:sz w:val="20"/>
          <w:szCs w:val="20"/>
          <w:u w:val="single" w:color="auto"/>
          <w:color w:val="404040"/>
        </w:rPr>
        <w:t>Participant</w:t>
      </w:r>
      <w:r>
        <w:rPr>
          <w:rFonts w:ascii="Arial" w:cs="Arial" w:eastAsia="Arial" w:hAnsi="Arial"/>
          <w:sz w:val="20"/>
          <w:szCs w:val="20"/>
          <w:color w:val="404040"/>
        </w:rPr>
        <w:t>”).</w:t>
      </w:r>
    </w:p>
    <w:p>
      <w:pPr>
        <w:spacing w:after="0" w:line="188" w:lineRule="exact"/>
        <w:rPr>
          <w:sz w:val="20"/>
          <w:szCs w:val="20"/>
          <w:color w:val="auto"/>
        </w:rPr>
      </w:pPr>
    </w:p>
    <w:p>
      <w:pPr>
        <w:jc w:val="both"/>
        <w:ind w:right="340" w:firstLine="1297"/>
        <w:spacing w:after="0" w:line="261" w:lineRule="auto"/>
        <w:rPr>
          <w:sz w:val="20"/>
          <w:szCs w:val="20"/>
          <w:color w:val="auto"/>
        </w:rPr>
      </w:pPr>
      <w:r>
        <w:rPr>
          <w:rFonts w:ascii="Arial" w:cs="Arial" w:eastAsia="Arial" w:hAnsi="Arial"/>
          <w:sz w:val="20"/>
          <w:szCs w:val="20"/>
          <w:b w:val="1"/>
          <w:bCs w:val="1"/>
          <w:color w:val="404040"/>
        </w:rPr>
        <w:t>WHEREAS</w:t>
      </w:r>
      <w:r>
        <w:rPr>
          <w:rFonts w:ascii="Arial" w:cs="Arial" w:eastAsia="Arial" w:hAnsi="Arial"/>
          <w:sz w:val="20"/>
          <w:szCs w:val="20"/>
          <w:color w:val="404040"/>
        </w:rPr>
        <w:t>, the Company has adopted the NMI Holdings, Inc. Amended and Restated 2014 Omnibus Incentive</w:t>
      </w:r>
      <w:r>
        <w:rPr>
          <w:rFonts w:ascii="Arial" w:cs="Arial" w:eastAsia="Arial" w:hAnsi="Arial"/>
          <w:sz w:val="20"/>
          <w:szCs w:val="20"/>
          <w:b w:val="1"/>
          <w:bCs w:val="1"/>
          <w:color w:val="404040"/>
        </w:rPr>
        <w:t xml:space="preserve"> </w:t>
      </w:r>
      <w:r>
        <w:rPr>
          <w:rFonts w:ascii="Arial" w:cs="Arial" w:eastAsia="Arial" w:hAnsi="Arial"/>
          <w:sz w:val="20"/>
          <w:szCs w:val="20"/>
          <w:color w:val="404040"/>
        </w:rPr>
        <w:t>Plan (the “</w:t>
      </w:r>
      <w:r>
        <w:rPr>
          <w:rFonts w:ascii="Arial" w:cs="Arial" w:eastAsia="Arial" w:hAnsi="Arial"/>
          <w:sz w:val="20"/>
          <w:szCs w:val="20"/>
          <w:u w:val="single" w:color="auto"/>
          <w:color w:val="404040"/>
        </w:rPr>
        <w:t>Plan</w:t>
      </w:r>
      <w:r>
        <w:rPr>
          <w:rFonts w:ascii="Arial" w:cs="Arial" w:eastAsia="Arial" w:hAnsi="Arial"/>
          <w:sz w:val="20"/>
          <w:szCs w:val="20"/>
          <w:color w:val="404040"/>
        </w:rPr>
        <w:t>”), pursuant to which nonqualified stock options may be granted to purchase shares of the Company’s common stock, par value $0.01 per share (“</w:t>
      </w:r>
      <w:r>
        <w:rPr>
          <w:rFonts w:ascii="Arial" w:cs="Arial" w:eastAsia="Arial" w:hAnsi="Arial"/>
          <w:sz w:val="20"/>
          <w:szCs w:val="20"/>
          <w:u w:val="single" w:color="auto"/>
          <w:color w:val="404040"/>
        </w:rPr>
        <w:t>Common Stock</w:t>
      </w:r>
      <w:r>
        <w:rPr>
          <w:rFonts w:ascii="Arial" w:cs="Arial" w:eastAsia="Arial" w:hAnsi="Arial"/>
          <w:sz w:val="20"/>
          <w:szCs w:val="20"/>
          <w:color w:val="404040"/>
        </w:rPr>
        <w:t>”); and</w:t>
      </w:r>
    </w:p>
    <w:p>
      <w:pPr>
        <w:spacing w:after="0" w:line="155" w:lineRule="exact"/>
        <w:rPr>
          <w:sz w:val="20"/>
          <w:szCs w:val="20"/>
          <w:color w:val="auto"/>
        </w:rPr>
      </w:pPr>
    </w:p>
    <w:p>
      <w:pPr>
        <w:ind w:right="160" w:firstLine="1297"/>
        <w:spacing w:after="0" w:line="261" w:lineRule="auto"/>
        <w:rPr>
          <w:sz w:val="20"/>
          <w:szCs w:val="20"/>
          <w:color w:val="auto"/>
        </w:rPr>
      </w:pPr>
      <w:r>
        <w:rPr>
          <w:rFonts w:ascii="Arial" w:cs="Arial" w:eastAsia="Arial" w:hAnsi="Arial"/>
          <w:sz w:val="20"/>
          <w:szCs w:val="20"/>
          <w:b w:val="1"/>
          <w:bCs w:val="1"/>
          <w:color w:val="404040"/>
        </w:rPr>
        <w:t>WHEREAS</w:t>
      </w:r>
      <w:r>
        <w:rPr>
          <w:rFonts w:ascii="Arial" w:cs="Arial" w:eastAsia="Arial" w:hAnsi="Arial"/>
          <w:sz w:val="20"/>
          <w:szCs w:val="20"/>
          <w:color w:val="404040"/>
        </w:rPr>
        <w:t>, the Committee has determined that it would be in the best interests of the Company and its</w:t>
      </w:r>
      <w:r>
        <w:rPr>
          <w:rFonts w:ascii="Arial" w:cs="Arial" w:eastAsia="Arial" w:hAnsi="Arial"/>
          <w:sz w:val="20"/>
          <w:szCs w:val="20"/>
          <w:b w:val="1"/>
          <w:bCs w:val="1"/>
          <w:color w:val="404040"/>
        </w:rPr>
        <w:t xml:space="preserve"> </w:t>
      </w:r>
      <w:r>
        <w:rPr>
          <w:rFonts w:ascii="Arial" w:cs="Arial" w:eastAsia="Arial" w:hAnsi="Arial"/>
          <w:sz w:val="20"/>
          <w:szCs w:val="20"/>
          <w:color w:val="404040"/>
        </w:rPr>
        <w:t>stockholders to grant Participant nonqualified stock options on the terms and subject to the conditions set forth in this Agreement and the Plan.</w:t>
      </w:r>
    </w:p>
    <w:p>
      <w:pPr>
        <w:spacing w:after="0" w:line="155" w:lineRule="exact"/>
        <w:rPr>
          <w:sz w:val="20"/>
          <w:szCs w:val="20"/>
          <w:color w:val="auto"/>
        </w:rPr>
      </w:pPr>
    </w:p>
    <w:p>
      <w:pPr>
        <w:jc w:val="both"/>
        <w:ind w:right="320" w:firstLine="1297"/>
        <w:spacing w:after="0" w:line="261" w:lineRule="auto"/>
        <w:rPr>
          <w:sz w:val="20"/>
          <w:szCs w:val="20"/>
          <w:color w:val="auto"/>
        </w:rPr>
      </w:pPr>
      <w:r>
        <w:rPr>
          <w:rFonts w:ascii="Arial" w:cs="Arial" w:eastAsia="Arial" w:hAnsi="Arial"/>
          <w:sz w:val="20"/>
          <w:szCs w:val="20"/>
          <w:b w:val="1"/>
          <w:bCs w:val="1"/>
          <w:color w:val="404040"/>
        </w:rPr>
        <w:t>NOW, THEREFORE</w:t>
      </w:r>
      <w:r>
        <w:rPr>
          <w:rFonts w:ascii="Arial" w:cs="Arial" w:eastAsia="Arial" w:hAnsi="Arial"/>
          <w:sz w:val="20"/>
          <w:szCs w:val="20"/>
          <w:color w:val="404040"/>
        </w:rPr>
        <w:t>, for and in consideration of the premises and the covenants of the parties contained in this</w:t>
      </w:r>
      <w:r>
        <w:rPr>
          <w:rFonts w:ascii="Arial" w:cs="Arial" w:eastAsia="Arial" w:hAnsi="Arial"/>
          <w:sz w:val="20"/>
          <w:szCs w:val="20"/>
          <w:b w:val="1"/>
          <w:bCs w:val="1"/>
          <w:color w:val="404040"/>
        </w:rPr>
        <w:t xml:space="preserve"> </w:t>
      </w:r>
      <w:r>
        <w:rPr>
          <w:rFonts w:ascii="Arial" w:cs="Arial" w:eastAsia="Arial" w:hAnsi="Arial"/>
          <w:sz w:val="20"/>
          <w:szCs w:val="20"/>
          <w:color w:val="404040"/>
        </w:rPr>
        <w:t>Agreement, and for other good and valuable consideration, the receipt of which is hereby acknowledged, the parties hereto, for themselves, their successors and assigns, hereby agree as follows:</w:t>
      </w:r>
    </w:p>
    <w:p>
      <w:pPr>
        <w:spacing w:after="0" w:line="170" w:lineRule="exact"/>
        <w:rPr>
          <w:sz w:val="20"/>
          <w:szCs w:val="20"/>
          <w:color w:val="auto"/>
        </w:rPr>
      </w:pPr>
    </w:p>
    <w:p>
      <w:pPr>
        <w:ind w:left="2080" w:hanging="775"/>
        <w:spacing w:after="0"/>
        <w:tabs>
          <w:tab w:leader="none" w:pos="20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Grant of Stock Option</w:t>
      </w:r>
      <w:r>
        <w:rPr>
          <w:rFonts w:ascii="Arial" w:cs="Arial" w:eastAsia="Arial" w:hAnsi="Arial"/>
          <w:sz w:val="20"/>
          <w:szCs w:val="20"/>
          <w:color w:val="404040"/>
        </w:rPr>
        <w:t>.</w:t>
      </w:r>
    </w:p>
    <w:p>
      <w:pPr>
        <w:spacing w:after="0" w:line="39" w:lineRule="exact"/>
        <w:rPr>
          <w:rFonts w:ascii="Times New Roman" w:cs="Times New Roman" w:eastAsia="Times New Roman" w:hAnsi="Times New Roman"/>
          <w:sz w:val="18"/>
          <w:szCs w:val="18"/>
          <w:color w:val="auto"/>
        </w:rPr>
      </w:pPr>
    </w:p>
    <w:p>
      <w:pPr>
        <w:ind w:left="1960" w:right="220" w:hanging="331"/>
        <w:spacing w:after="0" w:line="239" w:lineRule="auto"/>
        <w:tabs>
          <w:tab w:leader="none" w:pos="1960" w:val="left"/>
        </w:tabs>
        <w:numPr>
          <w:ilvl w:val="1"/>
          <w:numId w:val="4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Grant</w:t>
      </w:r>
      <w:r>
        <w:rPr>
          <w:rFonts w:ascii="Arial" w:cs="Arial" w:eastAsia="Arial" w:hAnsi="Arial"/>
          <w:sz w:val="20"/>
          <w:szCs w:val="20"/>
          <w:color w:val="404040"/>
        </w:rPr>
        <w:t>. The Company hereby grants to Participant a nonqualified stock option (the “</w:t>
      </w:r>
      <w:r>
        <w:rPr>
          <w:rFonts w:ascii="Arial" w:cs="Arial" w:eastAsia="Arial" w:hAnsi="Arial"/>
          <w:sz w:val="20"/>
          <w:szCs w:val="20"/>
          <w:u w:val="single" w:color="auto"/>
          <w:color w:val="404040"/>
        </w:rPr>
        <w:t>Stock Option</w:t>
      </w:r>
      <w:r>
        <w:rPr>
          <w:rFonts w:ascii="Arial" w:cs="Arial" w:eastAsia="Arial" w:hAnsi="Arial"/>
          <w:sz w:val="20"/>
          <w:szCs w:val="20"/>
          <w:color w:val="404040"/>
        </w:rPr>
        <w:t>” and any portion thereof, the “</w:t>
      </w:r>
      <w:r>
        <w:rPr>
          <w:rFonts w:ascii="Arial" w:cs="Arial" w:eastAsia="Arial" w:hAnsi="Arial"/>
          <w:sz w:val="20"/>
          <w:szCs w:val="20"/>
          <w:u w:val="single" w:color="auto"/>
          <w:color w:val="404040"/>
        </w:rPr>
        <w:t>Stock Options</w:t>
      </w:r>
      <w:r>
        <w:rPr>
          <w:rFonts w:ascii="Arial" w:cs="Arial" w:eastAsia="Arial" w:hAnsi="Arial"/>
          <w:sz w:val="20"/>
          <w:szCs w:val="20"/>
          <w:color w:val="404040"/>
        </w:rPr>
        <w:t>”) to purchase [•] shares of Common Stock (such shares of Common Stock, the “</w:t>
      </w:r>
      <w:r>
        <w:rPr>
          <w:rFonts w:ascii="Arial" w:cs="Arial" w:eastAsia="Arial" w:hAnsi="Arial"/>
          <w:sz w:val="20"/>
          <w:szCs w:val="20"/>
          <w:u w:val="single" w:color="auto"/>
          <w:color w:val="404040"/>
        </w:rPr>
        <w:t>Shares</w:t>
      </w:r>
      <w:r>
        <w:rPr>
          <w:rFonts w:ascii="Arial" w:cs="Arial" w:eastAsia="Arial" w:hAnsi="Arial"/>
          <w:sz w:val="20"/>
          <w:szCs w:val="20"/>
          <w:color w:val="404040"/>
        </w:rPr>
        <w:t>”), on the terms and conditions set forth in this Agreement and as otherwise provided in the Plan. The Stock Option is not intended to qualify as an incentive stock option within the meaning of Section 422 of the Internal Revenue Code (the “</w:t>
      </w:r>
      <w:r>
        <w:rPr>
          <w:rFonts w:ascii="Arial" w:cs="Arial" w:eastAsia="Arial" w:hAnsi="Arial"/>
          <w:sz w:val="20"/>
          <w:szCs w:val="20"/>
          <w:u w:val="single" w:color="auto"/>
          <w:color w:val="404040"/>
        </w:rPr>
        <w:t>Code</w:t>
      </w:r>
      <w:r>
        <w:rPr>
          <w:rFonts w:ascii="Arial" w:cs="Arial" w:eastAsia="Arial" w:hAnsi="Arial"/>
          <w:sz w:val="20"/>
          <w:szCs w:val="20"/>
          <w:color w:val="404040"/>
        </w:rPr>
        <w:t>”).</w:t>
      </w:r>
    </w:p>
    <w:p>
      <w:pPr>
        <w:spacing w:after="0" w:line="2" w:lineRule="exact"/>
        <w:rPr>
          <w:rFonts w:ascii="Times New Roman" w:cs="Times New Roman" w:eastAsia="Times New Roman" w:hAnsi="Times New Roman"/>
          <w:sz w:val="18"/>
          <w:szCs w:val="18"/>
          <w:color w:val="auto"/>
        </w:rPr>
      </w:pPr>
    </w:p>
    <w:p>
      <w:pPr>
        <w:ind w:left="1960" w:right="300" w:hanging="331"/>
        <w:spacing w:after="0" w:line="243" w:lineRule="auto"/>
        <w:tabs>
          <w:tab w:leader="none" w:pos="1960" w:val="left"/>
        </w:tabs>
        <w:numPr>
          <w:ilvl w:val="1"/>
          <w:numId w:val="4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Incorporation by Reference, Etc</w:t>
      </w:r>
      <w:r>
        <w:rPr>
          <w:rFonts w:ascii="Arial" w:cs="Arial" w:eastAsia="Arial" w:hAnsi="Arial"/>
          <w:sz w:val="20"/>
          <w:szCs w:val="20"/>
          <w:color w:val="404040"/>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ind w:left="2080" w:hanging="775"/>
        <w:spacing w:after="0"/>
        <w:tabs>
          <w:tab w:leader="none" w:pos="20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Stock Option; Exercise Price</w:t>
      </w:r>
      <w:r>
        <w:rPr>
          <w:rFonts w:ascii="Arial" w:cs="Arial" w:eastAsia="Arial" w:hAnsi="Arial"/>
          <w:sz w:val="20"/>
          <w:szCs w:val="20"/>
          <w:color w:val="404040"/>
        </w:rPr>
        <w:t>.</w:t>
      </w:r>
    </w:p>
    <w:p>
      <w:pPr>
        <w:spacing w:after="0" w:line="13" w:lineRule="exact"/>
        <w:rPr>
          <w:rFonts w:ascii="Times New Roman" w:cs="Times New Roman" w:eastAsia="Times New Roman" w:hAnsi="Times New Roman"/>
          <w:sz w:val="18"/>
          <w:szCs w:val="18"/>
          <w:color w:val="auto"/>
        </w:rPr>
      </w:pPr>
    </w:p>
    <w:p>
      <w:pPr>
        <w:ind w:left="1960" w:right="280" w:hanging="331"/>
        <w:spacing w:after="0" w:line="252" w:lineRule="auto"/>
        <w:tabs>
          <w:tab w:leader="none" w:pos="1960" w:val="left"/>
        </w:tabs>
        <w:numPr>
          <w:ilvl w:val="1"/>
          <w:numId w:val="45"/>
        </w:numPr>
        <w:rPr>
          <w:rFonts w:ascii="Times New Roman" w:cs="Times New Roman" w:eastAsia="Times New Roman" w:hAnsi="Times New Roman"/>
          <w:sz w:val="17"/>
          <w:szCs w:val="17"/>
          <w:color w:val="auto"/>
        </w:rPr>
      </w:pPr>
      <w:r>
        <w:rPr>
          <w:rFonts w:ascii="Arial" w:cs="Arial" w:eastAsia="Arial" w:hAnsi="Arial"/>
          <w:sz w:val="19"/>
          <w:szCs w:val="19"/>
          <w:u w:val="single" w:color="auto"/>
          <w:color w:val="404040"/>
        </w:rPr>
        <w:t>Exercise Price</w:t>
      </w:r>
      <w:r>
        <w:rPr>
          <w:rFonts w:ascii="Arial" w:cs="Arial" w:eastAsia="Arial" w:hAnsi="Arial"/>
          <w:sz w:val="19"/>
          <w:szCs w:val="19"/>
          <w:color w:val="404040"/>
        </w:rPr>
        <w:t>. The exercise price, being the price at which Participant shall be entitled to purchase the Shares upon the exercise of all or any of the Stock Options, shall be $[•] per Share (the “</w:t>
      </w:r>
      <w:r>
        <w:rPr>
          <w:rFonts w:ascii="Arial" w:cs="Arial" w:eastAsia="Arial" w:hAnsi="Arial"/>
          <w:sz w:val="19"/>
          <w:szCs w:val="19"/>
          <w:u w:val="single" w:color="auto"/>
          <w:color w:val="404040"/>
        </w:rPr>
        <w:t>Exercise Price</w:t>
      </w:r>
      <w:r>
        <w:rPr>
          <w:rFonts w:ascii="Arial" w:cs="Arial" w:eastAsia="Arial" w:hAnsi="Arial"/>
          <w:sz w:val="19"/>
          <w:szCs w:val="19"/>
          <w:color w:val="404040"/>
        </w:rPr>
        <w:t>”).</w:t>
      </w:r>
    </w:p>
    <w:p>
      <w:pPr>
        <w:ind w:left="1960" w:right="140" w:hanging="331"/>
        <w:spacing w:after="0" w:line="255" w:lineRule="auto"/>
        <w:tabs>
          <w:tab w:leader="none" w:pos="1960" w:val="left"/>
        </w:tabs>
        <w:numPr>
          <w:ilvl w:val="1"/>
          <w:numId w:val="45"/>
        </w:numPr>
        <w:rPr>
          <w:rFonts w:ascii="Times New Roman" w:cs="Times New Roman" w:eastAsia="Times New Roman" w:hAnsi="Times New Roman"/>
          <w:sz w:val="17"/>
          <w:szCs w:val="17"/>
          <w:color w:val="auto"/>
        </w:rPr>
      </w:pPr>
      <w:r>
        <w:rPr>
          <w:rFonts w:ascii="Arial" w:cs="Arial" w:eastAsia="Arial" w:hAnsi="Arial"/>
          <w:sz w:val="19"/>
          <w:szCs w:val="19"/>
          <w:u w:val="single" w:color="auto"/>
          <w:color w:val="404040"/>
        </w:rPr>
        <w:t>Payment of the Exercise Price</w:t>
      </w:r>
      <w:r>
        <w:rPr>
          <w:rFonts w:ascii="Arial" w:cs="Arial" w:eastAsia="Arial" w:hAnsi="Arial"/>
          <w:sz w:val="19"/>
          <w:szCs w:val="19"/>
          <w:color w:val="404040"/>
        </w:rPr>
        <w:t>. The Stock Option may be exercised only by written notice, substantially in the form provided by the Company, delivered in person or by mail in accordance with Section 10(c) hereof and accompanied by payment of the Exercise Price. The Exercise Price shall be payable in cash, or, to the extent approved by the Committee, by any of the other methods permitted under Section 5(g) of the Plan.</w:t>
      </w:r>
    </w:p>
    <w:p>
      <w:pPr>
        <w:spacing w:after="0" w:line="3" w:lineRule="exact"/>
        <w:rPr>
          <w:rFonts w:ascii="Times New Roman" w:cs="Times New Roman" w:eastAsia="Times New Roman" w:hAnsi="Times New Roman"/>
          <w:sz w:val="17"/>
          <w:szCs w:val="17"/>
          <w:color w:val="auto"/>
        </w:rPr>
      </w:pPr>
    </w:p>
    <w:p>
      <w:pPr>
        <w:ind w:right="140" w:firstLine="1305"/>
        <w:spacing w:after="0" w:line="263" w:lineRule="auto"/>
        <w:tabs>
          <w:tab w:leader="none" w:pos="20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Vesting</w:t>
      </w:r>
      <w:r>
        <w:rPr>
          <w:rFonts w:ascii="Arial" w:cs="Arial" w:eastAsia="Arial" w:hAnsi="Arial"/>
          <w:sz w:val="20"/>
          <w:szCs w:val="20"/>
          <w:color w:val="404040"/>
        </w:rPr>
        <w:t>. Except as may otherwise be provided herein, the Stock Option shall become vested (any Stock Options that shall have become non-forfeitable pursuant to this Section 3, the “</w:t>
      </w:r>
      <w:r>
        <w:rPr>
          <w:rFonts w:ascii="Arial" w:cs="Arial" w:eastAsia="Arial" w:hAnsi="Arial"/>
          <w:sz w:val="20"/>
          <w:szCs w:val="20"/>
          <w:u w:val="single" w:color="auto"/>
          <w:color w:val="404040"/>
        </w:rPr>
        <w:t>Vested Options</w:t>
      </w:r>
      <w:r>
        <w:rPr>
          <w:rFonts w:ascii="Arial" w:cs="Arial" w:eastAsia="Arial" w:hAnsi="Arial"/>
          <w:sz w:val="20"/>
          <w:szCs w:val="20"/>
          <w:color w:val="404040"/>
        </w:rPr>
        <w:t>”) and exercisable according to the following provisions, subject to Participant’s continued employment with the Company as of any such date:</w:t>
      </w:r>
    </w:p>
    <w:p>
      <w:pPr>
        <w:ind w:left="1960" w:right="140" w:hanging="331"/>
        <w:spacing w:after="0" w:line="239" w:lineRule="auto"/>
        <w:tabs>
          <w:tab w:leader="none" w:pos="1960" w:val="left"/>
        </w:tabs>
        <w:numPr>
          <w:ilvl w:val="1"/>
          <w:numId w:val="4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General Vesting</w:t>
      </w:r>
      <w:r>
        <w:rPr>
          <w:rFonts w:ascii="Arial" w:cs="Arial" w:eastAsia="Arial" w:hAnsi="Arial"/>
          <w:sz w:val="20"/>
          <w:szCs w:val="20"/>
          <w:color w:val="404040"/>
        </w:rPr>
        <w:t>. (i) One-third of the Stock Options (rounded down to the nearest whole Share) shall become Vested Options and shall become exercisable on the first anniversary of the Grant Date, (ii) one-third of the Stock Options (rounded down to the nearest whole Share) shall become Vested Options and shall become exercisable on the second anniversary of the Grant Date and (iii) the remainder of the Stock Options shall become Vested Options and shall become exercisable on the third anniversary of the Grant Date, in the case of each of clauses (i), (ii) and (iii), subject to Participant not having incurred a Termination of Employment prior to the applicable vesting date.</w:t>
      </w:r>
    </w:p>
    <w:p>
      <w:pPr>
        <w:spacing w:after="0" w:line="3" w:lineRule="exact"/>
        <w:rPr>
          <w:rFonts w:ascii="Times New Roman" w:cs="Times New Roman" w:eastAsia="Times New Roman" w:hAnsi="Times New Roman"/>
          <w:sz w:val="18"/>
          <w:szCs w:val="18"/>
          <w:color w:val="auto"/>
        </w:rPr>
      </w:pPr>
    </w:p>
    <w:p>
      <w:pPr>
        <w:ind w:left="1960" w:right="420" w:hanging="331"/>
        <w:spacing w:after="0" w:line="253" w:lineRule="auto"/>
        <w:tabs>
          <w:tab w:leader="none" w:pos="1960" w:val="left"/>
        </w:tabs>
        <w:numPr>
          <w:ilvl w:val="1"/>
          <w:numId w:val="4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Termination of Employment</w:t>
      </w:r>
      <w:r>
        <w:rPr>
          <w:rFonts w:ascii="Arial" w:cs="Arial" w:eastAsia="Arial" w:hAnsi="Arial"/>
          <w:sz w:val="20"/>
          <w:szCs w:val="20"/>
          <w:color w:val="404040"/>
        </w:rPr>
        <w:t>. Except as provided in the immediately following sentence, in the event that Participant incurs a Termination of Employment, any Stock Options that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71"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99" w:lineRule="exact"/>
        <w:rPr>
          <w:sz w:val="20"/>
          <w:szCs w:val="20"/>
          <w:color w:val="auto"/>
        </w:rPr>
      </w:pPr>
    </w:p>
    <w:p>
      <w:pPr>
        <w:ind w:left="1960"/>
        <w:spacing w:after="0" w:line="268" w:lineRule="auto"/>
        <w:rPr>
          <w:sz w:val="20"/>
          <w:szCs w:val="20"/>
          <w:color w:val="auto"/>
        </w:rPr>
      </w:pPr>
      <w:r>
        <w:rPr>
          <w:rFonts w:ascii="Arial" w:cs="Arial" w:eastAsia="Arial" w:hAnsi="Arial"/>
          <w:sz w:val="20"/>
          <w:szCs w:val="20"/>
          <w:color w:val="404040"/>
        </w:rPr>
        <w:t>have not theretofore become Vested Options (such Stock Options, the “</w:t>
      </w:r>
      <w:r>
        <w:rPr>
          <w:rFonts w:ascii="Arial" w:cs="Arial" w:eastAsia="Arial" w:hAnsi="Arial"/>
          <w:sz w:val="20"/>
          <w:szCs w:val="20"/>
          <w:u w:val="single" w:color="auto"/>
          <w:color w:val="404040"/>
        </w:rPr>
        <w:t>Unvested Options</w:t>
      </w:r>
      <w:r>
        <w:rPr>
          <w:rFonts w:ascii="Arial" w:cs="Arial" w:eastAsia="Arial" w:hAnsi="Arial"/>
          <w:sz w:val="20"/>
          <w:szCs w:val="20"/>
          <w:color w:val="404040"/>
        </w:rPr>
        <w:t>”) shall be forfeited by Participant without consideration therefor. Notwithstanding the foregoing, in the event Participant incurs a Termination of Employment (i) as a result of termination by the Company or its Affiliate without “Cause” (as defined in Participant’s employment agreement with the Company dated as of December 23, 2015 without regard to the earlier expiration of such agreement (the “</w:t>
      </w:r>
      <w:r>
        <w:rPr>
          <w:rFonts w:ascii="Arial" w:cs="Arial" w:eastAsia="Arial" w:hAnsi="Arial"/>
          <w:sz w:val="20"/>
          <w:szCs w:val="20"/>
          <w:u w:val="single" w:color="auto"/>
          <w:color w:val="404040"/>
        </w:rPr>
        <w:t>Employment Agreement</w:t>
      </w:r>
      <w:r>
        <w:rPr>
          <w:rFonts w:ascii="Arial" w:cs="Arial" w:eastAsia="Arial" w:hAnsi="Arial"/>
          <w:sz w:val="20"/>
          <w:szCs w:val="20"/>
          <w:color w:val="404040"/>
        </w:rPr>
        <w:t>”)) or by the Participant for “Good Reason” (as defined in Participant’s Employment Agreement), subject to Participant having served as an employee of the Company or its Affiliate for at least one year, any Unvested Options that are outstanding immediately prior to such Termination of Employment shall vest in full effective as of the date of Termination of Employment, or (ii) due to Participant’s death or “Disability” (as defined in the Employment Agreement), any Unvested Options that are outstanding immediately prior to such Termination of Employment and that would have vested on the next vesting date shall vest pro-rata as of the date of the Participant’s Termination of Employment with the number of Unvested Options vesting to be determined by multiplying the number of Unvested Options that would have vested on the next vesting date by a fraction, the numerator of which is the number of days between the prior vesting date (or Grant Date if no vesting date occurred prior to Participant’s Termination of Employment) and the date of Participant’s Termination of Employment and the denominator of which is 365.</w:t>
      </w:r>
    </w:p>
    <w:p>
      <w:pPr>
        <w:spacing w:after="0" w:line="9" w:lineRule="exact"/>
        <w:rPr>
          <w:sz w:val="20"/>
          <w:szCs w:val="20"/>
          <w:color w:val="auto"/>
        </w:rPr>
      </w:pPr>
    </w:p>
    <w:p>
      <w:pPr>
        <w:ind w:left="1620" w:hanging="315"/>
        <w:spacing w:after="0"/>
        <w:tabs>
          <w:tab w:leader="none" w:pos="16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Termination</w:t>
      </w:r>
      <w:r>
        <w:rPr>
          <w:rFonts w:ascii="Arial" w:cs="Arial" w:eastAsia="Arial" w:hAnsi="Arial"/>
          <w:sz w:val="20"/>
          <w:szCs w:val="20"/>
          <w:color w:val="404040"/>
        </w:rPr>
        <w:t>.</w:t>
      </w:r>
    </w:p>
    <w:p>
      <w:pPr>
        <w:ind w:left="1960" w:right="120" w:hanging="331"/>
        <w:spacing w:after="0" w:line="246" w:lineRule="auto"/>
        <w:tabs>
          <w:tab w:leader="none" w:pos="1960" w:val="left"/>
        </w:tabs>
        <w:numPr>
          <w:ilvl w:val="1"/>
          <w:numId w:val="46"/>
        </w:numPr>
        <w:rPr>
          <w:rFonts w:ascii="Times New Roman" w:cs="Times New Roman" w:eastAsia="Times New Roman" w:hAnsi="Times New Roman"/>
          <w:sz w:val="18"/>
          <w:szCs w:val="18"/>
          <w:color w:val="auto"/>
        </w:rPr>
      </w:pPr>
      <w:r>
        <w:rPr>
          <w:rFonts w:ascii="Arial" w:cs="Arial" w:eastAsia="Arial" w:hAnsi="Arial"/>
          <w:sz w:val="20"/>
          <w:szCs w:val="20"/>
          <w:color w:val="404040"/>
        </w:rPr>
        <w:t>The Stock Option shall automatically terminate and shall become null and void, be unexercisable and be of no further force and effect upon the earliest of:</w:t>
      </w:r>
    </w:p>
    <w:p>
      <w:pPr>
        <w:spacing w:after="0" w:line="1" w:lineRule="exact"/>
        <w:rPr>
          <w:rFonts w:ascii="Times New Roman" w:cs="Times New Roman" w:eastAsia="Times New Roman" w:hAnsi="Times New Roman"/>
          <w:sz w:val="18"/>
          <w:szCs w:val="18"/>
          <w:color w:val="auto"/>
        </w:rPr>
      </w:pPr>
    </w:p>
    <w:p>
      <w:pPr>
        <w:ind w:left="3420" w:hanging="819"/>
        <w:spacing w:after="0"/>
        <w:tabs>
          <w:tab w:leader="none" w:pos="3420" w:val="left"/>
        </w:tabs>
        <w:numPr>
          <w:ilvl w:val="2"/>
          <w:numId w:val="46"/>
        </w:numPr>
        <w:rPr>
          <w:rFonts w:ascii="Times New Roman" w:cs="Times New Roman" w:eastAsia="Times New Roman" w:hAnsi="Times New Roman"/>
          <w:sz w:val="18"/>
          <w:szCs w:val="18"/>
          <w:color w:val="auto"/>
        </w:rPr>
      </w:pPr>
      <w:r>
        <w:rPr>
          <w:rFonts w:ascii="Arial" w:cs="Arial" w:eastAsia="Arial" w:hAnsi="Arial"/>
          <w:sz w:val="20"/>
          <w:szCs w:val="20"/>
          <w:color w:val="404040"/>
        </w:rPr>
        <w:t>the tenth anniversary of the Grant Date;</w:t>
      </w:r>
    </w:p>
    <w:p>
      <w:pPr>
        <w:spacing w:after="0" w:line="13" w:lineRule="exact"/>
        <w:rPr>
          <w:rFonts w:ascii="Times New Roman" w:cs="Times New Roman" w:eastAsia="Times New Roman" w:hAnsi="Times New Roman"/>
          <w:sz w:val="18"/>
          <w:szCs w:val="18"/>
          <w:color w:val="auto"/>
        </w:rPr>
      </w:pPr>
    </w:p>
    <w:p>
      <w:pPr>
        <w:ind w:right="360" w:firstLine="2601"/>
        <w:spacing w:after="0" w:line="267" w:lineRule="auto"/>
        <w:tabs>
          <w:tab w:leader="none" w:pos="3461" w:val="left"/>
        </w:tabs>
        <w:numPr>
          <w:ilvl w:val="2"/>
          <w:numId w:val="46"/>
        </w:numPr>
        <w:rPr>
          <w:rFonts w:ascii="Times New Roman" w:cs="Times New Roman" w:eastAsia="Times New Roman" w:hAnsi="Times New Roman"/>
          <w:sz w:val="18"/>
          <w:szCs w:val="18"/>
          <w:color w:val="auto"/>
        </w:rPr>
      </w:pPr>
      <w:r>
        <w:rPr>
          <w:rFonts w:ascii="Arial" w:cs="Arial" w:eastAsia="Arial" w:hAnsi="Arial"/>
          <w:sz w:val="20"/>
          <w:szCs w:val="20"/>
          <w:color w:val="404040"/>
        </w:rPr>
        <w:t>the first anniversary following Participant’s Termination of Employment, in the case of a Termination of Employment due to death or Disability;</w:t>
      </w:r>
    </w:p>
    <w:p>
      <w:pPr>
        <w:spacing w:after="0" w:line="1" w:lineRule="exact"/>
        <w:rPr>
          <w:rFonts w:ascii="Times New Roman" w:cs="Times New Roman" w:eastAsia="Times New Roman" w:hAnsi="Times New Roman"/>
          <w:sz w:val="18"/>
          <w:szCs w:val="18"/>
          <w:color w:val="auto"/>
        </w:rPr>
      </w:pPr>
    </w:p>
    <w:p>
      <w:pPr>
        <w:ind w:left="3520" w:hanging="919"/>
        <w:spacing w:after="0" w:line="181" w:lineRule="auto"/>
        <w:tabs>
          <w:tab w:leader="none" w:pos="3520" w:val="left"/>
        </w:tabs>
        <w:numPr>
          <w:ilvl w:val="2"/>
          <w:numId w:val="46"/>
        </w:numPr>
        <w:rPr>
          <w:rFonts w:ascii="Times New Roman" w:cs="Times New Roman" w:eastAsia="Times New Roman" w:hAnsi="Times New Roman"/>
          <w:sz w:val="17"/>
          <w:szCs w:val="17"/>
          <w:color w:val="auto"/>
        </w:rPr>
      </w:pPr>
      <w:r>
        <w:rPr>
          <w:rFonts w:ascii="Arial" w:cs="Arial" w:eastAsia="Arial" w:hAnsi="Arial"/>
          <w:sz w:val="19"/>
          <w:szCs w:val="19"/>
          <w:color w:val="404040"/>
        </w:rPr>
        <w:t>the 90</w:t>
      </w:r>
      <w:r>
        <w:rPr>
          <w:rFonts w:ascii="Arial" w:cs="Arial" w:eastAsia="Arial" w:hAnsi="Arial"/>
          <w:sz w:val="31"/>
          <w:szCs w:val="31"/>
          <w:color w:val="404040"/>
          <w:vertAlign w:val="superscript"/>
        </w:rPr>
        <w:t>th</w:t>
      </w:r>
      <w:r>
        <w:rPr>
          <w:rFonts w:ascii="Arial" w:cs="Arial" w:eastAsia="Arial" w:hAnsi="Arial"/>
          <w:sz w:val="19"/>
          <w:szCs w:val="19"/>
          <w:color w:val="404040"/>
        </w:rPr>
        <w:t xml:space="preserve"> day following Participant’s Termination of Employment in the case of a</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Arial" w:cs="Arial" w:eastAsia="Arial" w:hAnsi="Arial"/>
          <w:sz w:val="20"/>
          <w:szCs w:val="20"/>
          <w:color w:val="404040"/>
        </w:rPr>
        <w:t>Termination of Employment without Cause or by the Participant for Good Reason;</w:t>
      </w:r>
    </w:p>
    <w:p>
      <w:pPr>
        <w:spacing w:after="0" w:line="13" w:lineRule="exact"/>
        <w:rPr>
          <w:rFonts w:ascii="Times New Roman" w:cs="Times New Roman" w:eastAsia="Times New Roman" w:hAnsi="Times New Roman"/>
          <w:sz w:val="17"/>
          <w:szCs w:val="17"/>
          <w:color w:val="auto"/>
        </w:rPr>
      </w:pPr>
    </w:p>
    <w:p>
      <w:pPr>
        <w:ind w:right="1040" w:firstLine="2601"/>
        <w:spacing w:after="0" w:line="202" w:lineRule="auto"/>
        <w:tabs>
          <w:tab w:leader="none" w:pos="3501" w:val="left"/>
        </w:tabs>
        <w:numPr>
          <w:ilvl w:val="2"/>
          <w:numId w:val="46"/>
        </w:numPr>
        <w:rPr>
          <w:rFonts w:ascii="Times New Roman" w:cs="Times New Roman" w:eastAsia="Times New Roman" w:hAnsi="Times New Roman"/>
          <w:sz w:val="18"/>
          <w:szCs w:val="18"/>
          <w:color w:val="auto"/>
        </w:rPr>
      </w:pPr>
      <w:r>
        <w:rPr>
          <w:rFonts w:ascii="Arial" w:cs="Arial" w:eastAsia="Arial" w:hAnsi="Arial"/>
          <w:sz w:val="20"/>
          <w:szCs w:val="20"/>
          <w:color w:val="404040"/>
        </w:rPr>
        <w:t>the 30</w:t>
      </w:r>
      <w:r>
        <w:rPr>
          <w:rFonts w:ascii="Arial" w:cs="Arial" w:eastAsia="Arial" w:hAnsi="Arial"/>
          <w:sz w:val="33"/>
          <w:szCs w:val="33"/>
          <w:color w:val="404040"/>
          <w:vertAlign w:val="superscript"/>
        </w:rPr>
        <w:t>th</w:t>
      </w:r>
      <w:r>
        <w:rPr>
          <w:rFonts w:ascii="Arial" w:cs="Arial" w:eastAsia="Arial" w:hAnsi="Arial"/>
          <w:sz w:val="20"/>
          <w:szCs w:val="20"/>
          <w:color w:val="404040"/>
        </w:rPr>
        <w:t xml:space="preserve"> day following Participant’s Termination of Employment in the case of a Termination of Employment by the Participant without Good Reason; and</w:t>
      </w:r>
    </w:p>
    <w:p>
      <w:pPr>
        <w:ind w:left="3460" w:hanging="859"/>
        <w:spacing w:after="0"/>
        <w:tabs>
          <w:tab w:leader="none" w:pos="3460" w:val="left"/>
        </w:tabs>
        <w:numPr>
          <w:ilvl w:val="2"/>
          <w:numId w:val="46"/>
        </w:numPr>
        <w:rPr>
          <w:rFonts w:ascii="Times New Roman" w:cs="Times New Roman" w:eastAsia="Times New Roman" w:hAnsi="Times New Roman"/>
          <w:sz w:val="18"/>
          <w:szCs w:val="18"/>
          <w:color w:val="auto"/>
        </w:rPr>
      </w:pPr>
      <w:r>
        <w:rPr>
          <w:rFonts w:ascii="Arial" w:cs="Arial" w:eastAsia="Arial" w:hAnsi="Arial"/>
          <w:sz w:val="20"/>
          <w:szCs w:val="20"/>
          <w:color w:val="404040"/>
        </w:rPr>
        <w:t>the day of Participant’s Termination of Employment in the case of a Termination of</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20"/>
          <w:szCs w:val="20"/>
          <w:color w:val="404040"/>
        </w:rPr>
        <w:t>Employment for Cause.</w:t>
      </w:r>
    </w:p>
    <w:p>
      <w:pPr>
        <w:spacing w:after="0" w:line="26" w:lineRule="exact"/>
        <w:rPr>
          <w:rFonts w:ascii="Times New Roman" w:cs="Times New Roman" w:eastAsia="Times New Roman" w:hAnsi="Times New Roman"/>
          <w:sz w:val="18"/>
          <w:szCs w:val="18"/>
          <w:color w:val="auto"/>
        </w:rPr>
      </w:pPr>
    </w:p>
    <w:p>
      <w:pPr>
        <w:ind w:left="1960" w:right="80" w:hanging="331"/>
        <w:spacing w:after="0" w:line="239" w:lineRule="auto"/>
        <w:tabs>
          <w:tab w:leader="none" w:pos="1960" w:val="left"/>
        </w:tabs>
        <w:numPr>
          <w:ilvl w:val="1"/>
          <w:numId w:val="46"/>
        </w:numPr>
        <w:rPr>
          <w:rFonts w:ascii="Times New Roman" w:cs="Times New Roman" w:eastAsia="Times New Roman" w:hAnsi="Times New Roman"/>
          <w:sz w:val="18"/>
          <w:szCs w:val="18"/>
          <w:color w:val="auto"/>
        </w:rPr>
      </w:pPr>
      <w:r>
        <w:rPr>
          <w:rFonts w:ascii="Arial" w:cs="Arial" w:eastAsia="Arial" w:hAnsi="Arial"/>
          <w:sz w:val="20"/>
          <w:szCs w:val="20"/>
          <w:color w:val="404040"/>
        </w:rPr>
        <w:t>Notwithstanding the provisions of Section 4(a) to the contrary, in the event of Participant’s Termination of Employment for any reason (other than due to a Termination of Employment for Cause) during the two-year period following a Change in Control, the Stock Option shall remain outstanding and exercisable until the earlier of (i) the tenth anniversary of the Grant Date and (ii) the fifth anniversary of such Termination of Employment.</w:t>
      </w:r>
    </w:p>
    <w:p>
      <w:pPr>
        <w:spacing w:after="0" w:line="2" w:lineRule="exact"/>
        <w:rPr>
          <w:rFonts w:ascii="Times New Roman" w:cs="Times New Roman" w:eastAsia="Times New Roman" w:hAnsi="Times New Roman"/>
          <w:sz w:val="18"/>
          <w:szCs w:val="18"/>
          <w:color w:val="auto"/>
        </w:rPr>
      </w:pPr>
    </w:p>
    <w:p>
      <w:pPr>
        <w:ind w:left="1960" w:right="60" w:hanging="331"/>
        <w:spacing w:after="0" w:line="244" w:lineRule="auto"/>
        <w:tabs>
          <w:tab w:leader="none" w:pos="1960" w:val="left"/>
        </w:tabs>
        <w:numPr>
          <w:ilvl w:val="1"/>
          <w:numId w:val="46"/>
        </w:numPr>
        <w:rPr>
          <w:rFonts w:ascii="Times New Roman" w:cs="Times New Roman" w:eastAsia="Times New Roman" w:hAnsi="Times New Roman"/>
          <w:sz w:val="18"/>
          <w:szCs w:val="18"/>
          <w:color w:val="auto"/>
        </w:rPr>
      </w:pPr>
      <w:r>
        <w:rPr>
          <w:rFonts w:ascii="Arial" w:cs="Arial" w:eastAsia="Arial" w:hAnsi="Arial"/>
          <w:sz w:val="20"/>
          <w:szCs w:val="20"/>
          <w:color w:val="404040"/>
        </w:rPr>
        <w:t>Except as otherwise provided in the Plan and Section 3(b) of this Agreement, upon a Termination of Employment for any reason, any Unvested Options shall immediately terminate and be forfeited on the date the Termination of Employment occurs.</w:t>
      </w:r>
    </w:p>
    <w:p>
      <w:pPr>
        <w:ind w:right="60" w:firstLine="1305"/>
        <w:spacing w:after="0" w:line="265" w:lineRule="auto"/>
        <w:tabs>
          <w:tab w:leader="none" w:pos="208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Compliance with Legal Requirements</w:t>
      </w:r>
      <w:r>
        <w:rPr>
          <w:rFonts w:ascii="Arial" w:cs="Arial" w:eastAsia="Arial" w:hAnsi="Arial"/>
          <w:sz w:val="20"/>
          <w:szCs w:val="20"/>
          <w:color w:val="404040"/>
        </w:rPr>
        <w:t>. The grant and exercise of the Stock Option, the delivery of Shares upon exercise and any other obligations of the Company under this Agreement shall be subject to all applicable federal and state laws, rules and regulations and to such approvals by any regulatory or governmental agency as may be required.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2" w:lineRule="exact"/>
        <w:rPr>
          <w:rFonts w:ascii="Times New Roman" w:cs="Times New Roman" w:eastAsia="Times New Roman" w:hAnsi="Times New Roman"/>
          <w:sz w:val="18"/>
          <w:szCs w:val="18"/>
          <w:color w:val="auto"/>
        </w:rPr>
      </w:pPr>
    </w:p>
    <w:p>
      <w:pPr>
        <w:ind w:right="100" w:firstLine="1305"/>
        <w:spacing w:after="0" w:line="274" w:lineRule="auto"/>
        <w:tabs>
          <w:tab w:leader="none" w:pos="208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Transferability</w:t>
      </w:r>
      <w:r>
        <w:rPr>
          <w:rFonts w:ascii="Arial" w:cs="Arial" w:eastAsia="Arial" w:hAnsi="Arial"/>
          <w:sz w:val="20"/>
          <w:szCs w:val="20"/>
          <w:color w:val="404040"/>
        </w:rPr>
        <w:t xml:space="preserve">. The Stock Option may not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Subsidiaries or Affiliates;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that the designation of a beneficiary shall not constitute an assignment, alienation, pledge, attachment, sale, transfer or encumbrance.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71"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99" w:lineRule="exact"/>
        <w:rPr>
          <w:sz w:val="20"/>
          <w:szCs w:val="20"/>
          <w:color w:val="auto"/>
        </w:rPr>
      </w:pPr>
    </w:p>
    <w:p>
      <w:pPr>
        <w:ind w:right="540" w:firstLine="1305"/>
        <w:spacing w:after="0" w:line="274" w:lineRule="auto"/>
        <w:tabs>
          <w:tab w:leader="none" w:pos="208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Adjustment</w:t>
      </w:r>
      <w:r>
        <w:rPr>
          <w:rFonts w:ascii="Arial" w:cs="Arial" w:eastAsia="Arial" w:hAnsi="Arial"/>
          <w:sz w:val="20"/>
          <w:szCs w:val="20"/>
          <w:color w:val="404040"/>
        </w:rPr>
        <w:t>. Upon any event described in Section 3(d) of the Plan occurring after the Grant Date, the adjustment provisions as provided for under Section 3(d) of the Plan shall apply to the Stock Option.</w:t>
      </w:r>
    </w:p>
    <w:p>
      <w:pPr>
        <w:ind w:firstLine="1305"/>
        <w:spacing w:after="0" w:line="267" w:lineRule="auto"/>
        <w:tabs>
          <w:tab w:leader="none" w:pos="208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Change in Control</w:t>
      </w:r>
      <w:r>
        <w:rPr>
          <w:rFonts w:ascii="Arial" w:cs="Arial" w:eastAsia="Arial" w:hAnsi="Arial"/>
          <w:sz w:val="20"/>
          <w:szCs w:val="20"/>
          <w:color w:val="404040"/>
        </w:rPr>
        <w:t>. In the event of a Change in Control of the Company occurring after the Grant Date, any outstanding Stock Options that are not then Vested Options shall become fully vested and exercisable immediately upon the occurrence of such Change in Control.</w:t>
      </w:r>
    </w:p>
    <w:p>
      <w:pPr>
        <w:spacing w:after="0" w:line="2" w:lineRule="exact"/>
        <w:rPr>
          <w:rFonts w:ascii="Times New Roman" w:cs="Times New Roman" w:eastAsia="Times New Roman" w:hAnsi="Times New Roman"/>
          <w:sz w:val="18"/>
          <w:szCs w:val="18"/>
          <w:color w:val="auto"/>
        </w:rPr>
      </w:pPr>
    </w:p>
    <w:p>
      <w:pPr>
        <w:ind w:right="260" w:firstLine="1305"/>
        <w:spacing w:after="0" w:line="267" w:lineRule="auto"/>
        <w:tabs>
          <w:tab w:leader="none" w:pos="208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Tax Withholding</w:t>
      </w:r>
      <w:r>
        <w:rPr>
          <w:rFonts w:ascii="Arial" w:cs="Arial" w:eastAsia="Arial" w:hAnsi="Arial"/>
          <w:sz w:val="20"/>
          <w:szCs w:val="20"/>
          <w:color w:val="404040"/>
        </w:rPr>
        <w:t>. As a condition to exercising the Stock Option, in whole or in part, Participant will pay to the Company, or, to the extent approved by the Committee, make provisions satisfactory to the Company for payment of any federal, state or local tax in respect of the exercise or the transfer of the Shares pursuant to Section 15(d) of the Plan.</w:t>
      </w:r>
    </w:p>
    <w:p>
      <w:pPr>
        <w:spacing w:after="0" w:line="2" w:lineRule="exact"/>
        <w:rPr>
          <w:rFonts w:ascii="Times New Roman" w:cs="Times New Roman" w:eastAsia="Times New Roman" w:hAnsi="Times New Roman"/>
          <w:sz w:val="18"/>
          <w:szCs w:val="18"/>
          <w:color w:val="auto"/>
        </w:rPr>
      </w:pPr>
    </w:p>
    <w:p>
      <w:pPr>
        <w:ind w:left="2180" w:hanging="875"/>
        <w:spacing w:after="0"/>
        <w:tabs>
          <w:tab w:leader="none" w:pos="218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Miscellaneous</w:t>
      </w:r>
      <w:r>
        <w:rPr>
          <w:rFonts w:ascii="Arial" w:cs="Arial" w:eastAsia="Arial" w:hAnsi="Arial"/>
          <w:sz w:val="20"/>
          <w:szCs w:val="20"/>
          <w:color w:val="404040"/>
        </w:rPr>
        <w:t>.</w:t>
      </w:r>
    </w:p>
    <w:p>
      <w:pPr>
        <w:spacing w:after="0" w:line="26" w:lineRule="exact"/>
        <w:rPr>
          <w:rFonts w:ascii="Times New Roman" w:cs="Times New Roman" w:eastAsia="Times New Roman" w:hAnsi="Times New Roman"/>
          <w:sz w:val="18"/>
          <w:szCs w:val="18"/>
          <w:color w:val="auto"/>
        </w:rPr>
      </w:pPr>
    </w:p>
    <w:p>
      <w:pPr>
        <w:ind w:left="1960" w:right="40" w:hanging="331"/>
        <w:spacing w:after="0" w:line="239" w:lineRule="auto"/>
        <w:tabs>
          <w:tab w:leader="none" w:pos="1960" w:val="left"/>
        </w:tabs>
        <w:numPr>
          <w:ilvl w:val="1"/>
          <w:numId w:val="47"/>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Waiver and Amendment</w:t>
      </w:r>
      <w:r>
        <w:rPr>
          <w:rFonts w:ascii="Arial" w:cs="Arial" w:eastAsia="Arial" w:hAnsi="Arial"/>
          <w:sz w:val="20"/>
          <w:szCs w:val="20"/>
          <w:color w:val="404040"/>
        </w:rPr>
        <w:t xml:space="preserve">. The Committee may waive any conditions or rights under, or amend any terms of, this Agreement and the Stock Option granted thereunder;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that any such waiver or amendment that would materially impair the rights of any Participant or any holder or beneficiary of any Stock Option granted 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4" w:lineRule="exact"/>
        <w:rPr>
          <w:rFonts w:ascii="Times New Roman" w:cs="Times New Roman" w:eastAsia="Times New Roman" w:hAnsi="Times New Roman"/>
          <w:sz w:val="18"/>
          <w:szCs w:val="18"/>
          <w:color w:val="auto"/>
        </w:rPr>
      </w:pPr>
    </w:p>
    <w:p>
      <w:pPr>
        <w:ind w:left="1960" w:right="40" w:hanging="331"/>
        <w:spacing w:after="0" w:line="239" w:lineRule="auto"/>
        <w:tabs>
          <w:tab w:leader="none" w:pos="1960" w:val="left"/>
        </w:tabs>
        <w:numPr>
          <w:ilvl w:val="1"/>
          <w:numId w:val="47"/>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Notices</w:t>
      </w:r>
      <w:r>
        <w:rPr>
          <w:rFonts w:ascii="Arial" w:cs="Arial" w:eastAsia="Arial" w:hAnsi="Arial"/>
          <w:sz w:val="20"/>
          <w:szCs w:val="20"/>
          <w:color w:val="404040"/>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Arial" w:cs="Arial" w:eastAsia="Arial" w:hAnsi="Arial"/>
          <w:sz w:val="20"/>
          <w:szCs w:val="20"/>
          <w:color w:val="404040"/>
        </w:rPr>
        <w:t>if to the Company:</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NMI Holdings, Inc.</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2100 Powell Street, 12</w:t>
      </w:r>
      <w:r>
        <w:rPr>
          <w:rFonts w:ascii="Arial" w:cs="Arial" w:eastAsia="Arial" w:hAnsi="Arial"/>
          <w:sz w:val="16"/>
          <w:szCs w:val="16"/>
          <w:color w:val="404040"/>
        </w:rPr>
        <w:t>th</w:t>
      </w:r>
      <w:r>
        <w:rPr>
          <w:rFonts w:ascii="Arial" w:cs="Arial" w:eastAsia="Arial" w:hAnsi="Arial"/>
          <w:sz w:val="20"/>
          <w:szCs w:val="20"/>
          <w:color w:val="404040"/>
        </w:rPr>
        <w:t xml:space="preserve"> Floor</w:t>
      </w:r>
    </w:p>
    <w:p>
      <w:pPr>
        <w:ind w:left="1960"/>
        <w:spacing w:after="0"/>
        <w:rPr>
          <w:sz w:val="20"/>
          <w:szCs w:val="20"/>
          <w:color w:val="auto"/>
        </w:rPr>
      </w:pPr>
      <w:r>
        <w:rPr>
          <w:rFonts w:ascii="Arial" w:cs="Arial" w:eastAsia="Arial" w:hAnsi="Arial"/>
          <w:sz w:val="20"/>
          <w:szCs w:val="20"/>
          <w:color w:val="404040"/>
        </w:rPr>
        <w:t>Emeryville, CA 94608</w:t>
      </w:r>
    </w:p>
    <w:p>
      <w:pPr>
        <w:ind w:left="1960"/>
        <w:spacing w:after="0"/>
        <w:rPr>
          <w:sz w:val="20"/>
          <w:szCs w:val="20"/>
          <w:color w:val="auto"/>
        </w:rPr>
      </w:pPr>
      <w:r>
        <w:rPr>
          <w:rFonts w:ascii="Arial" w:cs="Arial" w:eastAsia="Arial" w:hAnsi="Arial"/>
          <w:sz w:val="20"/>
          <w:szCs w:val="20"/>
          <w:color w:val="404040"/>
        </w:rPr>
        <w:t>Attention: General Counsel</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if to Participant: at the address last on the records of the Company.</w:t>
      </w:r>
    </w:p>
    <w:p>
      <w:pPr>
        <w:spacing w:after="0" w:line="216" w:lineRule="exact"/>
        <w:rPr>
          <w:sz w:val="20"/>
          <w:szCs w:val="20"/>
          <w:color w:val="auto"/>
        </w:rPr>
      </w:pPr>
    </w:p>
    <w:p>
      <w:pPr>
        <w:ind w:right="700"/>
        <w:spacing w:after="0" w:line="280" w:lineRule="auto"/>
        <w:rPr>
          <w:sz w:val="20"/>
          <w:szCs w:val="20"/>
          <w:color w:val="auto"/>
        </w:rPr>
      </w:pPr>
      <w:r>
        <w:rPr>
          <w:rFonts w:ascii="Arial" w:cs="Arial" w:eastAsia="Arial" w:hAnsi="Arial"/>
          <w:sz w:val="19"/>
          <w:szCs w:val="19"/>
          <w:color w:val="404040"/>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140" w:lineRule="exact"/>
        <w:rPr>
          <w:sz w:val="20"/>
          <w:szCs w:val="20"/>
          <w:color w:val="auto"/>
        </w:rPr>
      </w:pPr>
    </w:p>
    <w:p>
      <w:pPr>
        <w:jc w:val="both"/>
        <w:ind w:left="1960" w:right="140" w:hanging="331"/>
        <w:spacing w:after="0" w:line="248" w:lineRule="auto"/>
        <w:tabs>
          <w:tab w:leader="none" w:pos="19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Severability</w:t>
      </w:r>
      <w:r>
        <w:rPr>
          <w:rFonts w:ascii="Arial" w:cs="Arial" w:eastAsia="Arial" w:hAnsi="Arial"/>
          <w:sz w:val="20"/>
          <w:szCs w:val="20"/>
          <w:color w:val="404040"/>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 w:lineRule="exact"/>
        <w:rPr>
          <w:rFonts w:ascii="Times New Roman" w:cs="Times New Roman" w:eastAsia="Times New Roman" w:hAnsi="Times New Roman"/>
          <w:sz w:val="18"/>
          <w:szCs w:val="18"/>
          <w:color w:val="auto"/>
        </w:rPr>
      </w:pPr>
    </w:p>
    <w:p>
      <w:pPr>
        <w:ind w:left="1960" w:right="60" w:hanging="331"/>
        <w:spacing w:after="0" w:line="239" w:lineRule="auto"/>
        <w:tabs>
          <w:tab w:leader="none" w:pos="19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No Rights to Service</w:t>
      </w:r>
      <w:r>
        <w:rPr>
          <w:rFonts w:ascii="Arial" w:cs="Arial" w:eastAsia="Arial" w:hAnsi="Arial"/>
          <w:sz w:val="20"/>
          <w:szCs w:val="20"/>
          <w:color w:val="404040"/>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2" w:lineRule="exact"/>
        <w:rPr>
          <w:rFonts w:ascii="Times New Roman" w:cs="Times New Roman" w:eastAsia="Times New Roman" w:hAnsi="Times New Roman"/>
          <w:sz w:val="18"/>
          <w:szCs w:val="18"/>
          <w:color w:val="auto"/>
        </w:rPr>
      </w:pPr>
    </w:p>
    <w:p>
      <w:pPr>
        <w:ind w:left="1960" w:right="20" w:hanging="331"/>
        <w:spacing w:after="0" w:line="242" w:lineRule="auto"/>
        <w:tabs>
          <w:tab w:leader="none" w:pos="19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Beneficiary</w:t>
      </w:r>
      <w:r>
        <w:rPr>
          <w:rFonts w:ascii="Arial" w:cs="Arial" w:eastAsia="Arial" w:hAnsi="Arial"/>
          <w:sz w:val="20"/>
          <w:szCs w:val="20"/>
          <w:color w:val="404040"/>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w:t>
      </w:r>
      <w:r>
        <w:rPr>
          <w:rFonts w:ascii="Arial" w:cs="Arial" w:eastAsia="Arial" w:hAnsi="Arial"/>
          <w:sz w:val="20"/>
          <w:szCs w:val="20"/>
          <w:u w:val="single" w:color="auto"/>
          <w:color w:val="404040"/>
        </w:rPr>
        <w:t>however</w:t>
      </w:r>
      <w:r>
        <w:rPr>
          <w:rFonts w:ascii="Arial" w:cs="Arial" w:eastAsia="Arial" w:hAnsi="Arial"/>
          <w:sz w:val="20"/>
          <w:szCs w:val="20"/>
          <w:color w:val="404040"/>
        </w:rPr>
        <w:t>, that no designation, or change or revocation thereof, shall be effective unless received by the Company prior to Participant’s death, and in no event shall it be effective as of a date prior</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71"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99" w:lineRule="exact"/>
        <w:rPr>
          <w:sz w:val="20"/>
          <w:szCs w:val="20"/>
          <w:color w:val="auto"/>
        </w:rPr>
      </w:pPr>
    </w:p>
    <w:p>
      <w:pPr>
        <w:ind w:left="760" w:right="20"/>
        <w:spacing w:after="0" w:line="274" w:lineRule="auto"/>
        <w:rPr>
          <w:sz w:val="20"/>
          <w:szCs w:val="20"/>
          <w:color w:val="auto"/>
        </w:rPr>
      </w:pPr>
      <w:r>
        <w:rPr>
          <w:rFonts w:ascii="Arial" w:cs="Arial" w:eastAsia="Arial" w:hAnsi="Arial"/>
          <w:sz w:val="20"/>
          <w:szCs w:val="20"/>
          <w:color w:val="404040"/>
        </w:rPr>
        <w:t>to such receipt. If no beneficiary designation is filed by Participant, the beneficiary shall be deemed to be his spouse or, if Participant is unmarried at the time of death, his estate.</w:t>
      </w:r>
    </w:p>
    <w:p>
      <w:pPr>
        <w:spacing w:after="0" w:line="1" w:lineRule="exact"/>
        <w:rPr>
          <w:sz w:val="20"/>
          <w:szCs w:val="20"/>
          <w:color w:val="auto"/>
        </w:rPr>
      </w:pPr>
    </w:p>
    <w:p>
      <w:pPr>
        <w:ind w:left="760" w:right="80" w:hanging="331"/>
        <w:spacing w:after="0" w:line="239" w:lineRule="auto"/>
        <w:tabs>
          <w:tab w:leader="none" w:pos="7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Successors</w:t>
      </w:r>
      <w:r>
        <w:rPr>
          <w:rFonts w:ascii="Arial" w:cs="Arial" w:eastAsia="Arial" w:hAnsi="Arial"/>
          <w:sz w:val="20"/>
          <w:szCs w:val="20"/>
          <w:color w:val="404040"/>
        </w:rPr>
        <w:t>. The terms of this Agreement shall be binding upon and inure to the benefit of the Company, its successors and assigns, and of Participant and the beneficiaries, executors, administrators, heirs and successors of Participant.</w:t>
      </w:r>
    </w:p>
    <w:p>
      <w:pPr>
        <w:spacing w:after="0" w:line="1" w:lineRule="exact"/>
        <w:rPr>
          <w:rFonts w:ascii="Times New Roman" w:cs="Times New Roman" w:eastAsia="Times New Roman" w:hAnsi="Times New Roman"/>
          <w:sz w:val="18"/>
          <w:szCs w:val="18"/>
          <w:color w:val="auto"/>
        </w:rPr>
      </w:pPr>
    </w:p>
    <w:p>
      <w:pPr>
        <w:ind w:left="760" w:right="180" w:hanging="331"/>
        <w:spacing w:after="0" w:line="239" w:lineRule="auto"/>
        <w:tabs>
          <w:tab w:leader="none" w:pos="7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Entire Agreement</w:t>
      </w:r>
      <w:r>
        <w:rPr>
          <w:rFonts w:ascii="Arial" w:cs="Arial" w:eastAsia="Arial" w:hAnsi="Arial"/>
          <w:sz w:val="20"/>
          <w:szCs w:val="20"/>
          <w:color w:val="404040"/>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1" w:lineRule="exact"/>
        <w:rPr>
          <w:rFonts w:ascii="Times New Roman" w:cs="Times New Roman" w:eastAsia="Times New Roman" w:hAnsi="Times New Roman"/>
          <w:sz w:val="18"/>
          <w:szCs w:val="18"/>
          <w:color w:val="auto"/>
        </w:rPr>
      </w:pPr>
    </w:p>
    <w:p>
      <w:pPr>
        <w:jc w:val="both"/>
        <w:ind w:left="760" w:right="60" w:hanging="331"/>
        <w:spacing w:after="0" w:line="239" w:lineRule="auto"/>
        <w:tabs>
          <w:tab w:leader="none" w:pos="7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Bound by the Plan</w:t>
      </w:r>
      <w:r>
        <w:rPr>
          <w:rFonts w:ascii="Arial" w:cs="Arial" w:eastAsia="Arial" w:hAnsi="Arial"/>
          <w:sz w:val="20"/>
          <w:szCs w:val="20"/>
          <w:color w:val="404040"/>
        </w:rPr>
        <w:t>. By signing this Agreement, Participant acknowledges that he has received a copy of the Plan and has had an opportunity to review the Plan and agrees to be bound by all the terms and provisions of the Plan.</w:t>
      </w:r>
    </w:p>
    <w:p>
      <w:pPr>
        <w:spacing w:after="0" w:line="1" w:lineRule="exact"/>
        <w:rPr>
          <w:rFonts w:ascii="Times New Roman" w:cs="Times New Roman" w:eastAsia="Times New Roman" w:hAnsi="Times New Roman"/>
          <w:sz w:val="18"/>
          <w:szCs w:val="18"/>
          <w:color w:val="auto"/>
        </w:rPr>
      </w:pPr>
    </w:p>
    <w:p>
      <w:pPr>
        <w:ind w:left="760" w:hanging="331"/>
        <w:spacing w:after="0" w:line="239" w:lineRule="auto"/>
        <w:tabs>
          <w:tab w:leader="none" w:pos="7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Governing Law</w:t>
      </w:r>
      <w:r>
        <w:rPr>
          <w:rFonts w:ascii="Arial" w:cs="Arial" w:eastAsia="Arial" w:hAnsi="Arial"/>
          <w:sz w:val="20"/>
          <w:szCs w:val="20"/>
          <w:color w:val="404040"/>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2" w:lineRule="exact"/>
        <w:rPr>
          <w:rFonts w:ascii="Times New Roman" w:cs="Times New Roman" w:eastAsia="Times New Roman" w:hAnsi="Times New Roman"/>
          <w:sz w:val="18"/>
          <w:szCs w:val="18"/>
          <w:color w:val="auto"/>
        </w:rPr>
      </w:pPr>
    </w:p>
    <w:p>
      <w:pPr>
        <w:ind w:left="760" w:right="80" w:hanging="331"/>
        <w:spacing w:after="0" w:line="239" w:lineRule="auto"/>
        <w:tabs>
          <w:tab w:leader="none" w:pos="7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Headings</w:t>
      </w:r>
      <w:r>
        <w:rPr>
          <w:rFonts w:ascii="Arial" w:cs="Arial" w:eastAsia="Arial" w:hAnsi="Arial"/>
          <w:sz w:val="20"/>
          <w:szCs w:val="20"/>
          <w:color w:val="404040"/>
        </w:rPr>
        <w:t>. The headings of the Sections hereof are provided for convenience only and are not to serve as a basis for interpretation or construction and shall not constitute a part of this Agreement.</w:t>
      </w:r>
    </w:p>
    <w:p>
      <w:pPr>
        <w:spacing w:after="0" w:line="1" w:lineRule="exact"/>
        <w:rPr>
          <w:rFonts w:ascii="Times New Roman" w:cs="Times New Roman" w:eastAsia="Times New Roman" w:hAnsi="Times New Roman"/>
          <w:sz w:val="18"/>
          <w:szCs w:val="18"/>
          <w:color w:val="auto"/>
        </w:rPr>
      </w:pPr>
    </w:p>
    <w:p>
      <w:pPr>
        <w:jc w:val="both"/>
        <w:ind w:left="760" w:right="660" w:hanging="331"/>
        <w:spacing w:after="0" w:line="279" w:lineRule="auto"/>
        <w:tabs>
          <w:tab w:leader="none" w:pos="76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9"/>
          <w:szCs w:val="19"/>
          <w:u w:val="single" w:color="auto"/>
          <w:color w:val="404040"/>
        </w:rPr>
        <w:t>Signature in Counterparts</w:t>
      </w:r>
      <w:r>
        <w:rPr>
          <w:rFonts w:ascii="Arial" w:cs="Arial" w:eastAsia="Arial" w:hAnsi="Arial"/>
          <w:sz w:val="19"/>
          <w:szCs w:val="19"/>
          <w:color w:val="404040"/>
        </w:rPr>
        <w:t>. This Agreement may be signed in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540"/>
        <w:spacing w:after="0"/>
        <w:rPr>
          <w:sz w:val="20"/>
          <w:szCs w:val="20"/>
          <w:color w:val="auto"/>
        </w:rPr>
      </w:pPr>
      <w:r>
        <w:rPr>
          <w:rFonts w:ascii="Arial" w:cs="Arial" w:eastAsia="Arial" w:hAnsi="Arial"/>
          <w:sz w:val="20"/>
          <w:szCs w:val="20"/>
          <w:i w:val="1"/>
          <w:iCs w:val="1"/>
          <w:color w:val="404040"/>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20"/>
          </w:cols>
          <w:pgMar w:left="1440" w:top="171" w:right="2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404040"/>
        </w:rPr>
        <w:t>IN WITNESS WHEREOF</w:t>
      </w:r>
      <w:r>
        <w:rPr>
          <w:rFonts w:ascii="Arial" w:cs="Arial" w:eastAsia="Arial" w:hAnsi="Arial"/>
          <w:sz w:val="20"/>
          <w:szCs w:val="20"/>
          <w:color w:val="404040"/>
        </w:rPr>
        <w:t>, the parties hereto have executed this Agreement.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NMI HOLDINGS, INC.</w:t>
      </w:r>
    </w:p>
    <w:p>
      <w:pPr>
        <w:spacing w:after="0" w:line="200" w:lineRule="exact"/>
        <w:rPr>
          <w:sz w:val="20"/>
          <w:szCs w:val="20"/>
          <w:color w:val="auto"/>
        </w:rPr>
      </w:pPr>
    </w:p>
    <w:p>
      <w:pPr>
        <w:spacing w:after="0" w:line="232" w:lineRule="exact"/>
        <w:rPr>
          <w:sz w:val="20"/>
          <w:szCs w:val="20"/>
          <w:color w:val="auto"/>
        </w:rPr>
      </w:pPr>
    </w:p>
    <w:p>
      <w:pPr>
        <w:ind w:left="3880"/>
        <w:spacing w:after="0"/>
        <w:rPr>
          <w:sz w:val="20"/>
          <w:szCs w:val="20"/>
          <w:color w:val="auto"/>
        </w:rPr>
      </w:pPr>
      <w:r>
        <w:rPr>
          <w:rFonts w:ascii="Arial" w:cs="Arial" w:eastAsia="Arial" w:hAnsi="Arial"/>
          <w:sz w:val="20"/>
          <w:szCs w:val="20"/>
          <w:color w:val="404040"/>
        </w:rPr>
        <w:t>________________________________</w:t>
      </w:r>
    </w:p>
    <w:p>
      <w:pPr>
        <w:spacing w:after="0" w:line="25" w:lineRule="exact"/>
        <w:rPr>
          <w:sz w:val="20"/>
          <w:szCs w:val="20"/>
          <w:color w:val="auto"/>
        </w:rPr>
      </w:pPr>
    </w:p>
    <w:p>
      <w:pPr>
        <w:ind w:left="3880"/>
        <w:spacing w:after="0"/>
        <w:rPr>
          <w:sz w:val="20"/>
          <w:szCs w:val="20"/>
          <w:color w:val="auto"/>
        </w:rPr>
      </w:pPr>
      <w:r>
        <w:rPr>
          <w:rFonts w:ascii="Arial" w:cs="Arial" w:eastAsia="Arial" w:hAnsi="Arial"/>
          <w:sz w:val="20"/>
          <w:szCs w:val="20"/>
          <w:color w:val="404040"/>
        </w:rPr>
        <w:t>By:</w:t>
      </w:r>
    </w:p>
    <w:p>
      <w:pPr>
        <w:ind w:left="3880"/>
        <w:spacing w:after="0"/>
        <w:rPr>
          <w:sz w:val="20"/>
          <w:szCs w:val="20"/>
          <w:color w:val="auto"/>
        </w:rPr>
      </w:pPr>
      <w:r>
        <w:rPr>
          <w:rFonts w:ascii="Arial" w:cs="Arial" w:eastAsia="Arial" w:hAnsi="Arial"/>
          <w:sz w:val="20"/>
          <w:szCs w:val="20"/>
          <w:color w:val="404040"/>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PARTICIPANT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404040"/>
        </w:rPr>
        <w:t>[Signature Page to Nonqualified Stock Option Agreement for CEO]</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71" w:right="2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04040"/>
        </w:rPr>
        <w:t>NMI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04040"/>
        </w:rPr>
        <w:t>AMENDED AND RESTATED 2014 OMNIBUS INCENTIVE PLAN</w:t>
      </w:r>
    </w:p>
    <w:p>
      <w:pPr>
        <w:jc w:val="center"/>
        <w:spacing w:after="0"/>
        <w:rPr>
          <w:sz w:val="20"/>
          <w:szCs w:val="20"/>
          <w:color w:val="auto"/>
        </w:rPr>
      </w:pPr>
      <w:r>
        <w:rPr>
          <w:rFonts w:ascii="Arial" w:cs="Arial" w:eastAsia="Arial" w:hAnsi="Arial"/>
          <w:sz w:val="20"/>
          <w:szCs w:val="20"/>
          <w:b w:val="1"/>
          <w:bCs w:val="1"/>
          <w:color w:val="404040"/>
        </w:rPr>
        <w:t>NONQUALIFIED STOCK OPTION AGREEMENT</w:t>
      </w:r>
    </w:p>
    <w:p>
      <w:pPr>
        <w:jc w:val="center"/>
        <w:spacing w:after="0"/>
        <w:rPr>
          <w:sz w:val="20"/>
          <w:szCs w:val="20"/>
          <w:color w:val="auto"/>
        </w:rPr>
      </w:pPr>
      <w:r>
        <w:rPr>
          <w:rFonts w:ascii="Arial" w:cs="Arial" w:eastAsia="Arial" w:hAnsi="Arial"/>
          <w:sz w:val="20"/>
          <w:szCs w:val="20"/>
          <w:b w:val="1"/>
          <w:bCs w:val="1"/>
          <w:color w:val="404040"/>
        </w:rPr>
        <w:t>(FOR EXECUTIVE OFFICERS/EMPLOYEES)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404040"/>
        </w:rPr>
        <w:t xml:space="preserve">THIS STOCK OPTION AGREEMENT </w:t>
      </w:r>
      <w:r>
        <w:rPr>
          <w:rFonts w:ascii="Arial" w:cs="Arial" w:eastAsia="Arial" w:hAnsi="Arial"/>
          <w:sz w:val="20"/>
          <w:szCs w:val="20"/>
          <w:color w:val="404040"/>
        </w:rPr>
        <w:t>(this “</w:t>
      </w:r>
      <w:r>
        <w:rPr>
          <w:rFonts w:ascii="Arial" w:cs="Arial" w:eastAsia="Arial" w:hAnsi="Arial"/>
          <w:sz w:val="20"/>
          <w:szCs w:val="20"/>
          <w:u w:val="single" w:color="auto"/>
          <w:color w:val="404040"/>
        </w:rPr>
        <w:t>Agreement</w:t>
      </w:r>
      <w:r>
        <w:rPr>
          <w:rFonts w:ascii="Arial" w:cs="Arial" w:eastAsia="Arial" w:hAnsi="Arial"/>
          <w:sz w:val="20"/>
          <w:szCs w:val="20"/>
          <w:color w:val="404040"/>
        </w:rPr>
        <w:t>”), dated as of</w:t>
      </w:r>
      <w:r>
        <w:rPr>
          <w:rFonts w:ascii="Arial" w:cs="Arial" w:eastAsia="Arial" w:hAnsi="Arial"/>
          <w:sz w:val="20"/>
          <w:szCs w:val="20"/>
          <w:b w:val="1"/>
          <w:bCs w:val="1"/>
          <w:color w:val="404040"/>
        </w:rPr>
        <w:t xml:space="preserve"> </w:t>
      </w:r>
      <w:r>
        <w:rPr>
          <w:rFonts w:ascii="Arial" w:cs="Arial" w:eastAsia="Arial" w:hAnsi="Arial"/>
          <w:sz w:val="20"/>
          <w:szCs w:val="20"/>
          <w:color w:val="000000"/>
        </w:rPr>
        <w:t>[•]</w:t>
      </w:r>
      <w:r>
        <w:rPr>
          <w:rFonts w:ascii="Arial" w:cs="Arial" w:eastAsia="Arial" w:hAnsi="Arial"/>
          <w:sz w:val="20"/>
          <w:szCs w:val="20"/>
          <w:color w:val="404040"/>
        </w:rPr>
        <w:t>, ______ (the “</w:t>
      </w:r>
      <w:r>
        <w:rPr>
          <w:rFonts w:ascii="Arial" w:cs="Arial" w:eastAsia="Arial" w:hAnsi="Arial"/>
          <w:sz w:val="20"/>
          <w:szCs w:val="20"/>
          <w:u w:val="single" w:color="auto"/>
          <w:color w:val="404040"/>
        </w:rPr>
        <w:t>Grant Date</w:t>
      </w:r>
      <w:r>
        <w:rPr>
          <w:rFonts w:ascii="Arial" w:cs="Arial" w:eastAsia="Arial" w:hAnsi="Arial"/>
          <w:sz w:val="20"/>
          <w:szCs w:val="20"/>
          <w:color w:val="404040"/>
        </w:rPr>
        <w:t>”), is made by and</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404040"/>
        </w:rPr>
        <w:t>between NMI Holdings, Inc., a Delaware corporation (the “</w:t>
      </w:r>
      <w:r>
        <w:rPr>
          <w:rFonts w:ascii="Arial" w:cs="Arial" w:eastAsia="Arial" w:hAnsi="Arial"/>
          <w:sz w:val="20"/>
          <w:szCs w:val="20"/>
          <w:u w:val="single" w:color="auto"/>
          <w:color w:val="404040"/>
        </w:rPr>
        <w:t>Company</w:t>
      </w:r>
      <w:r>
        <w:rPr>
          <w:rFonts w:ascii="Arial" w:cs="Arial" w:eastAsia="Arial" w:hAnsi="Arial"/>
          <w:sz w:val="20"/>
          <w:szCs w:val="20"/>
          <w:color w:val="404040"/>
        </w:rPr>
        <w:t>”), and [NAME] (“</w:t>
      </w:r>
      <w:r>
        <w:rPr>
          <w:rFonts w:ascii="Arial" w:cs="Arial" w:eastAsia="Arial" w:hAnsi="Arial"/>
          <w:sz w:val="20"/>
          <w:szCs w:val="20"/>
          <w:u w:val="single" w:color="auto"/>
          <w:color w:val="404040"/>
        </w:rPr>
        <w:t>Participant</w:t>
      </w:r>
      <w:r>
        <w:rPr>
          <w:rFonts w:ascii="Arial" w:cs="Arial" w:eastAsia="Arial" w:hAnsi="Arial"/>
          <w:sz w:val="20"/>
          <w:szCs w:val="20"/>
          <w:color w:val="404040"/>
        </w:rPr>
        <w:t>”).</w:t>
      </w:r>
    </w:p>
    <w:p>
      <w:pPr>
        <w:spacing w:after="0" w:line="188" w:lineRule="exact"/>
        <w:rPr>
          <w:sz w:val="20"/>
          <w:szCs w:val="20"/>
          <w:color w:val="auto"/>
        </w:rPr>
      </w:pPr>
    </w:p>
    <w:p>
      <w:pPr>
        <w:ind w:right="140" w:firstLine="648"/>
        <w:spacing w:after="0" w:line="261" w:lineRule="auto"/>
        <w:rPr>
          <w:sz w:val="20"/>
          <w:szCs w:val="20"/>
          <w:color w:val="auto"/>
        </w:rPr>
      </w:pPr>
      <w:r>
        <w:rPr>
          <w:rFonts w:ascii="Arial" w:cs="Arial" w:eastAsia="Arial" w:hAnsi="Arial"/>
          <w:sz w:val="20"/>
          <w:szCs w:val="20"/>
          <w:b w:val="1"/>
          <w:bCs w:val="1"/>
          <w:color w:val="404040"/>
        </w:rPr>
        <w:t>WHEREAS</w:t>
      </w:r>
      <w:r>
        <w:rPr>
          <w:rFonts w:ascii="Arial" w:cs="Arial" w:eastAsia="Arial" w:hAnsi="Arial"/>
          <w:sz w:val="20"/>
          <w:szCs w:val="20"/>
          <w:color w:val="404040"/>
        </w:rPr>
        <w:t>, the Company has adopted the NMI Holdings, Inc. Amended and Restated 2014 Omnibus Incentive Plan (the</w:t>
      </w:r>
      <w:r>
        <w:rPr>
          <w:rFonts w:ascii="Arial" w:cs="Arial" w:eastAsia="Arial" w:hAnsi="Arial"/>
          <w:sz w:val="20"/>
          <w:szCs w:val="20"/>
          <w:b w:val="1"/>
          <w:bCs w:val="1"/>
          <w:color w:val="404040"/>
        </w:rPr>
        <w:t xml:space="preserve"> </w:t>
      </w:r>
      <w:r>
        <w:rPr>
          <w:rFonts w:ascii="Arial" w:cs="Arial" w:eastAsia="Arial" w:hAnsi="Arial"/>
          <w:sz w:val="20"/>
          <w:szCs w:val="20"/>
          <w:color w:val="404040"/>
        </w:rPr>
        <w:t>“</w:t>
      </w:r>
      <w:r>
        <w:rPr>
          <w:rFonts w:ascii="Arial" w:cs="Arial" w:eastAsia="Arial" w:hAnsi="Arial"/>
          <w:sz w:val="20"/>
          <w:szCs w:val="20"/>
          <w:u w:val="single" w:color="auto"/>
          <w:color w:val="404040"/>
        </w:rPr>
        <w:t>Plan</w:t>
      </w:r>
      <w:r>
        <w:rPr>
          <w:rFonts w:ascii="Arial" w:cs="Arial" w:eastAsia="Arial" w:hAnsi="Arial"/>
          <w:sz w:val="20"/>
          <w:szCs w:val="20"/>
          <w:color w:val="404040"/>
        </w:rPr>
        <w:t>”), pursuant to which nonqualified stock options may be granted to purchase shares of the Company’s common stock, par value $0.01 per share (“</w:t>
      </w:r>
      <w:r>
        <w:rPr>
          <w:rFonts w:ascii="Arial" w:cs="Arial" w:eastAsia="Arial" w:hAnsi="Arial"/>
          <w:sz w:val="20"/>
          <w:szCs w:val="20"/>
          <w:u w:val="single" w:color="auto"/>
          <w:color w:val="404040"/>
        </w:rPr>
        <w:t>Common Stock</w:t>
      </w:r>
      <w:r>
        <w:rPr>
          <w:rFonts w:ascii="Arial" w:cs="Arial" w:eastAsia="Arial" w:hAnsi="Arial"/>
          <w:sz w:val="20"/>
          <w:szCs w:val="20"/>
          <w:color w:val="404040"/>
        </w:rPr>
        <w:t>”); and</w:t>
      </w:r>
    </w:p>
    <w:p>
      <w:pPr>
        <w:spacing w:after="0" w:line="155" w:lineRule="exact"/>
        <w:rPr>
          <w:sz w:val="20"/>
          <w:szCs w:val="20"/>
          <w:color w:val="auto"/>
        </w:rPr>
      </w:pPr>
    </w:p>
    <w:p>
      <w:pPr>
        <w:jc w:val="both"/>
        <w:ind w:right="300" w:firstLine="648"/>
        <w:spacing w:after="0" w:line="310" w:lineRule="auto"/>
        <w:rPr>
          <w:sz w:val="20"/>
          <w:szCs w:val="20"/>
          <w:color w:val="auto"/>
        </w:rPr>
      </w:pPr>
      <w:r>
        <w:rPr>
          <w:rFonts w:ascii="Arial" w:cs="Arial" w:eastAsia="Arial" w:hAnsi="Arial"/>
          <w:sz w:val="19"/>
          <w:szCs w:val="19"/>
          <w:b w:val="1"/>
          <w:bCs w:val="1"/>
          <w:color w:val="404040"/>
        </w:rPr>
        <w:t>WHEREAS</w:t>
      </w:r>
      <w:r>
        <w:rPr>
          <w:rFonts w:ascii="Arial" w:cs="Arial" w:eastAsia="Arial" w:hAnsi="Arial"/>
          <w:sz w:val="19"/>
          <w:szCs w:val="19"/>
          <w:color w:val="404040"/>
        </w:rPr>
        <w:t>, the Committee has determined that it would be in the best interests of the Company and its stockholders to</w:t>
      </w:r>
      <w:r>
        <w:rPr>
          <w:rFonts w:ascii="Arial" w:cs="Arial" w:eastAsia="Arial" w:hAnsi="Arial"/>
          <w:sz w:val="19"/>
          <w:szCs w:val="19"/>
          <w:b w:val="1"/>
          <w:bCs w:val="1"/>
          <w:color w:val="404040"/>
        </w:rPr>
        <w:t xml:space="preserve"> </w:t>
      </w:r>
      <w:r>
        <w:rPr>
          <w:rFonts w:ascii="Arial" w:cs="Arial" w:eastAsia="Arial" w:hAnsi="Arial"/>
          <w:sz w:val="19"/>
          <w:szCs w:val="19"/>
          <w:color w:val="404040"/>
        </w:rPr>
        <w:t>grant Participant nonqualified stock options on the terms and subject to the conditions set forth in this Agreement and the Plan.</w:t>
      </w:r>
    </w:p>
    <w:p>
      <w:pPr>
        <w:spacing w:after="0" w:line="111" w:lineRule="exact"/>
        <w:rPr>
          <w:sz w:val="20"/>
          <w:szCs w:val="20"/>
          <w:color w:val="auto"/>
        </w:rPr>
      </w:pPr>
    </w:p>
    <w:p>
      <w:pPr>
        <w:ind w:right="320" w:firstLine="648"/>
        <w:spacing w:after="0" w:line="261" w:lineRule="auto"/>
        <w:rPr>
          <w:sz w:val="20"/>
          <w:szCs w:val="20"/>
          <w:color w:val="auto"/>
        </w:rPr>
      </w:pPr>
      <w:r>
        <w:rPr>
          <w:rFonts w:ascii="Arial" w:cs="Arial" w:eastAsia="Arial" w:hAnsi="Arial"/>
          <w:sz w:val="20"/>
          <w:szCs w:val="20"/>
          <w:b w:val="1"/>
          <w:bCs w:val="1"/>
          <w:color w:val="404040"/>
        </w:rPr>
        <w:t>NOW, THEREFORE</w:t>
      </w:r>
      <w:r>
        <w:rPr>
          <w:rFonts w:ascii="Arial" w:cs="Arial" w:eastAsia="Arial" w:hAnsi="Arial"/>
          <w:sz w:val="20"/>
          <w:szCs w:val="20"/>
          <w:color w:val="404040"/>
        </w:rPr>
        <w:t>, for and in consideration of the premises and the covenants of the parties contained in this</w:t>
      </w:r>
      <w:r>
        <w:rPr>
          <w:rFonts w:ascii="Arial" w:cs="Arial" w:eastAsia="Arial" w:hAnsi="Arial"/>
          <w:sz w:val="20"/>
          <w:szCs w:val="20"/>
          <w:b w:val="1"/>
          <w:bCs w:val="1"/>
          <w:color w:val="404040"/>
        </w:rPr>
        <w:t xml:space="preserve"> </w:t>
      </w:r>
      <w:r>
        <w:rPr>
          <w:rFonts w:ascii="Arial" w:cs="Arial" w:eastAsia="Arial" w:hAnsi="Arial"/>
          <w:sz w:val="20"/>
          <w:szCs w:val="20"/>
          <w:color w:val="404040"/>
        </w:rPr>
        <w:t>Agreement, and for other good and valuable consideration, the receipt of which is hereby acknowledged, the parties hereto, for themselves, their successors and assigns, hereby agree as follows:</w:t>
      </w:r>
    </w:p>
    <w:p>
      <w:pPr>
        <w:spacing w:after="0" w:line="170" w:lineRule="exact"/>
        <w:rPr>
          <w:sz w:val="20"/>
          <w:szCs w:val="20"/>
          <w:color w:val="auto"/>
        </w:rPr>
      </w:pPr>
    </w:p>
    <w:p>
      <w:pPr>
        <w:ind w:left="2080" w:hanging="775"/>
        <w:spacing w:after="0"/>
        <w:tabs>
          <w:tab w:leader="none" w:pos="208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Grant of Stock Option</w:t>
      </w:r>
      <w:r>
        <w:rPr>
          <w:rFonts w:ascii="Arial" w:cs="Arial" w:eastAsia="Arial" w:hAnsi="Arial"/>
          <w:sz w:val="20"/>
          <w:szCs w:val="20"/>
          <w:color w:val="404040"/>
        </w:rPr>
        <w:t>.</w:t>
      </w:r>
    </w:p>
    <w:p>
      <w:pPr>
        <w:spacing w:after="0" w:line="39" w:lineRule="exact"/>
        <w:rPr>
          <w:rFonts w:ascii="Times New Roman" w:cs="Times New Roman" w:eastAsia="Times New Roman" w:hAnsi="Times New Roman"/>
          <w:sz w:val="18"/>
          <w:szCs w:val="18"/>
          <w:color w:val="auto"/>
        </w:rPr>
      </w:pPr>
    </w:p>
    <w:p>
      <w:pPr>
        <w:ind w:right="160" w:firstLine="1953"/>
        <w:spacing w:after="0" w:line="281" w:lineRule="auto"/>
        <w:tabs>
          <w:tab w:leader="none" w:pos="2793" w:val="left"/>
        </w:tabs>
        <w:numPr>
          <w:ilvl w:val="1"/>
          <w:numId w:val="50"/>
        </w:numPr>
        <w:rPr>
          <w:rFonts w:ascii="Times New Roman" w:cs="Times New Roman" w:eastAsia="Times New Roman" w:hAnsi="Times New Roman"/>
          <w:sz w:val="17"/>
          <w:szCs w:val="17"/>
          <w:color w:val="auto"/>
        </w:rPr>
      </w:pPr>
      <w:r>
        <w:rPr>
          <w:rFonts w:ascii="Arial" w:cs="Arial" w:eastAsia="Arial" w:hAnsi="Arial"/>
          <w:sz w:val="19"/>
          <w:szCs w:val="19"/>
          <w:u w:val="single" w:color="auto"/>
          <w:color w:val="404040"/>
        </w:rPr>
        <w:t>Grant</w:t>
      </w:r>
      <w:r>
        <w:rPr>
          <w:rFonts w:ascii="Arial" w:cs="Arial" w:eastAsia="Arial" w:hAnsi="Arial"/>
          <w:sz w:val="19"/>
          <w:szCs w:val="19"/>
          <w:color w:val="404040"/>
        </w:rPr>
        <w:t>. The Company hereby grants to Participant a nonqualified stock option (the “</w:t>
      </w:r>
      <w:r>
        <w:rPr>
          <w:rFonts w:ascii="Arial" w:cs="Arial" w:eastAsia="Arial" w:hAnsi="Arial"/>
          <w:sz w:val="19"/>
          <w:szCs w:val="19"/>
          <w:u w:val="single" w:color="auto"/>
          <w:color w:val="404040"/>
        </w:rPr>
        <w:t>Stock Option</w:t>
      </w:r>
      <w:r>
        <w:rPr>
          <w:rFonts w:ascii="Arial" w:cs="Arial" w:eastAsia="Arial" w:hAnsi="Arial"/>
          <w:sz w:val="19"/>
          <w:szCs w:val="19"/>
          <w:color w:val="404040"/>
        </w:rPr>
        <w:t>” and any portion thereof, the “</w:t>
      </w:r>
      <w:r>
        <w:rPr>
          <w:rFonts w:ascii="Arial" w:cs="Arial" w:eastAsia="Arial" w:hAnsi="Arial"/>
          <w:sz w:val="19"/>
          <w:szCs w:val="19"/>
          <w:u w:val="single" w:color="auto"/>
          <w:color w:val="404040"/>
        </w:rPr>
        <w:t>Stock Options</w:t>
      </w:r>
      <w:r>
        <w:rPr>
          <w:rFonts w:ascii="Arial" w:cs="Arial" w:eastAsia="Arial" w:hAnsi="Arial"/>
          <w:sz w:val="19"/>
          <w:szCs w:val="19"/>
          <w:color w:val="404040"/>
        </w:rPr>
        <w:t xml:space="preserve">”) to purchase </w:t>
      </w:r>
      <w:r>
        <w:rPr>
          <w:rFonts w:ascii="Arial" w:cs="Arial" w:eastAsia="Arial" w:hAnsi="Arial"/>
          <w:sz w:val="19"/>
          <w:szCs w:val="19"/>
          <w:color w:val="000000"/>
        </w:rPr>
        <w:t>[•]</w:t>
      </w:r>
      <w:r>
        <w:rPr>
          <w:rFonts w:ascii="Arial" w:cs="Arial" w:eastAsia="Arial" w:hAnsi="Arial"/>
          <w:sz w:val="19"/>
          <w:szCs w:val="19"/>
          <w:color w:val="404040"/>
        </w:rPr>
        <w:t xml:space="preserve"> shares of Common Stock (such shares of Common Stock, the “</w:t>
      </w:r>
      <w:r>
        <w:rPr>
          <w:rFonts w:ascii="Arial" w:cs="Arial" w:eastAsia="Arial" w:hAnsi="Arial"/>
          <w:sz w:val="19"/>
          <w:szCs w:val="19"/>
          <w:u w:val="single" w:color="auto"/>
          <w:color w:val="404040"/>
        </w:rPr>
        <w:t>Shares</w:t>
      </w:r>
      <w:r>
        <w:rPr>
          <w:rFonts w:ascii="Arial" w:cs="Arial" w:eastAsia="Arial" w:hAnsi="Arial"/>
          <w:sz w:val="19"/>
          <w:szCs w:val="19"/>
          <w:color w:val="404040"/>
        </w:rPr>
        <w:t>”), on the terms and conditions set forth in this Agreement and as otherwise provided in the Plan. The Stock Option is not intended to qualify as an incentive stock option within the meaning of Section 422 of the Internal Revenue Code (the “</w:t>
      </w:r>
      <w:r>
        <w:rPr>
          <w:rFonts w:ascii="Arial" w:cs="Arial" w:eastAsia="Arial" w:hAnsi="Arial"/>
          <w:sz w:val="19"/>
          <w:szCs w:val="19"/>
          <w:u w:val="single" w:color="auto"/>
          <w:color w:val="404040"/>
        </w:rPr>
        <w:t>Code</w:t>
      </w:r>
      <w:r>
        <w:rPr>
          <w:rFonts w:ascii="Arial" w:cs="Arial" w:eastAsia="Arial" w:hAnsi="Arial"/>
          <w:sz w:val="19"/>
          <w:szCs w:val="19"/>
          <w:color w:val="404040"/>
        </w:rPr>
        <w:t>”).</w:t>
      </w:r>
    </w:p>
    <w:p>
      <w:pPr>
        <w:spacing w:after="0" w:line="3" w:lineRule="exact"/>
        <w:rPr>
          <w:rFonts w:ascii="Times New Roman" w:cs="Times New Roman" w:eastAsia="Times New Roman" w:hAnsi="Times New Roman"/>
          <w:sz w:val="17"/>
          <w:szCs w:val="17"/>
          <w:color w:val="auto"/>
        </w:rPr>
      </w:pPr>
    </w:p>
    <w:p>
      <w:pPr>
        <w:ind w:right="140" w:firstLine="1953"/>
        <w:spacing w:after="0" w:line="267" w:lineRule="auto"/>
        <w:tabs>
          <w:tab w:leader="none" w:pos="2803" w:val="left"/>
        </w:tabs>
        <w:numPr>
          <w:ilvl w:val="1"/>
          <w:numId w:val="5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Incorporation by Reference, Etc</w:t>
      </w:r>
      <w:r>
        <w:rPr>
          <w:rFonts w:ascii="Arial" w:cs="Arial" w:eastAsia="Arial" w:hAnsi="Arial"/>
          <w:sz w:val="20"/>
          <w:szCs w:val="20"/>
          <w:color w:val="404040"/>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2" w:lineRule="exact"/>
        <w:rPr>
          <w:rFonts w:ascii="Times New Roman" w:cs="Times New Roman" w:eastAsia="Times New Roman" w:hAnsi="Times New Roman"/>
          <w:sz w:val="18"/>
          <w:szCs w:val="18"/>
          <w:color w:val="auto"/>
        </w:rPr>
      </w:pPr>
    </w:p>
    <w:p>
      <w:pPr>
        <w:ind w:left="2080" w:hanging="775"/>
        <w:spacing w:after="0"/>
        <w:tabs>
          <w:tab w:leader="none" w:pos="208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Stock Option; Exercise Price</w:t>
      </w:r>
      <w:r>
        <w:rPr>
          <w:rFonts w:ascii="Arial" w:cs="Arial" w:eastAsia="Arial" w:hAnsi="Arial"/>
          <w:sz w:val="20"/>
          <w:szCs w:val="20"/>
          <w:color w:val="404040"/>
        </w:rPr>
        <w:t>.</w:t>
      </w:r>
    </w:p>
    <w:p>
      <w:pPr>
        <w:spacing w:after="0" w:line="26" w:lineRule="exact"/>
        <w:rPr>
          <w:rFonts w:ascii="Times New Roman" w:cs="Times New Roman" w:eastAsia="Times New Roman" w:hAnsi="Times New Roman"/>
          <w:sz w:val="18"/>
          <w:szCs w:val="18"/>
          <w:color w:val="auto"/>
        </w:rPr>
      </w:pPr>
    </w:p>
    <w:p>
      <w:pPr>
        <w:ind w:right="800" w:firstLine="1953"/>
        <w:spacing w:after="0" w:line="281" w:lineRule="auto"/>
        <w:tabs>
          <w:tab w:leader="none" w:pos="2793" w:val="left"/>
        </w:tabs>
        <w:numPr>
          <w:ilvl w:val="1"/>
          <w:numId w:val="50"/>
        </w:numPr>
        <w:rPr>
          <w:rFonts w:ascii="Times New Roman" w:cs="Times New Roman" w:eastAsia="Times New Roman" w:hAnsi="Times New Roman"/>
          <w:sz w:val="17"/>
          <w:szCs w:val="17"/>
          <w:color w:val="auto"/>
        </w:rPr>
      </w:pPr>
      <w:r>
        <w:rPr>
          <w:rFonts w:ascii="Arial" w:cs="Arial" w:eastAsia="Arial" w:hAnsi="Arial"/>
          <w:sz w:val="19"/>
          <w:szCs w:val="19"/>
          <w:u w:val="single" w:color="auto"/>
          <w:color w:val="404040"/>
        </w:rPr>
        <w:t>Exercise Price</w:t>
      </w:r>
      <w:r>
        <w:rPr>
          <w:rFonts w:ascii="Arial" w:cs="Arial" w:eastAsia="Arial" w:hAnsi="Arial"/>
          <w:sz w:val="19"/>
          <w:szCs w:val="19"/>
          <w:color w:val="404040"/>
        </w:rPr>
        <w:t>. The exercise price, being the price at which Participant shall be entitled to purchase the Shares upon the exercise of all or any of the Stock Options, shall be $</w:t>
      </w:r>
      <w:r>
        <w:rPr>
          <w:rFonts w:ascii="Arial" w:cs="Arial" w:eastAsia="Arial" w:hAnsi="Arial"/>
          <w:sz w:val="19"/>
          <w:szCs w:val="19"/>
          <w:color w:val="000000"/>
        </w:rPr>
        <w:t>[•]</w:t>
      </w:r>
      <w:r>
        <w:rPr>
          <w:rFonts w:ascii="Arial" w:cs="Arial" w:eastAsia="Arial" w:hAnsi="Arial"/>
          <w:sz w:val="19"/>
          <w:szCs w:val="19"/>
          <w:color w:val="404040"/>
        </w:rPr>
        <w:t xml:space="preserve"> per Share (the “</w:t>
      </w:r>
      <w:r>
        <w:rPr>
          <w:rFonts w:ascii="Arial" w:cs="Arial" w:eastAsia="Arial" w:hAnsi="Arial"/>
          <w:sz w:val="19"/>
          <w:szCs w:val="19"/>
          <w:u w:val="single" w:color="auto"/>
          <w:color w:val="404040"/>
        </w:rPr>
        <w:t>Exercise Price</w:t>
      </w:r>
      <w:r>
        <w:rPr>
          <w:rFonts w:ascii="Arial" w:cs="Arial" w:eastAsia="Arial" w:hAnsi="Arial"/>
          <w:sz w:val="19"/>
          <w:szCs w:val="19"/>
          <w:color w:val="404040"/>
        </w:rPr>
        <w:t>”).</w:t>
      </w:r>
    </w:p>
    <w:p>
      <w:pPr>
        <w:spacing w:after="0" w:line="1" w:lineRule="exact"/>
        <w:rPr>
          <w:rFonts w:ascii="Times New Roman" w:cs="Times New Roman" w:eastAsia="Times New Roman" w:hAnsi="Times New Roman"/>
          <w:sz w:val="17"/>
          <w:szCs w:val="17"/>
          <w:color w:val="auto"/>
        </w:rPr>
      </w:pPr>
    </w:p>
    <w:p>
      <w:pPr>
        <w:ind w:right="400" w:firstLine="1953"/>
        <w:spacing w:after="0" w:line="267" w:lineRule="auto"/>
        <w:tabs>
          <w:tab w:leader="none" w:pos="2803" w:val="left"/>
        </w:tabs>
        <w:numPr>
          <w:ilvl w:val="1"/>
          <w:numId w:val="5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Payment of the Exercise Price</w:t>
      </w:r>
      <w:r>
        <w:rPr>
          <w:rFonts w:ascii="Arial" w:cs="Arial" w:eastAsia="Arial" w:hAnsi="Arial"/>
          <w:sz w:val="20"/>
          <w:szCs w:val="20"/>
          <w:color w:val="404040"/>
        </w:rPr>
        <w:t>. The Stock Option may be exercised only by written notice, substantially in the form provided by the Company, delivered in person or by mail in accordance with Section 10(c) hereof and accompanied by payment of the Exercise Price. The Exercise Price shall be payable in cash, or, to the extent approved by the Committee, by any of the other methods permitted under Section 5(g) of the Plan.</w:t>
      </w:r>
    </w:p>
    <w:p>
      <w:pPr>
        <w:spacing w:after="0" w:line="2" w:lineRule="exact"/>
        <w:rPr>
          <w:rFonts w:ascii="Times New Roman" w:cs="Times New Roman" w:eastAsia="Times New Roman" w:hAnsi="Times New Roman"/>
          <w:sz w:val="18"/>
          <w:szCs w:val="18"/>
          <w:color w:val="auto"/>
        </w:rPr>
      </w:pPr>
    </w:p>
    <w:p>
      <w:pPr>
        <w:ind w:right="140" w:firstLine="1305"/>
        <w:spacing w:after="0" w:line="267" w:lineRule="auto"/>
        <w:tabs>
          <w:tab w:leader="none" w:pos="208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Vesting</w:t>
      </w:r>
      <w:r>
        <w:rPr>
          <w:rFonts w:ascii="Arial" w:cs="Arial" w:eastAsia="Arial" w:hAnsi="Arial"/>
          <w:sz w:val="20"/>
          <w:szCs w:val="20"/>
          <w:color w:val="404040"/>
        </w:rPr>
        <w:t>. Except as may otherwise be provided herein, the Stock Option shall become vested (any Stock Options that shall have become non-forfeitable pursuant to this Section 3, the “</w:t>
      </w:r>
      <w:r>
        <w:rPr>
          <w:rFonts w:ascii="Arial" w:cs="Arial" w:eastAsia="Arial" w:hAnsi="Arial"/>
          <w:sz w:val="20"/>
          <w:szCs w:val="20"/>
          <w:u w:val="single" w:color="auto"/>
          <w:color w:val="404040"/>
        </w:rPr>
        <w:t>Vested Options</w:t>
      </w:r>
      <w:r>
        <w:rPr>
          <w:rFonts w:ascii="Arial" w:cs="Arial" w:eastAsia="Arial" w:hAnsi="Arial"/>
          <w:sz w:val="20"/>
          <w:szCs w:val="20"/>
          <w:color w:val="404040"/>
        </w:rPr>
        <w:t>”) and exercisable according to the following provisions, subject to Participant’s continued employment with the Company as of any such date:</w:t>
      </w:r>
    </w:p>
    <w:p>
      <w:pPr>
        <w:spacing w:after="0" w:line="2" w:lineRule="exact"/>
        <w:rPr>
          <w:rFonts w:ascii="Times New Roman" w:cs="Times New Roman" w:eastAsia="Times New Roman" w:hAnsi="Times New Roman"/>
          <w:sz w:val="18"/>
          <w:szCs w:val="18"/>
          <w:color w:val="auto"/>
        </w:rPr>
      </w:pPr>
    </w:p>
    <w:p>
      <w:pPr>
        <w:ind w:right="280" w:firstLine="1953"/>
        <w:spacing w:after="0" w:line="267" w:lineRule="auto"/>
        <w:tabs>
          <w:tab w:leader="none" w:pos="2793" w:val="left"/>
        </w:tabs>
        <w:numPr>
          <w:ilvl w:val="1"/>
          <w:numId w:val="5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General Vesting</w:t>
      </w:r>
      <w:r>
        <w:rPr>
          <w:rFonts w:ascii="Arial" w:cs="Arial" w:eastAsia="Arial" w:hAnsi="Arial"/>
          <w:sz w:val="20"/>
          <w:szCs w:val="20"/>
          <w:color w:val="404040"/>
        </w:rPr>
        <w:t>. (i) One-third of the Stock Options (rounded down to the nearest whole Share) shall become Vested Options and shall become exercisable on the first anniversary of the Grant Date, (ii) one-third of the Stock Options (rounded down to the nearest whole Share) shall become Vested Options and shall become exercisable on the second anniversary of the Grant Date and (iii) the remainder of the Stock Options shall become Vested Options and shall become exercisable on the third anniversary of the Grant Date, in the case of each of clauses (i), (ii) and (iii), subject to Participant not having incurred a Termination of Employment prior to the applicable vesting date.</w:t>
      </w:r>
    </w:p>
    <w:p>
      <w:pPr>
        <w:spacing w:after="0" w:line="4" w:lineRule="exact"/>
        <w:rPr>
          <w:rFonts w:ascii="Times New Roman" w:cs="Times New Roman" w:eastAsia="Times New Roman" w:hAnsi="Times New Roman"/>
          <w:sz w:val="18"/>
          <w:szCs w:val="18"/>
          <w:color w:val="auto"/>
        </w:rPr>
      </w:pPr>
    </w:p>
    <w:p>
      <w:pPr>
        <w:ind w:right="180" w:firstLine="1953"/>
        <w:spacing w:after="0" w:line="277" w:lineRule="auto"/>
        <w:tabs>
          <w:tab w:leader="none" w:pos="2803" w:val="left"/>
        </w:tabs>
        <w:numPr>
          <w:ilvl w:val="1"/>
          <w:numId w:val="5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Termination of Employment</w:t>
      </w:r>
      <w:r>
        <w:rPr>
          <w:rFonts w:ascii="Arial" w:cs="Arial" w:eastAsia="Arial" w:hAnsi="Arial"/>
          <w:sz w:val="20"/>
          <w:szCs w:val="20"/>
          <w:color w:val="404040"/>
        </w:rPr>
        <w:t>. Except as provided in the immediately following sentence, in the event that Participant incurs a Termination of Employment, any Stock Options that have not theretofore become Vested Options (such Stock Options, the “</w:t>
      </w:r>
      <w:r>
        <w:rPr>
          <w:rFonts w:ascii="Arial" w:cs="Arial" w:eastAsia="Arial" w:hAnsi="Arial"/>
          <w:sz w:val="20"/>
          <w:szCs w:val="20"/>
          <w:u w:val="single" w:color="auto"/>
          <w:color w:val="404040"/>
        </w:rPr>
        <w:t>Unvested Options</w:t>
      </w:r>
      <w:r>
        <w:rPr>
          <w:rFonts w:ascii="Arial" w:cs="Arial" w:eastAsia="Arial" w:hAnsi="Arial"/>
          <w:sz w:val="20"/>
          <w:szCs w:val="20"/>
          <w:color w:val="404040"/>
        </w:rPr>
        <w:t>”) shall be forfeited by Participant without consideration therefor. Notwithstanding the foregoing, in the event Participant incurs a Termination of</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71" w:right="2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99" w:lineRule="exact"/>
        <w:rPr>
          <w:sz w:val="20"/>
          <w:szCs w:val="20"/>
          <w:color w:val="auto"/>
        </w:rPr>
      </w:pPr>
    </w:p>
    <w:p>
      <w:pPr>
        <w:spacing w:after="0" w:line="269" w:lineRule="auto"/>
        <w:rPr>
          <w:sz w:val="20"/>
          <w:szCs w:val="20"/>
          <w:color w:val="auto"/>
        </w:rPr>
      </w:pPr>
      <w:r>
        <w:rPr>
          <w:rFonts w:ascii="Arial" w:cs="Arial" w:eastAsia="Arial" w:hAnsi="Arial"/>
          <w:sz w:val="20"/>
          <w:szCs w:val="20"/>
          <w:color w:val="404040"/>
        </w:rPr>
        <w:t>Employment(i) as a result of termination by the Company or its Affiliate without Cause, subject to Participant having served as an employee of the Company or its Affiliate for at least one year, or (ii) due to Participant’s death or Disability, any Unvested Options that are outstanding immediately prior to such Termination of Employment and that would have vested on the next vesting date shall vest pro-rata as of the date of the Participant’s Termination of Employment with the number of Unvested Options vesting to be determined by multiplying the number of Unvested Options that would have vested on the next vesting date by a fraction, the numerator of which is the number of days between the prior vesting date (or Grant Date if no vesting date occurred prior to Participant’s Termination of Employment) and the date of Participant’s Termination of Employment and the denominator of which is 365.</w:t>
      </w:r>
    </w:p>
    <w:p>
      <w:pPr>
        <w:spacing w:after="0" w:line="3" w:lineRule="exact"/>
        <w:rPr>
          <w:sz w:val="20"/>
          <w:szCs w:val="20"/>
          <w:color w:val="auto"/>
        </w:rPr>
      </w:pPr>
    </w:p>
    <w:p>
      <w:pPr>
        <w:ind w:left="1620" w:hanging="315"/>
        <w:spacing w:after="0"/>
        <w:tabs>
          <w:tab w:leader="none" w:pos="16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Termination</w:t>
      </w:r>
      <w:r>
        <w:rPr>
          <w:rFonts w:ascii="Arial" w:cs="Arial" w:eastAsia="Arial" w:hAnsi="Arial"/>
          <w:sz w:val="20"/>
          <w:szCs w:val="20"/>
          <w:color w:val="404040"/>
        </w:rPr>
        <w:t>.</w:t>
      </w:r>
    </w:p>
    <w:p>
      <w:pPr>
        <w:spacing w:after="0" w:line="13" w:lineRule="exact"/>
        <w:rPr>
          <w:rFonts w:ascii="Times New Roman" w:cs="Times New Roman" w:eastAsia="Times New Roman" w:hAnsi="Times New Roman"/>
          <w:sz w:val="18"/>
          <w:szCs w:val="18"/>
          <w:color w:val="auto"/>
        </w:rPr>
      </w:pPr>
    </w:p>
    <w:p>
      <w:pPr>
        <w:ind w:right="160" w:firstLine="1953"/>
        <w:spacing w:after="0" w:line="260" w:lineRule="auto"/>
        <w:tabs>
          <w:tab w:leader="none" w:pos="2793" w:val="left"/>
        </w:tabs>
        <w:numPr>
          <w:ilvl w:val="1"/>
          <w:numId w:val="51"/>
        </w:numPr>
        <w:rPr>
          <w:rFonts w:ascii="Times New Roman" w:cs="Times New Roman" w:eastAsia="Times New Roman" w:hAnsi="Times New Roman"/>
          <w:sz w:val="18"/>
          <w:szCs w:val="18"/>
          <w:color w:val="auto"/>
        </w:rPr>
      </w:pPr>
      <w:r>
        <w:rPr>
          <w:rFonts w:ascii="Arial" w:cs="Arial" w:eastAsia="Arial" w:hAnsi="Arial"/>
          <w:sz w:val="20"/>
          <w:szCs w:val="20"/>
          <w:color w:val="404040"/>
        </w:rPr>
        <w:t>The Stock Option shall automatically terminate and shall become null and void, be unexercisable and be of no further force and effect upon the earliest of:</w:t>
      </w:r>
    </w:p>
    <w:p>
      <w:pPr>
        <w:spacing w:after="0" w:line="1" w:lineRule="exact"/>
        <w:rPr>
          <w:rFonts w:ascii="Times New Roman" w:cs="Times New Roman" w:eastAsia="Times New Roman" w:hAnsi="Times New Roman"/>
          <w:sz w:val="18"/>
          <w:szCs w:val="18"/>
          <w:color w:val="auto"/>
        </w:rPr>
      </w:pPr>
    </w:p>
    <w:p>
      <w:pPr>
        <w:ind w:left="3420" w:hanging="819"/>
        <w:spacing w:after="0"/>
        <w:tabs>
          <w:tab w:leader="none" w:pos="3420" w:val="left"/>
        </w:tabs>
        <w:numPr>
          <w:ilvl w:val="2"/>
          <w:numId w:val="51"/>
        </w:numPr>
        <w:rPr>
          <w:rFonts w:ascii="Times New Roman" w:cs="Times New Roman" w:eastAsia="Times New Roman" w:hAnsi="Times New Roman"/>
          <w:sz w:val="18"/>
          <w:szCs w:val="18"/>
          <w:color w:val="auto"/>
        </w:rPr>
      </w:pPr>
      <w:r>
        <w:rPr>
          <w:rFonts w:ascii="Arial" w:cs="Arial" w:eastAsia="Arial" w:hAnsi="Arial"/>
          <w:sz w:val="20"/>
          <w:szCs w:val="20"/>
          <w:color w:val="404040"/>
        </w:rPr>
        <w:t>the tenth anniversary of the Grant Date;</w:t>
      </w:r>
    </w:p>
    <w:p>
      <w:pPr>
        <w:spacing w:after="0" w:line="26" w:lineRule="exact"/>
        <w:rPr>
          <w:rFonts w:ascii="Times New Roman" w:cs="Times New Roman" w:eastAsia="Times New Roman" w:hAnsi="Times New Roman"/>
          <w:sz w:val="18"/>
          <w:szCs w:val="18"/>
          <w:color w:val="auto"/>
        </w:rPr>
      </w:pPr>
    </w:p>
    <w:p>
      <w:pPr>
        <w:ind w:right="360" w:firstLine="2601"/>
        <w:spacing w:after="0" w:line="267" w:lineRule="auto"/>
        <w:tabs>
          <w:tab w:leader="none" w:pos="3461" w:val="left"/>
        </w:tabs>
        <w:numPr>
          <w:ilvl w:val="2"/>
          <w:numId w:val="51"/>
        </w:numPr>
        <w:rPr>
          <w:rFonts w:ascii="Times New Roman" w:cs="Times New Roman" w:eastAsia="Times New Roman" w:hAnsi="Times New Roman"/>
          <w:sz w:val="18"/>
          <w:szCs w:val="18"/>
          <w:color w:val="auto"/>
        </w:rPr>
      </w:pPr>
      <w:r>
        <w:rPr>
          <w:rFonts w:ascii="Arial" w:cs="Arial" w:eastAsia="Arial" w:hAnsi="Arial"/>
          <w:sz w:val="20"/>
          <w:szCs w:val="20"/>
          <w:color w:val="404040"/>
        </w:rPr>
        <w:t>the first anniversary following Participant’s Termination of Employment, in the case of a Termination of Employment due to death or Disability;</w:t>
      </w:r>
    </w:p>
    <w:p>
      <w:pPr>
        <w:spacing w:after="0" w:line="1" w:lineRule="exact"/>
        <w:rPr>
          <w:rFonts w:ascii="Times New Roman" w:cs="Times New Roman" w:eastAsia="Times New Roman" w:hAnsi="Times New Roman"/>
          <w:sz w:val="18"/>
          <w:szCs w:val="18"/>
          <w:color w:val="auto"/>
        </w:rPr>
      </w:pPr>
    </w:p>
    <w:p>
      <w:pPr>
        <w:ind w:right="1040" w:firstLine="2601"/>
        <w:spacing w:after="0" w:line="202" w:lineRule="auto"/>
        <w:tabs>
          <w:tab w:leader="none" w:pos="3511" w:val="left"/>
        </w:tabs>
        <w:numPr>
          <w:ilvl w:val="2"/>
          <w:numId w:val="51"/>
        </w:numPr>
        <w:rPr>
          <w:rFonts w:ascii="Times New Roman" w:cs="Times New Roman" w:eastAsia="Times New Roman" w:hAnsi="Times New Roman"/>
          <w:sz w:val="18"/>
          <w:szCs w:val="18"/>
          <w:color w:val="auto"/>
        </w:rPr>
      </w:pPr>
      <w:r>
        <w:rPr>
          <w:rFonts w:ascii="Arial" w:cs="Arial" w:eastAsia="Arial" w:hAnsi="Arial"/>
          <w:sz w:val="20"/>
          <w:szCs w:val="20"/>
          <w:color w:val="404040"/>
        </w:rPr>
        <w:t>the 90</w:t>
      </w:r>
      <w:r>
        <w:rPr>
          <w:rFonts w:ascii="Arial" w:cs="Arial" w:eastAsia="Arial" w:hAnsi="Arial"/>
          <w:sz w:val="33"/>
          <w:szCs w:val="33"/>
          <w:color w:val="404040"/>
          <w:vertAlign w:val="superscript"/>
        </w:rPr>
        <w:t>th</w:t>
      </w:r>
      <w:r>
        <w:rPr>
          <w:rFonts w:ascii="Arial" w:cs="Arial" w:eastAsia="Arial" w:hAnsi="Arial"/>
          <w:sz w:val="20"/>
          <w:szCs w:val="20"/>
          <w:color w:val="404040"/>
        </w:rPr>
        <w:t xml:space="preserve"> day following Participant’s Termination of Employment in the case of a Termination of Employment without Cause;</w:t>
      </w:r>
    </w:p>
    <w:p>
      <w:pPr>
        <w:ind w:right="1040" w:firstLine="2601"/>
        <w:spacing w:after="0" w:line="202" w:lineRule="auto"/>
        <w:tabs>
          <w:tab w:leader="none" w:pos="3501" w:val="left"/>
        </w:tabs>
        <w:numPr>
          <w:ilvl w:val="2"/>
          <w:numId w:val="51"/>
        </w:numPr>
        <w:rPr>
          <w:rFonts w:ascii="Times New Roman" w:cs="Times New Roman" w:eastAsia="Times New Roman" w:hAnsi="Times New Roman"/>
          <w:sz w:val="18"/>
          <w:szCs w:val="18"/>
          <w:color w:val="auto"/>
        </w:rPr>
      </w:pPr>
      <w:r>
        <w:rPr>
          <w:rFonts w:ascii="Arial" w:cs="Arial" w:eastAsia="Arial" w:hAnsi="Arial"/>
          <w:sz w:val="20"/>
          <w:szCs w:val="20"/>
          <w:color w:val="404040"/>
        </w:rPr>
        <w:t>the 30</w:t>
      </w:r>
      <w:r>
        <w:rPr>
          <w:rFonts w:ascii="Arial" w:cs="Arial" w:eastAsia="Arial" w:hAnsi="Arial"/>
          <w:sz w:val="33"/>
          <w:szCs w:val="33"/>
          <w:color w:val="404040"/>
          <w:vertAlign w:val="superscript"/>
        </w:rPr>
        <w:t>th</w:t>
      </w:r>
      <w:r>
        <w:rPr>
          <w:rFonts w:ascii="Arial" w:cs="Arial" w:eastAsia="Arial" w:hAnsi="Arial"/>
          <w:sz w:val="20"/>
          <w:szCs w:val="20"/>
          <w:color w:val="404040"/>
        </w:rPr>
        <w:t xml:space="preserve"> day following Participant’s Termination of Employment in the case of a Termination of Employment by the Participant for any reason; and</w:t>
      </w:r>
    </w:p>
    <w:p>
      <w:pPr>
        <w:ind w:left="3460" w:hanging="859"/>
        <w:spacing w:after="0"/>
        <w:tabs>
          <w:tab w:leader="none" w:pos="3460" w:val="left"/>
        </w:tabs>
        <w:numPr>
          <w:ilvl w:val="2"/>
          <w:numId w:val="51"/>
        </w:numPr>
        <w:rPr>
          <w:rFonts w:ascii="Times New Roman" w:cs="Times New Roman" w:eastAsia="Times New Roman" w:hAnsi="Times New Roman"/>
          <w:sz w:val="18"/>
          <w:szCs w:val="18"/>
          <w:color w:val="auto"/>
        </w:rPr>
      </w:pPr>
      <w:r>
        <w:rPr>
          <w:rFonts w:ascii="Arial" w:cs="Arial" w:eastAsia="Arial" w:hAnsi="Arial"/>
          <w:sz w:val="20"/>
          <w:szCs w:val="20"/>
          <w:color w:val="404040"/>
        </w:rPr>
        <w:t>the day of Participant’s Termination of Employment in the case of a Termination of</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20"/>
          <w:szCs w:val="20"/>
          <w:color w:val="404040"/>
        </w:rPr>
        <w:t>Employment for Cause.</w:t>
      </w:r>
    </w:p>
    <w:p>
      <w:pPr>
        <w:spacing w:after="0" w:line="26" w:lineRule="exact"/>
        <w:rPr>
          <w:rFonts w:ascii="Times New Roman" w:cs="Times New Roman" w:eastAsia="Times New Roman" w:hAnsi="Times New Roman"/>
          <w:sz w:val="18"/>
          <w:szCs w:val="18"/>
          <w:color w:val="auto"/>
        </w:rPr>
      </w:pPr>
    </w:p>
    <w:p>
      <w:pPr>
        <w:ind w:right="120" w:firstLine="1953"/>
        <w:spacing w:after="0" w:line="267" w:lineRule="auto"/>
        <w:tabs>
          <w:tab w:leader="none" w:pos="2803" w:val="left"/>
        </w:tabs>
        <w:numPr>
          <w:ilvl w:val="1"/>
          <w:numId w:val="51"/>
        </w:numPr>
        <w:rPr>
          <w:rFonts w:ascii="Times New Roman" w:cs="Times New Roman" w:eastAsia="Times New Roman" w:hAnsi="Times New Roman"/>
          <w:sz w:val="18"/>
          <w:szCs w:val="18"/>
          <w:color w:val="auto"/>
        </w:rPr>
      </w:pPr>
      <w:r>
        <w:rPr>
          <w:rFonts w:ascii="Arial" w:cs="Arial" w:eastAsia="Arial" w:hAnsi="Arial"/>
          <w:sz w:val="20"/>
          <w:szCs w:val="20"/>
          <w:color w:val="404040"/>
        </w:rPr>
        <w:t>Notwithstanding the provisions of Section 4(a) to the contrary, in the event of Participant’s Termination of Employment for any reason (other than due to a Termination of Employment for Cause) during the two-year period following a Change in Control, the Stock Option shall remain outstanding and exercisable until the earlier of (i) the tenth anniversary of the Grant Date and (ii) the fifth anniversary of such Termination of Employment.</w:t>
      </w:r>
    </w:p>
    <w:p>
      <w:pPr>
        <w:spacing w:after="0" w:line="2" w:lineRule="exact"/>
        <w:rPr>
          <w:rFonts w:ascii="Times New Roman" w:cs="Times New Roman" w:eastAsia="Times New Roman" w:hAnsi="Times New Roman"/>
          <w:sz w:val="18"/>
          <w:szCs w:val="18"/>
          <w:color w:val="auto"/>
        </w:rPr>
      </w:pPr>
    </w:p>
    <w:p>
      <w:pPr>
        <w:jc w:val="both"/>
        <w:ind w:right="140" w:firstLine="1953"/>
        <w:spacing w:after="0" w:line="267" w:lineRule="auto"/>
        <w:tabs>
          <w:tab w:leader="none" w:pos="2793" w:val="left"/>
        </w:tabs>
        <w:numPr>
          <w:ilvl w:val="1"/>
          <w:numId w:val="51"/>
        </w:numPr>
        <w:rPr>
          <w:rFonts w:ascii="Times New Roman" w:cs="Times New Roman" w:eastAsia="Times New Roman" w:hAnsi="Times New Roman"/>
          <w:sz w:val="18"/>
          <w:szCs w:val="18"/>
          <w:color w:val="auto"/>
        </w:rPr>
      </w:pPr>
      <w:r>
        <w:rPr>
          <w:rFonts w:ascii="Arial" w:cs="Arial" w:eastAsia="Arial" w:hAnsi="Arial"/>
          <w:sz w:val="20"/>
          <w:szCs w:val="20"/>
          <w:color w:val="404040"/>
        </w:rPr>
        <w:t>Except as otherwise provided in the Plan and Section 3(b) of this Agreement, upon a Termination of Employment for any reason, any Unvested Options shall immediately terminate and be forfeited on the date the Termination of Employment occurs.</w:t>
      </w:r>
    </w:p>
    <w:p>
      <w:pPr>
        <w:spacing w:after="0" w:line="2" w:lineRule="exact"/>
        <w:rPr>
          <w:rFonts w:ascii="Times New Roman" w:cs="Times New Roman" w:eastAsia="Times New Roman" w:hAnsi="Times New Roman"/>
          <w:sz w:val="18"/>
          <w:szCs w:val="18"/>
          <w:color w:val="auto"/>
        </w:rPr>
      </w:pPr>
    </w:p>
    <w:p>
      <w:pPr>
        <w:ind w:right="60" w:firstLine="1305"/>
        <w:spacing w:after="0" w:line="267" w:lineRule="auto"/>
        <w:tabs>
          <w:tab w:leader="none" w:pos="208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Compliance with Legal Requirements</w:t>
      </w:r>
      <w:r>
        <w:rPr>
          <w:rFonts w:ascii="Arial" w:cs="Arial" w:eastAsia="Arial" w:hAnsi="Arial"/>
          <w:sz w:val="20"/>
          <w:szCs w:val="20"/>
          <w:color w:val="404040"/>
        </w:rPr>
        <w:t>. The grant and exercise of the Stock Option, the delivery of Shares upon exercise and any other obligations of the Company under this Agreement shall be subject to all applicable federal and state laws, rules and regulations and to such approvals by any regulatory or governmental agency as may be required.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4" w:lineRule="exact"/>
        <w:rPr>
          <w:rFonts w:ascii="Times New Roman" w:cs="Times New Roman" w:eastAsia="Times New Roman" w:hAnsi="Times New Roman"/>
          <w:sz w:val="18"/>
          <w:szCs w:val="18"/>
          <w:color w:val="auto"/>
        </w:rPr>
      </w:pPr>
    </w:p>
    <w:p>
      <w:pPr>
        <w:ind w:right="100" w:firstLine="1305"/>
        <w:spacing w:after="0" w:line="267" w:lineRule="auto"/>
        <w:tabs>
          <w:tab w:leader="none" w:pos="208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Transferability</w:t>
      </w:r>
      <w:r>
        <w:rPr>
          <w:rFonts w:ascii="Arial" w:cs="Arial" w:eastAsia="Arial" w:hAnsi="Arial"/>
          <w:sz w:val="20"/>
          <w:szCs w:val="20"/>
          <w:color w:val="404040"/>
        </w:rPr>
        <w:t xml:space="preserve">. The Stock Option may not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Subsidiaries or Affiliates;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that the designation of a beneficiary shall not constitute an assignment, alienation, pledge, attachment, sale, transfer or encumbrance.</w:t>
      </w:r>
    </w:p>
    <w:p>
      <w:pPr>
        <w:spacing w:after="0" w:line="3" w:lineRule="exact"/>
        <w:rPr>
          <w:rFonts w:ascii="Times New Roman" w:cs="Times New Roman" w:eastAsia="Times New Roman" w:hAnsi="Times New Roman"/>
          <w:sz w:val="18"/>
          <w:szCs w:val="18"/>
          <w:color w:val="auto"/>
        </w:rPr>
      </w:pPr>
    </w:p>
    <w:p>
      <w:pPr>
        <w:ind w:right="540" w:firstLine="1305"/>
        <w:spacing w:after="0" w:line="267" w:lineRule="auto"/>
        <w:tabs>
          <w:tab w:leader="none" w:pos="208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Adjustment</w:t>
      </w:r>
      <w:r>
        <w:rPr>
          <w:rFonts w:ascii="Arial" w:cs="Arial" w:eastAsia="Arial" w:hAnsi="Arial"/>
          <w:sz w:val="20"/>
          <w:szCs w:val="20"/>
          <w:color w:val="404040"/>
        </w:rPr>
        <w:t>. Upon any event described in Section 3(d) of the Plan occurring after the Grant Date, the adjustment provisions as provided for under Section 3(d) of the Plan shall apply to the Stock Option.</w:t>
      </w:r>
    </w:p>
    <w:p>
      <w:pPr>
        <w:spacing w:after="0" w:line="1" w:lineRule="exact"/>
        <w:rPr>
          <w:rFonts w:ascii="Times New Roman" w:cs="Times New Roman" w:eastAsia="Times New Roman" w:hAnsi="Times New Roman"/>
          <w:sz w:val="18"/>
          <w:szCs w:val="18"/>
          <w:color w:val="auto"/>
        </w:rPr>
      </w:pPr>
    </w:p>
    <w:p>
      <w:pPr>
        <w:ind w:firstLine="1305"/>
        <w:spacing w:after="0" w:line="267" w:lineRule="auto"/>
        <w:tabs>
          <w:tab w:leader="none" w:pos="208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Change in Control</w:t>
      </w:r>
      <w:r>
        <w:rPr>
          <w:rFonts w:ascii="Arial" w:cs="Arial" w:eastAsia="Arial" w:hAnsi="Arial"/>
          <w:sz w:val="20"/>
          <w:szCs w:val="20"/>
          <w:color w:val="404040"/>
        </w:rPr>
        <w:t>. In the event of a Change in Control of the Company occurring after the Grant Date, any outstanding Stock Options that are not then Vested Options shall become fully vested and exercisable immediately upon the occurrence of such Change in Control.</w:t>
      </w:r>
    </w:p>
    <w:p>
      <w:pPr>
        <w:spacing w:after="0" w:line="2" w:lineRule="exact"/>
        <w:rPr>
          <w:rFonts w:ascii="Times New Roman" w:cs="Times New Roman" w:eastAsia="Times New Roman" w:hAnsi="Times New Roman"/>
          <w:sz w:val="18"/>
          <w:szCs w:val="18"/>
          <w:color w:val="auto"/>
        </w:rPr>
      </w:pPr>
    </w:p>
    <w:p>
      <w:pPr>
        <w:ind w:right="260" w:firstLine="1305"/>
        <w:spacing w:after="0" w:line="281" w:lineRule="auto"/>
        <w:tabs>
          <w:tab w:leader="none" w:pos="208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Tax Withholding</w:t>
      </w:r>
      <w:r>
        <w:rPr>
          <w:rFonts w:ascii="Arial" w:cs="Arial" w:eastAsia="Arial" w:hAnsi="Arial"/>
          <w:sz w:val="20"/>
          <w:szCs w:val="20"/>
          <w:color w:val="404040"/>
        </w:rPr>
        <w:t>. As a condition to exercising the Stock Option, in whole or in part, Participant will pay to the Company, or, to the extent approved by the Committee, make provisions satisfactory to the Company for payment of any federal, state or local tax in respect of the exercise or the transfer of the Shares pursuant to Section 15(d) of the Plan.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71"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99" w:lineRule="exact"/>
        <w:rPr>
          <w:sz w:val="20"/>
          <w:szCs w:val="20"/>
          <w:color w:val="auto"/>
        </w:rPr>
      </w:pPr>
    </w:p>
    <w:p>
      <w:pPr>
        <w:ind w:left="2180" w:hanging="875"/>
        <w:spacing w:after="0"/>
        <w:tabs>
          <w:tab w:leader="none" w:pos="218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Miscellaneous</w:t>
      </w:r>
      <w:r>
        <w:rPr>
          <w:rFonts w:ascii="Arial" w:cs="Arial" w:eastAsia="Arial" w:hAnsi="Arial"/>
          <w:sz w:val="20"/>
          <w:szCs w:val="20"/>
          <w:color w:val="404040"/>
        </w:rPr>
        <w:t>.</w:t>
      </w:r>
    </w:p>
    <w:p>
      <w:pPr>
        <w:spacing w:after="0" w:line="39" w:lineRule="exact"/>
        <w:rPr>
          <w:rFonts w:ascii="Times New Roman" w:cs="Times New Roman" w:eastAsia="Times New Roman" w:hAnsi="Times New Roman"/>
          <w:sz w:val="18"/>
          <w:szCs w:val="18"/>
          <w:color w:val="auto"/>
        </w:rPr>
      </w:pPr>
    </w:p>
    <w:p>
      <w:pPr>
        <w:ind w:right="120" w:firstLine="1953"/>
        <w:spacing w:after="0" w:line="267" w:lineRule="auto"/>
        <w:tabs>
          <w:tab w:leader="none" w:pos="2793" w:val="left"/>
        </w:tabs>
        <w:numPr>
          <w:ilvl w:val="1"/>
          <w:numId w:val="52"/>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Confidentiality of this Agreement</w:t>
      </w:r>
      <w:r>
        <w:rPr>
          <w:rFonts w:ascii="Arial" w:cs="Arial" w:eastAsia="Arial" w:hAnsi="Arial"/>
          <w:sz w:val="20"/>
          <w:szCs w:val="20"/>
          <w:color w:val="404040"/>
        </w:rPr>
        <w:t>. Participant agrees to keep confidential the terms of this Agreement, unless and until such terms have been disclosed publicly other than through a breach by Participant of this covenant. This provision does not prohibit Participant from providing this information on a confidential and privileged basis to Participant’s attorneys or accountants for purposes of obtaining legal or tax advice or as otherwise required by law.</w:t>
      </w:r>
    </w:p>
    <w:p>
      <w:pPr>
        <w:spacing w:after="0" w:line="2" w:lineRule="exact"/>
        <w:rPr>
          <w:rFonts w:ascii="Times New Roman" w:cs="Times New Roman" w:eastAsia="Times New Roman" w:hAnsi="Times New Roman"/>
          <w:sz w:val="18"/>
          <w:szCs w:val="18"/>
          <w:color w:val="auto"/>
        </w:rPr>
      </w:pPr>
    </w:p>
    <w:p>
      <w:pPr>
        <w:ind w:right="80" w:firstLine="1953"/>
        <w:spacing w:after="0" w:line="267" w:lineRule="auto"/>
        <w:tabs>
          <w:tab w:leader="none" w:pos="2803" w:val="left"/>
        </w:tabs>
        <w:numPr>
          <w:ilvl w:val="1"/>
          <w:numId w:val="52"/>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Waiver and Amendment</w:t>
      </w:r>
      <w:r>
        <w:rPr>
          <w:rFonts w:ascii="Arial" w:cs="Arial" w:eastAsia="Arial" w:hAnsi="Arial"/>
          <w:sz w:val="20"/>
          <w:szCs w:val="20"/>
          <w:color w:val="404040"/>
        </w:rPr>
        <w:t xml:space="preserve">. The Committee may waive any conditions or rights under, or amend any terms of, this Agreement and the Stock Option granted thereunder;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that any such waiver or amendment that would materially impair the rights of any Participant or any holder or beneficiary of any Stock Option granted 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5" w:lineRule="exact"/>
        <w:rPr>
          <w:rFonts w:ascii="Times New Roman" w:cs="Times New Roman" w:eastAsia="Times New Roman" w:hAnsi="Times New Roman"/>
          <w:sz w:val="18"/>
          <w:szCs w:val="18"/>
          <w:color w:val="auto"/>
        </w:rPr>
      </w:pPr>
    </w:p>
    <w:p>
      <w:pPr>
        <w:ind w:right="20" w:firstLine="1953"/>
        <w:spacing w:after="0" w:line="267" w:lineRule="auto"/>
        <w:tabs>
          <w:tab w:leader="none" w:pos="2793" w:val="left"/>
        </w:tabs>
        <w:numPr>
          <w:ilvl w:val="1"/>
          <w:numId w:val="52"/>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Notices</w:t>
      </w:r>
      <w:r>
        <w:rPr>
          <w:rFonts w:ascii="Arial" w:cs="Arial" w:eastAsia="Arial" w:hAnsi="Arial"/>
          <w:sz w:val="20"/>
          <w:szCs w:val="20"/>
          <w:color w:val="404040"/>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if to the Company:</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NMI Holdings, Inc.</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2100 Powell Street, 12</w:t>
      </w:r>
      <w:r>
        <w:rPr>
          <w:rFonts w:ascii="Arial" w:cs="Arial" w:eastAsia="Arial" w:hAnsi="Arial"/>
          <w:sz w:val="16"/>
          <w:szCs w:val="16"/>
          <w:color w:val="404040"/>
        </w:rPr>
        <w:t>th</w:t>
      </w:r>
      <w:r>
        <w:rPr>
          <w:rFonts w:ascii="Arial" w:cs="Arial" w:eastAsia="Arial" w:hAnsi="Arial"/>
          <w:sz w:val="20"/>
          <w:szCs w:val="20"/>
          <w:color w:val="404040"/>
        </w:rPr>
        <w:t xml:space="preserve"> Floor</w:t>
      </w:r>
    </w:p>
    <w:p>
      <w:pPr>
        <w:ind w:left="1960"/>
        <w:spacing w:after="0"/>
        <w:rPr>
          <w:sz w:val="20"/>
          <w:szCs w:val="20"/>
          <w:color w:val="auto"/>
        </w:rPr>
      </w:pPr>
      <w:r>
        <w:rPr>
          <w:rFonts w:ascii="Arial" w:cs="Arial" w:eastAsia="Arial" w:hAnsi="Arial"/>
          <w:sz w:val="20"/>
          <w:szCs w:val="20"/>
          <w:color w:val="404040"/>
        </w:rPr>
        <w:t>Emeryville, CA 94608</w:t>
      </w:r>
    </w:p>
    <w:p>
      <w:pPr>
        <w:ind w:left="1960"/>
        <w:spacing w:after="0"/>
        <w:rPr>
          <w:sz w:val="20"/>
          <w:szCs w:val="20"/>
          <w:color w:val="auto"/>
        </w:rPr>
      </w:pPr>
      <w:r>
        <w:rPr>
          <w:rFonts w:ascii="Arial" w:cs="Arial" w:eastAsia="Arial" w:hAnsi="Arial"/>
          <w:sz w:val="20"/>
          <w:szCs w:val="20"/>
          <w:color w:val="404040"/>
        </w:rPr>
        <w:t>Attention: General Counsel</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0"/>
          <w:szCs w:val="20"/>
          <w:color w:val="404040"/>
        </w:rPr>
        <w:t>if to Participant: at the address last on the records of the Company.</w:t>
      </w:r>
    </w:p>
    <w:p>
      <w:pPr>
        <w:spacing w:after="0" w:line="216" w:lineRule="exact"/>
        <w:rPr>
          <w:sz w:val="20"/>
          <w:szCs w:val="20"/>
          <w:color w:val="auto"/>
        </w:rPr>
      </w:pPr>
    </w:p>
    <w:p>
      <w:pPr>
        <w:ind w:right="700"/>
        <w:spacing w:after="0" w:line="280" w:lineRule="auto"/>
        <w:rPr>
          <w:sz w:val="20"/>
          <w:szCs w:val="20"/>
          <w:color w:val="auto"/>
        </w:rPr>
      </w:pPr>
      <w:r>
        <w:rPr>
          <w:rFonts w:ascii="Arial" w:cs="Arial" w:eastAsia="Arial" w:hAnsi="Arial"/>
          <w:sz w:val="19"/>
          <w:szCs w:val="19"/>
          <w:color w:val="404040"/>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154" w:lineRule="exact"/>
        <w:rPr>
          <w:sz w:val="20"/>
          <w:szCs w:val="20"/>
          <w:color w:val="auto"/>
        </w:rPr>
      </w:pPr>
    </w:p>
    <w:p>
      <w:pPr>
        <w:ind w:right="240" w:firstLine="1953"/>
        <w:spacing w:after="0" w:line="272" w:lineRule="auto"/>
        <w:tabs>
          <w:tab w:leader="none" w:pos="2835" w:val="left"/>
        </w:tabs>
        <w:numPr>
          <w:ilvl w:val="0"/>
          <w:numId w:val="53"/>
        </w:numPr>
        <w:rPr>
          <w:rFonts w:ascii="Arial" w:cs="Arial" w:eastAsia="Arial" w:hAnsi="Arial"/>
          <w:sz w:val="20"/>
          <w:szCs w:val="20"/>
          <w:color w:val="404040"/>
        </w:rPr>
      </w:pPr>
      <w:r>
        <w:rPr>
          <w:rFonts w:ascii="Arial" w:cs="Arial" w:eastAsia="Arial" w:hAnsi="Arial"/>
          <w:sz w:val="20"/>
          <w:szCs w:val="20"/>
          <w:u w:val="single" w:color="auto"/>
          <w:color w:val="404040"/>
        </w:rPr>
        <w:t>Severability</w:t>
      </w:r>
      <w:r>
        <w:rPr>
          <w:rFonts w:ascii="Arial" w:cs="Arial" w:eastAsia="Arial" w:hAnsi="Arial"/>
          <w:sz w:val="20"/>
          <w:szCs w:val="20"/>
          <w:color w:val="404040"/>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ind w:right="20" w:firstLine="1953"/>
        <w:spacing w:after="0" w:line="267" w:lineRule="auto"/>
        <w:tabs>
          <w:tab w:leader="none" w:pos="2793" w:val="left"/>
        </w:tabs>
        <w:numPr>
          <w:ilvl w:val="0"/>
          <w:numId w:val="5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No Rights to Service</w:t>
      </w:r>
      <w:r>
        <w:rPr>
          <w:rFonts w:ascii="Arial" w:cs="Arial" w:eastAsia="Arial" w:hAnsi="Arial"/>
          <w:sz w:val="20"/>
          <w:szCs w:val="20"/>
          <w:color w:val="404040"/>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2" w:lineRule="exact"/>
        <w:rPr>
          <w:rFonts w:ascii="Times New Roman" w:cs="Times New Roman" w:eastAsia="Times New Roman" w:hAnsi="Times New Roman"/>
          <w:sz w:val="18"/>
          <w:szCs w:val="18"/>
          <w:color w:val="auto"/>
        </w:rPr>
      </w:pPr>
    </w:p>
    <w:p>
      <w:pPr>
        <w:ind w:right="220" w:firstLine="1953"/>
        <w:spacing w:after="0" w:line="267" w:lineRule="auto"/>
        <w:tabs>
          <w:tab w:leader="none" w:pos="2773" w:val="left"/>
        </w:tabs>
        <w:numPr>
          <w:ilvl w:val="0"/>
          <w:numId w:val="5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Beneficiary</w:t>
      </w:r>
      <w:r>
        <w:rPr>
          <w:rFonts w:ascii="Arial" w:cs="Arial" w:eastAsia="Arial" w:hAnsi="Arial"/>
          <w:sz w:val="20"/>
          <w:szCs w:val="20"/>
          <w:color w:val="404040"/>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20"/>
          <w:szCs w:val="20"/>
          <w:u w:val="single" w:color="auto"/>
          <w:color w:val="404040"/>
        </w:rPr>
        <w:t>provided</w:t>
      </w:r>
      <w:r>
        <w:rPr>
          <w:rFonts w:ascii="Arial" w:cs="Arial" w:eastAsia="Arial" w:hAnsi="Arial"/>
          <w:sz w:val="20"/>
          <w:szCs w:val="20"/>
          <w:color w:val="404040"/>
        </w:rPr>
        <w:t xml:space="preserve">, </w:t>
      </w:r>
      <w:r>
        <w:rPr>
          <w:rFonts w:ascii="Arial" w:cs="Arial" w:eastAsia="Arial" w:hAnsi="Arial"/>
          <w:sz w:val="20"/>
          <w:szCs w:val="20"/>
          <w:u w:val="single" w:color="auto"/>
          <w:color w:val="404040"/>
        </w:rPr>
        <w:t>however</w:t>
      </w:r>
      <w:r>
        <w:rPr>
          <w:rFonts w:ascii="Arial" w:cs="Arial" w:eastAsia="Arial" w:hAnsi="Arial"/>
          <w:sz w:val="20"/>
          <w:szCs w:val="20"/>
          <w:color w:val="404040"/>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his spouse or, if Participant is unmarried at the time of death, his estate.</w:t>
      </w:r>
    </w:p>
    <w:p>
      <w:pPr>
        <w:spacing w:after="0" w:line="4" w:lineRule="exact"/>
        <w:rPr>
          <w:rFonts w:ascii="Times New Roman" w:cs="Times New Roman" w:eastAsia="Times New Roman" w:hAnsi="Times New Roman"/>
          <w:sz w:val="18"/>
          <w:szCs w:val="18"/>
          <w:color w:val="auto"/>
        </w:rPr>
      </w:pPr>
    </w:p>
    <w:p>
      <w:pPr>
        <w:ind w:right="80" w:firstLine="1953"/>
        <w:spacing w:after="0" w:line="267" w:lineRule="auto"/>
        <w:tabs>
          <w:tab w:leader="none" w:pos="2803" w:val="left"/>
        </w:tabs>
        <w:numPr>
          <w:ilvl w:val="0"/>
          <w:numId w:val="5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Successors</w:t>
      </w:r>
      <w:r>
        <w:rPr>
          <w:rFonts w:ascii="Arial" w:cs="Arial" w:eastAsia="Arial" w:hAnsi="Arial"/>
          <w:sz w:val="20"/>
          <w:szCs w:val="20"/>
          <w:color w:val="404040"/>
        </w:rPr>
        <w:t>. The terms of this Agreement shall be binding upon and inure to the benefit of the Company, its successors and assigns, and of Participant and the beneficiaries, executors, administrators, heirs and successors of Participant.</w:t>
      </w:r>
    </w:p>
    <w:p>
      <w:pPr>
        <w:spacing w:after="0" w:line="2" w:lineRule="exact"/>
        <w:rPr>
          <w:rFonts w:ascii="Times New Roman" w:cs="Times New Roman" w:eastAsia="Times New Roman" w:hAnsi="Times New Roman"/>
          <w:sz w:val="18"/>
          <w:szCs w:val="18"/>
          <w:color w:val="auto"/>
        </w:rPr>
      </w:pPr>
    </w:p>
    <w:p>
      <w:pPr>
        <w:jc w:val="both"/>
        <w:ind w:right="120" w:firstLine="1953"/>
        <w:spacing w:after="0" w:line="267" w:lineRule="auto"/>
        <w:tabs>
          <w:tab w:leader="none" w:pos="2803" w:val="left"/>
        </w:tabs>
        <w:numPr>
          <w:ilvl w:val="0"/>
          <w:numId w:val="5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Entire Agreement</w:t>
      </w:r>
      <w:r>
        <w:rPr>
          <w:rFonts w:ascii="Arial" w:cs="Arial" w:eastAsia="Arial" w:hAnsi="Arial"/>
          <w:sz w:val="20"/>
          <w:szCs w:val="20"/>
          <w:color w:val="404040"/>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2" w:lineRule="exact"/>
        <w:rPr>
          <w:rFonts w:ascii="Times New Roman" w:cs="Times New Roman" w:eastAsia="Times New Roman" w:hAnsi="Times New Roman"/>
          <w:sz w:val="18"/>
          <w:szCs w:val="18"/>
          <w:color w:val="auto"/>
        </w:rPr>
      </w:pPr>
    </w:p>
    <w:p>
      <w:pPr>
        <w:ind w:right="260" w:firstLine="1953"/>
        <w:spacing w:after="0" w:line="281" w:lineRule="auto"/>
        <w:tabs>
          <w:tab w:leader="none" w:pos="2763" w:val="left"/>
        </w:tabs>
        <w:numPr>
          <w:ilvl w:val="0"/>
          <w:numId w:val="5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Bound by the Plan</w:t>
      </w:r>
      <w:r>
        <w:rPr>
          <w:rFonts w:ascii="Arial" w:cs="Arial" w:eastAsia="Arial" w:hAnsi="Arial"/>
          <w:sz w:val="20"/>
          <w:szCs w:val="20"/>
          <w:color w:val="404040"/>
        </w:rPr>
        <w:t>. By signing this Agreement, Participant acknowledges that he has received a copy of the Plan and has had an opportunity to review the Plan and agrees to be bound by all the terms and provisions of the Plan.</w:t>
      </w:r>
    </w:p>
    <w:p>
      <w:pPr>
        <w:sectPr>
          <w:pgSz w:w="11900" w:h="16838" w:orient="portrait"/>
          <w:cols w:equalWidth="0" w:num="1">
            <w:col w:w="11420"/>
          </w:cols>
          <w:pgMar w:left="240" w:top="171" w:right="2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71" w:right="239" w:bottom="1440" w:gutter="0" w:footer="0" w:header="0"/>
          <w:type w:val="continuous"/>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99" w:lineRule="exact"/>
        <w:rPr>
          <w:sz w:val="20"/>
          <w:szCs w:val="20"/>
          <w:color w:val="auto"/>
        </w:rPr>
      </w:pPr>
    </w:p>
    <w:p>
      <w:pPr>
        <w:ind w:right="40" w:firstLine="1953"/>
        <w:spacing w:after="0" w:line="272" w:lineRule="auto"/>
        <w:tabs>
          <w:tab w:leader="none" w:pos="2763" w:val="left"/>
        </w:tabs>
        <w:numPr>
          <w:ilvl w:val="0"/>
          <w:numId w:val="54"/>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Governing Law</w:t>
      </w:r>
      <w:r>
        <w:rPr>
          <w:rFonts w:ascii="Arial" w:cs="Arial" w:eastAsia="Arial" w:hAnsi="Arial"/>
          <w:sz w:val="20"/>
          <w:szCs w:val="20"/>
          <w:color w:val="404040"/>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ind w:right="180" w:firstLine="1953"/>
        <w:spacing w:after="0" w:line="267" w:lineRule="auto"/>
        <w:tabs>
          <w:tab w:leader="none" w:pos="2803" w:val="left"/>
        </w:tabs>
        <w:numPr>
          <w:ilvl w:val="0"/>
          <w:numId w:val="54"/>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Headings</w:t>
      </w:r>
      <w:r>
        <w:rPr>
          <w:rFonts w:ascii="Arial" w:cs="Arial" w:eastAsia="Arial" w:hAnsi="Arial"/>
          <w:sz w:val="20"/>
          <w:szCs w:val="20"/>
          <w:color w:val="404040"/>
        </w:rPr>
        <w:t>. The headings of the Sections hereof are provided for convenience only and are not to serve as a basis for interpretation or construction and shall not constitute a part of this Agreement.</w:t>
      </w:r>
    </w:p>
    <w:p>
      <w:pPr>
        <w:spacing w:after="0" w:line="1" w:lineRule="exact"/>
        <w:rPr>
          <w:rFonts w:ascii="Times New Roman" w:cs="Times New Roman" w:eastAsia="Times New Roman" w:hAnsi="Times New Roman"/>
          <w:sz w:val="18"/>
          <w:szCs w:val="18"/>
          <w:color w:val="auto"/>
        </w:rPr>
      </w:pPr>
    </w:p>
    <w:p>
      <w:pPr>
        <w:ind w:right="120" w:firstLine="1953"/>
        <w:spacing w:after="0" w:line="295" w:lineRule="auto"/>
        <w:tabs>
          <w:tab w:leader="none" w:pos="2763" w:val="left"/>
        </w:tabs>
        <w:numPr>
          <w:ilvl w:val="0"/>
          <w:numId w:val="54"/>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404040"/>
        </w:rPr>
        <w:t>Signature in Counterparts</w:t>
      </w:r>
      <w:r>
        <w:rPr>
          <w:rFonts w:ascii="Arial" w:cs="Arial" w:eastAsia="Arial" w:hAnsi="Arial"/>
          <w:sz w:val="20"/>
          <w:szCs w:val="20"/>
          <w:color w:val="404040"/>
        </w:rPr>
        <w:t>. This Agreement may be signed in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404040"/>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71"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404040"/>
        </w:rPr>
        <w:t>IN WITNESS WHEREOF</w:t>
      </w:r>
      <w:r>
        <w:rPr>
          <w:rFonts w:ascii="Arial" w:cs="Arial" w:eastAsia="Arial" w:hAnsi="Arial"/>
          <w:sz w:val="20"/>
          <w:szCs w:val="20"/>
          <w:color w:val="404040"/>
        </w:rPr>
        <w:t>, the parties hereto have executed this Agreement.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NMI HOLDINGS,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80"/>
        <w:spacing w:after="0"/>
        <w:rPr>
          <w:sz w:val="20"/>
          <w:szCs w:val="20"/>
          <w:color w:val="auto"/>
        </w:rPr>
      </w:pPr>
      <w:r>
        <w:rPr>
          <w:rFonts w:ascii="Arial" w:cs="Arial" w:eastAsia="Arial" w:hAnsi="Arial"/>
          <w:sz w:val="20"/>
          <w:szCs w:val="20"/>
          <w:color w:val="404040"/>
        </w:rPr>
        <w:t>________________________________</w:t>
      </w:r>
    </w:p>
    <w:p>
      <w:pPr>
        <w:spacing w:after="0" w:line="25" w:lineRule="exact"/>
        <w:rPr>
          <w:sz w:val="20"/>
          <w:szCs w:val="20"/>
          <w:color w:val="auto"/>
        </w:rPr>
      </w:pPr>
    </w:p>
    <w:p>
      <w:pPr>
        <w:ind w:left="3880"/>
        <w:spacing w:after="0"/>
        <w:rPr>
          <w:sz w:val="20"/>
          <w:szCs w:val="20"/>
          <w:color w:val="auto"/>
        </w:rPr>
      </w:pPr>
      <w:r>
        <w:rPr>
          <w:rFonts w:ascii="Arial" w:cs="Arial" w:eastAsia="Arial" w:hAnsi="Arial"/>
          <w:sz w:val="20"/>
          <w:szCs w:val="20"/>
          <w:color w:val="404040"/>
        </w:rPr>
        <w:t>By:</w:t>
      </w:r>
    </w:p>
    <w:p>
      <w:pPr>
        <w:ind w:left="3880"/>
        <w:spacing w:after="0"/>
        <w:rPr>
          <w:sz w:val="20"/>
          <w:szCs w:val="20"/>
          <w:color w:val="auto"/>
        </w:rPr>
      </w:pPr>
      <w:r>
        <w:rPr>
          <w:rFonts w:ascii="Arial" w:cs="Arial" w:eastAsia="Arial" w:hAnsi="Arial"/>
          <w:sz w:val="20"/>
          <w:szCs w:val="20"/>
          <w:color w:val="404040"/>
        </w:rPr>
        <w:t>Title: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PARTICIPANT</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404040"/>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404040"/>
        </w:rPr>
        <w:t>[Signature Page to Nonqualified Stock Option Agreement for Executive Officers/Employees]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71"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Bradley M. Shuster, certify that:</w:t>
      </w:r>
    </w:p>
    <w:p>
      <w:pPr>
        <w:spacing w:after="0" w:line="200" w:lineRule="exact"/>
        <w:rPr>
          <w:sz w:val="20"/>
          <w:szCs w:val="20"/>
          <w:color w:val="auto"/>
        </w:rPr>
      </w:pPr>
    </w:p>
    <w:p>
      <w:pPr>
        <w:spacing w:after="0" w:line="214" w:lineRule="exact"/>
        <w:rPr>
          <w:sz w:val="20"/>
          <w:szCs w:val="20"/>
          <w:color w:val="auto"/>
        </w:rPr>
      </w:pPr>
    </w:p>
    <w:p>
      <w:pPr>
        <w:ind w:left="180" w:hanging="172"/>
        <w:spacing w:after="0"/>
        <w:tabs>
          <w:tab w:leader="none" w:pos="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NMI Holdings, Inc.;</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firstLine="8"/>
        <w:spacing w:after="0" w:line="391" w:lineRule="auto"/>
        <w:tabs>
          <w:tab w:leader="none" w:pos="20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7" w:lineRule="exact"/>
        <w:rPr>
          <w:rFonts w:ascii="Times New Roman" w:cs="Times New Roman" w:eastAsia="Times New Roman" w:hAnsi="Times New Roman"/>
          <w:sz w:val="18"/>
          <w:szCs w:val="18"/>
          <w:color w:val="auto"/>
        </w:rPr>
      </w:pPr>
    </w:p>
    <w:p>
      <w:pPr>
        <w:ind w:firstLine="8"/>
        <w:spacing w:after="0" w:line="391" w:lineRule="auto"/>
        <w:tabs>
          <w:tab w:leader="none" w:pos="18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7" w:lineRule="exact"/>
        <w:rPr>
          <w:rFonts w:ascii="Times New Roman" w:cs="Times New Roman" w:eastAsia="Times New Roman" w:hAnsi="Times New Roman"/>
          <w:sz w:val="18"/>
          <w:szCs w:val="18"/>
          <w:color w:val="auto"/>
        </w:rPr>
      </w:pPr>
    </w:p>
    <w:p>
      <w:pPr>
        <w:jc w:val="both"/>
        <w:ind w:firstLine="8"/>
        <w:spacing w:after="0" w:line="376" w:lineRule="auto"/>
        <w:tabs>
          <w:tab w:leader="none" w:pos="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9" w:lineRule="exact"/>
        <w:rPr>
          <w:rFonts w:ascii="Times New Roman" w:cs="Times New Roman" w:eastAsia="Times New Roman" w:hAnsi="Times New Roman"/>
          <w:sz w:val="18"/>
          <w:szCs w:val="18"/>
          <w:color w:val="auto"/>
        </w:rPr>
      </w:pPr>
    </w:p>
    <w:p>
      <w:pPr>
        <w:jc w:val="both"/>
        <w:ind w:left="660" w:hanging="4"/>
        <w:spacing w:after="0" w:line="376" w:lineRule="auto"/>
        <w:tabs>
          <w:tab w:leader="none" w:pos="86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9" w:lineRule="exact"/>
        <w:rPr>
          <w:rFonts w:ascii="Times New Roman" w:cs="Times New Roman" w:eastAsia="Times New Roman" w:hAnsi="Times New Roman"/>
          <w:sz w:val="18"/>
          <w:szCs w:val="18"/>
          <w:color w:val="auto"/>
        </w:rPr>
      </w:pPr>
    </w:p>
    <w:p>
      <w:pPr>
        <w:jc w:val="both"/>
        <w:ind w:left="660" w:hanging="4"/>
        <w:spacing w:after="0" w:line="376" w:lineRule="auto"/>
        <w:tabs>
          <w:tab w:leader="none" w:pos="89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9" w:lineRule="exact"/>
        <w:rPr>
          <w:rFonts w:ascii="Times New Roman" w:cs="Times New Roman" w:eastAsia="Times New Roman" w:hAnsi="Times New Roman"/>
          <w:sz w:val="18"/>
          <w:szCs w:val="18"/>
          <w:color w:val="auto"/>
        </w:rPr>
      </w:pPr>
    </w:p>
    <w:p>
      <w:pPr>
        <w:ind w:left="660" w:right="20" w:hanging="4"/>
        <w:spacing w:after="0" w:line="391" w:lineRule="auto"/>
        <w:tabs>
          <w:tab w:leader="none" w:pos="89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7" w:lineRule="exact"/>
        <w:rPr>
          <w:rFonts w:ascii="Times New Roman" w:cs="Times New Roman" w:eastAsia="Times New Roman" w:hAnsi="Times New Roman"/>
          <w:sz w:val="18"/>
          <w:szCs w:val="18"/>
          <w:color w:val="auto"/>
        </w:rPr>
      </w:pPr>
    </w:p>
    <w:p>
      <w:pPr>
        <w:jc w:val="both"/>
        <w:ind w:left="660" w:hanging="4"/>
        <w:spacing w:after="0" w:line="376" w:lineRule="auto"/>
        <w:tabs>
          <w:tab w:leader="none" w:pos="87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420"/>
          </w:cols>
          <w:pgMar w:left="240" w:top="630" w:right="239" w:bottom="1440" w:gutter="0" w:footer="0" w:header="0"/>
        </w:sectPr>
      </w:pPr>
    </w:p>
    <w:bookmarkStart w:id="76" w:name="page77"/>
    <w:bookmarkEnd w:id="76"/>
    <w:p>
      <w:pPr>
        <w:ind w:left="-8" w:firstLine="8"/>
        <w:spacing w:after="0" w:line="391" w:lineRule="auto"/>
        <w:tabs>
          <w:tab w:leader="none" w:pos="19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7" w:lineRule="exact"/>
        <w:rPr>
          <w:rFonts w:ascii="Times New Roman" w:cs="Times New Roman" w:eastAsia="Times New Roman" w:hAnsi="Times New Roman"/>
          <w:sz w:val="18"/>
          <w:szCs w:val="18"/>
          <w:color w:val="auto"/>
        </w:rPr>
      </w:pPr>
    </w:p>
    <w:p>
      <w:pPr>
        <w:ind w:left="652" w:right="20" w:hanging="4"/>
        <w:spacing w:after="0" w:line="391" w:lineRule="auto"/>
        <w:tabs>
          <w:tab w:leader="none" w:pos="85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7" w:lineRule="exact"/>
        <w:rPr>
          <w:rFonts w:ascii="Times New Roman" w:cs="Times New Roman" w:eastAsia="Times New Roman" w:hAnsi="Times New Roman"/>
          <w:sz w:val="18"/>
          <w:szCs w:val="18"/>
          <w:color w:val="auto"/>
        </w:rPr>
      </w:pPr>
    </w:p>
    <w:p>
      <w:pPr>
        <w:ind w:left="652" w:hanging="4"/>
        <w:spacing w:after="0" w:line="391" w:lineRule="auto"/>
        <w:tabs>
          <w:tab w:leader="none" w:pos="85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tbl>
      <w:tblPr>
        <w:tblLayout w:type="fixed"/>
        <w:tblInd w:w="532" w:type="dxa"/>
        <w:tblCellMar>
          <w:top w:w="0" w:type="dxa"/>
          <w:left w:w="0" w:type="dxa"/>
          <w:bottom w:w="0" w:type="dxa"/>
          <w:right w:w="0" w:type="dxa"/>
        </w:tblCellMar>
      </w:tblPr>
      <w:tr>
        <w:trPr>
          <w:trHeight w:val="207"/>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2017</w:t>
            </w:r>
          </w:p>
        </w:tc>
        <w:tc>
          <w:tcPr>
            <w:tcW w:w="54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By:/s/ Bradley M. Shuster</w:t>
            </w:r>
          </w:p>
        </w:tc>
      </w:tr>
      <w:tr>
        <w:trPr>
          <w:trHeight w:val="20"/>
        </w:trPr>
        <w:tc>
          <w:tcPr>
            <w:tcW w:w="11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91"/>
        </w:trPr>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Name:Bradley M. Shuster</w:t>
            </w:r>
          </w:p>
        </w:tc>
      </w:tr>
      <w:tr>
        <w:trPr>
          <w:trHeight w:val="270"/>
        </w:trPr>
        <w:tc>
          <w:tcPr>
            <w:tcW w:w="1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54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Title:Chairman and Chief Executive Officer</w:t>
            </w:r>
          </w:p>
        </w:tc>
      </w:tr>
      <w:tr>
        <w:trPr>
          <w:trHeight w:val="270"/>
        </w:trPr>
        <w:tc>
          <w:tcPr>
            <w:tcW w:w="1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54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12"/>
          </w:cols>
          <w:pgMar w:left="248" w:top="634"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S. Pollitzer, certify that:</w:t>
      </w:r>
    </w:p>
    <w:p>
      <w:pPr>
        <w:spacing w:after="0" w:line="200" w:lineRule="exact"/>
        <w:rPr>
          <w:sz w:val="20"/>
          <w:szCs w:val="20"/>
          <w:color w:val="auto"/>
        </w:rPr>
      </w:pPr>
    </w:p>
    <w:p>
      <w:pPr>
        <w:spacing w:after="0" w:line="214" w:lineRule="exact"/>
        <w:rPr>
          <w:sz w:val="20"/>
          <w:szCs w:val="20"/>
          <w:color w:val="auto"/>
        </w:rPr>
      </w:pPr>
    </w:p>
    <w:p>
      <w:pPr>
        <w:ind w:left="180" w:hanging="172"/>
        <w:spacing w:after="0"/>
        <w:tabs>
          <w:tab w:leader="none" w:pos="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NMI Holdings, Inc.;</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firstLine="8"/>
        <w:spacing w:after="0" w:line="391" w:lineRule="auto"/>
        <w:tabs>
          <w:tab w:leader="none" w:pos="2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7" w:lineRule="exact"/>
        <w:rPr>
          <w:rFonts w:ascii="Times New Roman" w:cs="Times New Roman" w:eastAsia="Times New Roman" w:hAnsi="Times New Roman"/>
          <w:sz w:val="18"/>
          <w:szCs w:val="18"/>
          <w:color w:val="auto"/>
        </w:rPr>
      </w:pPr>
    </w:p>
    <w:p>
      <w:pPr>
        <w:ind w:firstLine="8"/>
        <w:spacing w:after="0" w:line="391" w:lineRule="auto"/>
        <w:tabs>
          <w:tab w:leader="none" w:pos="18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7" w:lineRule="exact"/>
        <w:rPr>
          <w:rFonts w:ascii="Times New Roman" w:cs="Times New Roman" w:eastAsia="Times New Roman" w:hAnsi="Times New Roman"/>
          <w:sz w:val="18"/>
          <w:szCs w:val="18"/>
          <w:color w:val="auto"/>
        </w:rPr>
      </w:pPr>
    </w:p>
    <w:p>
      <w:pPr>
        <w:ind w:firstLine="8"/>
        <w:spacing w:after="0" w:line="391" w:lineRule="auto"/>
        <w:tabs>
          <w:tab w:leader="none" w:pos="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57" w:lineRule="exact"/>
        <w:rPr>
          <w:rFonts w:ascii="Times New Roman" w:cs="Times New Roman" w:eastAsia="Times New Roman" w:hAnsi="Times New Roman"/>
          <w:sz w:val="18"/>
          <w:szCs w:val="18"/>
          <w:color w:val="auto"/>
        </w:rPr>
      </w:pPr>
    </w:p>
    <w:p>
      <w:pPr>
        <w:jc w:val="both"/>
        <w:ind w:left="660" w:hanging="4"/>
        <w:spacing w:after="0" w:line="376" w:lineRule="auto"/>
        <w:tabs>
          <w:tab w:leader="none" w:pos="86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9" w:lineRule="exact"/>
        <w:rPr>
          <w:rFonts w:ascii="Times New Roman" w:cs="Times New Roman" w:eastAsia="Times New Roman" w:hAnsi="Times New Roman"/>
          <w:sz w:val="18"/>
          <w:szCs w:val="18"/>
          <w:color w:val="auto"/>
        </w:rPr>
      </w:pPr>
    </w:p>
    <w:p>
      <w:pPr>
        <w:jc w:val="both"/>
        <w:ind w:left="660" w:hanging="4"/>
        <w:spacing w:after="0" w:line="376" w:lineRule="auto"/>
        <w:tabs>
          <w:tab w:leader="none" w:pos="89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9" w:lineRule="exact"/>
        <w:rPr>
          <w:rFonts w:ascii="Times New Roman" w:cs="Times New Roman" w:eastAsia="Times New Roman" w:hAnsi="Times New Roman"/>
          <w:sz w:val="18"/>
          <w:szCs w:val="18"/>
          <w:color w:val="auto"/>
        </w:rPr>
      </w:pPr>
    </w:p>
    <w:p>
      <w:pPr>
        <w:ind w:left="660" w:right="20" w:hanging="4"/>
        <w:spacing w:after="0" w:line="391" w:lineRule="auto"/>
        <w:tabs>
          <w:tab w:leader="none" w:pos="89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7" w:lineRule="exact"/>
        <w:rPr>
          <w:rFonts w:ascii="Times New Roman" w:cs="Times New Roman" w:eastAsia="Times New Roman" w:hAnsi="Times New Roman"/>
          <w:sz w:val="18"/>
          <w:szCs w:val="18"/>
          <w:color w:val="auto"/>
        </w:rPr>
      </w:pPr>
    </w:p>
    <w:p>
      <w:pPr>
        <w:jc w:val="both"/>
        <w:ind w:left="660" w:hanging="4"/>
        <w:spacing w:after="0" w:line="376" w:lineRule="auto"/>
        <w:tabs>
          <w:tab w:leader="none" w:pos="87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420"/>
          </w:cols>
          <w:pgMar w:left="240" w:top="630" w:right="239" w:bottom="1440" w:gutter="0" w:footer="0" w:header="0"/>
        </w:sectPr>
      </w:pPr>
    </w:p>
    <w:bookmarkStart w:id="78" w:name="page79"/>
    <w:bookmarkEnd w:id="78"/>
    <w:p>
      <w:pPr>
        <w:ind w:left="-8" w:firstLine="8"/>
        <w:spacing w:after="0" w:line="391" w:lineRule="auto"/>
        <w:tabs>
          <w:tab w:leader="none" w:pos="19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7" w:lineRule="exact"/>
        <w:rPr>
          <w:rFonts w:ascii="Times New Roman" w:cs="Times New Roman" w:eastAsia="Times New Roman" w:hAnsi="Times New Roman"/>
          <w:sz w:val="18"/>
          <w:szCs w:val="18"/>
          <w:color w:val="auto"/>
        </w:rPr>
      </w:pPr>
    </w:p>
    <w:p>
      <w:pPr>
        <w:ind w:left="652" w:right="20" w:hanging="4"/>
        <w:spacing w:after="0" w:line="391" w:lineRule="auto"/>
        <w:tabs>
          <w:tab w:leader="none" w:pos="85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368" w:lineRule="exact"/>
        <w:rPr>
          <w:rFonts w:ascii="Times New Roman" w:cs="Times New Roman" w:eastAsia="Times New Roman" w:hAnsi="Times New Roman"/>
          <w:sz w:val="18"/>
          <w:szCs w:val="18"/>
          <w:color w:val="auto"/>
        </w:rPr>
      </w:pPr>
    </w:p>
    <w:p>
      <w:pPr>
        <w:ind w:left="652" w:hanging="4"/>
        <w:spacing w:after="0" w:line="391" w:lineRule="auto"/>
        <w:tabs>
          <w:tab w:leader="none" w:pos="8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August 1, 2017</w:t>
      </w:r>
    </w:p>
    <w:p>
      <w:pPr>
        <w:spacing w:after="0" w:line="200" w:lineRule="exact"/>
        <w:rPr>
          <w:sz w:val="20"/>
          <w:szCs w:val="20"/>
          <w:color w:val="auto"/>
        </w:rPr>
      </w:pPr>
    </w:p>
    <w:p>
      <w:pPr>
        <w:spacing w:after="0" w:line="201" w:lineRule="exact"/>
        <w:rPr>
          <w:sz w:val="20"/>
          <w:szCs w:val="20"/>
          <w:color w:val="auto"/>
        </w:rPr>
      </w:pPr>
    </w:p>
    <w:p>
      <w:pPr>
        <w:ind w:left="5732"/>
        <w:spacing w:after="0"/>
        <w:rPr>
          <w:sz w:val="20"/>
          <w:szCs w:val="20"/>
          <w:color w:val="auto"/>
        </w:rPr>
      </w:pPr>
      <w:r>
        <w:rPr>
          <w:rFonts w:ascii="Times New Roman" w:cs="Times New Roman" w:eastAsia="Times New Roman" w:hAnsi="Times New Roman"/>
          <w:sz w:val="18"/>
          <w:szCs w:val="18"/>
          <w:color w:val="auto"/>
        </w:rPr>
        <w:t>By:/s/ Adam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3810000</wp:posOffset>
            </wp:positionH>
            <wp:positionV relativeFrom="paragraph">
              <wp:posOffset>-7620</wp:posOffset>
            </wp:positionV>
            <wp:extent cx="18319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1975" cy="8890"/>
                    </a:xfrm>
                    <a:prstGeom prst="rect">
                      <a:avLst/>
                    </a:prstGeom>
                    <a:noFill/>
                  </pic:spPr>
                </pic:pic>
              </a:graphicData>
            </a:graphic>
          </wp:anchor>
        </w:drawing>
      </w:r>
    </w:p>
    <w:p>
      <w:pPr>
        <w:spacing w:after="0" w:line="70" w:lineRule="exact"/>
        <w:rPr>
          <w:sz w:val="20"/>
          <w:szCs w:val="20"/>
          <w:color w:val="auto"/>
        </w:rPr>
      </w:pPr>
    </w:p>
    <w:p>
      <w:pPr>
        <w:ind w:left="5732"/>
        <w:spacing w:after="0"/>
        <w:rPr>
          <w:sz w:val="20"/>
          <w:szCs w:val="20"/>
          <w:color w:val="auto"/>
        </w:rPr>
      </w:pPr>
      <w:r>
        <w:rPr>
          <w:rFonts w:ascii="Times New Roman" w:cs="Times New Roman" w:eastAsia="Times New Roman" w:hAnsi="Times New Roman"/>
          <w:sz w:val="18"/>
          <w:szCs w:val="18"/>
          <w:color w:val="auto"/>
        </w:rPr>
        <w:t>Name:Adam S. Pollitzer</w:t>
      </w:r>
    </w:p>
    <w:p>
      <w:pPr>
        <w:spacing w:after="0" w:line="63" w:lineRule="exact"/>
        <w:rPr>
          <w:sz w:val="20"/>
          <w:szCs w:val="20"/>
          <w:color w:val="auto"/>
        </w:rPr>
      </w:pPr>
    </w:p>
    <w:p>
      <w:pPr>
        <w:ind w:left="5732"/>
        <w:spacing w:after="0"/>
        <w:rPr>
          <w:sz w:val="20"/>
          <w:szCs w:val="20"/>
          <w:color w:val="auto"/>
        </w:rPr>
      </w:pPr>
      <w:r>
        <w:rPr>
          <w:rFonts w:ascii="Times New Roman" w:cs="Times New Roman" w:eastAsia="Times New Roman" w:hAnsi="Times New Roman"/>
          <w:sz w:val="18"/>
          <w:szCs w:val="18"/>
          <w:color w:val="auto"/>
        </w:rPr>
        <w:t>Title:Chief Financial Officer</w:t>
      </w:r>
    </w:p>
    <w:p>
      <w:pPr>
        <w:spacing w:after="0" w:line="63" w:lineRule="exact"/>
        <w:rPr>
          <w:sz w:val="20"/>
          <w:szCs w:val="20"/>
          <w:color w:val="auto"/>
        </w:rPr>
      </w:pPr>
    </w:p>
    <w:p>
      <w:pPr>
        <w:ind w:left="5732"/>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12"/>
          </w:cols>
          <w:pgMar w:left="248" w:top="634" w:right="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In connection with the Quarterly Report of NMI Holdings, Inc. (the “Company”) on Form 10-Q for the quarter ended March 31, 2017,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270" w:lineRule="exact"/>
        <w:rPr>
          <w:sz w:val="20"/>
          <w:szCs w:val="20"/>
          <w:color w:val="auto"/>
        </w:rPr>
      </w:pPr>
    </w:p>
    <w:p>
      <w:pPr>
        <w:ind w:left="920" w:hanging="264"/>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August 1, 2017</w:t>
      </w:r>
    </w:p>
    <w:p>
      <w:pPr>
        <w:spacing w:after="0" w:line="200" w:lineRule="exact"/>
        <w:rPr>
          <w:sz w:val="20"/>
          <w:szCs w:val="20"/>
          <w:color w:val="auto"/>
        </w:rPr>
      </w:pPr>
    </w:p>
    <w:p>
      <w:pPr>
        <w:spacing w:after="0" w:line="20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Bradley M. Shuster</w:t>
      </w:r>
    </w:p>
    <w:p>
      <w:pPr>
        <w:spacing w:after="0" w:line="9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Name:Bradley M. Shuster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Title:Chairman and Chief Executive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August 1, 2017</w:t>
      </w:r>
    </w:p>
    <w:p>
      <w:pPr>
        <w:spacing w:after="0" w:line="200" w:lineRule="exact"/>
        <w:rPr>
          <w:sz w:val="20"/>
          <w:szCs w:val="20"/>
          <w:color w:val="auto"/>
        </w:rPr>
      </w:pPr>
    </w:p>
    <w:p>
      <w:pPr>
        <w:spacing w:after="0" w:line="20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Adam S. Pollitzer</w:t>
      </w:r>
    </w:p>
    <w:p>
      <w:pPr>
        <w:spacing w:after="0" w:line="9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Name:Adam S. Pollitzer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ind w:right="40"/>
        <w:spacing w:after="0" w:line="37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420"/>
      </w:cols>
      <w:pgMar w:left="240" w:top="6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x"/>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lowerRoman"/>
      <w:start w:val="3"/>
    </w:lvl>
  </w:abstractNum>
  <w:abstractNum w:abstractNumId="12">
    <w:nsid w:val="5072367"/>
    <w:multiLevelType w:val="hybridMultilevel"/>
    <w:lvl w:ilvl="0">
      <w:lvlJc w:val="left"/>
      <w:lvlText w:val="(%1)"/>
      <w:numFmt w:val="lowerRoman"/>
      <w:start w:val="6"/>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1)"/>
      <w:numFmt w:val="lowerRoman"/>
      <w:start w:val="1"/>
    </w:lvl>
    <w:lvl w:ilvl="1">
      <w:lvlJc w:val="left"/>
      <w:lvlText w:val="(%2)"/>
      <w:numFmt w:val="lowerRoman"/>
      <w:start w:val="3"/>
    </w:lvl>
  </w:abstractNum>
  <w:abstractNum w:abstractNumId="15">
    <w:nsid w:val="7724C67E"/>
    <w:multiLevelType w:val="hybridMultilevel"/>
    <w:lvl w:ilvl="0">
      <w:lvlJc w:val="left"/>
      <w:lvlText w:val="(%1)"/>
      <w:numFmt w:val="lowerRoman"/>
      <w:start w:val="4"/>
    </w:lvl>
    <w:lvl w:ilvl="1">
      <w:lvlJc w:val="left"/>
      <w:lvlText w:val="%2"/>
      <w:numFmt w:val="lowerRoman"/>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1."/>
      <w:numFmt w:val="decimal"/>
      <w:start w:val="1"/>
    </w:lvl>
    <w:lvl w:ilvl="1">
      <w:lvlJc w:val="left"/>
      <w:lvlText w:val="(%2)"/>
      <w:numFmt w:val="lowerLetter"/>
      <w:start w:val="1"/>
    </w:lvl>
  </w:abstractNum>
  <w:abstractNum w:abstractNumId="19">
    <w:nsid w:val="51EAD36B"/>
    <w:multiLevelType w:val="hybridMultilevel"/>
    <w:lvl w:ilvl="0">
      <w:lvlJc w:val="left"/>
      <w:lvlText w:val="%1."/>
      <w:numFmt w:val="decimal"/>
      <w:start w:val="4"/>
    </w:lvl>
    <w:lvl w:ilvl="1">
      <w:lvlJc w:val="left"/>
      <w:lvlText w:val="(%2)"/>
      <w:numFmt w:val="lowerLetter"/>
      <w:start w:val="1"/>
    </w:lvl>
  </w:abstractNum>
  <w:abstractNum w:abstractNumId="20">
    <w:nsid w:val="2D517796"/>
    <w:multiLevelType w:val="hybridMultilevel"/>
    <w:lvl w:ilvl="0">
      <w:lvlJc w:val="left"/>
      <w:lvlText w:val="%1"/>
      <w:numFmt w:val="decimal"/>
      <w:start w:val="1"/>
    </w:lvl>
    <w:lvl w:ilvl="1">
      <w:lvlJc w:val="left"/>
      <w:lvlText w:val="(%2)"/>
      <w:numFmt w:val="lowerLetter"/>
      <w:start w:val="4"/>
    </w:lvl>
  </w:abstractNum>
  <w:abstractNum w:abstractNumId="21">
    <w:nsid w:val="580BD78F"/>
    <w:multiLevelType w:val="hybridMultilevel"/>
    <w:lvl w:ilvl="0">
      <w:lvlJc w:val="left"/>
      <w:lvlText w:val="%1."/>
      <w:numFmt w:val="decimal"/>
      <w:start w:val="10"/>
    </w:lvl>
    <w:lvl w:ilvl="1">
      <w:lvlJc w:val="left"/>
      <w:lvlText w:val="%2"/>
      <w:numFmt w:val="lowerLetter"/>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4">
    <w:nsid w:val="70A64E2A"/>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25">
    <w:nsid w:val="6A2342EC"/>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6">
    <w:nsid w:val="2A487CB0"/>
    <w:multiLevelType w:val="hybridMultilevel"/>
    <w:lvl w:ilvl="0">
      <w:lvlJc w:val="left"/>
      <w:lvlText w:val="%1."/>
      <w:numFmt w:val="decimal"/>
      <w:start w:val="5"/>
    </w:lvl>
    <w:lvl w:ilvl="1">
      <w:lvlJc w:val="left"/>
      <w:lvlText w:val="(%2)"/>
      <w:numFmt w:val="lowerLetter"/>
      <w:start w:val="1"/>
    </w:lvl>
  </w:abstractNum>
  <w:abstractNum w:abstractNumId="27">
    <w:nsid w:val="1D4ED43B"/>
    <w:multiLevelType w:val="hybridMultilevel"/>
    <w:lvl w:ilvl="0">
      <w:lvlJc w:val="left"/>
      <w:lvlText w:val="%1"/>
      <w:numFmt w:val="decimal"/>
      <w:start w:val="1"/>
    </w:lvl>
    <w:lvl w:ilvl="1">
      <w:lvlJc w:val="left"/>
      <w:lvlText w:val="(%2)"/>
      <w:numFmt w:val="lowerLetter"/>
      <w:start w:val="5"/>
    </w:lvl>
  </w:abstractNum>
  <w:abstractNum w:abstractNumId="28">
    <w:nsid w:val="725A06FB"/>
    <w:multiLevelType w:val="hybridMultilevel"/>
    <w:lvl w:ilvl="0">
      <w:lvlJc w:val="left"/>
      <w:lvlText w:val="%1."/>
      <w:numFmt w:val="decimal"/>
      <w:start w:val="10"/>
    </w:lvl>
    <w:lvl w:ilvl="1">
      <w:lvlJc w:val="left"/>
      <w:lvlText w:val="%2"/>
      <w:numFmt w:val="lowerLetter"/>
      <w:start w:val="1"/>
    </w:lvl>
  </w:abstractNum>
  <w:abstractNum w:abstractNumId="29">
    <w:nsid w:val="2CD89A32"/>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30">
    <w:nsid w:val="57E4CCAF"/>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31">
    <w:nsid w:val="7A6D8D3C"/>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2">
    <w:nsid w:val="4B588F54"/>
    <w:multiLevelType w:val="hybridMultilevel"/>
    <w:lvl w:ilvl="0">
      <w:lvlJc w:val="left"/>
      <w:lvlText w:val="%1."/>
      <w:numFmt w:val="decimal"/>
      <w:start w:val="5"/>
    </w:lvl>
    <w:lvl w:ilvl="1">
      <w:lvlJc w:val="left"/>
      <w:lvlText w:val="(%2)"/>
      <w:numFmt w:val="lowerLetter"/>
      <w:start w:val="1"/>
    </w:lvl>
  </w:abstractNum>
  <w:abstractNum w:abstractNumId="33">
    <w:nsid w:val="542289EC"/>
    <w:multiLevelType w:val="hybridMultilevel"/>
    <w:lvl w:ilvl="0">
      <w:lvlJc w:val="left"/>
      <w:lvlText w:val="(%1)"/>
      <w:numFmt w:val="lowerLetter"/>
      <w:start w:val="4"/>
    </w:lvl>
  </w:abstractNum>
  <w:abstractNum w:abstractNumId="34">
    <w:nsid w:val="6DE91B18"/>
    <w:multiLevelType w:val="hybridMultilevel"/>
    <w:lvl w:ilvl="0">
      <w:lvlJc w:val="left"/>
      <w:lvlText w:val="(%1)"/>
      <w:numFmt w:val="lowerLetter"/>
      <w:start w:val="5"/>
    </w:lvl>
  </w:abstractNum>
  <w:abstractNum w:abstractNumId="35">
    <w:nsid w:val="38437FDB"/>
    <w:multiLevelType w:val="hybridMultilevel"/>
    <w:lvl w:ilvl="0">
      <w:lvlJc w:val="left"/>
      <w:lvlText w:val="%1"/>
      <w:numFmt w:val="decimal"/>
      <w:start w:val="1"/>
    </w:lvl>
    <w:lvl w:ilvl="1">
      <w:lvlJc w:val="left"/>
      <w:lvlText w:val="(%2)"/>
      <w:numFmt w:val="lowerLetter"/>
      <w:start w:val="14"/>
    </w:lvl>
  </w:abstractNum>
  <w:abstractNum w:abstractNumId="36">
    <w:nsid w:val="7644A45C"/>
    <w:multiLevelType w:val="hybridMultilevel"/>
    <w:lvl w:ilvl="0">
      <w:lvlJc w:val="left"/>
      <w:lvlText w:val="%1."/>
      <w:numFmt w:val="decimal"/>
      <w:start w:val="10"/>
    </w:lvl>
    <w:lvl w:ilvl="1">
      <w:lvlJc w:val="left"/>
      <w:lvlText w:val="%2"/>
      <w:numFmt w:val="lowerLetter"/>
      <w:start w:val="1"/>
    </w:lvl>
  </w:abstractNum>
  <w:abstractNum w:abstractNumId="37">
    <w:nsid w:val="32FFF902"/>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38">
    <w:nsid w:val="684A481A"/>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39">
    <w:nsid w:val="579478FE"/>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40">
    <w:nsid w:val="749ABB43"/>
    <w:multiLevelType w:val="hybridMultilevel"/>
    <w:lvl w:ilvl="0">
      <w:lvlJc w:val="left"/>
      <w:lvlText w:val="%1."/>
      <w:numFmt w:val="decimal"/>
      <w:start w:val="7"/>
    </w:lvl>
    <w:lvl w:ilvl="1">
      <w:lvlJc w:val="left"/>
      <w:lvlText w:val="(%2)"/>
      <w:numFmt w:val="lowerLetter"/>
      <w:start w:val="1"/>
    </w:lvl>
  </w:abstractNum>
  <w:abstractNum w:abstractNumId="41">
    <w:nsid w:val="3DC240FB"/>
    <w:multiLevelType w:val="hybridMultilevel"/>
    <w:lvl w:ilvl="0">
      <w:lvlJc w:val="left"/>
      <w:lvlText w:val="(%1)"/>
      <w:numFmt w:val="lowerLetter"/>
      <w:start w:val="4"/>
    </w:lvl>
  </w:abstractNum>
  <w:abstractNum w:abstractNumId="42">
    <w:nsid w:val="1BA026FA"/>
    <w:multiLevelType w:val="hybridMultilevel"/>
    <w:lvl w:ilvl="0">
      <w:lvlJc w:val="left"/>
      <w:lvlText w:val="%1"/>
      <w:numFmt w:val="decimal"/>
      <w:start w:val="1"/>
    </w:lvl>
    <w:lvl w:ilvl="1">
      <w:lvlJc w:val="left"/>
      <w:lvlText w:val="(%2)"/>
      <w:numFmt w:val="lowerLetter"/>
      <w:start w:val="7"/>
    </w:lvl>
  </w:abstractNum>
  <w:abstractNum w:abstractNumId="43">
    <w:nsid w:val="79A1DEAA"/>
    <w:multiLevelType w:val="hybridMultilevel"/>
    <w:lvl w:ilvl="0">
      <w:lvlJc w:val="left"/>
      <w:lvlText w:val="%1."/>
      <w:numFmt w:val="decimal"/>
      <w:start w:val="10"/>
    </w:lvl>
    <w:lvl w:ilvl="1">
      <w:lvlJc w:val="left"/>
      <w:lvlText w:val="%2"/>
      <w:numFmt w:val="lowerLetter"/>
      <w:start w:val="1"/>
    </w:lvl>
  </w:abstractNum>
  <w:abstractNum w:abstractNumId="44">
    <w:nsid w:val="75C6C33A"/>
    <w:multiLevelType w:val="hybridMultilevel"/>
    <w:lvl w:ilvl="0">
      <w:lvlJc w:val="left"/>
      <w:lvlText w:val="%1."/>
      <w:numFmt w:val="decimal"/>
      <w:start w:val="1"/>
    </w:lvl>
    <w:lvl w:ilvl="1">
      <w:lvlJc w:val="left"/>
      <w:lvlText w:val="(%2)"/>
      <w:numFmt w:val="lowerLetter"/>
      <w:start w:val="1"/>
    </w:lvl>
  </w:abstractNum>
  <w:abstractNum w:abstractNumId="45">
    <w:nsid w:val="12E685F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6">
    <w:nsid w:val="70C6A529"/>
    <w:multiLevelType w:val="hybridMultilevel"/>
    <w:lvl w:ilvl="0">
      <w:lvlJc w:val="left"/>
      <w:lvlText w:val="%1."/>
      <w:numFmt w:val="decimal"/>
      <w:start w:val="7"/>
    </w:lvl>
    <w:lvl w:ilvl="1">
      <w:lvlJc w:val="left"/>
      <w:lvlText w:val="(%2)"/>
      <w:numFmt w:val="lowerLetter"/>
      <w:start w:val="1"/>
    </w:lvl>
  </w:abstractNum>
  <w:abstractNum w:abstractNumId="47">
    <w:nsid w:val="520EEDD1"/>
    <w:multiLevelType w:val="hybridMultilevel"/>
    <w:lvl w:ilvl="0">
      <w:lvlJc w:val="left"/>
      <w:lvlText w:val="(%1)"/>
      <w:numFmt w:val="lowerLetter"/>
      <w:start w:val="3"/>
    </w:lvl>
  </w:abstractNum>
  <w:abstractNum w:abstractNumId="48">
    <w:nsid w:val="374A3FE6"/>
    <w:multiLevelType w:val="hybridMultilevel"/>
    <w:lvl w:ilvl="0">
      <w:lvlJc w:val="left"/>
      <w:lvlText w:val="(%1)"/>
      <w:numFmt w:val="lowerLetter"/>
      <w:start w:val="6"/>
    </w:lvl>
  </w:abstractNum>
  <w:abstractNum w:abstractNumId="49">
    <w:nsid w:val="4F4EF005"/>
    <w:multiLevelType w:val="hybridMultilevel"/>
    <w:lvl w:ilvl="0">
      <w:lvlJc w:val="left"/>
      <w:lvlText w:val="%1."/>
      <w:numFmt w:val="decimal"/>
      <w:start w:val="1"/>
    </w:lvl>
    <w:lvl w:ilvl="1">
      <w:lvlJc w:val="left"/>
      <w:lvlText w:val="(%2)"/>
      <w:numFmt w:val="lowerLetter"/>
      <w:start w:val="1"/>
    </w:lvl>
  </w:abstractNum>
  <w:abstractNum w:abstractNumId="50">
    <w:nsid w:val="23F9C13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1">
    <w:nsid w:val="649BB77C"/>
    <w:multiLevelType w:val="hybridMultilevel"/>
    <w:lvl w:ilvl="0">
      <w:lvlJc w:val="left"/>
      <w:lvlText w:val="%1."/>
      <w:numFmt w:val="decimal"/>
      <w:start w:val="10"/>
    </w:lvl>
    <w:lvl w:ilvl="1">
      <w:lvlJc w:val="left"/>
      <w:lvlText w:val="(%2)"/>
      <w:numFmt w:val="lowerLetter"/>
      <w:start w:val="1"/>
    </w:lvl>
  </w:abstractNum>
  <w:abstractNum w:abstractNumId="52">
    <w:nsid w:val="275AC794"/>
    <w:multiLevelType w:val="hybridMultilevel"/>
    <w:lvl w:ilvl="0">
      <w:lvlJc w:val="left"/>
      <w:lvlText w:val="(%1)"/>
      <w:numFmt w:val="lowerLetter"/>
      <w:start w:val="4"/>
    </w:lvl>
  </w:abstractNum>
  <w:abstractNum w:abstractNumId="53">
    <w:nsid w:val="39386575"/>
    <w:multiLevelType w:val="hybridMultilevel"/>
    <w:lvl w:ilvl="0">
      <w:lvlJc w:val="left"/>
      <w:lvlText w:val="(%1)"/>
      <w:numFmt w:val="lowerLetter"/>
      <w:start w:val="10"/>
    </w:lvl>
  </w:abstractNum>
  <w:abstractNum w:abstractNumId="54">
    <w:nsid w:val="1CF10FD8"/>
    <w:multiLevelType w:val="hybridMultilevel"/>
    <w:lvl w:ilvl="0">
      <w:lvlJc w:val="left"/>
      <w:lvlText w:val="%1."/>
      <w:numFmt w:val="decimal"/>
      <w:start w:val="1"/>
    </w:lvl>
    <w:lvl w:ilvl="1">
      <w:lvlJc w:val="left"/>
      <w:lvlText w:val="%2)"/>
      <w:numFmt w:val="lowerLetter"/>
      <w:start w:val="1"/>
    </w:lvl>
  </w:abstractNum>
  <w:abstractNum w:abstractNumId="55">
    <w:nsid w:val="180115BE"/>
    <w:multiLevelType w:val="hybridMultilevel"/>
    <w:lvl w:ilvl="0">
      <w:lvlJc w:val="left"/>
      <w:lvlText w:val="%1."/>
      <w:numFmt w:val="decimal"/>
      <w:start w:val="5"/>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5"/>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2019-12-29T06:03:30Z</dcterms:created>
  <dcterms:modified xsi:type="dcterms:W3CDTF">2019-12-29T06:03:30Z</dcterms:modified>
</cp:coreProperties>
</file>