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1"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6"/>
          <w:szCs w:val="16"/>
          <w:b w:val="1"/>
          <w:bCs w:val="1"/>
          <w:color w:val="auto"/>
        </w:rPr>
        <w:t>June 30, 2022</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4" w:lineRule="exact"/>
        <w:rPr>
          <w:sz w:val="24"/>
          <w:szCs w:val="24"/>
          <w:color w:val="auto"/>
        </w:rPr>
      </w:pPr>
    </w:p>
    <w:p>
      <w:pPr>
        <w:ind w:left="640" w:right="2120" w:hanging="404"/>
        <w:spacing w:after="0" w:line="285"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185"/>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80" w:type="dxa"/>
            <w:vAlign w:val="bottom"/>
          </w:tcPr>
          <w:p>
            <w:pPr>
              <w:spacing w:after="0"/>
              <w:rPr>
                <w:sz w:val="16"/>
                <w:szCs w:val="16"/>
                <w:color w:val="auto"/>
              </w:rPr>
            </w:pPr>
          </w:p>
        </w:tc>
        <w:tc>
          <w:tcPr>
            <w:tcW w:w="4560" w:type="dxa"/>
            <w:vAlign w:val="bottom"/>
            <w:gridSpan w:val="2"/>
          </w:tcPr>
          <w:p>
            <w:pPr>
              <w:jc w:val="center"/>
              <w:ind w:right="1658"/>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42"/>
        </w:trPr>
        <w:tc>
          <w:tcPr>
            <w:tcW w:w="25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2100 Powell Street</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85"/>
        </w:trPr>
        <w:tc>
          <w:tcPr>
            <w:tcW w:w="4320" w:type="dxa"/>
            <w:vAlign w:val="bottom"/>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jc w:val="center"/>
              <w:ind w:right="209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40"/>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5"/>
        </w:trPr>
        <w:tc>
          <w:tcPr>
            <w:tcW w:w="2500" w:type="dxa"/>
            <w:vAlign w:val="bottom"/>
          </w:tcPr>
          <w:p>
            <w:pPr>
              <w:spacing w:after="0"/>
              <w:rPr>
                <w:sz w:val="16"/>
                <w:szCs w:val="16"/>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Nasdaq</w:t>
            </w:r>
          </w:p>
        </w:tc>
      </w:tr>
    </w:tbl>
    <w:p>
      <w:pPr>
        <w:spacing w:after="0" w:line="179"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7"/>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6"/>
        </w:trPr>
        <w:tc>
          <w:tcPr>
            <w:tcW w:w="468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20"/>
        <w:spacing w:after="0" w:line="22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July 29, 2022 was 84,702,616 shares.</w:t>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7320" w:type="dxa"/>
            <w:vAlign w:val="bottom"/>
            <w:gridSpan w:val="11"/>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Cautionary Note Regarding Forward Looking Statements</w:t>
            </w:r>
          </w:p>
        </w:tc>
        <w:tc>
          <w:tcPr>
            <w:tcW w:w="3900" w:type="dxa"/>
            <w:vAlign w:val="bottom"/>
            <w:gridSpan w:val="4"/>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89"/>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29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4.</w:t>
            </w:r>
          </w:p>
        </w:tc>
        <w:tc>
          <w:tcPr>
            <w:tcW w:w="1720" w:type="dxa"/>
            <w:vAlign w:val="bottom"/>
            <w:gridSpan w:val="5"/>
          </w:tcPr>
          <w:p>
            <w:pPr>
              <w:spacing w:after="0" w:line="185"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w w:val="82"/>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4"/>
                <w:shd w:val="clear" w:color="auto" w:fill="CCEEFF"/>
              </w:rPr>
              <w:t>Risk Factors</w:t>
            </w:r>
          </w:p>
        </w:tc>
        <w:tc>
          <w:tcPr>
            <w:tcW w:w="5400" w:type="dxa"/>
            <w:vAlign w:val="bottom"/>
            <w:gridSpan w:val="6"/>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w w:val="88"/>
              </w:rPr>
              <w:t>58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6.</w:t>
            </w:r>
          </w:p>
        </w:tc>
        <w:tc>
          <w:tcPr>
            <w:tcW w:w="5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0000FF"/>
                <w:w w:val="93"/>
              </w:rPr>
              <w:t>Exhibits</w:t>
            </w:r>
          </w:p>
        </w:tc>
        <w:tc>
          <w:tcPr>
            <w:tcW w:w="300" w:type="dxa"/>
            <w:vAlign w:val="bottom"/>
          </w:tcPr>
          <w:p>
            <w:pPr>
              <w:spacing w:after="0"/>
              <w:rPr>
                <w:sz w:val="16"/>
                <w:szCs w:val="16"/>
                <w:color w:val="auto"/>
              </w:rPr>
            </w:pPr>
          </w:p>
        </w:tc>
        <w:tc>
          <w:tcPr>
            <w:tcW w:w="5400" w:type="dxa"/>
            <w:vAlign w:val="bottom"/>
            <w:gridSpan w:val="6"/>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62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4" w:lineRule="exact"/>
        <w:rPr>
          <w:sz w:val="20"/>
          <w:szCs w:val="20"/>
          <w:color w:val="auto"/>
        </w:rPr>
      </w:pPr>
    </w:p>
    <w:p>
      <w:pPr>
        <w:jc w:val="both"/>
        <w:ind w:firstLine="185"/>
        <w:spacing w:after="0" w:line="24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42" w:lineRule="exact"/>
        <w:rPr>
          <w:sz w:val="20"/>
          <w:szCs w:val="20"/>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coronavirus (COVID-19) pandemic and its variants or the measures taken by governmental authorities and other third-parties to contain the spread of COVID-19, including their impact on the global economy, the U.S. housing, real estate, housing finance and mortgage insurance markets, and our business, operations and personnel;</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0"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charters, business practices, policy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5"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world's financial, capital and credit markets and our access to such markets, including reinsurance;</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reform and other potential changes in tax law and their impact on us and our operations;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103" w:lineRule="exact"/>
        <w:rPr>
          <w:rFonts w:ascii="Times New Roman" w:cs="Times New Roman" w:eastAsia="Times New Roman" w:hAnsi="Times New Roman"/>
          <w:sz w:val="18"/>
          <w:szCs w:val="18"/>
          <w:color w:val="auto"/>
        </w:rPr>
      </w:pPr>
    </w:p>
    <w:p>
      <w:pPr>
        <w:ind w:left="960" w:right="120" w:hanging="321"/>
        <w:spacing w:after="0" w:line="238"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(including rising interest rates and inflation) and investment results or other conditions that affect the housing market or the markets for home mortgages or mortgage insurance, including the risks related to geopolitical instability, an economic downturn (including any decline in home prices) or recession, and their impacts on our business, operations and personnel;</w:t>
      </w:r>
    </w:p>
    <w:p>
      <w:pPr>
        <w:spacing w:after="0" w:line="220" w:lineRule="exact"/>
        <w:rPr>
          <w:rFonts w:ascii="Times New Roman" w:cs="Times New Roman" w:eastAsia="Times New Roman" w:hAnsi="Times New Roman"/>
          <w:sz w:val="18"/>
          <w:szCs w:val="18"/>
          <w:color w:val="auto"/>
        </w:rPr>
      </w:pPr>
    </w:p>
    <w:p>
      <w:pPr>
        <w:ind w:left="960" w:hanging="321"/>
        <w:spacing w:after="0" w:line="333" w:lineRule="auto"/>
        <w:tabs>
          <w:tab w:leader="none" w:pos="95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69" w:lineRule="exact"/>
        <w:rPr>
          <w:rFonts w:ascii="Times New Roman" w:cs="Times New Roman" w:eastAsia="Times New Roman" w:hAnsi="Times New Roman"/>
          <w:sz w:val="16"/>
          <w:szCs w:val="16"/>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the GSEs, or other market participants seeking alternatives to private mortgage insurance;</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pricing or investment strategies;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unexpected claim and coverage issues, including claims exceeding our reserves or amounts we had expected to experience;</w:t>
      </w:r>
    </w:p>
    <w:p>
      <w:pPr>
        <w:spacing w:after="0" w:line="162" w:lineRule="exact"/>
        <w:rPr>
          <w:rFonts w:ascii="Times New Roman" w:cs="Times New Roman" w:eastAsia="Times New Roman" w:hAnsi="Times New Roman"/>
          <w:sz w:val="18"/>
          <w:szCs w:val="18"/>
          <w:color w:val="auto"/>
        </w:rPr>
      </w:pPr>
    </w:p>
    <w:p>
      <w:pPr>
        <w:ind w:left="960" w:hanging="321"/>
        <w:spacing w:after="0" w:line="333" w:lineRule="auto"/>
        <w:tabs>
          <w:tab w:leader="none" w:pos="95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adverse impacts arising from natural disasters (including those that may be caused or exacerbated by climate change), including, with respect to affected areas, a decline in new business, adverse effects on home prices, and an increase in notices of default on insured mortgages;</w:t>
      </w:r>
    </w:p>
    <w:p>
      <w:pPr>
        <w:spacing w:after="0" w:line="69" w:lineRule="exact"/>
        <w:rPr>
          <w:rFonts w:ascii="Times New Roman" w:cs="Times New Roman" w:eastAsia="Times New Roman" w:hAnsi="Times New Roman"/>
          <w:sz w:val="16"/>
          <w:szCs w:val="16"/>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arising from the occurrence of any man-made disasters or public health emergencies, including pandemics;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counter-parties, including third-party reinsurers, to meet their obligations to us;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(IT) systems or the failure of technology providers to perform;</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w:t>
      </w:r>
    </w:p>
    <w:p>
      <w:pPr>
        <w:spacing w:after="0" w:line="16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II, Item 1A of this Report and in Part I, Item 1A, of our Annual Report on Form 10-K for the year ended December 31, 2021 (2021 10-K), as subsequently updated in other reports we file from time to time with the U.S. Securities and Exchange Commission (SEC).</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"Company" and "NMI" in this document refer to NMI Holdings, Inc., a Delaware corporation, and its wholly 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2022 (Unaudited) and December 31, 2021</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179"/>
        </w:trPr>
        <w:tc>
          <w:tcPr>
            <w:tcW w:w="11060" w:type="dxa"/>
            <w:vAlign w:val="bottom"/>
            <w:tcBorders>
              <w:top w:val="single" w:sz="8" w:color="CCEEFF"/>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 and six months ended June 30, 2022 and 2021</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90"/>
        </w:trPr>
        <w:tc>
          <w:tcPr>
            <w:tcW w:w="110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0000FF"/>
              </w:rPr>
              <w:t>7</w:t>
            </w:r>
          </w:p>
        </w:tc>
      </w:tr>
      <w:tr>
        <w:trPr>
          <w:trHeight w:val="30"/>
        </w:trPr>
        <w:tc>
          <w:tcPr>
            <w:tcW w:w="1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three months ended June 30, 2022 and 2021 (Unaudited)</w:t>
            </w:r>
          </w:p>
        </w:tc>
        <w:tc>
          <w:tcPr>
            <w:tcW w:w="18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8</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2022 and 2021 (Unaudited)</w:t>
            </w:r>
          </w:p>
        </w:tc>
        <w:tc>
          <w:tcPr>
            <w:tcW w:w="18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77"/>
              </w:rPr>
              <w:t>10</w:t>
            </w:r>
          </w:p>
        </w:tc>
      </w:tr>
      <w:tr>
        <w:trPr>
          <w:trHeight w:val="30"/>
        </w:trPr>
        <w:tc>
          <w:tcPr>
            <w:tcW w:w="110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8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77"/>
              </w:rPr>
              <w:t>11</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52"/>
        </w:trPr>
        <w:tc>
          <w:tcPr>
            <w:tcW w:w="7680" w:type="dxa"/>
            <w:vAlign w:val="bottom"/>
            <w:shd w:val="clear" w:color="auto" w:fill="CCEEFF"/>
          </w:tcPr>
          <w:p>
            <w:pPr>
              <w:ind w:left="220"/>
              <w:spacing w:after="0" w:line="152" w:lineRule="exact"/>
              <w:rPr>
                <w:sz w:val="20"/>
                <w:szCs w:val="20"/>
                <w:color w:val="auto"/>
              </w:rPr>
            </w:pPr>
            <w:r>
              <w:rPr>
                <w:rFonts w:ascii="Times New Roman" w:cs="Times New Roman" w:eastAsia="Times New Roman" w:hAnsi="Times New Roman"/>
                <w:sz w:val="16"/>
                <w:szCs w:val="16"/>
                <w:color w:val="auto"/>
              </w:rPr>
              <w:t>Fixed maturities, available-for-sale, at fair value (amortized cost of $2,218,344 and $2,078,773 as of June</w:t>
            </w: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2022 and December 31, 2021, respectively)</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2,085,931</w:t>
            </w:r>
          </w:p>
        </w:tc>
        <w:tc>
          <w:tcPr>
            <w:tcW w:w="0" w:type="dxa"/>
            <w:vAlign w:val="bottom"/>
          </w:tcPr>
          <w:p>
            <w:pPr>
              <w:spacing w:after="0"/>
              <w:rPr>
                <w:sz w:val="1"/>
                <w:szCs w:val="1"/>
                <w:color w:val="auto"/>
              </w:rPr>
            </w:pPr>
          </w:p>
        </w:tc>
      </w:tr>
      <w:tr>
        <w:trPr>
          <w:trHeight w:val="171"/>
        </w:trPr>
        <w:tc>
          <w:tcPr>
            <w:tcW w:w="76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Cash and cash equivalents (including restricted cash of $2,152 and $3,165 as of June 30, 2022 and</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76,646</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60,358</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94,238</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2,450,581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394,623</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164,175</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867,196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884,795</w:t>
            </w:r>
          </w:p>
        </w:tc>
        <w:tc>
          <w:tcPr>
            <w:tcW w:w="0" w:type="dxa"/>
            <w:vAlign w:val="bottom"/>
          </w:tcPr>
          <w:p>
            <w:pPr>
              <w:spacing w:after="0"/>
              <w:rPr>
                <w:sz w:val="1"/>
                <w:szCs w:val="1"/>
                <w:color w:val="auto"/>
              </w:rPr>
            </w:pPr>
          </w:p>
        </w:tc>
      </w:tr>
      <w:tr>
        <w:trPr>
          <w:trHeight w:val="204"/>
        </w:trPr>
        <w:tc>
          <w:tcPr>
            <w:tcW w:w="7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Common stock - class A shares, $0.01 par value; 86,375,154 shares issued and 84,701,092 shares</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8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w w:val="99"/>
              </w:rPr>
              <w:t>outstanding as of June 30, 2022 and 85,792,849 shares issued and outstanding as of December 31, 2021</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(250,000,000 shares authorized)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955,302</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Treasury Stock, at cost: 1,674,062 and 0 common shares as of June 30, 2022 and December 31, 2021,</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608,141</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1,565,786</w:t>
            </w:r>
          </w:p>
        </w:tc>
        <w:tc>
          <w:tcPr>
            <w:tcW w:w="0" w:type="dxa"/>
            <w:vAlign w:val="bottom"/>
          </w:tcPr>
          <w:p>
            <w:pPr>
              <w:spacing w:after="0"/>
              <w:rPr>
                <w:sz w:val="1"/>
                <w:szCs w:val="1"/>
                <w:color w:val="auto"/>
              </w:rPr>
            </w:pP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2,450,581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ONDENSED CONSOLIDATED STATEMENTS OF OPERATIONS AND COMPREHENSIVE INCOME (LOSS)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2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216,767</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235,959</w:t>
            </w:r>
          </w:p>
        </w:tc>
        <w:tc>
          <w:tcPr>
            <w:tcW w:w="0" w:type="dxa"/>
            <w:vAlign w:val="bottom"/>
          </w:tcPr>
          <w:p>
            <w:pPr>
              <w:spacing w:after="0"/>
              <w:rPr>
                <w:sz w:val="1"/>
                <w:szCs w:val="1"/>
                <w:color w:val="auto"/>
              </w:rPr>
            </w:pPr>
          </w:p>
        </w:tc>
      </w:tr>
      <w:tr>
        <w:trPr>
          <w:trHeight w:val="204"/>
        </w:trPr>
        <w:tc>
          <w:tcPr>
            <w:tcW w:w="63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claims and claim (benefits)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68,790</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94,848</w:t>
            </w:r>
          </w:p>
        </w:tc>
        <w:tc>
          <w:tcPr>
            <w:tcW w:w="0" w:type="dxa"/>
            <w:vAlign w:val="bottom"/>
          </w:tcPr>
          <w:p>
            <w:pPr>
              <w:spacing w:after="0"/>
              <w:rPr>
                <w:sz w:val="1"/>
                <w:szCs w:val="1"/>
                <w:color w:val="auto"/>
              </w:rPr>
            </w:pPr>
          </w:p>
        </w:tc>
      </w:tr>
      <w:tr>
        <w:trPr>
          <w:trHeight w:val="244"/>
        </w:trPr>
        <w:tc>
          <w:tcPr>
            <w:tcW w:w="6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141,111</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0" w:type="dxa"/>
            <w:vAlign w:val="bottom"/>
          </w:tcPr>
          <w:p>
            <w:pPr>
              <w:spacing w:after="0"/>
              <w:rPr>
                <w:sz w:val="1"/>
                <w:szCs w:val="1"/>
                <w:color w:val="auto"/>
              </w:rPr>
            </w:pP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110,414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64"/>
        </w:trPr>
        <w:tc>
          <w:tcPr>
            <w:tcW w:w="6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0" w:type="dxa"/>
            <w:vAlign w:val="bottom"/>
          </w:tcPr>
          <w:p>
            <w:pPr>
              <w:spacing w:after="0"/>
              <w:rPr>
                <w:sz w:val="1"/>
                <w:szCs w:val="1"/>
                <w:color w:val="auto"/>
              </w:rPr>
            </w:pPr>
          </w:p>
        </w:tc>
      </w:tr>
      <w:tr>
        <w:trPr>
          <w:trHeight w:val="264"/>
        </w:trPr>
        <w:tc>
          <w:tcPr>
            <w:tcW w:w="6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110,414</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Unrealized (losses) gains in accumulated other comprehensive income (loss), net of tax</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3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(benefit) expense of $(17,004) and $4,995 for the three months ended June 30, 2022 and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2021, and $(43,180) and $(7,003) for the six month ended June 30, 2022 and 2021,</w:t>
            </w: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(162,438)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3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Reclassification adjustment for realized gains included in net income, net of tax expense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of $11 and $3 for the three months ended June 30, 2022 and 2021, and $97 and $3 for the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2022 and 2021,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980" w:type="dxa"/>
            <w:vAlign w:val="bottom"/>
            <w:gridSpan w:val="3"/>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20" w:type="dxa"/>
            <w:vAlign w:val="bottom"/>
          </w:tcPr>
          <w:p>
            <w:pPr>
              <w:spacing w:after="0"/>
              <w:rPr>
                <w:sz w:val="13"/>
                <w:szCs w:val="13"/>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760" w:type="dxa"/>
            <w:vAlign w:val="bottom"/>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100" w:type="dxa"/>
            <w:vAlign w:val="bottom"/>
            <w:vMerge w:val="restart"/>
          </w:tcPr>
          <w:p>
            <w:pPr>
              <w:jc w:val="right"/>
              <w:ind w:right="54"/>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800" w:type="dxa"/>
            <w:vAlign w:val="bottom"/>
            <w:vMerge w:val="restart"/>
          </w:tcPr>
          <w:p>
            <w:pPr>
              <w:jc w:val="right"/>
              <w:ind w:right="114"/>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955,302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608,141</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1,565,786</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 class A shares issued related to warrant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Common stock: class A shares issued under stock plans,</w:t>
            </w: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Change in unrealized investment gains/losses, net of tax</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of $26,262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67,680</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67,680</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960,667</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675,821</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1,535,042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0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Common stock: class A shares issued related to warrant</w:t>
            </w: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Common stock: class A shares issued under stock plans,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Change in unrealized investment gains/losses, net of tax</w:t>
            </w: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$17,015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(64,011)</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(64,011)</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964,654</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751,265</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1,525,092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320" w:hanging="314"/>
        <w:spacing w:after="0" w:line="269" w:lineRule="auto"/>
        <w:tabs>
          <w:tab w:leader="none" w:pos="2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2022, we issued 32,659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3"/>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14"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rPr>
                <w:sz w:val="12"/>
                <w:szCs w:val="12"/>
                <w:color w:val="auto"/>
              </w:rPr>
            </w:pPr>
          </w:p>
        </w:tc>
        <w:tc>
          <w:tcPr>
            <w:tcW w:w="2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6"/>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195"/>
              <w:spacing w:after="0" w:line="12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1080" w:type="dxa"/>
            <w:vAlign w:val="bottom"/>
            <w:vMerge w:val="restart"/>
          </w:tcPr>
          <w:p>
            <w:pPr>
              <w:jc w:val="center"/>
              <w:ind w:right="16"/>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00" w:type="dxa"/>
            <w:vAlign w:val="bottom"/>
          </w:tcPr>
          <w:p>
            <w:pPr>
              <w:spacing w:after="0"/>
              <w:rPr>
                <w:sz w:val="2"/>
                <w:szCs w:val="2"/>
                <w:color w:val="auto"/>
              </w:rPr>
            </w:pPr>
          </w:p>
        </w:tc>
        <w:tc>
          <w:tcPr>
            <w:tcW w:w="8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53,856</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1,369,591</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 class A shares issued related to</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exercises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 benefit of $11,997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(45,133)</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(45,133)</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52,891</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1,380,308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Times New Roman" w:cs="Times New Roman" w:eastAsia="Times New Roman" w:hAnsi="Times New Roman"/>
                <w:sz w:val="18"/>
                <w:szCs w:val="18"/>
                <w:color w:val="auto"/>
              </w:rPr>
              <w:t>Common stock: class A shares issued related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exercises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w:t>
            </w: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 expense of $4,992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85,703</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4" w:hanging="314"/>
        <w:spacing w:after="0" w:line="269"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months ended March 31, 2021 and June 30, 2021, we issued 23,750 and 8,096 common shares, respectively,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34"/>
          </w:cols>
          <w:pgMar w:left="326"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r>
      <w:tr>
        <w:trPr>
          <w:trHeight w:val="24"/>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3"/>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tcPr>
          <w:p>
            <w:pPr>
              <w:spacing w:after="0"/>
              <w:rPr>
                <w:sz w:val="17"/>
                <w:szCs w:val="17"/>
                <w:color w:val="auto"/>
              </w:rPr>
            </w:pPr>
          </w:p>
        </w:tc>
        <w:tc>
          <w:tcPr>
            <w:tcW w:w="172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940" w:type="dxa"/>
            <w:vAlign w:val="bottom"/>
          </w:tcPr>
          <w:p>
            <w:pPr>
              <w:spacing w:after="0"/>
              <w:rPr>
                <w:sz w:val="17"/>
                <w:szCs w:val="17"/>
                <w:color w:val="auto"/>
              </w:rPr>
            </w:pPr>
          </w:p>
        </w:tc>
      </w:tr>
      <w:tr>
        <w:trPr>
          <w:trHeight w:val="23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110,414</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8"/>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5,344</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amortization of premium on investment securities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3,289</w:t>
            </w:r>
          </w:p>
        </w:tc>
      </w:tr>
      <w:tr>
        <w:trPr>
          <w:trHeight w:val="228"/>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30,692</w:t>
            </w:r>
          </w:p>
        </w:tc>
      </w:tr>
      <w:tr>
        <w:trPr>
          <w:trHeight w:val="228"/>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6,405</w:t>
            </w:r>
          </w:p>
        </w:tc>
      </w:tr>
      <w:tr>
        <w:trPr>
          <w:trHeight w:val="220"/>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Premiums receivable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w:t>
            </w:r>
          </w:p>
        </w:tc>
      </w:tr>
      <w:tr>
        <w:trPr>
          <w:trHeight w:val="220"/>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22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20"/>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Reinsurance recoverable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r>
      <w:tr>
        <w:trPr>
          <w:trHeight w:val="220"/>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2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Unearned premiums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w:t>
            </w:r>
          </w:p>
        </w:tc>
      </w:tr>
      <w:tr>
        <w:trPr>
          <w:trHeight w:val="220"/>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10,668</w:t>
            </w:r>
          </w:p>
        </w:tc>
      </w:tr>
      <w:tr>
        <w:trPr>
          <w:trHeight w:val="22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Reinsurance balances,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w:t>
            </w:r>
          </w:p>
        </w:tc>
      </w:tr>
      <w:tr>
        <w:trPr>
          <w:trHeight w:val="22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182,544</w:t>
            </w:r>
          </w:p>
        </w:tc>
      </w:tr>
      <w:tr>
        <w:trPr>
          <w:trHeight w:val="200"/>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(8,991)</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(286,635)</w:t>
            </w:r>
          </w:p>
        </w:tc>
      </w:tr>
      <w:tr>
        <w:trPr>
          <w:trHeight w:val="22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 available-for-sale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60,997</w:t>
            </w:r>
          </w:p>
        </w:tc>
      </w:tr>
      <w:tr>
        <w:trPr>
          <w:trHeight w:val="22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(6,050)</w:t>
            </w:r>
          </w:p>
        </w:tc>
      </w:tr>
      <w:tr>
        <w:trPr>
          <w:trHeight w:val="21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(147,756)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(240,679)</w:t>
            </w:r>
          </w:p>
        </w:tc>
      </w:tr>
      <w:tr>
        <w:trPr>
          <w:trHeight w:val="20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4,043</w:t>
            </w:r>
          </w:p>
        </w:tc>
      </w:tr>
      <w:tr>
        <w:trPr>
          <w:trHeight w:val="22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warrants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w:t>
            </w:r>
          </w:p>
        </w:tc>
      </w:tr>
      <w:tr>
        <w:trPr>
          <w:trHeight w:val="228"/>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(30,326)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195"/>
        </w:trPr>
        <w:tc>
          <w:tcPr>
            <w:tcW w:w="8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3380"/>
        <w:spacing w:after="0" w:line="312" w:lineRule="auto"/>
        <w:rPr>
          <w:sz w:val="20"/>
          <w:szCs w:val="20"/>
          <w:color w:val="auto"/>
        </w:rPr>
      </w:pPr>
      <w:r>
        <w:rPr>
          <w:rFonts w:ascii="Times New Roman" w:cs="Times New Roman" w:eastAsia="Times New Roman" w:hAnsi="Times New Roman"/>
          <w:sz w:val="16"/>
          <w:szCs w:val="16"/>
          <w:color w:val="auto"/>
        </w:rPr>
        <w:t>Net decrease in cash, cash equivalents and restricted cash 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-160655</wp:posOffset>
            </wp:positionV>
            <wp:extent cx="7135495" cy="142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6"/>
              </w:rPr>
              <w:t>(4,248)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(58,857)</w:t>
            </w:r>
          </w:p>
        </w:tc>
      </w:tr>
      <w:tr>
        <w:trPr>
          <w:trHeight w:val="226"/>
        </w:trPr>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76,646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126,937</w:t>
            </w:r>
          </w:p>
        </w:tc>
      </w:tr>
      <w:tr>
        <w:trPr>
          <w:trHeight w:val="220"/>
        </w:trPr>
        <w:tc>
          <w:tcPr>
            <w:tcW w:w="4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72,398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68,080</w:t>
            </w:r>
          </w:p>
        </w:tc>
      </w:tr>
      <w:tr>
        <w:trPr>
          <w:trHeight w:val="23"/>
        </w:trPr>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7600" w:space="720"/>
            <w:col w:w="2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2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29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14,750</w:t>
            </w:r>
          </w:p>
        </w:tc>
        <w:tc>
          <w:tcPr>
            <w:tcW w:w="5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14,750</w:t>
            </w:r>
          </w:p>
        </w:tc>
      </w:tr>
      <w:tr>
        <w:trPr>
          <w:trHeight w:val="217"/>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refunded</w:t>
            </w:r>
          </w:p>
        </w:tc>
        <w:tc>
          <w:tcPr>
            <w:tcW w:w="292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r>
    </w:tbl>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Summary of Accounting Principles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12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 owned, licensed insurance subsidiary; however, it does not currently have active insurance exposures. In August 2015, NMIH capitalized a wholly owned subsidiary, NMI Services, Inc. (NMIS), through which we offer outsourced loan review services to mortgage loan originators.</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2021, included in our 2021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2022.</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COVID-19 Developments</w:t>
      </w:r>
    </w:p>
    <w:p>
      <w:pPr>
        <w:spacing w:after="0" w:line="166"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On January 30, 2020, the World Health Organization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0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Principles</w:t>
      </w:r>
    </w:p>
    <w:p>
      <w:pPr>
        <w:spacing w:after="0" w:line="164"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There have been no changes to our significant accounting principles as described in Item 8, "</w:t>
      </w:r>
      <w:r>
        <w:rPr>
          <w:rFonts w:ascii="Times New Roman" w:cs="Times New Roman" w:eastAsia="Times New Roman" w:hAnsi="Times New Roman"/>
          <w:sz w:val="18"/>
          <w:szCs w:val="18"/>
          <w:i w:val="1"/>
          <w:iCs w:val="1"/>
          <w:color w:val="auto"/>
        </w:rPr>
        <w:t>Financial Statements and Supplementary Data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2 - Summary of Accounting Principles</w:t>
      </w:r>
      <w:r>
        <w:rPr>
          <w:rFonts w:ascii="Times New Roman" w:cs="Times New Roman" w:eastAsia="Times New Roman" w:hAnsi="Times New Roman"/>
          <w:sz w:val="18"/>
          <w:szCs w:val="18"/>
          <w:color w:val="auto"/>
        </w:rPr>
        <w:t>" of our 2021 10-K, except as noted in "</w:t>
      </w: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Recent Accounting Pronouncements - Adopted</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4" w:lineRule="exact"/>
        <w:rPr>
          <w:sz w:val="20"/>
          <w:szCs w:val="20"/>
          <w:color w:val="auto"/>
        </w:rPr>
      </w:pPr>
    </w:p>
    <w:p>
      <w:pPr>
        <w:jc w:val="both"/>
        <w:ind w:left="120" w:firstLine="475"/>
        <w:spacing w:after="0" w:line="257" w:lineRule="auto"/>
        <w:rPr>
          <w:sz w:val="20"/>
          <w:szCs w:val="20"/>
          <w:color w:val="auto"/>
        </w:rPr>
      </w:pPr>
      <w:r>
        <w:rPr>
          <w:rFonts w:ascii="Times New Roman" w:cs="Times New Roman" w:eastAsia="Times New Roman" w:hAnsi="Times New Roman"/>
          <w:sz w:val="18"/>
          <w:szCs w:val="18"/>
          <w:color w:val="auto"/>
        </w:rPr>
        <w:t>Common stock repurchases are recorded at cost and presented as "Treasury Stock" in the consolidated balance sheet and statement of changes in shareholders' equity. At the date of repurchase, shareholders' equity is reduced by the aggregate repurchase price plus commissions and other expenses that arise from the repurchase transaction.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162" w:lineRule="exact"/>
        <w:rPr>
          <w:sz w:val="20"/>
          <w:szCs w:val="20"/>
          <w:color w:val="auto"/>
        </w:rPr>
      </w:pPr>
    </w:p>
    <w:p>
      <w:pPr>
        <w:jc w:val="both"/>
        <w:ind w:left="120" w:firstLine="475"/>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(Subtopic 470-20) </w:t>
      </w:r>
      <w:r>
        <w:rPr>
          <w:rFonts w:ascii="Times New Roman" w:cs="Times New Roman" w:eastAsia="Times New Roman" w:hAnsi="Times New Roman"/>
          <w:sz w:val="18"/>
          <w:szCs w:val="18"/>
          <w:i w:val="1"/>
          <w:iCs w:val="1"/>
          <w:color w:val="auto"/>
        </w:rPr>
        <w:t>and Derivatives and Hedging— Contracts in Entity's Own Equity (Subtopic 815-40</w:t>
      </w:r>
      <w:r>
        <w:rPr>
          <w:rFonts w:ascii="Times New Roman" w:cs="Times New Roman" w:eastAsia="Times New Roman" w:hAnsi="Times New Roman"/>
          <w:sz w:val="18"/>
          <w:szCs w:val="18"/>
          <w:color w:val="auto"/>
        </w:rPr>
        <w:t>). The update simplifies the accounting for convertible instruments and contracts on an entity's own equity, including warrants, eliminating certain triggers for derivative accounting. We adopted this ASU on January 1, 2022 and determined it did not have a material impact on our consolidated financial statements, including our warrant liability.</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62" w:lineRule="exact"/>
        <w:rPr>
          <w:sz w:val="20"/>
          <w:szCs w:val="20"/>
          <w:color w:val="auto"/>
        </w:rPr>
      </w:pPr>
    </w:p>
    <w:p>
      <w:pPr>
        <w:jc w:val="both"/>
        <w:ind w:left="120" w:firstLine="475"/>
        <w:spacing w:after="0" w:line="250" w:lineRule="auto"/>
        <w:rPr>
          <w:sz w:val="20"/>
          <w:szCs w:val="20"/>
          <w:color w:val="auto"/>
        </w:rPr>
      </w:pPr>
      <w:r>
        <w:rPr>
          <w:rFonts w:ascii="Times New Roman" w:cs="Times New Roman" w:eastAsia="Times New Roman" w:hAnsi="Times New Roman"/>
          <w:sz w:val="18"/>
          <w:szCs w:val="18"/>
          <w:color w:val="auto"/>
        </w:rPr>
        <w:t xml:space="preserve">In August 2018, the FASB issued ASU 2018-12, </w:t>
      </w:r>
      <w:r>
        <w:rPr>
          <w:rFonts w:ascii="Times New Roman" w:cs="Times New Roman" w:eastAsia="Times New Roman" w:hAnsi="Times New Roman"/>
          <w:sz w:val="18"/>
          <w:szCs w:val="18"/>
          <w:i w:val="1"/>
          <w:iCs w:val="1"/>
          <w:color w:val="auto"/>
        </w:rPr>
        <w:t>Targeted Improvements to the Accounting for Long-Duration Contracts</w:t>
      </w:r>
      <w:r>
        <w:rPr>
          <w:rFonts w:ascii="Times New Roman" w:cs="Times New Roman" w:eastAsia="Times New Roman" w:hAnsi="Times New Roman"/>
          <w:sz w:val="18"/>
          <w:szCs w:val="18"/>
          <w:color w:val="auto"/>
        </w:rPr>
        <w:t xml:space="preserve"> (Topic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are currently evaluating the impact the adoption of this ASU will have, if any, on our consolidated financial statements.</w:t>
      </w:r>
    </w:p>
    <w:p>
      <w:pPr>
        <w:spacing w:after="0" w:line="131" w:lineRule="exact"/>
        <w:rPr>
          <w:sz w:val="20"/>
          <w:szCs w:val="20"/>
          <w:color w:val="auto"/>
        </w:rPr>
      </w:pPr>
    </w:p>
    <w:p>
      <w:pPr>
        <w:jc w:val="both"/>
        <w:ind w:left="120" w:firstLine="475"/>
        <w:spacing w:after="0" w:line="24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We continue to monitor the impact the discontinuance of LIBOR will have on our contracts and other transactions; however, the adoption of, and future elections under, this ASU, are not expected to have a material impact on our consolidated financial statements as the ASU will ease, if warranted, the requirements for accounting for the future effects of the rate reform.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 of operations and comprehensive income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38,749</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517,672</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1,288,664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2,121,478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1,922,532</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554,078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1,393,830</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2,074,913</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did not own any mortgage-backed securities in our asset-backed securities portfolio at June 30, 2022 or December 31, 2021.</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corporate debt securities by issuer industry group as of June 30, 2022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June 30, 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June 30, 2022 and December 31, 2021, approximately $5.4 million and $5.6 million, respectively, of our cash and investments were held in the form of U.S. Treasury securities on deposit with various state insurance departments to satisfy regulatory requirements.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6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The amortized cost and fair value of available-for-sale securities as of June 30, 2022 and December 31, 2021,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2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200,093</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763,587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957,937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2,218,344</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2,019,420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82,201</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1,207,997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54,705</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2,078,773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2,085,931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June 30, 2022, the investment portfolio had gross unrealized losses of $199.4 million, of which $41.7 million were associated with securities that had been in an unrealized loss position for a period of twelve-months or longer. As of December 31, 2021, the investment portfolio had gross unrealized losses of $23.2 million, of which $6.5 million were associated with securities that had been in an unrealized loss position for a period of twelve-months or longer. For those securities in an unrealized loss position, the length of time the securities were in such a position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780" w:type="dxa"/>
            <w:vAlign w:val="bottom"/>
          </w:tcPr>
          <w:p>
            <w:pPr>
              <w:spacing w:after="0"/>
              <w:rPr>
                <w:sz w:val="16"/>
                <w:szCs w:val="16"/>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780" w:type="dxa"/>
            <w:vAlign w:val="bottom"/>
            <w:tcBorders>
              <w:top w:val="single" w:sz="8" w:color="auto"/>
            </w:tcBorders>
          </w:tcPr>
          <w:p>
            <w:pPr>
              <w:jc w:val="right"/>
              <w:ind w:right="156"/>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ind w:right="156"/>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ind w:right="196"/>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6"/>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U.S. Treasury securities and</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obligations of U.S. government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7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475,694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501,963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967,117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1,183,830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(135,862)</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1,586,699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(157,758)</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244,741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1,831,440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(199,408)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288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8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800" w:type="dxa"/>
            <w:vAlign w:val="bottom"/>
            <w:tcBorders>
              <w:top w:val="single" w:sz="8" w:color="auto"/>
            </w:tcBorders>
          </w:tcPr>
          <w:p>
            <w:pPr>
              <w:jc w:val="right"/>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8"/>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19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8"/>
              <w:spacing w:after="0" w:line="12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2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799,491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0" w:type="dxa"/>
            <w:vAlign w:val="bottom"/>
          </w:tcPr>
          <w:p>
            <w:pPr>
              <w:spacing w:after="0"/>
              <w:rPr>
                <w:sz w:val="1"/>
                <w:szCs w:val="1"/>
                <w:color w:val="auto"/>
              </w:rPr>
            </w:pPr>
          </w:p>
        </w:tc>
      </w:tr>
      <w:tr>
        <w:trPr>
          <w:trHeight w:val="2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57,601</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7"/>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June 30, 2022 and December 31, 2021, we did not recognize an allowance for credit loss for any security in the investment portfolio and we did not record any provision for credit loss for investment securities during the three or six month periods ended June 30, 2022 or June 30, 2021.</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increase in the number of securities in and the aggregate size of the unrealized loss position as of June 30, 2022, was primarily driven by interest rate movements following the purchase date of certain securities. We evaluated the securities in an unrealized loss position as of June 30, 2022, assessing their credit ratings as well as any adverse conditions specifically related to the security. Based upon our estimate of the amount and timing of cash flows to be collected over the remaining life of each instrument, we believe the unrealized losses as of June 30, 2022 are not indicative of the ultimate collectability of the current amortized cost of the securities.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investment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60" w:type="dxa"/>
            <w:vAlign w:val="bottom"/>
          </w:tcPr>
          <w:p>
            <w:pPr>
              <w:spacing w:after="0"/>
              <w:rPr>
                <w:sz w:val="16"/>
                <w:szCs w:val="16"/>
                <w:color w:val="auto"/>
              </w:rPr>
            </w:pPr>
          </w:p>
        </w:tc>
        <w:tc>
          <w:tcPr>
            <w:tcW w:w="266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9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92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r>
      <w:tr>
        <w:trPr>
          <w:trHeight w:val="224"/>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realized investment gains: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940" w:type="dxa"/>
            <w:vAlign w:val="bottom"/>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4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investment gains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investment losses</w:t>
            </w:r>
          </w:p>
        </w:tc>
        <w:tc>
          <w:tcPr>
            <w:tcW w:w="106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8"/>
          <w:szCs w:val="18"/>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1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64"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Liabilities classified as Level 3</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 All outstanding and unexercised warrants expired in April 2022 and there was no warrant liability remaining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level within the fair value hierarchy at which our financial instruments were measured: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8"/>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8"/>
              <w:spacing w:after="0" w:line="127"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38,749</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38,749</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517,672</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1,288,664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1,883,783</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2,091,818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8"/>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8"/>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Pr>
          <w:p>
            <w:pPr>
              <w:spacing w:after="0"/>
              <w:rPr>
                <w:sz w:val="16"/>
                <w:szCs w:val="16"/>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554,078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1,393,830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96,581</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87,664</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2,044,489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2,162,577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were no transfers between Level 2 and Level 3 of the fair value hierarchy during the six months ended June 30, 2022, 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roll-forward of Level 3 liabilities measured at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on warrant exercise</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All outstanding and unexercised warrants expired in April 2022 and there was no warrant liability remaining as of June 30, 2022. For more information on the expiration of warrants, see Note 8,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The following table outlines the key inputs and assumptions used to calculate the fair value of the warrant liability in the Black-Scholes option-pricing model as of the date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As of June 30, 2021</w:t>
            </w:r>
          </w:p>
        </w:tc>
      </w:tr>
      <w:tr>
        <w:trPr>
          <w:trHeight w:val="24"/>
        </w:trPr>
        <w:tc>
          <w:tcPr>
            <w:tcW w:w="8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22.48</w:t>
            </w:r>
          </w:p>
        </w:tc>
      </w:tr>
      <w:tr>
        <w:trPr>
          <w:trHeight w:val="224"/>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24"/>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 years</w:t>
            </w:r>
          </w:p>
        </w:tc>
      </w:tr>
      <w:tr>
        <w:trPr>
          <w:trHeight w:val="224"/>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24"/>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1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change in fair value of the warrant liability for the six months ended June 30, 2022 was primarily driven by the exercise of certain outstanding warrants and the unexercised expiration of all remaining warrants at their contractual maturity in April 2022. The change in fair value of the warrant liability for the six months ended June 30, 2021 was driven by the exercise of outstanding warrants, as well as changes in the price of our common stock and other Black-Scholes model inputs during the respective periods.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June 30, 2022, the Notes were carried at a cost of $395.3 million, net of unamortized debt issuance costs of $4.7 million, and had a fair value of $397.2 million as assessed under our Level 2 hierarchy. At December 31, 2021, the Notes were carried at a cost of $394.6 million, net of unamortized debt issuance costs of $5.4 million, and had a fair value of $454.6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51" w:lineRule="exact"/>
        <w:rPr>
          <w:sz w:val="20"/>
          <w:szCs w:val="20"/>
          <w:color w:val="auto"/>
        </w:rPr>
      </w:pPr>
    </w:p>
    <w:p>
      <w:pPr>
        <w:ind w:right="400" w:firstLine="633"/>
        <w:spacing w:after="0" w:line="254" w:lineRule="auto"/>
        <w:rPr>
          <w:sz w:val="20"/>
          <w:szCs w:val="20"/>
          <w:color w:val="auto"/>
        </w:rPr>
      </w:pPr>
      <w:r>
        <w:rPr>
          <w:rFonts w:ascii="Times New Roman" w:cs="Times New Roman" w:eastAsia="Times New Roman" w:hAnsi="Times New Roman"/>
          <w:sz w:val="18"/>
          <w:szCs w:val="18"/>
          <w:color w:val="auto"/>
        </w:rPr>
        <w:t>At June 30, 2022, we had a $400.0 million aggregate principal amount of senior secured notes outstanding. The Notes were issued pursuant to an indenture dated June 19, 2020 (the Indenture) and bear interest at a rate of 7.375%, payable semi-annually on June 1 and December 1.</w:t>
      </w:r>
    </w:p>
    <w:p>
      <w:pPr>
        <w:spacing w:after="0" w:line="20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ind w:right="280" w:firstLine="633"/>
        <w:spacing w:after="0" w:line="287" w:lineRule="auto"/>
        <w:rPr>
          <w:sz w:val="20"/>
          <w:szCs w:val="20"/>
          <w:color w:val="auto"/>
        </w:rPr>
      </w:pPr>
      <w:r>
        <w:rPr>
          <w:rFonts w:ascii="Times New Roman" w:cs="Times New Roman" w:eastAsia="Times New Roman" w:hAnsi="Times New Roman"/>
          <w:sz w:val="16"/>
          <w:szCs w:val="16"/>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June 30, 2022 and December 31, 2021, approximately $4.7 million and $5.4 million, respectively, of unamortized debt issuance costs remained.</w:t>
      </w:r>
    </w:p>
    <w:p>
      <w:pPr>
        <w:spacing w:after="0" w:line="18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At June 30, 2022 and December 31, 2021, $2.5 million of accrued and unpaid interest on the Notes was included in "Accounts Payable and Accrued Expenses" on the consolidated balance sheet.</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Revolving Credit Facility</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(as defined in the 2021 Revolving Credit Facility) plus a margin of 1.375% to 2.875% per annum, with the margin in each of (i) or (ii) based on our applicable corporate credit rating at the time. As of June 30, 2022 and December 31, 2021, no amount was drawn under the 2021 Revolving Credit Facility.</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Under the 2021 Revolving Credit Facility, we are required to pay a quarterly commitment fee on the average daily undrawn amount of 0.175% to 0.525%, based on the applicable corporate credit rating at the time. As of June 30, 2022, the applicable commitment fee was 0.35%. For the three and six months ended June 30, 2022, we recorded $0.2 million and $0.4 million of commitment fees in interest expense, respectively. On July 21, 2022, Moody's upgraded its financial strength rating of NMIC from "Baa2" to "Baa1" and its rating of NMIH's Notes from "Ba2" to "Ba1". As a result of the upgrade, the commitment fee due under the 2021 Revolving Credit Facility will be reduced to 0.30%.</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will be amortized through interest expense on a straight-line basis over the contractual life of the 2021 Revolving Credit Facility. At June 30, 2022, remaining unamortized deferred debt issuance costs were $1.4 million.</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June 30,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our reinsurance agreements on premiums written and earned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7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5"/>
        </w:trPr>
        <w:tc>
          <w:tcPr>
            <w:tcW w:w="53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8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143,651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148,944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282,523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285,176</w:t>
            </w:r>
          </w:p>
        </w:tc>
      </w:tr>
      <w:tr>
        <w:trPr>
          <w:trHeight w:val="224"/>
        </w:trPr>
        <w:tc>
          <w:tcPr>
            <w:tcW w:w="53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(25,194)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(22,302)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(48,032)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(42,719)</w:t>
            </w:r>
          </w:p>
        </w:tc>
      </w:tr>
      <w:tr>
        <w:trPr>
          <w:trHeight w:val="217"/>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written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118,457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126,642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234,491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242,457</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134,203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286,078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261,846</w:t>
            </w:r>
          </w:p>
        </w:tc>
      </w:tr>
      <w:tr>
        <w:trPr>
          <w:trHeight w:val="224"/>
        </w:trPr>
        <w:tc>
          <w:tcPr>
            <w:tcW w:w="530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(25,492)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(23,315)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(48,713)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(45,079)</w:t>
            </w:r>
          </w:p>
        </w:tc>
      </w:tr>
      <w:tr>
        <w:trPr>
          <w:trHeight w:val="242"/>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120,870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110,888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237,365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216,767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profit commission.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 excess-of-loss reinsurance transactions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is a party to reinsurance agreements with Oaktown Re Ltd., Oaktown Re II Ltd., Oaktown Re III Ltd., Oaktown Re IV Ltd., Oaktown Re V Ltd., Oaktown Re VI Ltd., and Oaktown Re VII Ltd. (special purpose reinsurance entities collectively referred to as the Oaktown Re Vehicles) effective May 2, 2017, July 25, 2018, July 30, 2019, July 30, 2020,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$10.1 million and $21.1 million during the three and six months ended June 30, 2022, respectively, and $10.2 million and $19.6 million during the three and six months ended June 30, 2021, respectively.</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2022 and 2021, as the aggregate first layer risk retention for each applicable agreement was not exhausted during such periods.</w:t>
      </w:r>
    </w:p>
    <w:p>
      <w:pPr>
        <w:spacing w:after="0" w:line="126"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2017 ILN Transaction, 2018 ILN Transaction, 2019 ILN Transaction, 2020-1 ILN Transaction, 2020-2 ILN Transaction, 2021-1 ILN Transaction, and 2021-2 ILN Transaction, and collectively as the ILN Transactions.</w:t>
      </w:r>
    </w:p>
    <w:p>
      <w:pPr>
        <w:spacing w:after="0" w:line="11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triggered (each, a Lock-Out Event). As of June 30, 2022, the 2018 and 2019 ILN Transactions were deemed to be in Lock Out due to the default experience of the underlying reference pools for each respective transaction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each ILN Transaction. The amortization of reinsurance coverage, distribution of collateral assets and amortization of insurance-linked notes issued in connection with the 2018, 2019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w:t>
      </w:r>
    </w:p>
    <w:p>
      <w:pPr>
        <w:spacing w:after="0" w:line="13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Effective March 25, 2022 and April 25, 2022, NMIC exercised its optional clean-up call to terminate the 2017 and 2020-1 ILN Transactions, respectively. In connection with the termination of each respective transaction, NMIC’s excess of loss reinsurance agreements with Oaktown Re Ltd. and Oaktown Re IV Ltd. were commuted and the insurance-linked notes issued by the respective Oaktown Re Ltd and Oaktown Re IV Ltd. were redeemed in full with a distribution of remaining collateral assets.</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June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Initial First Layer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Current First Layer</w:t>
            </w:r>
          </w:p>
        </w:tc>
        <w:tc>
          <w:tcPr>
            <w:tcW w:w="0" w:type="dxa"/>
            <w:vAlign w:val="bottom"/>
          </w:tcPr>
          <w:p>
            <w:pPr>
              <w:spacing w:after="0"/>
              <w:rPr>
                <w:sz w:val="1"/>
                <w:szCs w:val="1"/>
                <w:color w:val="auto"/>
              </w:rPr>
            </w:pPr>
          </w:p>
        </w:tc>
      </w:tr>
      <w:tr>
        <w:trPr>
          <w:trHeight w:val="143"/>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 values in thousands)</w:t>
            </w: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3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Reinsurance</w:t>
            </w: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6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Retained Loss</w:t>
            </w:r>
          </w:p>
        </w:tc>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Retained Loss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7"/>
        </w:trPr>
        <w:tc>
          <w:tcPr>
            <w:tcW w:w="2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25, 2018</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1/1/2017 - 5/31/2018</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264,545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158,489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125,312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122,327</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 ILN Transaction</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July 30, 2019</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6/1/2018 - 6/30/2019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326,905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231,877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123,424</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122,489</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2020-2</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ILN Transaction</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October 29, 2020</w:t>
            </w:r>
          </w:p>
        </w:tc>
        <w:tc>
          <w:tcPr>
            <w:tcW w:w="2220" w:type="dxa"/>
            <w:vAlign w:val="bottom"/>
            <w:shd w:val="clear" w:color="auto" w:fill="CCEEFF"/>
          </w:tcPr>
          <w:p>
            <w:pPr>
              <w:jc w:val="center"/>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4/1/2020 - 9/30/2020 </w:t>
            </w:r>
            <w:r>
              <w:rPr>
                <w:rFonts w:ascii="Times New Roman" w:cs="Times New Roman" w:eastAsia="Times New Roman" w:hAnsi="Times New Roman"/>
                <w:sz w:val="22"/>
                <w:szCs w:val="22"/>
                <w:color w:val="auto"/>
                <w:w w:val="95"/>
                <w:vertAlign w:val="superscript"/>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242,351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127,409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121,777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121,177</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2021-1</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ILN Transaction</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April 27, 2021</w:t>
            </w:r>
          </w:p>
        </w:tc>
        <w:tc>
          <w:tcPr>
            <w:tcW w:w="2220" w:type="dxa"/>
            <w:vAlign w:val="bottom"/>
          </w:tcPr>
          <w:p>
            <w:pPr>
              <w:jc w:val="center"/>
              <w:spacing w:after="0" w:line="224" w:lineRule="exact"/>
              <w:rPr>
                <w:sz w:val="20"/>
                <w:szCs w:val="20"/>
                <w:color w:val="auto"/>
              </w:rPr>
            </w:pPr>
            <w:r>
              <w:rPr>
                <w:rFonts w:ascii="Times New Roman" w:cs="Times New Roman" w:eastAsia="Times New Roman" w:hAnsi="Times New Roman"/>
                <w:sz w:val="18"/>
                <w:szCs w:val="18"/>
                <w:color w:val="auto"/>
                <w:w w:val="96"/>
              </w:rPr>
              <w:t xml:space="preserve">10/1/2020 - 3/31/2021 </w:t>
            </w:r>
            <w:r>
              <w:rPr>
                <w:rFonts w:ascii="Times New Roman" w:cs="Times New Roman" w:eastAsia="Times New Roman" w:hAnsi="Times New Roman"/>
                <w:sz w:val="22"/>
                <w:szCs w:val="22"/>
                <w:color w:val="auto"/>
                <w:w w:val="96"/>
                <w:vertAlign w:val="superscript"/>
              </w:rPr>
              <w:t>(3)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367,238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339,756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163,708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163,665</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2021-2</w:t>
            </w:r>
          </w:p>
        </w:tc>
        <w:tc>
          <w:tcPr>
            <w:tcW w:w="18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ILN Transaction </w:t>
            </w:r>
            <w:r>
              <w:rPr>
                <w:rFonts w:ascii="Times New Roman" w:cs="Times New Roman" w:eastAsia="Times New Roman" w:hAnsi="Times New Roman"/>
                <w:sz w:val="22"/>
                <w:szCs w:val="22"/>
                <w:color w:val="auto"/>
                <w:vertAlign w:val="superscript"/>
              </w:rPr>
              <w:t>(5)</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October 26, 2021</w:t>
            </w:r>
          </w:p>
        </w:tc>
        <w:tc>
          <w:tcPr>
            <w:tcW w:w="2220" w:type="dxa"/>
            <w:vAlign w:val="bottom"/>
            <w:shd w:val="clear" w:color="auto" w:fill="CCEEFF"/>
          </w:tcPr>
          <w:p>
            <w:pPr>
              <w:jc w:val="center"/>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4/1/2021 - 9/30/2021 </w:t>
            </w:r>
            <w:r>
              <w:rPr>
                <w:rFonts w:ascii="Times New Roman" w:cs="Times New Roman" w:eastAsia="Times New Roman" w:hAnsi="Times New Roman"/>
                <w:sz w:val="22"/>
                <w:szCs w:val="22"/>
                <w:color w:val="auto"/>
                <w:w w:val="95"/>
                <w:vertAlign w:val="superscript"/>
              </w:rPr>
              <w:t>(4)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363,596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363,596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146,229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146,204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20" w:right="20" w:hanging="314"/>
        <w:spacing w:after="0" w:line="216" w:lineRule="auto"/>
        <w:tabs>
          <w:tab w:leader="none" w:pos="25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spacing w:after="0" w:line="1" w:lineRule="exact"/>
        <w:rPr>
          <w:rFonts w:ascii="Times New Roman" w:cs="Times New Roman" w:eastAsia="Times New Roman" w:hAnsi="Times New Roman"/>
          <w:sz w:val="18"/>
          <w:szCs w:val="18"/>
          <w:color w:val="auto"/>
          <w:vertAlign w:val="superscript"/>
        </w:rPr>
      </w:pPr>
    </w:p>
    <w:p>
      <w:pPr>
        <w:ind w:left="260" w:hanging="254"/>
        <w:spacing w:after="0" w:line="183" w:lineRule="auto"/>
        <w:tabs>
          <w:tab w:leader="none" w:pos="2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200" w:hanging="194"/>
        <w:spacing w:after="0"/>
        <w:tabs>
          <w:tab w:leader="none" w:pos="20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6" w:lineRule="exact"/>
        <w:rPr>
          <w:rFonts w:ascii="Times New Roman" w:cs="Times New Roman" w:eastAsia="Times New Roman" w:hAnsi="Times New Roman"/>
          <w:sz w:val="9"/>
          <w:szCs w:val="9"/>
          <w:color w:val="auto"/>
        </w:rPr>
      </w:pPr>
    </w:p>
    <w:p>
      <w:pPr>
        <w:ind w:left="200" w:hanging="194"/>
        <w:spacing w:after="0" w:line="188" w:lineRule="auto"/>
        <w:tabs>
          <w:tab w:leader="none" w:pos="2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ind w:left="320" w:right="480" w:hanging="314"/>
        <w:spacing w:after="0" w:line="212" w:lineRule="auto"/>
        <w:tabs>
          <w:tab w:leader="none" w:pos="243"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June 30, 2022, the current reinsurance coverage amount on the 2021-2 ILN Transactions is equal to the initial reinsurance coverage amount, as the reinsurance coverage provided by Oaktown Re VII Ltd. will not begin to amortize until a target credit enhancement level is reached.</w:t>
      </w:r>
    </w:p>
    <w:p>
      <w:pPr>
        <w:spacing w:after="0" w:line="151" w:lineRule="exact"/>
        <w:rPr>
          <w:sz w:val="20"/>
          <w:szCs w:val="20"/>
          <w:color w:val="auto"/>
        </w:rPr>
      </w:pPr>
    </w:p>
    <w:p>
      <w:pPr>
        <w:jc w:val="both"/>
        <w:ind w:firstLine="633"/>
        <w:spacing w:after="0" w:line="242" w:lineRule="auto"/>
        <w:rPr>
          <w:sz w:val="20"/>
          <w:szCs w:val="20"/>
          <w:color w:val="auto"/>
        </w:rPr>
      </w:pPr>
      <w:r>
        <w:rPr>
          <w:rFonts w:ascii="Times New Roman" w:cs="Times New Roman" w:eastAsia="Times New Roman" w:hAnsi="Times New Roman"/>
          <w:sz w:val="18"/>
          <w:szCs w:val="18"/>
          <w:color w:val="auto"/>
        </w:rPr>
        <w:t>Under the terms of our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$2.2 million and $3.2 million as of June 30, 2022 and December 31, 2021, respectively. The restricted balances required under these transactions will decline over time as the outstanding principal balance of the respective insurance-linked notes are amortized.</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excess-of-loss reinsurance transaction</w:t>
      </w:r>
    </w:p>
    <w:p>
      <w:pPr>
        <w:spacing w:after="0" w:line="15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Effective April 1, 2022, NMIC entered into a reinsurance agreement with a broad panel of third-party reinsurers that provides for aggregate excess-of-loss reinsurance coverage on a defined portfolio of mortgage insurance policies primarily written between October 1, 2021, and March 31, 2022 (the 2022-1 XOL Transaction). Under the agreement, NMIC retains $133.4 million first layer aggregate loss exposure on covered policies and the reinsurers then provide second layer loss protection up to a defined reinsurance coverage amount. The reinsurance coverage amount is set to approximate the PMIERs </w:t>
      </w:r>
      <w:r>
        <w:rPr>
          <w:rFonts w:ascii="Times New Roman" w:cs="Times New Roman" w:eastAsia="Times New Roman" w:hAnsi="Times New Roman"/>
          <w:sz w:val="18"/>
          <w:szCs w:val="18"/>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required assets </w:t>
      </w:r>
      <w:r>
        <w:rPr>
          <w:rFonts w:ascii="Times New Roman" w:cs="Times New Roman" w:eastAsia="Times New Roman" w:hAnsi="Times New Roman"/>
          <w:sz w:val="18"/>
          <w:szCs w:val="18"/>
          <w:color w:val="auto"/>
        </w:rPr>
        <w:t>of the reference pool and decreases from the inception of the agreement over a ten-year period in the event the PMIERs</w:t>
      </w:r>
      <w:r>
        <w:rPr>
          <w:rFonts w:ascii="Times New Roman" w:cs="Times New Roman" w:eastAsia="Times New Roman" w:hAnsi="Times New Roman"/>
          <w:sz w:val="18"/>
          <w:szCs w:val="18"/>
          <w:i w:val="1"/>
          <w:iCs w:val="1"/>
          <w:color w:val="auto"/>
        </w:rPr>
        <w:t xml:space="preserve"> minimum required assets </w:t>
      </w:r>
      <w:r>
        <w:rPr>
          <w:rFonts w:ascii="Times New Roman" w:cs="Times New Roman" w:eastAsia="Times New Roman" w:hAnsi="Times New Roman"/>
          <w:sz w:val="18"/>
          <w:szCs w:val="18"/>
          <w:color w:val="auto"/>
        </w:rPr>
        <w:t>of the pool decline. The outstanding reinsurance coverage amount under the 2022-1 XOL Transaction was $286.6 million as of June 30, 2022. NMIC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retains losses in excess of the outstanding reinsurance coverage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treaty, NMIC makes risk premium payments to the reinsurers for the outstanding reinsurance coverage amount, and ceded aggregate premiums of $2.9 million during the three and six months ended June 30, 2022. NMIC applies claims paid on covered policies against its first layer aggregate retained loss exposure under the 2022-1 XOL Transaction. NMIC did not cede any incurred losses on covered policies under the treaty during the three and six months ended June 30, 2022, as its aggregate first layer risk retention was not exhausted during such periods.</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2022-1 XOL Transaction is scheduled to terminate on March 31, 2032. NMIC holds an optional termination right which provides it the discretion to terminate the transaction on or after April 1, 2027. NMIC may also elect to terminate the transaction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treaty,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202" w:lineRule="exact"/>
        <w:rPr>
          <w:sz w:val="20"/>
          <w:szCs w:val="20"/>
          <w:color w:val="auto"/>
        </w:rPr>
      </w:pPr>
    </w:p>
    <w:p>
      <w:pPr>
        <w:ind w:right="120" w:firstLine="633"/>
        <w:spacing w:after="0" w:line="241"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2022-1 XOL Transaction has an insurer financial strength rating of A- or better by Standard &amp; Poor’s Rating Service (S&amp;P), A.M. Best Company Inc. (A.M. Best) or both. We actively monitor the counterparty credit profiles of our reinsurers and each is required to partially collateralize its obligations under the 2022-1 XOL Transaction.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Quota share reinsurance</w:t>
      </w:r>
    </w:p>
    <w:p>
      <w:pPr>
        <w:spacing w:after="0" w:line="16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 is a party to five active quota share reinsurance treaties – the 2016 QSR Transaction, effective September 1, 2016, the 2018 QSR Transaction, effective January 1, 2018, the 2020 QSR Transaction, effective April 1, 2020, the 2021 QSR Transaction, effective January 1, 2021, and the 2022 QSR Transaction, effective October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Times New Roman" w:cs="Times New Roman" w:eastAsia="Times New Roman" w:hAnsi="Times New Roman"/>
          <w:sz w:val="18"/>
          <w:szCs w:val="18"/>
          <w:color w:val="212529"/>
        </w:rPr>
        <w:t>The 2016 QSR Transaction is scheduled to terminate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2025 or semi-annually thereafter, which would result in NMIC recapturing the related risk.</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21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amounts related to the QSR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6"/>
                <w:szCs w:val="16"/>
                <w:color w:val="auto"/>
              </w:rPr>
            </w:pPr>
          </w:p>
        </w:tc>
        <w:tc>
          <w:tcPr>
            <w:tcW w:w="27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r>
      <w:tr>
        <w:trPr>
          <w:trHeight w:val="24"/>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risk-in-force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9,040,944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7,113,707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9,040,944</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7,113,707</w:t>
            </w: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(53,284)</w:t>
            </w: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claims and claim (benefits)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earned</w:t>
            </w:r>
          </w:p>
        </w:tc>
        <w:tc>
          <w:tcPr>
            <w:tcW w:w="20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12,032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commission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17,778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34,501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w:t>
            </w:r>
          </w:p>
        </w:tc>
      </w:tr>
    </w:tbl>
    <w:p>
      <w:pPr>
        <w:spacing w:after="0" w:line="23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2018, 2020, 2021 and 2022 QSR Transactions, generally remain below 60%, 61%, 50% and 57.5% and 62%, respectively, as measured annually. Ceded claims and claim expenses under each of the QSR Transactions reduce the respective profit commission received by NMIC on a dollar-for-dollar basis.</w:t>
      </w:r>
    </w:p>
    <w:p>
      <w:pPr>
        <w:spacing w:after="0" w:line="13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$4.1 million as of June 30, 2022.</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accordance with the terms of the 2018, 2020, 2021 and 2022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and 2022 QSR Transactions was $15.5 million as of June 30, 2022.</w:t>
      </w:r>
    </w:p>
    <w:p>
      <w:pPr>
        <w:spacing w:after="0" w:line="122" w:lineRule="exact"/>
        <w:rPr>
          <w:sz w:val="20"/>
          <w:szCs w:val="20"/>
          <w:color w:val="auto"/>
        </w:rPr>
      </w:pPr>
    </w:p>
    <w:p>
      <w:pPr>
        <w:ind w:right="80" w:firstLine="633"/>
        <w:spacing w:after="0" w:line="232" w:lineRule="auto"/>
        <w:rPr>
          <w:sz w:val="20"/>
          <w:szCs w:val="20"/>
          <w:color w:val="auto"/>
        </w:rPr>
      </w:pPr>
      <w:r>
        <w:rPr>
          <w:rFonts w:ascii="Times New Roman" w:cs="Times New Roman" w:eastAsia="Times New Roman" w:hAnsi="Times New Roman"/>
          <w:sz w:val="18"/>
          <w:szCs w:val="18"/>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Reserves for Insurance Claims and Claim Expenses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June 30, 2022, we had 4,271 primary loans in default and held gross reserves for insurance claims and claim expenses of $98.5 million. During the six months ended June 30, 2022, we paid 43 claims totaling $0.9 million, including 41 claims covered under the QSR Transactions representing $0.2 million of ceded claims and claim expenses.</w:t>
      </w:r>
    </w:p>
    <w:p>
      <w:pPr>
        <w:spacing w:after="0" w:line="135"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2022, 57 loans in the pool were in default. These 57 loans represented approximately $4.1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June 30, 2022. In connection with the settlement of pool claims, we applied $1.0 million to the pool deductible through June 30, 2022. At June 30, 2022, the remaining pool deductible was $9.4 million. We have not paid any pool claims to date. 100% of our pool RIF is reinsured under the 2016 QSR Transaction.</w:t>
      </w:r>
    </w:p>
    <w:p>
      <w:pPr>
        <w:spacing w:after="0" w:line="11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had 4,271 loans in default in our primary insured portfolio as of June 30, 2022, which represented a 0.77% default rate against 551,543 total policies in-force. We had 8,764 loans in default in our primary insured portfolio as of June 30, 2021, which represented a 1.86% default rate against 471,794 total policies in-force. Although our default count declined from June 30, 2021 to June 30, 2022, the population remains elevated compared to our historical experience due to the continued challenges certain borrowers are facing related to the COVID-19 pandemic and their decision to access the forbearance program for federally backed loans codified under the Coronavirus Aid, Relief and Economic Security (CARES) Act or similar programs made available by private lenders.</w:t>
      </w:r>
    </w:p>
    <w:p>
      <w:pPr>
        <w:spacing w:after="0" w:line="136"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pandemic, the FHFA and GSEs introduced new repayment and loan modification options to further assist borrowers with their transition out of forbearance programs and default status.</w:t>
      </w:r>
    </w:p>
    <w:p>
      <w:pPr>
        <w:spacing w:after="0" w:line="99" w:lineRule="exact"/>
        <w:rPr>
          <w:sz w:val="20"/>
          <w:szCs w:val="20"/>
          <w:color w:val="auto"/>
        </w:rPr>
      </w:pPr>
    </w:p>
    <w:p>
      <w:pPr>
        <w:jc w:val="both"/>
        <w:ind w:right="20" w:firstLine="633"/>
        <w:spacing w:after="0" w:line="241" w:lineRule="auto"/>
        <w:rPr>
          <w:sz w:val="20"/>
          <w:szCs w:val="20"/>
          <w:color w:val="auto"/>
        </w:rPr>
      </w:pPr>
      <w:r>
        <w:rPr>
          <w:rFonts w:ascii="Times New Roman" w:cs="Times New Roman" w:eastAsia="Times New Roman" w:hAnsi="Times New Roman"/>
          <w:sz w:val="18"/>
          <w:szCs w:val="18"/>
          <w:color w:val="auto"/>
        </w:rPr>
        <w:t>We generally observe that forbearance, repayment and modification, and other assistance programs aid affected borrowers and drive higher cure rates on defaults than would otherwise be expected on similarly situated loans that did not benefit from broad-based assistance programs. Our reserve setting process considers the beneficial impact of forbearance, foreclosure moratorium and other assistance programs available to defaulted borrowers.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(benefits)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16"/>
                <w:szCs w:val="16"/>
                <w:color w:val="auto"/>
              </w:rPr>
            </w:pPr>
          </w:p>
        </w:tc>
      </w:tr>
      <w:tr>
        <w:trPr>
          <w:trHeight w:val="24"/>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91"/>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3"/>
          </w:tcPr>
          <w:p>
            <w:pPr>
              <w:jc w:val="right"/>
              <w:ind w:right="59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6"/>
                <w:szCs w:val="16"/>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90,567</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w:t>
            </w: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72,959</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(benefits)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68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r>
      <w:tr>
        <w:trPr>
          <w:trHeight w:val="224"/>
        </w:trPr>
        <w:tc>
          <w:tcPr>
            <w:tcW w:w="768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17"/>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(benefits)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r>
      <w:tr>
        <w:trPr>
          <w:trHeight w:val="125"/>
        </w:trPr>
        <w:tc>
          <w:tcPr>
            <w:tcW w:w="7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68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768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7"/>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81,509</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for additional information.</w:t>
      </w:r>
    </w:p>
    <w:p>
      <w:pPr>
        <w:ind w:left="140" w:hanging="134"/>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w:t>
      </w:r>
    </w:p>
    <w:p>
      <w:pPr>
        <w:spacing w:after="0" w:line="6"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4"/>
          <w:szCs w:val="14"/>
          <w:color w:val="auto"/>
        </w:rPr>
        <w:t>the default would be included in the current year. Amounts are presented net of reinsurance and included $14.0 million attributed to net case reserves and $4.5 million attributed to net IBNR reserves for the six months ended June 30, 2022 and $9.8 million attributed to net case reserves and $5.6 million attributed to net IBNR reserves for the six months ended June 30, 2021.</w:t>
      </w:r>
    </w:p>
    <w:p>
      <w:pPr>
        <w:ind w:left="320" w:hanging="314"/>
        <w:spacing w:after="0" w:line="256" w:lineRule="auto"/>
        <w:tabs>
          <w:tab w:leader="none" w:pos="133"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Related to insured loans with defaults occurring in prior years, which have been continuously in default before the start of the current year. Amounts are presented net of reinsurance and included $17.0 million attributed to net case reserves and $4.7 million attributed to net IBNR reserves for the six months ended June 30, 2022 and $1.1 million attributed to net case reserves and $5.0 million attributed to net IBNR reserves for the six months ended June 30, 2021.</w:t>
      </w:r>
    </w:p>
    <w:p>
      <w:pPr>
        <w:spacing w:after="0" w:line="22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$74.9 million related to prior year defaults remained as of June 30,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264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53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75,444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110,414</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85,734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85,483</w:t>
            </w: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75,444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110,414</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w:t>
            </w: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74,424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109,961</w:t>
            </w:r>
          </w:p>
        </w:tc>
      </w:tr>
      <w:tr>
        <w:trPr>
          <w:trHeight w:val="251"/>
        </w:trPr>
        <w:tc>
          <w:tcPr>
            <w:tcW w:w="5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85,734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85,483</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1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86,577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r>
      <w:tr>
        <w:trPr>
          <w:trHeight w:val="251"/>
        </w:trPr>
        <w:tc>
          <w:tcPr>
            <w:tcW w:w="53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issued 992 thousand warrants in connection with a private placement of our common stock in April 2012 with a ten-year contractual term that expired in April, 2022. Each warrant provided the holder thereof the right to purchase one share of common stock at an exercise price equal to $10.00. The warrants were issued with an aggregate fair value of $5.1 million. On April 24, 2022, 90 thousand warrants expired unexercised, resulting in a gain of approximately $0.9 million. No warrants remained outstanding as of June 30, 2022.</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2022, 44 thousand warrants were exercised resulting in the issuance of 33 thousand shares of common stock. Upon exercise, we reclassified approximately $0.4 million of warrant fair value from warrant liability to additional paid-in capital. During the six months ended June 30, 2022, 110 thousand warrants were exercised resulting in the issuance of 84 thousand shares of common stock. Upon exercise, we reclassified approximately $1.3 million of warrant fair value from warrant liability to additional paid-in capital.</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2021, 14 thousand warrants were exercised resulting in the issuance of eight thousand shares of common stock. Upon exercise, we reclassified approximately $0.2 million of warrant fair value from warrant liability to additional paid-in capital. During the six months ended June 30, 2021, 41 thousand warrants were exercised resulting in the issuance of 32 thousand shares of common stock. Upon exercise, we reclassified approximately $0.6 million of warrant fair value from warrant liability to additional paid-in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22.4% and 22.2% for the three and six months ended June 30, 2022, respectively, compared to 21.9% and 21.8% for the three and six months ended June 30, 2021,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3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2022 represents a change in our net deferred tax liability.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we held $89.2 million of tax and loss bonds in "Other assets" on our consolidated balance sheet.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February 10, 2022, our Board of Directors approved a $125 million share repurchase program effective through December 31, 2023. The authorization provides us the flexibility to repurchase stock from time to time in the open market or in privately negotiated transactions, based on market and business conditions, stock price and other factors. During the three and six months ended June 30, 2022, we repurchased 1.4 million and 1.7 million shares, respectively, at average prices of $17.61 and $18.12 per share (excluding associated costs) pursuant to a trading plan under Rule 10b-18 of the Exchange Act. As of June 30, 2022, $94.6 million of repurchase authority remained available under the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have two operating lease agreements related to our corporate headquarters and a data center facility for which we recognized operating right-of-use (ROU) assets and lease liabilities of $11.0 million and $12.4 million in "Other assets" and "Other liabilities," respectively, on our consolidated balance sheet as of June 30, 2022. As of December 31, 2021, we recognized operating ROU assets and lease liabilities of $2.6 million and $2.9 million, respectively. As of June 30, 2022 and December 31, 2021, we did not have any finance leases.</w:t>
      </w:r>
    </w:p>
    <w:p>
      <w:pPr>
        <w:spacing w:after="0" w:line="13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January 2022, we modified the lease for our corporate headquarters, securing a reduction in pricing and incremental leasehold improvement concessions, reducing the square footage of leased space and extending the remaining term through March 2030. In February 2022, we renewed the lease of our data center facility, extending its term through January 2024. Upon the respective modification and extension, the ROU asset and liability associated with each lease was remeasured, using our current estimated incremental borrowing rate, resulting in an aggregate increase to ROU assets and lease liabilities of $9.7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our ROU asset and lease liability assumptions as of June 30, 2022:</w:t>
            </w:r>
          </w:p>
        </w:tc>
        <w:tc>
          <w:tcPr>
            <w:tcW w:w="1740" w:type="dxa"/>
            <w:vAlign w:val="bottom"/>
          </w:tcPr>
          <w:p>
            <w:pPr>
              <w:spacing w:after="0"/>
              <w:rPr>
                <w:sz w:val="19"/>
                <w:szCs w:val="19"/>
                <w:color w:val="auto"/>
              </w:rPr>
            </w:pPr>
          </w:p>
        </w:tc>
      </w:tr>
      <w:tr>
        <w:trPr>
          <w:trHeight w:val="172"/>
        </w:trPr>
        <w:tc>
          <w:tcPr>
            <w:tcW w:w="94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2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years</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bl>
    <w:p>
      <w:pPr>
        <w:spacing w:after="0" w:line="201"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Cash paid on our operating leases for the three and six months ended June 30, 2022 was $44 thousand and $0.1 million, respectively, compared to $0.6 million and $1.3 million for the three and six months ended June 30, 2021, respectively. Lease expenses incurred for the three and six months ended June 30, 2022 were $0.5 million and $1.0 million, respectively, compared to $0.6 million and $1.1 million for the three and six months ended June 30, 2021 .</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Future payments due under our existing operating leases as of June 30, 2022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620" w:type="dxa"/>
            <w:vAlign w:val="bottom"/>
          </w:tcPr>
          <w:p>
            <w:pPr>
              <w:jc w:val="right"/>
              <w:ind w:right="713"/>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r>
      <w:tr>
        <w:trPr>
          <w:trHeight w:val="24"/>
        </w:trPr>
        <w:tc>
          <w:tcPr>
            <w:tcW w:w="8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in 2022</w:t>
            </w: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2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9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9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12,376</w:t>
            </w:r>
          </w:p>
        </w:tc>
      </w:tr>
      <w:tr>
        <w:trPr>
          <w:trHeight w:val="20"/>
        </w:trPr>
        <w:tc>
          <w:tcPr>
            <w:tcW w:w="8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Lease expense is recorded in underwriting and operating expenses on the consolidated statements of operations and comprehensive income. Our existing leases have terms ranging from two to eight years. The lease for our corporate headquarters includes an option to renew for an additional five years at prevailing market rates at the time of renewal. This renewal option 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 in the calculation of future lease payments due under the existing lease as presented above as it is not reasonably certain to be exercised.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Premium Receivable</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June 30, 2022 and December 31, 2021.</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receivable may be written off prior to 120 days in the ordinary course of business for non-credit events including, but not limited to, the modification or refinancing of an underlying insured loan. We established a $1.7 million and $2.3 million reserve for premium write-offs at June 30, 2022 and December 31,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Regulatory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Statutory Requirements</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NMIC and Re One generated combined statutory net income of $25.6 million and $44.2 million for the three and six months ended June 30, 2022, respectively, compared to $8.8 million and $15.1 million for the three and six months ended June 30, 2021, respectively.</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NMIC's statutory surplus, contingency reserve, statutory capital and risk-to-capital (RTC) ratio as of June 30, 2022 and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0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5"/>
        </w:trPr>
        <w:tc>
          <w:tcPr>
            <w:tcW w:w="6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6"/>
                <w:szCs w:val="16"/>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surplus</w:t>
            </w:r>
          </w:p>
        </w:tc>
        <w:tc>
          <w:tcPr>
            <w:tcW w:w="1740" w:type="dxa"/>
            <w:vAlign w:val="bottom"/>
            <w:shd w:val="clear" w:color="auto" w:fill="CCEEFF"/>
          </w:tcPr>
          <w:p>
            <w:pPr>
              <w:jc w:val="right"/>
              <w:ind w:right="15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892,655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893,848</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w:t>
            </w:r>
          </w:p>
        </w:tc>
        <w:tc>
          <w:tcPr>
            <w:tcW w:w="1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1,036,639</w:t>
            </w:r>
          </w:p>
        </w:tc>
      </w:tr>
      <w:tr>
        <w:trPr>
          <w:trHeight w:val="242"/>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Statutory capital </w:t>
            </w:r>
            <w:r>
              <w:rPr>
                <w:rFonts w:ascii="Times New Roman" w:cs="Times New Roman" w:eastAsia="Times New Roman" w:hAnsi="Times New Roman"/>
                <w:sz w:val="22"/>
                <w:szCs w:val="22"/>
                <w:color w:val="auto"/>
                <w:vertAlign w:val="superscript"/>
              </w:rPr>
              <w:t>(1)</w:t>
            </w:r>
          </w:p>
        </w:tc>
        <w:tc>
          <w:tcPr>
            <w:tcW w:w="1740" w:type="dxa"/>
            <w:vAlign w:val="bottom"/>
            <w:tcBorders>
              <w:bottom w:val="single" w:sz="8" w:color="auto"/>
            </w:tcBorders>
            <w:shd w:val="clear" w:color="auto" w:fill="CCEEFF"/>
          </w:tcPr>
          <w:p>
            <w:pPr>
              <w:jc w:val="right"/>
              <w:ind w:right="15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2,071,449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1,930,487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w:t>
            </w:r>
          </w:p>
        </w:tc>
        <w:tc>
          <w:tcPr>
            <w:tcW w:w="1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bl>
    <w:p>
      <w:pPr>
        <w:spacing w:after="0" w:line="216" w:lineRule="exact"/>
        <w:rPr>
          <w:sz w:val="20"/>
          <w:szCs w:val="20"/>
          <w:color w:val="auto"/>
        </w:rPr>
      </w:pPr>
    </w:p>
    <w:p>
      <w:pPr>
        <w:ind w:left="140" w:hanging="134"/>
        <w:spacing w:after="0"/>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total of the statutory surplus and contingency reserve.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Re One had $5.6 million of statutory capital at June 30, 2022 and December 31, 2021. Effective October 1, 2021, the reinsurance agreement between</w:t>
      </w:r>
    </w:p>
    <w:p>
      <w:pPr>
        <w:spacing w:after="0" w:line="53" w:lineRule="exact"/>
        <w:rPr>
          <w:sz w:val="20"/>
          <w:szCs w:val="20"/>
          <w:color w:val="auto"/>
        </w:rPr>
      </w:pPr>
    </w:p>
    <w:p>
      <w:pPr>
        <w:ind w:right="560"/>
        <w:spacing w:after="0" w:line="254" w:lineRule="auto"/>
        <w:rPr>
          <w:sz w:val="20"/>
          <w:szCs w:val="20"/>
          <w:color w:val="auto"/>
        </w:rPr>
      </w:pPr>
      <w:r>
        <w:rPr>
          <w:rFonts w:ascii="Times New Roman" w:cs="Times New Roman" w:eastAsia="Times New Roman" w:hAnsi="Times New Roman"/>
          <w:sz w:val="18"/>
          <w:szCs w:val="18"/>
          <w:color w:val="auto"/>
        </w:rPr>
        <w:t>NMIC and Re One was commuted and all ceded risk was transferred back to NMIC. Following the commutation, Re One has no risk in force or further obligation on future claims.</w:t>
      </w:r>
    </w:p>
    <w:p>
      <w:pPr>
        <w:spacing w:after="0" w:line="208" w:lineRule="exact"/>
        <w:rPr>
          <w:sz w:val="20"/>
          <w:szCs w:val="20"/>
          <w:color w:val="auto"/>
        </w:rPr>
      </w:pPr>
    </w:p>
    <w:p>
      <w:pPr>
        <w:ind w:firstLine="673"/>
        <w:spacing w:after="0" w:line="269"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NMIC and Re One are subject to certain rules and regulations prescribed by jurisdictions in which they are authorized to operate and the GSEs that</w:t>
      </w:r>
    </w:p>
    <w:p>
      <w:pPr>
        <w:spacing w:after="0" w:line="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may restrict their ability to pay dividends to NMIH. NMIC has the capacity to pay $34.9 million of aggregate ordinary dividends to NMIH during the twelve-month period ending December 31, 2022 and on April 1, 2022, NMIC paid a $34.9 million ordinary course dividend to NMIH.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Effective July 1, 2022, NMIC entered into a quota share reinsurance treaty that provides coverage primarily for a seasoned pool of mortgage insurance policies that had previously been covered under the now retired 2017 and 2020-1 ILN Transactions. Under the terms of the agreement, NMIC will cede premiums earned related to 95% of the net risk on eligible policies after the consideration of coverage provided by existing QSR Transactions, in exchange for reimbursement of ceded claims and claims expenses on covered policies, as well as a ceding commission equal to 35% and profit commission of up to 55% of ceded premiums.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189"/>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2021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2021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We provide private MI through our primary insurance subsidiary, NMIC. NMIC is a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high-loan-to-value (LTV)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2022, we had issued master policies with 1,812 customers, including national and regional mortgage banks, money center banks, credit unions, community banks, builder-owned mortgage lenders, internet-sourced lenders and other non-bank lenders. As of June 30, 2022, we had $168.6 billion of primary insurance-in-force (IIF) and $43.3 billion of primary risk-in-force (RIF).</w:t>
      </w:r>
    </w:p>
    <w:p>
      <w:pPr>
        <w:spacing w:after="0" w:line="135"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pricing platform to dynamically evaluate risk and price our policies, and foster a culture of collaboration and excellence that helps us attract and retain experienced industry leaders.</w:t>
      </w:r>
    </w:p>
    <w:p>
      <w:pPr>
        <w:spacing w:after="0" w:line="13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profitability.</w:t>
      </w:r>
    </w:p>
    <w:p>
      <w:pPr>
        <w:spacing w:after="0" w:line="16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Our common stock trades on the Nasdaq under the symbol "NMIH." Our headquarters is located in Emeryville, California. As of June 30, 2022, we had 246 employees. Our corporate website is located at </w:t>
      </w:r>
      <w:r>
        <w:rPr>
          <w:rFonts w:ascii="Times New Roman" w:cs="Times New Roman" w:eastAsia="Times New Roman" w:hAnsi="Times New Roman"/>
          <w:sz w:val="18"/>
          <w:szCs w:val="18"/>
          <w:i w:val="1"/>
          <w:iCs w:val="1"/>
          <w:color w:val="auto"/>
        </w:rPr>
        <w:t>www.nationalmi.com</w:t>
      </w:r>
      <w:r>
        <w:rPr>
          <w:rFonts w:ascii="Times New Roman" w:cs="Times New Roman" w:eastAsia="Times New Roman" w:hAnsi="Times New Roman"/>
          <w:sz w:val="18"/>
          <w:szCs w:val="18"/>
          <w:color w:val="auto"/>
        </w:rPr>
        <w:t>. Our website and the information contained on or accessible through our website are not incorporated by reference into this report.</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and Trends Affecting Our Business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COVID-19 and Other Developments</w:t>
      </w:r>
    </w:p>
    <w:p>
      <w:pPr>
        <w:spacing w:after="0" w:line="166"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On January 30, 2020, the World Health Organization (WHO)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0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 It is also possible that emerging macroeconomic factors, including persistent inflation, flagging consumer confidence and increasing jobless claims could have a pronounced impact on the housing market, the mortgage insurance industry and our business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(NIW), Insurance-In-Force and Risk-In-Force</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Net Premiums Earned</w:t>
      </w:r>
    </w:p>
    <w:p>
      <w:pPr>
        <w:spacing w:after="0" w:line="16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18"/>
          <w:szCs w:val="18"/>
          <w:color w:val="auto"/>
        </w:rPr>
        <w:t>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26" w:lineRule="exact"/>
        <w:rPr>
          <w:sz w:val="20"/>
          <w:szCs w:val="20"/>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and the mix of premium payment type, which are either single, monthly or annual premiums, as described below;</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2022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38"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Effect of reinsurance on our results</w:t>
      </w:r>
    </w:p>
    <w:p>
      <w:pPr>
        <w:spacing w:after="0" w:line="166"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Quota share reinsurance</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 is a party to five active quota share reinsurance treaties – the 2016 QSR Transaction, effective September 1, 2016, the 2018 QSR Transaction, effective January 1, 2018, the 2020 QSR Transaction, effective April 1, 2020, the 2021 QSR Transaction, effective January 1, 2021, and the 2022 QSR Transaction, effective October 1, 2021 – which we refer to collectively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8"/>
          <w:szCs w:val="18"/>
          <w:color w:val="auto"/>
        </w:rPr>
        <w:t>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13"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4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between October 30, 2021 and December 31, 2022, in exchange for reimbursement of ceded claims and claims expenses on covered policies, a 20% ceding commission, and a profit commission of up to 62% that varies directly and inversely with ceded claims.</w:t>
      </w:r>
    </w:p>
    <w:p>
      <w:pPr>
        <w:spacing w:after="0" w:line="12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28"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color w:val="auto"/>
        </w:rPr>
        <w:t>NMIC may elect to terminate its engagement with individual reinsurers on a run-off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reinsurers continue providing coverage on all risk ceded prior to the termination date, with no new cessions going forward) or cut-off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 excess-of-loss reinsurance transactions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2" w:name="page33"/>
    <w:bookmarkEnd w:id="32"/>
    <w:p>
      <w:pPr>
        <w:jc w:val="both"/>
        <w:spacing w:after="0" w:line="242" w:lineRule="auto"/>
        <w:rPr>
          <w:sz w:val="20"/>
          <w:szCs w:val="20"/>
          <w:color w:val="auto"/>
        </w:rPr>
      </w:pPr>
      <w:r>
        <w:rPr>
          <w:rFonts w:ascii="Times New Roman" w:cs="Times New Roman" w:eastAsia="Times New Roman" w:hAnsi="Times New Roman"/>
          <w:sz w:val="18"/>
          <w:szCs w:val="18"/>
          <w:color w:val="auto"/>
        </w:rPr>
        <w:t>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June 30, 2022, the 2018 and 2019 ILN Transactions were deemed to be in Lock Out due to the default experience of the underlying reference pools for each respective transaction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each ILN Transaction. The amortization of reinsurance coverage, distribution of collateral assets and amortization of insurance-linked notes issued in connection with the 2018, 2019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w:t>
      </w:r>
    </w:p>
    <w:p>
      <w:pPr>
        <w:spacing w:after="0" w:line="142" w:lineRule="exact"/>
        <w:rPr>
          <w:sz w:val="20"/>
          <w:szCs w:val="20"/>
          <w:color w:val="auto"/>
        </w:rPr>
      </w:pPr>
    </w:p>
    <w:p>
      <w:pPr>
        <w:jc w:val="both"/>
        <w:ind w:firstLine="633"/>
        <w:spacing w:after="0" w:line="237"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2" w:lineRule="exact"/>
        <w:rPr>
          <w:sz w:val="20"/>
          <w:szCs w:val="20"/>
          <w:color w:val="auto"/>
        </w:rPr>
      </w:pPr>
    </w:p>
    <w:p>
      <w:pPr>
        <w:ind w:right="460" w:firstLine="633"/>
        <w:spacing w:after="0" w:line="234" w:lineRule="auto"/>
        <w:rPr>
          <w:sz w:val="20"/>
          <w:szCs w:val="20"/>
          <w:color w:val="auto"/>
        </w:rPr>
      </w:pPr>
      <w:r>
        <w:rPr>
          <w:rFonts w:ascii="Times New Roman" w:cs="Times New Roman" w:eastAsia="Times New Roman" w:hAnsi="Times New Roman"/>
          <w:sz w:val="18"/>
          <w:szCs w:val="18"/>
          <w:color w:val="auto"/>
        </w:rPr>
        <w:t>Effective March 25, 2022 and April 25, 2022, NMIC exercised its optional clean-up call to terminate the 2017 and 2020-1 ILN Transactions, respectively. In connection with the termination of each respective transaction, NMIC’s excess of loss reinsurance agreements with Oaktown Re Ltd. and Oaktown Re IV Ltd. were commuted and the insurance-linked notes issued by Oaktown Re Ltd. and Oaktown Re IV Ltd. were redeemed in full with a distribution of remaining collateral assets.</w:t>
      </w:r>
    </w:p>
    <w:p>
      <w:pPr>
        <w:spacing w:after="0" w:line="222"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current reinsurance coverage amount, current first layer retained aggregate loss and detail on the level of overcollateralization under each outstanding ILN Transaction. Current amounts are presented as of June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2018 ILN</w:t>
            </w:r>
          </w:p>
        </w:tc>
        <w:tc>
          <w:tcPr>
            <w:tcW w:w="180" w:type="dxa"/>
            <w:vAlign w:val="bottom"/>
          </w:tcPr>
          <w:p>
            <w:pPr>
              <w:spacing w:after="0"/>
              <w:rPr>
                <w:sz w:val="17"/>
                <w:szCs w:val="17"/>
                <w:color w:val="auto"/>
              </w:rPr>
            </w:pPr>
          </w:p>
        </w:tc>
        <w:tc>
          <w:tcPr>
            <w:tcW w:w="124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2019 ILN</w:t>
            </w:r>
          </w:p>
        </w:tc>
        <w:tc>
          <w:tcPr>
            <w:tcW w:w="14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2020-2 ILN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2021-1 ILN</w:t>
            </w:r>
          </w:p>
        </w:tc>
        <w:tc>
          <w:tcPr>
            <w:tcW w:w="18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2021-2 ILN</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values in thousands)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Inception date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July 25, 2018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July 30, 2019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29, 2020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rPr>
              <w:t>April 27, 2021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26, 2021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Covered production</w:t>
            </w:r>
          </w:p>
        </w:tc>
        <w:tc>
          <w:tcPr>
            <w:tcW w:w="4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auto"/>
              </w:rPr>
              <w:t>1/1/2017 - 5/31/2018 6/1/2018 - 6/30/2019 4/1/2020 - 9/30/2020</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5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10/1/2020 - 3/31/2021</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4/1/2021 - 9/30/2021</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85"/>
              </w:rPr>
              <w:t>(3)</w:t>
            </w:r>
          </w:p>
        </w:tc>
        <w:tc>
          <w:tcPr>
            <w:tcW w:w="0" w:type="dxa"/>
            <w:vAlign w:val="bottom"/>
          </w:tcPr>
          <w:p>
            <w:pPr>
              <w:spacing w:after="0"/>
              <w:rPr>
                <w:sz w:val="1"/>
                <w:szCs w:val="1"/>
                <w:color w:val="auto"/>
              </w:rPr>
            </w:pPr>
          </w:p>
        </w:tc>
      </w:tr>
      <w:tr>
        <w:trPr>
          <w:trHeight w:val="132"/>
        </w:trPr>
        <w:tc>
          <w:tcPr>
            <w:tcW w:w="3440" w:type="dxa"/>
            <w:vAlign w:val="bottom"/>
            <w:vMerge w:val="continue"/>
          </w:tcPr>
          <w:p>
            <w:pPr>
              <w:spacing w:after="0"/>
              <w:rPr>
                <w:sz w:val="11"/>
                <w:szCs w:val="11"/>
                <w:color w:val="auto"/>
              </w:rPr>
            </w:pPr>
          </w:p>
        </w:tc>
        <w:tc>
          <w:tcPr>
            <w:tcW w:w="418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643"/>
              <w:spacing w:after="0"/>
              <w:rPr>
                <w:sz w:val="20"/>
                <w:szCs w:val="20"/>
                <w:color w:val="auto"/>
              </w:rPr>
            </w:pPr>
            <w:r>
              <w:rPr>
                <w:rFonts w:ascii="Times New Roman" w:cs="Times New Roman" w:eastAsia="Times New Roman" w:hAnsi="Times New Roman"/>
                <w:sz w:val="10"/>
                <w:szCs w:val="10"/>
                <w:color w:val="auto"/>
              </w:rPr>
              <w:t>(2)</w:t>
            </w: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ceded RIF</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962,103</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1,074,965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3,902,234</w:t>
            </w:r>
          </w:p>
        </w:tc>
        <w:tc>
          <w:tcPr>
            <w:tcW w:w="16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7,435,648</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7,315,453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first layer retained loss</w:t>
            </w:r>
          </w:p>
        </w:tc>
        <w:tc>
          <w:tcPr>
            <w:tcW w:w="180" w:type="dxa"/>
            <w:vAlign w:val="bottom"/>
          </w:tcPr>
          <w:p>
            <w:pPr>
              <w:spacing w:after="0"/>
              <w:rPr>
                <w:sz w:val="19"/>
                <w:szCs w:val="19"/>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122,327</w:t>
            </w:r>
          </w:p>
        </w:tc>
        <w:tc>
          <w:tcPr>
            <w:tcW w:w="1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122,489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163,665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reinsurance coverage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158,489</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231,877</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127,409</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339,756</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363,596</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Eligible coverage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280,816</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354,366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248,586</w:t>
            </w:r>
          </w:p>
        </w:tc>
        <w:tc>
          <w:tcPr>
            <w:tcW w:w="16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503,421</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Subordinated coverage </w:t>
            </w:r>
            <w:r>
              <w:rPr>
                <w:rFonts w:ascii="Times New Roman" w:cs="Times New Roman" w:eastAsia="Times New Roman" w:hAnsi="Times New Roman"/>
                <w:sz w:val="20"/>
                <w:szCs w:val="20"/>
                <w:color w:val="auto"/>
                <w:vertAlign w:val="superscript"/>
              </w:rPr>
              <w:t>(4)</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29.19 %</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32.97 %</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6.25 %</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6.97 %</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PMIERs charge on ceded RIF</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7.81 %</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7.51 %</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6.57 %</w:t>
            </w: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Overcollateralization </w:t>
            </w:r>
            <w:r>
              <w:rPr>
                <w:rFonts w:ascii="Times New Roman" w:cs="Times New Roman" w:eastAsia="Times New Roman" w:hAnsi="Times New Roman"/>
                <w:sz w:val="20"/>
                <w:szCs w:val="20"/>
                <w:color w:val="auto"/>
                <w:vertAlign w:val="superscript"/>
              </w:rPr>
              <w:t>(5) (6)</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158,489</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231,877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38,806</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51,389</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w:t>
            </w: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Delinquency Trigger </w:t>
            </w:r>
            <w:r>
              <w:rPr>
                <w:rFonts w:ascii="Times New Roman" w:cs="Times New Roman" w:eastAsia="Times New Roman" w:hAnsi="Times New Roman"/>
                <w:sz w:val="20"/>
                <w:szCs w:val="20"/>
                <w:color w:val="auto"/>
                <w:vertAlign w:val="superscript"/>
              </w:rPr>
              <w:t>(7)</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200" w:hanging="194"/>
        <w:spacing w:after="0" w:line="183" w:lineRule="auto"/>
        <w:tabs>
          <w:tab w:leader="none" w:pos="2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ind w:left="200" w:hanging="194"/>
        <w:spacing w:after="0"/>
        <w:tabs>
          <w:tab w:leader="none" w:pos="20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6" w:lineRule="exact"/>
        <w:rPr>
          <w:rFonts w:ascii="Times New Roman" w:cs="Times New Roman" w:eastAsia="Times New Roman" w:hAnsi="Times New Roman"/>
          <w:sz w:val="9"/>
          <w:szCs w:val="9"/>
          <w:color w:val="auto"/>
        </w:rPr>
      </w:pPr>
    </w:p>
    <w:p>
      <w:pPr>
        <w:ind w:left="220" w:hanging="214"/>
        <w:spacing w:after="0" w:line="188" w:lineRule="auto"/>
        <w:tabs>
          <w:tab w:leader="none" w:pos="22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Absent a delinquency trigger, the subordinated coverage is capped at 6.25%, 6.75% and 7.45% for the 2020-2, 2021-1 and 2021-2 ILN Transactions, respectively.</w:t>
      </w:r>
    </w:p>
    <w:p>
      <w:pPr>
        <w:ind w:left="320" w:right="180" w:hanging="314"/>
        <w:spacing w:after="0" w:line="206" w:lineRule="auto"/>
        <w:tabs>
          <w:tab w:leader="none" w:pos="201"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Overcollateralization for each of the 2018 and 2019 ILN Transactions is equal to their current reinsurance coverage as the PMIERs required asset amount on RIF ceded under each transaction is currently below its remaining first layer retained loss.</w:t>
      </w:r>
    </w:p>
    <w:p>
      <w:pPr>
        <w:ind w:left="200" w:hanging="194"/>
        <w:spacing w:after="0"/>
        <w:tabs>
          <w:tab w:leader="none" w:pos="20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May not be replicated based on the rounded figures presented in the table.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3" w:name="page34"/>
    <w:bookmarkEnd w:id="33"/>
    <w:p>
      <w:pPr>
        <w:ind w:left="320" w:right="480" w:hanging="314"/>
        <w:spacing w:after="0" w:line="222" w:lineRule="auto"/>
        <w:tabs>
          <w:tab w:leader="none" w:pos="20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Delinquency triggers for the 2018 and 2019 ILN Transactions are set at a fixed 4.0% and assessed on a discrete monthly basis; delinquency triggers for the 2020-2, 2021-1 and 2021-2 ILN Transactions are equal to seventy-five percent of the subordinated coverage level and assessed on the basis of a three-month rolling average.</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excess-of-loss reinsurance transaction</w:t>
      </w:r>
    </w:p>
    <w:p>
      <w:pPr>
        <w:spacing w:after="0" w:line="164" w:lineRule="exact"/>
        <w:rPr>
          <w:sz w:val="20"/>
          <w:szCs w:val="20"/>
          <w:color w:val="auto"/>
        </w:rPr>
      </w:pPr>
    </w:p>
    <w:p>
      <w:pPr>
        <w:ind w:right="200" w:firstLine="633"/>
        <w:spacing w:after="0" w:line="249" w:lineRule="auto"/>
        <w:rPr>
          <w:sz w:val="20"/>
          <w:szCs w:val="20"/>
          <w:color w:val="auto"/>
        </w:rPr>
      </w:pPr>
      <w:r>
        <w:rPr>
          <w:rFonts w:ascii="Times New Roman" w:cs="Times New Roman" w:eastAsia="Times New Roman" w:hAnsi="Times New Roman"/>
          <w:sz w:val="18"/>
          <w:szCs w:val="18"/>
          <w:color w:val="auto"/>
        </w:rPr>
        <w:t xml:space="preserve">Effective April 1, 2022, NMIC secured $289.7 million of aggregate excess-of-loss reinsurance coverage at inception on a defined portfolio of mortgage insurance policies primarily written between October 1, 2021, and March 31, 2022 from a broad panel of highly rated reinsurers (the 2022-1 XOL Transaction). Under the agreement, NMIC retains $133.4 million of first layer aggregate loss exposure on covered policies, of which all remained as of June 30, 2022, and the reinsurers then provide second layer loss protection up to a defined reinsurance coverage amount. The reinsurance coverage amount decreases from $289.7 million at inception over a ten-year period as the PMIERs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of the underlying covered mortgages declines and was $286.6 million as of June 30, 2022. NMIC retains losses in excess of the outstanding reinsurance coverage amount.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NMIC holds optional termination rights under the 2022-1 XOL Transaction, including, among others, an option to terminate the transaction on or after</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April 1, 2027 at its discretion. NMIC may also elect to terminate the transaction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treaty,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214" w:lineRule="exact"/>
        <w:rPr>
          <w:sz w:val="20"/>
          <w:szCs w:val="20"/>
          <w:color w:val="auto"/>
        </w:rPr>
      </w:pPr>
    </w:p>
    <w:p>
      <w:pPr>
        <w:ind w:right="300" w:firstLine="633"/>
        <w:spacing w:after="0" w:line="269"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2022-1 XOL Transaction has an insurer financial strength rating of A- or better by S&amp;P, A.M. Best or both.</w:t>
      </w:r>
    </w:p>
    <w:p>
      <w:pPr>
        <w:spacing w:after="0" w:line="19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See Item 1, "</w:t>
      </w:r>
      <w:r>
        <w:rPr>
          <w:rFonts w:ascii="Times New Roman" w:cs="Times New Roman" w:eastAsia="Times New Roman" w:hAnsi="Times New Roman"/>
          <w:sz w:val="18"/>
          <w:szCs w:val="18"/>
          <w:i w:val="1"/>
          <w:iCs w:val="1"/>
          <w:color w:val="auto"/>
        </w:rPr>
        <w:t>Financial Statements - Notes to Condensed Consolidated Financial Statements - Note 5, Reinsurance</w:t>
      </w:r>
      <w:r>
        <w:rPr>
          <w:rFonts w:ascii="Times New Roman" w:cs="Times New Roman" w:eastAsia="Times New Roman" w:hAnsi="Times New Roman"/>
          <w:sz w:val="18"/>
          <w:szCs w:val="18"/>
          <w:color w:val="auto"/>
        </w:rPr>
        <w:t>" for further discussion of these third-party reinsurance arrangements.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Portfolio Data</w:t>
      </w:r>
    </w:p>
    <w:p>
      <w:pPr>
        <w:spacing w:after="0" w:line="16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and pool IIF and NIW</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8"/>
        </w:trPr>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7"/>
                <w:szCs w:val="17"/>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4"/>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30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NIW</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NIW</w:t>
            </w:r>
          </w:p>
        </w:tc>
        <w:tc>
          <w:tcPr>
            <w:tcW w:w="1100" w:type="dxa"/>
            <w:vAlign w:val="bottom"/>
            <w:tcBorders>
              <w:top w:val="single" w:sz="8" w:color="auto"/>
              <w:bottom w:val="single" w:sz="8" w:color="auto"/>
            </w:tcBorders>
          </w:tcPr>
          <w:p>
            <w:pPr>
              <w:spacing w:after="0"/>
              <w:rPr>
                <w:sz w:val="16"/>
                <w:szCs w:val="16"/>
                <w:color w:val="auto"/>
              </w:rPr>
            </w:pPr>
          </w:p>
        </w:tc>
      </w:tr>
      <w:tr>
        <w:trPr>
          <w:trHeight w:val="191"/>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43,186</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Single</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64"/>
        </w:trPr>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169,753</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138,058</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0"/>
        </w:trPr>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firstLine="633"/>
        <w:spacing w:after="0" w:line="239" w:lineRule="auto"/>
        <w:rPr>
          <w:sz w:val="20"/>
          <w:szCs w:val="20"/>
          <w:color w:val="auto"/>
        </w:rPr>
      </w:pPr>
      <w:r>
        <w:rPr>
          <w:rFonts w:ascii="Times New Roman" w:cs="Times New Roman" w:eastAsia="Times New Roman" w:hAnsi="Times New Roman"/>
          <w:sz w:val="18"/>
          <w:szCs w:val="18"/>
          <w:color w:val="auto"/>
        </w:rPr>
        <w:t>NIW for the three and six months ended June 30, 2022 was $16.6 billion and $30.8 billion compared to $22.8 billion and $49.1 billion for the three and six months ended June 30, 2021. NIW decreased year-on-year primarily due to a decline in the size of the total mortgage insurance market.</w:t>
      </w:r>
    </w:p>
    <w:p>
      <w:pPr>
        <w:spacing w:after="0" w:line="22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Total IIF increased 23% at June 30, 2022 compared to June 30, 2021, primarily due to the NIW generated between such measurement dates, partially offset by the run-off of in-force policies. Our persistency rate improved to 76.0% at June 30, 2022 from 53.9% at June 30, 2021, reflecting a slowdown in the pace of refinancing activity during the intervening twelve month period driven by an increase in interest and mortgage note rates.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8"/>
          <w:szCs w:val="18"/>
          <w:color w:val="auto"/>
        </w:rPr>
        <w:t>The following table presents net premiums written and earned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and pool premiums written and earned</w:t>
            </w:r>
          </w:p>
        </w:tc>
        <w:tc>
          <w:tcPr>
            <w:tcW w:w="240" w:type="dxa"/>
            <w:vAlign w:val="bottom"/>
          </w:tcPr>
          <w:p>
            <w:pPr>
              <w:spacing w:after="0"/>
              <w:rPr>
                <w:sz w:val="16"/>
                <w:szCs w:val="16"/>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0" w:type="dxa"/>
            <w:vAlign w:val="bottom"/>
          </w:tcPr>
          <w:p>
            <w:pPr>
              <w:spacing w:after="0"/>
              <w:rPr>
                <w:sz w:val="16"/>
                <w:szCs w:val="16"/>
                <w:color w:val="auto"/>
              </w:rPr>
            </w:pPr>
          </w:p>
        </w:tc>
        <w:tc>
          <w:tcPr>
            <w:tcW w:w="2940" w:type="dxa"/>
            <w:vAlign w:val="bottom"/>
            <w:gridSpan w:val="3"/>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5"/>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118,457</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234,491</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120,870</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237,365</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216,767</w:t>
            </w:r>
          </w:p>
        </w:tc>
      </w:tr>
    </w:tbl>
    <w:p>
      <w:pPr>
        <w:spacing w:after="0" w:line="22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net premium written decreased 6% and 3%, respectively, while net premiums earned increased 9% and 10%, respectively, compared to the three and six months ended June 30, 2021. The decreases in net premium written were primarily driven by a decrease in single premium policy production from period to period, partially offset by growth in our monthly IIF and monthly pay policy premium receipts. The increases in the net premium earned were primarily due to the growth of our IIF, partially offset by a decrease in the contribution from single premium policy cancellations and an increase in total premiums ceded under our reinsurance transactions.</w:t>
      </w:r>
    </w:p>
    <w:p>
      <w:pPr>
        <w:spacing w:after="0" w:line="13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Pool premiums written and earned for the three and six months ended June 30, 2022 and 2021, were $0.3 million and $0.6 million, and $0.4 million and $0.9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Statistics</w:t>
      </w:r>
    </w:p>
    <w:p>
      <w:pPr>
        <w:spacing w:after="0" w:line="16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7"/>
                <w:szCs w:val="17"/>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4"/>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i w:val="1"/>
                <w:iCs w:val="1"/>
                <w:color w:val="auto"/>
                <w:w w:val="99"/>
              </w:rPr>
              <w:t>($ Values In Millions, except as noted below)</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insurance written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16,611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14,165</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18,342</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18,084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22,751</w:t>
            </w:r>
          </w:p>
        </w:tc>
      </w:tr>
      <w:tr>
        <w:trPr>
          <w:trHeight w:val="224"/>
        </w:trPr>
        <w:tc>
          <w:tcPr>
            <w:tcW w:w="4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4"/>
        </w:trPr>
        <w:tc>
          <w:tcPr>
            <w:tcW w:w="4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4"/>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risk written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4,386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3,721</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4,786</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5,650</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Insurance-in-force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168,639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158,877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152,343</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9"/>
              </w:rPr>
              <w:t>143,618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136,598</w:t>
            </w:r>
          </w:p>
        </w:tc>
      </w:tr>
      <w:tr>
        <w:trPr>
          <w:trHeight w:val="224"/>
        </w:trPr>
        <w:tc>
          <w:tcPr>
            <w:tcW w:w="4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4"/>
        </w:trPr>
        <w:tc>
          <w:tcPr>
            <w:tcW w:w="4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4"/>
        </w:trPr>
        <w:tc>
          <w:tcPr>
            <w:tcW w:w="46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43,260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40,522</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38,661</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36,253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34,366</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551,543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526,976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512,316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9"/>
              </w:rPr>
              <w:t>490,714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471,794</w:t>
            </w:r>
          </w:p>
        </w:tc>
      </w:tr>
      <w:tr>
        <w:trPr>
          <w:trHeight w:val="237"/>
        </w:trPr>
        <w:tc>
          <w:tcPr>
            <w:tcW w:w="4600" w:type="dxa"/>
            <w:vAlign w:val="bottom"/>
          </w:tcPr>
          <w:p>
            <w:pPr>
              <w:ind w:left="220"/>
              <w:spacing w:after="0" w:line="238" w:lineRule="exact"/>
              <w:rPr>
                <w:sz w:val="20"/>
                <w:szCs w:val="20"/>
                <w:color w:val="auto"/>
              </w:rPr>
            </w:pPr>
            <w:r>
              <w:rPr>
                <w:rFonts w:ascii="Times New Roman" w:cs="Times New Roman" w:eastAsia="Times New Roman" w:hAnsi="Times New Roman"/>
                <w:sz w:val="18"/>
                <w:szCs w:val="18"/>
                <w:color w:val="auto"/>
              </w:rPr>
              <w:t xml:space="preserve">Average loan size </w:t>
            </w:r>
            <w:r>
              <w:rPr>
                <w:rFonts w:ascii="Times New Roman" w:cs="Times New Roman" w:eastAsia="Times New Roman" w:hAnsi="Times New Roman"/>
                <w:sz w:val="14"/>
                <w:szCs w:val="14"/>
                <w:i w:val="1"/>
                <w:iCs w:val="1"/>
                <w:color w:val="auto"/>
              </w:rPr>
              <w:t>($ value 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297</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290</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Coverage percentage </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4"/>
        </w:trPr>
        <w:tc>
          <w:tcPr>
            <w:tcW w:w="46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4,271</w:t>
            </w:r>
          </w:p>
        </w:tc>
        <w:tc>
          <w:tcPr>
            <w:tcW w:w="180" w:type="dxa"/>
            <w:vAlign w:val="bottom"/>
          </w:tcPr>
          <w:p>
            <w:pPr>
              <w:spacing w:after="0"/>
              <w:rPr>
                <w:sz w:val="19"/>
                <w:szCs w:val="19"/>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5,238</w:t>
            </w:r>
          </w:p>
        </w:tc>
        <w:tc>
          <w:tcPr>
            <w:tcW w:w="34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6,227</w:t>
            </w:r>
          </w:p>
        </w:tc>
        <w:tc>
          <w:tcPr>
            <w:tcW w:w="48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7,670</w:t>
            </w:r>
          </w:p>
        </w:tc>
        <w:tc>
          <w:tcPr>
            <w:tcW w:w="20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8,764</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Default rate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4"/>
        </w:trPr>
        <w:tc>
          <w:tcPr>
            <w:tcW w:w="460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435</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625</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Net premium yield </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24"/>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from cancellations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46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Annual persistency </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53.9 %</w:t>
            </w:r>
          </w:p>
        </w:tc>
      </w:tr>
      <w:tr>
        <w:trPr>
          <w:trHeight w:val="305"/>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Quarterly run-off </w:t>
            </w:r>
            <w:r>
              <w:rPr>
                <w:rFonts w:ascii="Times New Roman" w:cs="Times New Roman" w:eastAsia="Times New Roman" w:hAnsi="Times New Roman"/>
                <w:sz w:val="22"/>
                <w:szCs w:val="22"/>
                <w:color w:val="auto"/>
                <w:vertAlign w:val="superscript"/>
              </w:rPr>
              <w:t>(5)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spacing w:after="0" w:line="123" w:lineRule="exact"/>
        <w:rPr>
          <w:sz w:val="20"/>
          <w:szCs w:val="20"/>
          <w:color w:val="auto"/>
        </w:rPr>
      </w:pPr>
    </w:p>
    <w:p>
      <w:pPr>
        <w:ind w:left="200" w:hanging="194"/>
        <w:spacing w:after="0"/>
        <w:tabs>
          <w:tab w:leader="none" w:pos="2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Reported as of the end of the period.</w:t>
      </w:r>
    </w:p>
    <w:p>
      <w:pPr>
        <w:spacing w:after="0" w:line="4" w:lineRule="exact"/>
        <w:rPr>
          <w:rFonts w:ascii="Times New Roman" w:cs="Times New Roman" w:eastAsia="Times New Roman" w:hAnsi="Times New Roman"/>
          <w:sz w:val="18"/>
          <w:szCs w:val="18"/>
          <w:color w:val="auto"/>
          <w:vertAlign w:val="superscript"/>
        </w:rPr>
      </w:pPr>
    </w:p>
    <w:p>
      <w:pPr>
        <w:ind w:left="200" w:hanging="194"/>
        <w:spacing w:after="0" w:line="183" w:lineRule="auto"/>
        <w:tabs>
          <w:tab w:leader="none" w:pos="2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as end of period RIF divided by end of period IIF.</w:t>
      </w:r>
    </w:p>
    <w:p>
      <w:pPr>
        <w:ind w:left="200" w:hanging="194"/>
        <w:spacing w:after="0"/>
        <w:tabs>
          <w:tab w:leader="none" w:pos="20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6" w:lineRule="exact"/>
        <w:rPr>
          <w:rFonts w:ascii="Times New Roman" w:cs="Times New Roman" w:eastAsia="Times New Roman" w:hAnsi="Times New Roman"/>
          <w:sz w:val="9"/>
          <w:szCs w:val="9"/>
          <w:color w:val="auto"/>
        </w:rPr>
      </w:pPr>
    </w:p>
    <w:p>
      <w:pPr>
        <w:ind w:left="200" w:hanging="194"/>
        <w:spacing w:after="0"/>
        <w:tabs>
          <w:tab w:leader="none" w:pos="20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10" w:lineRule="exact"/>
        <w:rPr>
          <w:rFonts w:ascii="Times New Roman" w:cs="Times New Roman" w:eastAsia="Times New Roman" w:hAnsi="Times New Roman"/>
          <w:sz w:val="9"/>
          <w:szCs w:val="9"/>
          <w:color w:val="auto"/>
        </w:rPr>
      </w:pPr>
    </w:p>
    <w:p>
      <w:pPr>
        <w:ind w:left="200" w:hanging="194"/>
        <w:spacing w:after="0" w:line="198" w:lineRule="auto"/>
        <w:tabs>
          <w:tab w:leader="none" w:pos="2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the change in total primary IIF for the dates and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6"/>
                <w:szCs w:val="16"/>
                <w:color w:val="auto"/>
              </w:rPr>
            </w:pPr>
          </w:p>
        </w:tc>
        <w:tc>
          <w:tcPr>
            <w:tcW w:w="272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r>
      <w:tr>
        <w:trPr>
          <w:trHeight w:val="24"/>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5"/>
        </w:trPr>
        <w:tc>
          <w:tcPr>
            <w:tcW w:w="53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9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111,252</w:t>
            </w:r>
          </w:p>
        </w:tc>
      </w:tr>
      <w:tr>
        <w:trPr>
          <w:trHeight w:val="224"/>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NIW</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2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 principal repayments and other reductions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6" w:name="page37"/>
    <w:bookmarkEnd w:id="36"/>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our primary IIF and RIF by book year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9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104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5"/>
        </w:trPr>
        <w:tc>
          <w:tcPr>
            <w:tcW w:w="41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IIF</w:t>
            </w: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6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1"/>
        </w:trPr>
        <w:tc>
          <w:tcPr>
            <w:tcW w:w="4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2017 and before</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4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7" w:name="page38"/>
    <w:bookmarkEnd w:id="37"/>
    <w:p>
      <w:pPr>
        <w:ind w:firstLine="633"/>
        <w:spacing w:after="0" w:line="269" w:lineRule="auto"/>
        <w:rPr>
          <w:sz w:val="20"/>
          <w:szCs w:val="20"/>
          <w:color w:val="auto"/>
        </w:rPr>
      </w:pPr>
      <w:r>
        <w:rPr>
          <w:rFonts w:ascii="Times New Roman" w:cs="Times New Roman" w:eastAsia="Times New Roman" w:hAnsi="Times New Roman"/>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8"/>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5"/>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center"/>
              <w:ind w:left="1057"/>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11,390</w:t>
            </w:r>
          </w:p>
        </w:tc>
        <w:tc>
          <w:tcPr>
            <w:tcW w:w="4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80" w:type="dxa"/>
            <w:vAlign w:val="bottom"/>
            <w:shd w:val="clear" w:color="auto" w:fill="CCEEFF"/>
          </w:tcPr>
          <w:p>
            <w:pPr>
              <w:spacing w:after="0"/>
              <w:rPr>
                <w:sz w:val="20"/>
                <w:szCs w:val="20"/>
                <w:color w:val="auto"/>
              </w:rPr>
            </w:pPr>
          </w:p>
        </w:tc>
        <w:tc>
          <w:tcPr>
            <w:tcW w:w="36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24,304</w:t>
            </w:r>
          </w:p>
        </w:tc>
      </w:tr>
      <w:tr>
        <w:trPr>
          <w:trHeight w:val="224"/>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r>
      <w:tr>
        <w:trPr>
          <w:trHeight w:val="224"/>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r>
      <w:tr>
        <w:trPr>
          <w:trHeight w:val="224"/>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24"/>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FICO</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444"/>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9"/>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8"/>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5"/>
        </w:trPr>
        <w:tc>
          <w:tcPr>
            <w:tcW w:w="40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20"/>
                <w:szCs w:val="20"/>
                <w:color w:val="auto"/>
              </w:rPr>
            </w:pPr>
          </w:p>
        </w:tc>
        <w:tc>
          <w:tcPr>
            <w:tcW w:w="360" w:type="dxa"/>
            <w:vAlign w:val="bottom"/>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4,628</w:t>
            </w:r>
          </w:p>
        </w:tc>
      </w:tr>
      <w:tr>
        <w:trPr>
          <w:trHeight w:val="224"/>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9,941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15,308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20,992</w:t>
            </w:r>
          </w:p>
        </w:tc>
      </w:tr>
      <w:tr>
        <w:trPr>
          <w:trHeight w:val="224"/>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14,110</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9,418</w:t>
            </w: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16,611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30,776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49,148</w:t>
            </w: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LTV</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444"/>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8"/>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5"/>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6"/>
          </w:tcPr>
          <w:p>
            <w:pPr>
              <w:jc w:val="center"/>
              <w:ind w:left="1077"/>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18,911</w:t>
            </w:r>
          </w:p>
        </w:tc>
        <w:tc>
          <w:tcPr>
            <w:tcW w:w="440" w:type="dxa"/>
            <w:vAlign w:val="bottom"/>
            <w:gridSpan w:val="4"/>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29,601</w:t>
            </w:r>
          </w:p>
        </w:tc>
        <w:tc>
          <w:tcPr>
            <w:tcW w:w="360" w:type="dxa"/>
            <w:vAlign w:val="bottom"/>
            <w:gridSpan w:val="5"/>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36,820</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Refinance</w:t>
            </w: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w:t>
            </w:r>
          </w:p>
        </w:tc>
      </w:tr>
      <w:tr>
        <w:trPr>
          <w:trHeight w:val="242"/>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22,751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The tables below present our total primary IIF and RIF by FICO and LTV, and total primary RIF by loan type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83,769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29,195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11,160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21,159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6,044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43,260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16,068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77,804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51,029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23,738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22,974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12,553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43,260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63"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5"/>
        </w:trPr>
        <w:tc>
          <w:tcPr>
            <w:tcW w:w="7400" w:type="dxa"/>
            <w:vAlign w:val="bottom"/>
          </w:tcPr>
          <w:p>
            <w:pPr>
              <w:spacing w:after="0"/>
              <w:rPr>
                <w:sz w:val="16"/>
                <w:szCs w:val="16"/>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50"/>
        </w:trPr>
        <w:tc>
          <w:tcPr>
            <w:tcW w:w="7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4"/>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4"/>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8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than five years</w:t>
            </w:r>
          </w:p>
        </w:tc>
        <w:tc>
          <w:tcPr>
            <w:tcW w:w="9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Five years and longer</w:t>
            </w:r>
          </w:p>
        </w:tc>
        <w:tc>
          <w:tcPr>
            <w:tcW w:w="1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selected primary portfolio statistics, by book year, as of June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1"/>
                <w:szCs w:val="11"/>
                <w:color w:val="auto"/>
              </w:rPr>
            </w:pPr>
          </w:p>
        </w:tc>
        <w:tc>
          <w:tcPr>
            <w:tcW w:w="800" w:type="dxa"/>
            <w:vAlign w:val="bottom"/>
          </w:tcPr>
          <w:p>
            <w:pPr>
              <w:jc w:val="center"/>
              <w:ind w:right="35"/>
              <w:spacing w:after="0" w:line="127"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Remaining of</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Policies Ever in</w:t>
            </w:r>
          </w:p>
        </w:tc>
        <w:tc>
          <w:tcPr>
            <w:tcW w:w="10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Incurred Loss</w:t>
            </w:r>
          </w:p>
        </w:tc>
        <w:tc>
          <w:tcPr>
            <w:tcW w:w="11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3"/>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Insurance in</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Loans in</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Ratio (Inception</w:t>
            </w:r>
          </w:p>
        </w:tc>
        <w:tc>
          <w:tcPr>
            <w:tcW w:w="11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12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4"/>
              </w:rPr>
              <w:t xml:space="preserve">to Date) </w:t>
            </w:r>
            <w:r>
              <w:rPr>
                <w:rFonts w:ascii="Times New Roman" w:cs="Times New Roman" w:eastAsia="Times New Roman" w:hAnsi="Times New Roman"/>
                <w:sz w:val="18"/>
                <w:szCs w:val="18"/>
                <w:b w:val="1"/>
                <w:bCs w:val="1"/>
                <w:color w:val="auto"/>
                <w:w w:val="94"/>
                <w:vertAlign w:val="superscript"/>
              </w:rPr>
              <w:t>(1)</w:t>
            </w:r>
          </w:p>
        </w:tc>
        <w:tc>
          <w:tcPr>
            <w:tcW w:w="1180" w:type="dxa"/>
            <w:vAlign w:val="bottom"/>
            <w:tcBorders>
              <w:bottom w:val="single" w:sz="8" w:color="auto"/>
            </w:tcBorders>
          </w:tcPr>
          <w:p>
            <w:pPr>
              <w:jc w:val="right"/>
              <w:ind w:right="75"/>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8"/>
                <w:szCs w:val="18"/>
                <w:b w:val="1"/>
                <w:bCs w:val="1"/>
                <w:color w:val="auto"/>
                <w:vertAlign w:val="superscript"/>
              </w:rPr>
              <w:t>(2)</w:t>
            </w:r>
          </w:p>
        </w:tc>
        <w:tc>
          <w:tcPr>
            <w:tcW w:w="1100" w:type="dxa"/>
            <w:vAlign w:val="bottom"/>
            <w:tcBorders>
              <w:bottom w:val="single" w:sz="8" w:color="auto"/>
            </w:tcBorders>
          </w:tcPr>
          <w:p>
            <w:pPr>
              <w:jc w:val="right"/>
              <w:ind w:right="235"/>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39,154</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4"/>
        </w:trPr>
        <w:tc>
          <w:tcPr>
            <w:tcW w:w="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28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98 %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2"/>
        </w:trPr>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w:t>
            </w:r>
          </w:p>
        </w:tc>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1,018,158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551,543</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00" w:hanging="194"/>
        <w:spacing w:after="0"/>
        <w:tabs>
          <w:tab w:leader="none" w:pos="20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ind w:left="200" w:hanging="194"/>
        <w:spacing w:after="0"/>
        <w:tabs>
          <w:tab w:leader="none" w:pos="20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6" w:lineRule="exact"/>
        <w:rPr>
          <w:rFonts w:ascii="Times New Roman" w:cs="Times New Roman" w:eastAsia="Times New Roman" w:hAnsi="Times New Roman"/>
          <w:sz w:val="9"/>
          <w:szCs w:val="9"/>
          <w:color w:val="auto"/>
        </w:rPr>
      </w:pPr>
    </w:p>
    <w:p>
      <w:pPr>
        <w:ind w:left="200" w:hanging="194"/>
        <w:spacing w:after="0" w:line="198" w:lineRule="auto"/>
        <w:tabs>
          <w:tab w:leader="none" w:pos="20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64"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shows the distribution by state of our primary RIF as of the dates indicated. The distribution of our primary RIF as of June 30, 2022 is not necessarily representative of the geographic distribution we expect in the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224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24"/>
        </w:trPr>
        <w:tc>
          <w:tcPr>
            <w:tcW w:w="748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5"/>
        </w:trPr>
        <w:tc>
          <w:tcPr>
            <w:tcW w:w="7480" w:type="dxa"/>
            <w:vAlign w:val="bottom"/>
          </w:tcPr>
          <w:p>
            <w:pPr>
              <w:spacing w:after="0"/>
              <w:rPr>
                <w:sz w:val="16"/>
                <w:szCs w:val="16"/>
                <w:color w:val="auto"/>
              </w:rPr>
            </w:pPr>
          </w:p>
        </w:tc>
        <w:tc>
          <w:tcPr>
            <w:tcW w:w="22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9.8</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r>
      <w:tr>
        <w:trPr>
          <w:trHeight w:val="242"/>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 and Claim Expenses</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3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4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response to the COVID-19 pandemic, politicians, regulators, lenders, loan servicers and others have offered extraordinary assistance to dislocated borrowers through, among other programs, the forbearance, foreclosure moratorium and other assistance programs codified under the Coronavirus Aid, Relief, and Economic Security Act (CARES Act). The FHFA and GSEs have offered further assistance by introducing new repayment and loan modification options to assist borrowers with their transition out of forbearance programs and default status. We generally observe that forbearance, repayment and modification, and other assistance programs aid affected borrowers and drive higher cure rates on defaults than would otherwise be expected on similarly situated loans that did not benefit from broad-based assistance programs.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(benefits)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5"/>
        </w:trPr>
        <w:tc>
          <w:tcPr>
            <w:tcW w:w="53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8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90,567</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w:t>
            </w: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72,959</w:t>
            </w:r>
          </w:p>
        </w:tc>
      </w:tr>
      <w:tr>
        <w:trPr>
          <w:trHeight w:val="244"/>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(benefits) expenses incurred: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3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1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(benefits) expenses incurred</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r>
      <w:tr>
        <w:trPr>
          <w:trHeight w:val="244"/>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3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4"/>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81,509</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line="226" w:lineRule="auto"/>
        <w:tabs>
          <w:tab w:leader="none" w:pos="201"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for additional information.</w:t>
      </w:r>
    </w:p>
    <w:p>
      <w:pPr>
        <w:spacing w:after="0" w:line="1" w:lineRule="exact"/>
        <w:rPr>
          <w:rFonts w:ascii="Times New Roman" w:cs="Times New Roman" w:eastAsia="Times New Roman" w:hAnsi="Times New Roman"/>
          <w:sz w:val="18"/>
          <w:szCs w:val="18"/>
          <w:color w:val="auto"/>
          <w:vertAlign w:val="superscript"/>
        </w:rPr>
      </w:pPr>
    </w:p>
    <w:p>
      <w:pPr>
        <w:ind w:left="320" w:hanging="314"/>
        <w:spacing w:after="0" w:line="253" w:lineRule="auto"/>
        <w:tabs>
          <w:tab w:leader="none" w:pos="133"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$14.0 million attributed to net case reserves and $4.5 million attributed to net IBNR reserves for the six months ended June 30, 2022 and $9.8 million attributed to net case reserves and $5.6 million attributed to net IBNR reserves for the six months ended June 30, 2021.</w:t>
      </w:r>
    </w:p>
    <w:p>
      <w:pPr>
        <w:spacing w:after="0" w:line="1" w:lineRule="exact"/>
        <w:rPr>
          <w:rFonts w:ascii="Times New Roman" w:cs="Times New Roman" w:eastAsia="Times New Roman" w:hAnsi="Times New Roman"/>
          <w:sz w:val="9"/>
          <w:szCs w:val="9"/>
          <w:color w:val="auto"/>
        </w:rPr>
      </w:pPr>
    </w:p>
    <w:p>
      <w:pPr>
        <w:ind w:left="320" w:hanging="314"/>
        <w:spacing w:after="0" w:line="253" w:lineRule="auto"/>
        <w:tabs>
          <w:tab w:leader="none" w:pos="133"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Related to insured loans with defaults occurring in prior years, which have been continuously in default before the start of the current year. Amounts are presented net of reinsurance and included $17.0 million attributed to net case reserves and $4.7 million attributed to net IBNR reserves for the six months ended June 30, 2022 and $1.1 million attributed to net case reserves and $5.0 million attributed to net IBNR reserves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2" w:name="page43"/>
    <w:bookmarkEnd w:id="42"/>
    <w:p>
      <w:pPr>
        <w:spacing w:after="0" w:line="11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$74.9 million related to prior year defaults remained as of June 30, 2022.</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count of loans in default: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31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10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9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185"/>
        </w:trPr>
        <w:tc>
          <w:tcPr>
            <w:tcW w:w="4980" w:type="dxa"/>
            <w:vAlign w:val="bottom"/>
          </w:tcPr>
          <w:p>
            <w:pPr>
              <w:spacing w:after="0"/>
              <w:rPr>
                <w:sz w:val="16"/>
                <w:szCs w:val="16"/>
                <w:color w:val="auto"/>
              </w:rPr>
            </w:pPr>
          </w:p>
        </w:tc>
        <w:tc>
          <w:tcPr>
            <w:tcW w:w="15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6"/>
                <w:szCs w:val="16"/>
                <w:color w:val="auto"/>
              </w:rPr>
            </w:pPr>
          </w:p>
        </w:tc>
        <w:tc>
          <w:tcPr>
            <w:tcW w:w="16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2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 and claims denied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r>
    </w:tbl>
    <w:p>
      <w:pPr>
        <w:spacing w:after="0" w:line="22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Ending default inventory declined from June 30, 2021 to June 30, 2022 as an increased number of borrowers initially impacted by the COVID-19 pandemic cured their delinquencies, and fewer new defaults emerged as the acute economic stress of the pandemic crisis continued to recede. While our default population declined from June 30, 2021 to June 30, 2022, our default inventory remains elevated compared to historical experience due to the continued challenges certain borrowers are facing related to the COVID-19 pandemic and their decision to access the forbearance program for federally backed loans codified under the CARES Act or similar programs made available by private lenders. As of June 30, 2022, 2,400 of our 4,271 defaulted loans were in a COVID-19 related forbearance program.</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provides details of our claims paid, before giving effect to claims ceded under the QSR Transactions and ILN Transactions,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3000" w:type="dxa"/>
            <w:vAlign w:val="bottom"/>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5"/>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4"/>
          </w:tcPr>
          <w:p>
            <w:pPr>
              <w:jc w:val="right"/>
              <w:ind w:right="1098"/>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Number of claims paid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paid for claims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873</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1,308</w:t>
            </w:r>
          </w:p>
        </w:tc>
      </w:tr>
      <w:tr>
        <w:trPr>
          <w:trHeight w:val="22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amount paid per claim</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w:t>
            </w:r>
          </w:p>
        </w:tc>
      </w:tr>
      <w:tr>
        <w:trPr>
          <w:trHeight w:val="30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Severity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191" w:lineRule="exact"/>
        <w:rPr>
          <w:sz w:val="20"/>
          <w:szCs w:val="20"/>
          <w:color w:val="auto"/>
        </w:rPr>
      </w:pPr>
    </w:p>
    <w:p>
      <w:pPr>
        <w:ind w:left="320" w:hanging="314"/>
        <w:spacing w:after="0" w:line="225" w:lineRule="auto"/>
        <w:tabs>
          <w:tab w:leader="none" w:pos="271"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Count includes 10 and 16 claims settled without payment during the three and six months ended June 30, 2022, respectively, and three and four claims settled without payment during the three and six months ended June 30, 2021, respectively.</w:t>
      </w:r>
    </w:p>
    <w:p>
      <w:pPr>
        <w:ind w:left="320" w:hanging="314"/>
        <w:spacing w:after="0" w:line="264" w:lineRule="auto"/>
        <w:tabs>
          <w:tab w:leader="none" w:pos="281"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paid 24 and 43 claims during the three and six months ended June 30, 2022, respectively, and 19 and 35 claims during the three and six months ended June 30, 2021,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have extended, and may ultimately interrupt, the timeline over which loans would otherwise progress through the default cycle to a paid claim. Our claims paid experience for the three and six months ended June 30, 2022 and 2021, further benefited from the resiliency of the housing market and broad national house price appreciation. An increase in the value of the homes collateralizing the mortgages we insure provides defaulted borrowers with alternative paths and incentives to cure their loan prior to the development of a claim.</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claims severity for the three and six months ended June 30, 2022 was 46% and 43%, respectively, compared to 66% and 64% for the three and six months ended June 30, 2021, respectively. Claims severity for the three and six months ended June 30, 2022 and 2021 benefited from the same resiliency of the housing market and broad national house price appreciation as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69" w:lineRule="auto"/>
        <w:rPr>
          <w:sz w:val="20"/>
          <w:szCs w:val="20"/>
          <w:color w:val="auto"/>
        </w:rPr>
      </w:pPr>
      <w:r>
        <w:rPr>
          <w:rFonts w:ascii="Times New Roman" w:cs="Times New Roman" w:eastAsia="Times New Roman" w:hAnsi="Times New Roman"/>
          <w:sz w:val="18"/>
          <w:szCs w:val="18"/>
          <w:color w:val="auto"/>
        </w:rPr>
        <w:t>our claims paid.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provides detail on our average reserve per default, before giving effect to reserves ceded under the QSR Transactions,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300" w:type="dxa"/>
            <w:vAlign w:val="bottom"/>
          </w:tcPr>
          <w:p>
            <w:pPr>
              <w:spacing w:after="0"/>
              <w:rPr>
                <w:sz w:val="16"/>
                <w:szCs w:val="16"/>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440" w:type="dxa"/>
            <w:vAlign w:val="bottom"/>
          </w:tcPr>
          <w:p>
            <w:pPr>
              <w:spacing w:after="0"/>
              <w:rPr>
                <w:sz w:val="16"/>
                <w:szCs w:val="16"/>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June 30, 2021</w:t>
            </w:r>
          </w:p>
        </w:tc>
      </w:tr>
      <w:tr>
        <w:trPr>
          <w:trHeight w:val="24"/>
        </w:trPr>
        <w:tc>
          <w:tcPr>
            <w:tcW w:w="6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5"/>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tcPr>
          <w:p>
            <w:pPr>
              <w:spacing w:after="0"/>
              <w:rPr>
                <w:sz w:val="16"/>
                <w:szCs w:val="16"/>
                <w:color w:val="auto"/>
              </w:rPr>
            </w:pP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Case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4" w:lineRule="exact"/>
        <w:rPr>
          <w:sz w:val="20"/>
          <w:szCs w:val="20"/>
          <w:color w:val="auto"/>
        </w:rPr>
      </w:pPr>
    </w:p>
    <w:p>
      <w:pPr>
        <w:ind w:left="200" w:hanging="194"/>
        <w:spacing w:after="0"/>
        <w:tabs>
          <w:tab w:leader="none" w:pos="2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Defined as the gross reserve per insured loan in default.</w:t>
      </w:r>
    </w:p>
    <w:p>
      <w:pPr>
        <w:spacing w:after="0" w:line="4" w:lineRule="exact"/>
        <w:rPr>
          <w:rFonts w:ascii="Times New Roman" w:cs="Times New Roman" w:eastAsia="Times New Roman" w:hAnsi="Times New Roman"/>
          <w:sz w:val="18"/>
          <w:szCs w:val="18"/>
          <w:color w:val="auto"/>
          <w:vertAlign w:val="superscript"/>
        </w:rPr>
      </w:pPr>
    </w:p>
    <w:p>
      <w:pPr>
        <w:ind w:left="200" w:hanging="194"/>
        <w:spacing w:after="0" w:line="193" w:lineRule="auto"/>
        <w:tabs>
          <w:tab w:leader="none" w:pos="2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 includes claims adjustment expenses.</w:t>
      </w:r>
    </w:p>
    <w:p>
      <w:pPr>
        <w:spacing w:after="0" w:line="138" w:lineRule="exact"/>
        <w:rPr>
          <w:sz w:val="20"/>
          <w:szCs w:val="20"/>
          <w:color w:val="auto"/>
        </w:rPr>
      </w:pPr>
    </w:p>
    <w:p>
      <w:pPr>
        <w:jc w:val="both"/>
        <w:ind w:firstLine="673"/>
        <w:spacing w:after="0" w:line="249" w:lineRule="auto"/>
        <w:rPr>
          <w:sz w:val="20"/>
          <w:szCs w:val="20"/>
          <w:color w:val="auto"/>
        </w:rPr>
      </w:pPr>
      <w:r>
        <w:rPr>
          <w:rFonts w:ascii="Times New Roman" w:cs="Times New Roman" w:eastAsia="Times New Roman" w:hAnsi="Times New Roman"/>
          <w:sz w:val="18"/>
          <w:szCs w:val="18"/>
          <w:color w:val="auto"/>
        </w:rPr>
        <w:t>Average reserve per default increased from June 30, 2021 to June 30, 2022 primarily due to the “aging” of early COVID-related defaults. While we have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Our average reserve per default at June 30, 2022 also reflects an incrementally conservative set of assumptions about future macroeconomic and housing market conditions compared to those assumed at June 30, 2021.</w:t>
      </w:r>
    </w:p>
    <w:p>
      <w:pPr>
        <w:spacing w:after="0" w:line="136" w:lineRule="exact"/>
        <w:rPr>
          <w:sz w:val="20"/>
          <w:szCs w:val="20"/>
          <w:color w:val="auto"/>
        </w:rPr>
      </w:pPr>
    </w:p>
    <w:p>
      <w:pPr>
        <w:jc w:val="both"/>
        <w:ind w:firstLine="673"/>
        <w:spacing w:after="0" w:line="269" w:lineRule="auto"/>
        <w:rPr>
          <w:sz w:val="20"/>
          <w:szCs w:val="20"/>
          <w:color w:val="auto"/>
        </w:rPr>
      </w:pPr>
      <w:r>
        <w:rPr>
          <w:rFonts w:ascii="Times New Roman" w:cs="Times New Roman" w:eastAsia="Times New Roman" w:hAnsi="Times New Roman"/>
          <w:sz w:val="18"/>
          <w:szCs w:val="18"/>
          <w:color w:val="auto"/>
        </w:rPr>
        <w:t>While average reserve per default increased from June 30, 2021 to June 30, 2022, our aggregate gross reserve position declined in the intervening period due to the significant decline in our total default inventory.</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GSE Oversight</w:t>
      </w:r>
    </w:p>
    <w:p>
      <w:pPr>
        <w:spacing w:after="0" w:line="164" w:lineRule="exact"/>
        <w:rPr>
          <w:sz w:val="20"/>
          <w:szCs w:val="20"/>
          <w:color w:val="auto"/>
        </w:rPr>
      </w:pPr>
    </w:p>
    <w:p>
      <w:pPr>
        <w:jc w:val="both"/>
        <w:ind w:firstLine="673"/>
        <w:spacing w:after="0" w:line="251"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NMIC is subject to ongoing compliance with the PMIERs established by each of the GSEs (</w:t>
      </w:r>
      <w:r>
        <w:rPr>
          <w:rFonts w:ascii="Times New Roman" w:cs="Times New Roman" w:eastAsia="Times New Roman" w:hAnsi="Times New Roman"/>
          <w:sz w:val="18"/>
          <w:szCs w:val="18"/>
          <w:i w:val="1"/>
          <w:iCs w:val="1"/>
          <w:color w:val="auto"/>
        </w:rPr>
        <w:t>italicized</w:t>
      </w:r>
      <w:r>
        <w:rPr>
          <w:rFonts w:ascii="Times New Roman" w:cs="Times New Roman" w:eastAsia="Times New Roman" w:hAnsi="Times New Roman"/>
          <w:sz w:val="18"/>
          <w:szCs w:val="18"/>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current vs. delinquent), LTV ratio and other risk features. In general, higher quality loans carry lower asset charges.</w:t>
      </w:r>
    </w:p>
    <w:p>
      <w:pPr>
        <w:spacing w:after="0" w:line="131" w:lineRule="exact"/>
        <w:rPr>
          <w:sz w:val="20"/>
          <w:szCs w:val="20"/>
          <w:color w:val="auto"/>
        </w:rPr>
      </w:pPr>
    </w:p>
    <w:p>
      <w:pPr>
        <w:jc w:val="both"/>
        <w:ind w:firstLine="673"/>
        <w:spacing w:after="0" w:line="287" w:lineRule="auto"/>
        <w:rPr>
          <w:sz w:val="20"/>
          <w:szCs w:val="20"/>
          <w:color w:val="auto"/>
        </w:rPr>
      </w:pPr>
      <w:r>
        <w:rPr>
          <w:rFonts w:ascii="Times New Roman" w:cs="Times New Roman" w:eastAsia="Times New Roman" w:hAnsi="Times New Roman"/>
          <w:sz w:val="16"/>
          <w:szCs w:val="16"/>
          <w:color w:val="auto"/>
        </w:rPr>
        <w:t xml:space="preserve">Under the PMIERs, </w:t>
      </w:r>
      <w:r>
        <w:rPr>
          <w:rFonts w:ascii="Times New Roman" w:cs="Times New Roman" w:eastAsia="Times New Roman" w:hAnsi="Times New Roman"/>
          <w:sz w:val="16"/>
          <w:szCs w:val="16"/>
          <w:i w:val="1"/>
          <w:iCs w:val="1"/>
          <w:color w:val="auto"/>
        </w:rPr>
        <w:t>approved insurers</w:t>
      </w:r>
      <w:r>
        <w:rPr>
          <w:rFonts w:ascii="Times New Roman" w:cs="Times New Roman" w:eastAsia="Times New Roman" w:hAnsi="Times New Roman"/>
          <w:sz w:val="16"/>
          <w:szCs w:val="16"/>
          <w:color w:val="auto"/>
        </w:rPr>
        <w:t xml:space="preserve"> must maintain </w:t>
      </w:r>
      <w:r>
        <w:rPr>
          <w:rFonts w:ascii="Times New Roman" w:cs="Times New Roman" w:eastAsia="Times New Roman" w:hAnsi="Times New Roman"/>
          <w:sz w:val="16"/>
          <w:szCs w:val="16"/>
          <w:i w:val="1"/>
          <w:iCs w:val="1"/>
          <w:color w:val="auto"/>
        </w:rPr>
        <w:t>available assets</w:t>
      </w:r>
      <w:r>
        <w:rPr>
          <w:rFonts w:ascii="Times New Roman" w:cs="Times New Roman" w:eastAsia="Times New Roman" w:hAnsi="Times New Roman"/>
          <w:sz w:val="16"/>
          <w:szCs w:val="16"/>
          <w:color w:val="auto"/>
        </w:rPr>
        <w:t xml:space="preserve"> that equal or exceed </w:t>
      </w:r>
      <w:r>
        <w:rPr>
          <w:rFonts w:ascii="Times New Roman" w:cs="Times New Roman" w:eastAsia="Times New Roman" w:hAnsi="Times New Roman"/>
          <w:sz w:val="16"/>
          <w:szCs w:val="16"/>
          <w:i w:val="1"/>
          <w:iCs w:val="1"/>
          <w:color w:val="auto"/>
        </w:rPr>
        <w:t>minimum required assets</w:t>
      </w:r>
      <w:r>
        <w:rPr>
          <w:rFonts w:ascii="Times New Roman" w:cs="Times New Roman" w:eastAsia="Times New Roman" w:hAnsi="Times New Roman"/>
          <w:sz w:val="16"/>
          <w:szCs w:val="16"/>
          <w:color w:val="auto"/>
        </w:rPr>
        <w:t xml:space="preserve">, which is an amount equal to the greater of (i) $400 million or (ii) a total </w:t>
      </w:r>
      <w:r>
        <w:rPr>
          <w:rFonts w:ascii="Times New Roman" w:cs="Times New Roman" w:eastAsia="Times New Roman" w:hAnsi="Times New Roman"/>
          <w:sz w:val="16"/>
          <w:szCs w:val="16"/>
          <w:i w:val="1"/>
          <w:iCs w:val="1"/>
          <w:color w:val="auto"/>
        </w:rPr>
        <w:t>risk-based required asset amount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risk-based required asset amount</w:t>
      </w:r>
      <w:r>
        <w:rPr>
          <w:rFonts w:ascii="Times New Roman" w:cs="Times New Roman" w:eastAsia="Times New Roman" w:hAnsi="Times New Roman"/>
          <w:sz w:val="16"/>
          <w:szCs w:val="16"/>
          <w:color w:val="auto"/>
        </w:rPr>
        <w:t xml:space="preserve"> is a function of the risk profile of an </w:t>
      </w:r>
      <w:r>
        <w:rPr>
          <w:rFonts w:ascii="Times New Roman" w:cs="Times New Roman" w:eastAsia="Times New Roman" w:hAnsi="Times New Roman"/>
          <w:sz w:val="16"/>
          <w:szCs w:val="16"/>
          <w:i w:val="1"/>
          <w:iCs w:val="1"/>
          <w:color w:val="auto"/>
        </w:rPr>
        <w:t>approved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insurer's </w:t>
      </w:r>
      <w:r>
        <w:rPr>
          <w:rFonts w:ascii="Times New Roman" w:cs="Times New Roman" w:eastAsia="Times New Roman" w:hAnsi="Times New Roman"/>
          <w:sz w:val="16"/>
          <w:szCs w:val="16"/>
          <w:color w:val="auto"/>
        </w:rPr>
        <w:t>RIF, assessed on a loan-by-loan basis and considered against certain risk-based factors derived from tables set out in the PMIERs, which is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adjusted on an aggregate basis for reinsurance transactions approved by the GSEs, such as with respect to our ILN Transactions and QSR Transactions. The </w:t>
      </w:r>
      <w:r>
        <w:rPr>
          <w:rFonts w:ascii="Times New Roman" w:cs="Times New Roman" w:eastAsia="Times New Roman" w:hAnsi="Times New Roman"/>
          <w:sz w:val="16"/>
          <w:szCs w:val="16"/>
          <w:i w:val="1"/>
          <w:iCs w:val="1"/>
          <w:color w:val="auto"/>
        </w:rPr>
        <w:t xml:space="preserve">aggregate gross risk-based required asset amount </w:t>
      </w:r>
      <w:r>
        <w:rPr>
          <w:rFonts w:ascii="Times New Roman" w:cs="Times New Roman" w:eastAsia="Times New Roman" w:hAnsi="Times New Roman"/>
          <w:sz w:val="16"/>
          <w:szCs w:val="16"/>
          <w:color w:val="auto"/>
        </w:rPr>
        <w:t>for performing, primary insurance is subject to a floor of 5.6% of</w:t>
      </w:r>
      <w:r>
        <w:rPr>
          <w:rFonts w:ascii="Times New Roman" w:cs="Times New Roman" w:eastAsia="Times New Roman" w:hAnsi="Times New Roman"/>
          <w:sz w:val="16"/>
          <w:szCs w:val="16"/>
          <w:i w:val="1"/>
          <w:iCs w:val="1"/>
          <w:color w:val="auto"/>
        </w:rPr>
        <w:t xml:space="preserve"> performing primary adjusted RIF</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risk-based required asset amount </w:t>
      </w:r>
      <w:r>
        <w:rPr>
          <w:rFonts w:ascii="Times New Roman" w:cs="Times New Roman" w:eastAsia="Times New Roman" w:hAnsi="Times New Roman"/>
          <w:sz w:val="16"/>
          <w:szCs w:val="16"/>
          <w:color w:val="auto"/>
        </w:rPr>
        <w:t>for pool insurance considers both factors in the PMIERs tables and the</w:t>
      </w:r>
      <w:r>
        <w:rPr>
          <w:rFonts w:ascii="Times New Roman" w:cs="Times New Roman" w:eastAsia="Times New Roman" w:hAnsi="Times New Roman"/>
          <w:sz w:val="16"/>
          <w:szCs w:val="16"/>
          <w:i w:val="1"/>
          <w:iCs w:val="1"/>
          <w:color w:val="auto"/>
        </w:rPr>
        <w:t xml:space="preserve"> net remaining stop loss </w:t>
      </w:r>
      <w:r>
        <w:rPr>
          <w:rFonts w:ascii="Times New Roman" w:cs="Times New Roman" w:eastAsia="Times New Roman" w:hAnsi="Times New Roman"/>
          <w:sz w:val="16"/>
          <w:szCs w:val="16"/>
          <w:color w:val="auto"/>
        </w:rPr>
        <w:t>for each pool insurance policy.</w:t>
      </w:r>
    </w:p>
    <w:p>
      <w:pPr>
        <w:spacing w:after="0" w:line="106"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By April 15th of each year, NMIC must certify it met all PMIERs requirements as of December 31st of the prior year. We certified to the GSEs by April 15, 2022 that NMIC was in full compliance with the PMIERs as of December 31, 2021. NMIC also has an ongoing obligation to immediately notify the GSEs in writing upon discovery of a failure to meet one or more of the PMIERs requirements. We continuously monitor NMIC's compliance with the PMIERs.</w:t>
      </w:r>
    </w:p>
    <w:p>
      <w:pPr>
        <w:spacing w:after="0" w:line="90"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The following table provides a comparison of the PMIERs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as reported by NMIC as of the dates indicated: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91"/>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assets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2,169,388</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1,886,993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Risk-based required assets</w:t>
            </w:r>
          </w:p>
        </w:tc>
        <w:tc>
          <w:tcPr>
            <w:tcW w:w="280" w:type="dxa"/>
            <w:vAlign w:val="bottom"/>
          </w:tcPr>
          <w:p>
            <w:pPr>
              <w:spacing w:after="0"/>
              <w:rPr>
                <w:sz w:val="19"/>
                <w:szCs w:val="19"/>
                <w:color w:val="auto"/>
              </w:rPr>
            </w:pP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1,240,143</w:t>
            </w: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1,170,854</w:t>
            </w:r>
          </w:p>
        </w:tc>
      </w:tr>
    </w:tbl>
    <w:p>
      <w:pPr>
        <w:spacing w:after="0" w:line="200" w:lineRule="exact"/>
        <w:rPr>
          <w:sz w:val="20"/>
          <w:szCs w:val="20"/>
          <w:color w:val="auto"/>
        </w:rPr>
      </w:pPr>
    </w:p>
    <w:p>
      <w:pPr>
        <w:spacing w:after="0" w:line="26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 assets </w:t>
      </w:r>
      <w:r>
        <w:rPr>
          <w:rFonts w:ascii="Times New Roman" w:cs="Times New Roman" w:eastAsia="Times New Roman" w:hAnsi="Times New Roman"/>
          <w:sz w:val="18"/>
          <w:szCs w:val="18"/>
          <w:color w:val="auto"/>
        </w:rPr>
        <w:t>were $2.2 billion at June 30, 2022, compared to $1.9 billion at June 30, 2021. The $282 million increase in</w:t>
      </w:r>
      <w:r>
        <w:rPr>
          <w:rFonts w:ascii="Times New Roman" w:cs="Times New Roman" w:eastAsia="Times New Roman" w:hAnsi="Times New Roman"/>
          <w:sz w:val="18"/>
          <w:szCs w:val="18"/>
          <w:i w:val="1"/>
          <w:iCs w:val="1"/>
          <w:color w:val="auto"/>
        </w:rPr>
        <w:t xml:space="preserve"> available assets </w:t>
      </w:r>
      <w:r>
        <w:rPr>
          <w:rFonts w:ascii="Times New Roman" w:cs="Times New Roman" w:eastAsia="Times New Roman" w:hAnsi="Times New Roman"/>
          <w:sz w:val="18"/>
          <w:szCs w:val="18"/>
          <w:color w:val="auto"/>
        </w:rPr>
        <w:t>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dates presented was primarily driven by NMIC's positive cash flow from operations during the intervening period, partially offset by the ordinary course dividend paid by NMIC to NMIH in April 2022 and the extraordinary dividend paid by Re One to NMIH following the termination and commutation of the reinsurance agreement between NMIC and Re One in December 2021.</w:t>
      </w:r>
    </w:p>
    <w:p>
      <w:pPr>
        <w:spacing w:after="0" w:line="130"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The increase in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between the dates presented was primarily due to the growth of our gross RIF, largely offset by an increase in the risk ceded under our third-party reinsurance agreements.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LIBOR Transition</w:t>
      </w:r>
    </w:p>
    <w:p>
      <w:pPr>
        <w:spacing w:after="0" w:line="16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do not expect the impact of such transition to be material to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5"/>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1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9"/>
          </w:tcPr>
          <w:p>
            <w:pPr>
              <w:jc w:val="right"/>
              <w:ind w:right="138"/>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110,888</w:t>
            </w:r>
          </w:p>
        </w:tc>
        <w:tc>
          <w:tcPr>
            <w:tcW w:w="4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237,365</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216,767</w:t>
            </w:r>
          </w:p>
        </w:tc>
        <w:tc>
          <w:tcPr>
            <w:tcW w:w="0" w:type="dxa"/>
            <w:vAlign w:val="bottom"/>
          </w:tcPr>
          <w:p>
            <w:pPr>
              <w:spacing w:after="0"/>
              <w:rPr>
                <w:sz w:val="1"/>
                <w:szCs w:val="1"/>
                <w:color w:val="auto"/>
              </w:rPr>
            </w:pPr>
          </w:p>
        </w:tc>
      </w:tr>
      <w:tr>
        <w:trPr>
          <w:trHeight w:val="224"/>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21,120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18,196</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120,765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259,661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235,959</w:t>
            </w:r>
          </w:p>
        </w:tc>
        <w:tc>
          <w:tcPr>
            <w:tcW w:w="0" w:type="dxa"/>
            <w:vAlign w:val="bottom"/>
          </w:tcPr>
          <w:p>
            <w:pPr>
              <w:spacing w:after="0"/>
              <w:rPr>
                <w:sz w:val="1"/>
                <w:szCs w:val="1"/>
                <w:color w:val="auto"/>
              </w:rPr>
            </w:pPr>
          </w:p>
        </w:tc>
      </w:tr>
      <w:tr>
        <w:trPr>
          <w:trHeight w:val="204"/>
        </w:trPr>
        <w:tc>
          <w:tcPr>
            <w:tcW w:w="48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claims and claim (benefits) expenses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224"/>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63,635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68,790</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4"/>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8,051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15,837</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6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47,110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75,725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94,848</w:t>
            </w:r>
          </w:p>
        </w:tc>
        <w:tc>
          <w:tcPr>
            <w:tcW w:w="0" w:type="dxa"/>
            <w:vAlign w:val="bottom"/>
          </w:tcPr>
          <w:p>
            <w:pPr>
              <w:spacing w:after="0"/>
              <w:rPr>
                <w:sz w:val="1"/>
                <w:szCs w:val="1"/>
                <w:color w:val="auto"/>
              </w:rPr>
            </w:pPr>
          </w:p>
        </w:tc>
      </w:tr>
      <w:tr>
        <w:trPr>
          <w:trHeight w:val="244"/>
        </w:trPr>
        <w:tc>
          <w:tcPr>
            <w:tcW w:w="48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73,655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183,936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141,111</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40,812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30,697</w:t>
            </w:r>
          </w:p>
        </w:tc>
        <w:tc>
          <w:tcPr>
            <w:tcW w:w="0" w:type="dxa"/>
            <w:vAlign w:val="bottom"/>
          </w:tcPr>
          <w:p>
            <w:pPr>
              <w:spacing w:after="0"/>
              <w:rPr>
                <w:sz w:val="1"/>
                <w:szCs w:val="1"/>
                <w:color w:val="auto"/>
              </w:rPr>
            </w:pPr>
          </w:p>
        </w:tc>
      </w:tr>
      <w:tr>
        <w:trPr>
          <w:trHeight w:val="21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57,522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110,414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8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5"/>
              </w:rPr>
              <w:t>0.67</w:t>
            </w:r>
          </w:p>
        </w:tc>
        <w:tc>
          <w:tcPr>
            <w:tcW w:w="4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0.65</w:t>
            </w:r>
          </w:p>
        </w:tc>
        <w:tc>
          <w:tcPr>
            <w:tcW w:w="4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Loss ratio</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Expense ratio</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31.3 %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Combined ratio </w:t>
            </w:r>
            <w:r>
              <w:rPr>
                <w:rFonts w:ascii="Times New Roman" w:cs="Times New Roman" w:eastAsia="Times New Roman" w:hAnsi="Times New Roman"/>
                <w:sz w:val="22"/>
                <w:szCs w:val="22"/>
                <w:color w:val="auto"/>
                <w:vertAlign w:val="superscript"/>
              </w:rPr>
              <w:t>(3)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451"/>
        </w:trPr>
        <w:tc>
          <w:tcPr>
            <w:tcW w:w="4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(4)</w:t>
            </w:r>
          </w:p>
        </w:tc>
        <w:tc>
          <w:tcPr>
            <w:tcW w:w="138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138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20" w:type="dxa"/>
            <w:vAlign w:val="bottom"/>
            <w:gridSpan w:val="11"/>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before tax</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96,061</w:t>
            </w:r>
          </w:p>
        </w:tc>
        <w:tc>
          <w:tcPr>
            <w:tcW w:w="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182,567</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74,339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141,809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0" w:hanging="214"/>
        <w:spacing w:after="0"/>
        <w:tabs>
          <w:tab w:leader="none" w:pos="2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ratio is calculated by dividing insurance claims and claim (benefits) expenses by net premiums earned.</w:t>
      </w:r>
    </w:p>
    <w:p>
      <w:pPr>
        <w:ind w:left="280" w:hanging="274"/>
        <w:spacing w:after="0" w:line="183" w:lineRule="auto"/>
        <w:tabs>
          <w:tab w:leader="none" w:pos="28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ratio is calculated by dividing underwriting and operating expenses by net premiums earned.</w:t>
      </w:r>
    </w:p>
    <w:p>
      <w:pPr>
        <w:ind w:left="320" w:hanging="314"/>
        <w:spacing w:after="0" w:line="187" w:lineRule="auto"/>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Combined ratio may not foot due to rounding.</w:t>
      </w:r>
    </w:p>
    <w:p>
      <w:pPr>
        <w:spacing w:after="0" w:line="9" w:lineRule="exact"/>
        <w:rPr>
          <w:rFonts w:ascii="Times New Roman" w:cs="Times New Roman" w:eastAsia="Times New Roman" w:hAnsi="Times New Roman"/>
          <w:sz w:val="21"/>
          <w:szCs w:val="21"/>
          <w:color w:val="auto"/>
          <w:vertAlign w:val="superscript"/>
        </w:rPr>
      </w:pPr>
    </w:p>
    <w:p>
      <w:pPr>
        <w:ind w:left="220" w:hanging="214"/>
        <w:spacing w:after="0" w:line="187" w:lineRule="auto"/>
        <w:tabs>
          <w:tab w:leader="none" w:pos="2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Explanation and Reconciliation of Our Use of Non-GAAP Financial Measures,</w:t>
      </w:r>
      <w:r>
        <w:rPr>
          <w:rFonts w:ascii="Times New Roman" w:cs="Times New Roman" w:eastAsia="Times New Roman" w:hAnsi="Times New Roman"/>
          <w:sz w:val="16"/>
          <w:szCs w:val="16"/>
          <w:color w:val="auto"/>
        </w:rPr>
        <w:t>"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premiums earned were $120.9 million and $237.4 million for the three and six months ended June 30, 2022, respectively, compared to $110.9 million and $216.8 million for the three and six months ended June 30, 2021, respectively. The year-on-year increase in net premiums earned in each respective period was primarily driven by the growth of our IIF, partially offset by a decline in the contribution from single premium policy cancellations and an increase in total premiums ceded under our reinsurance transactions.</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Net investment income was $10.9 million and $21.1 million for the three and six months ended June 30, 2022, respectively, compared to $9.4 million and $18.2 million for the three and six months ended June 30, 2021, respectively.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year-on-year increase in net investment income in each respective period was primarily driven by growth in the size of our total investment portfolio.</w:t>
      </w:r>
    </w:p>
    <w:p>
      <w:pPr>
        <w:spacing w:after="0" w:line="16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Other revenues were $0.4 million and $0.7 million for the three and six months ended June 30, 2022, respectively, compared to $0.5 million and $1.0 million for the three and six months ended June 30, 2021, respectively. Other revenues represent underwriting fee revenue generated by our subsidiary, NMIS, which provides outsourced loan review services to mortgage loan originators. The year-on-year decline in other revenues in each respective period relates to a decrease in NMIS' outsourced loan review volume. Amounts recognized in other revenues generally correspond with amounts incurred as service expenses for outsourced loan review activities in the same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6"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9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Insurance claims and claim expenses were a benefit of $3.0 million and $3.7 million for the three and six months ended June 30, 2022, respectively, compared to insurance claims and claim expenses of $4.6 million and $9.6 million for the three and six months ended June 30, 2021, respectively. Insurance claims and claim expenses during the three and six months ended June 30, 2022 benefited from cure activity and the associated release of a portion of the reserves we established for anticipated claims payments in prior periods, and a decrease in the number of new defaults emerging on loans impacted by the COVID-19 pandemic.</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Underwriting and operating expenses were $30.7 million and $63.6 million for the three and six months ended June 30, 2022, respectively, compared to $34.7 million and $68.8 million for the three and six months ended June 30, 2021, respectively. The year-on-year decline in underwriting and operating expenses in each respective period was primarily due to a decrease in the amortization of deferred policy acquisition costs tied to the increased persistency of our IIF, a step-down in technology costs related to our agreement with Tata Consultancy Services and a decline in capital markets transaction costs, partially offset by an increase in travel and entertainment expenses tied to the easing of COVID-19 related restrictions, as well as an increase in depreciation and amortization incurred in connection with the completion and implementation of certain software and equipment initiatives.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Service expenses were $0.3 million and $0.8 million for the three and six months ended June 30, 2022, respectively, compared to $0.5 million and $1.1 million for the three and six months ended June 30, 2021, respectively. Service expenses represent third-party costs incurred by NMIS in connection with the services it provides. The year-on-year decline in service expenses in each respective period was driven by a decrease in NMIS' outsourced loan review volume. Amounts incurred as service expenses generally correspond with amounts recognized in other revenues in the same periods.</w:t>
      </w:r>
    </w:p>
    <w:p>
      <w:pPr>
        <w:spacing w:after="0" w:line="13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Interest expense was $8.1 million and $16.1 million for the three and six months ended June 30, 2022, respectively, compared to $7.9 million and $15.8 million for the three and six months ended June 30, 2021, respectively. Interest expense primarily reflects the carrying costs of the Notes. The increase in interest expense period-to-period was due to an increase in commitment fees associated with the 2021 Revolving Credit Facility which had extended its borrowing capacity from $110 million to $250 million in November 2021. See Item 1, "</w:t>
      </w:r>
      <w:r>
        <w:rPr>
          <w:rFonts w:ascii="Times New Roman" w:cs="Times New Roman" w:eastAsia="Times New Roman" w:hAnsi="Times New Roman"/>
          <w:sz w:val="18"/>
          <w:szCs w:val="18"/>
          <w:i w:val="1"/>
          <w:iCs w:val="1"/>
          <w:color w:val="auto"/>
        </w:rPr>
        <w:t>Financial Statements - 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 4, Debt.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 xml:space="preserve">Income tax expense was $21.7 million and $40.8 million for the three and six months ended June 30, 2022, respectively, compared to $16.1 million and $30.7 million for the three and six months ended June 30, 2021, respectively. The year-on-year increase in income tax expense in each respective period was primarily driven by growth in our pre-tax income. Our effective tax rate on pre-tax income was 22.4% and 22.2% for the three and six months ended June 30, 2022, respectively, compared to 21.9% and 21.8% for the three and six months ended June 30, 2022,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six months ended June 30, 2022 and 2021 reflect the discrete tax effects of the vesting of RSUs and exercise of options, and the change in fair value of our warrant liability in each period. See Item 1, </w:t>
      </w:r>
      <w:r>
        <w:rPr>
          <w:rFonts w:ascii="Times New Roman" w:cs="Times New Roman" w:eastAsia="Times New Roman" w:hAnsi="Times New Roman"/>
          <w:sz w:val="16"/>
          <w:szCs w:val="16"/>
          <w:i w:val="1"/>
          <w:iCs w:val="1"/>
          <w:color w:val="auto"/>
        </w:rPr>
        <w:t>"Financial Statements - Notes to Condensed Consolidated Financial Statements - Note 9, Income Taxes.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Net income was $75.4 million and $143.1 million for the three and six months ended June 30, 2022, respectively, compared to $57.5 million and $110.4 million for the three and six months ended June 30, 2021, respectively. Adjusted net income was $74.3 million and $141.8 million for the three and six months ended June 30, 2022, respectively, compared to $58.1 million and $111.5 million for the three and six months ended June 30, 2021, respectively. The year-on-year increases in net income and adjusted net income in each respective period were primarily driven by growth in our total revenues, as well as declines in our insurance claims and claim expenses and underwriting and operating expenses, partially offset by an increase in our income tax expense.</w:t>
      </w:r>
    </w:p>
    <w:p>
      <w:pPr>
        <w:spacing w:after="0" w:line="1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Diluted EPS was $0.86 and $1.63 for the three and six months ended June 30, 2022, respectively, compared to $0.65 and $1.27 for the three and six months ended June 30, 2021, respectively. Adjusted diluted EPS was $0.86 and $1.63 for the three and six months ended June 30, 2022, respectively, compared to $0.67 and $1.29 for the three and six months ended June 30, 2021, respectively. Diluted and adjusted diluted EPS increased primarily due to growth in net income and adjusted net income.</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non-GAAP financial measures adjusted income before tax, adjusted net income and adjusted diluted EPS are presented to enhance the comparability of financial results between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240" w:type="dxa"/>
            <w:vAlign w:val="bottom"/>
          </w:tcPr>
          <w:p>
            <w:pPr>
              <w:spacing w:after="0"/>
              <w:rPr>
                <w:sz w:val="18"/>
                <w:szCs w:val="18"/>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8"/>
                <w:szCs w:val="18"/>
                <w:color w:val="auto"/>
              </w:rPr>
            </w:pPr>
          </w:p>
        </w:tc>
        <w:tc>
          <w:tcPr>
            <w:tcW w:w="264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87"/>
        </w:trPr>
        <w:tc>
          <w:tcPr>
            <w:tcW w:w="53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141,111</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30,697</w:t>
            </w: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110,414</w:t>
            </w:r>
          </w:p>
        </w:tc>
      </w:tr>
      <w:tr>
        <w:trPr>
          <w:trHeight w:val="264"/>
        </w:trPr>
        <w:tc>
          <w:tcPr>
            <w:tcW w:w="5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warrant liability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market transaction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infrequent, unusual or non-operating items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before tax</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182,567</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142,639</w:t>
            </w:r>
          </w:p>
        </w:tc>
      </w:tr>
      <w:tr>
        <w:trPr>
          <w:trHeight w:val="198"/>
        </w:trPr>
        <w:tc>
          <w:tcPr>
            <w:tcW w:w="5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on adjustments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111,526</w:t>
            </w:r>
          </w:p>
        </w:tc>
      </w:tr>
      <w:tr>
        <w:trPr>
          <w:trHeight w:val="211"/>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r>
      <w:tr>
        <w:trPr>
          <w:trHeight w:val="23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and Reconciliation of Our Use of Non-GAAP Financial Measures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income before tax </w:t>
      </w:r>
      <w:r>
        <w:rPr>
          <w:rFonts w:ascii="Times New Roman" w:cs="Times New Roman" w:eastAsia="Times New Roman" w:hAnsi="Times New Roman"/>
          <w:sz w:val="18"/>
          <w:szCs w:val="18"/>
          <w:color w:val="auto"/>
        </w:rPr>
        <w:t>is defined as GAAP income before tax, excluding the pre-tax effects of the gain or loss related to the change in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jc w:val="both"/>
        <w:ind w:firstLine="63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is defined as GAAP net income, excluding the after-tax effects of the gain or loss related to the change in fair value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Adjusted diluted EPS </w:t>
      </w:r>
      <w:r>
        <w:rPr>
          <w:rFonts w:ascii="Times New Roman" w:cs="Times New Roman" w:eastAsia="Times New Roman" w:hAnsi="Times New Roman"/>
          <w:sz w:val="18"/>
          <w:szCs w:val="18"/>
          <w:color w:val="auto"/>
        </w:rPr>
        <w:t>is defined as adjusted net income divided by adjusted weighted average diluted shares outstanding. Adjusted weighted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3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28" w:lineRule="exact"/>
        <w:rPr>
          <w:sz w:val="20"/>
          <w:szCs w:val="20"/>
          <w:color w:val="auto"/>
        </w:rPr>
      </w:pPr>
    </w:p>
    <w:p>
      <w:pPr>
        <w:jc w:val="both"/>
        <w:ind w:left="640" w:hanging="318"/>
        <w:spacing w:after="0" w:line="250"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fair value of warrant liability</w:t>
      </w:r>
      <w:r>
        <w:rPr>
          <w:rFonts w:ascii="Times New Roman" w:cs="Times New Roman" w:eastAsia="Times New Roman" w:hAnsi="Times New Roman"/>
          <w:sz w:val="18"/>
          <w:szCs w:val="18"/>
          <w:color w:val="auto"/>
        </w:rPr>
        <w:t>. Outstanding warrants at the end of each reporting period are revalued, and any change in fair value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We believe trends in our operating performance can be more clearly identified by excluding fluctuations related to the change in fair value of our warrant liability.</w:t>
      </w:r>
    </w:p>
    <w:p>
      <w:pPr>
        <w:spacing w:after="0" w:line="130" w:lineRule="exact"/>
        <w:rPr>
          <w:rFonts w:ascii="Times New Roman" w:cs="Times New Roman" w:eastAsia="Times New Roman" w:hAnsi="Times New Roman"/>
          <w:sz w:val="18"/>
          <w:szCs w:val="18"/>
          <w:color w:val="auto"/>
        </w:rPr>
      </w:pPr>
    </w:p>
    <w:p>
      <w:pPr>
        <w:jc w:val="both"/>
        <w:ind w:left="640" w:hanging="318"/>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markets transaction costs</w:t>
      </w:r>
      <w:r>
        <w:rPr>
          <w:rFonts w:ascii="Times New Roman" w:cs="Times New Roman" w:eastAsia="Times New Roman" w:hAnsi="Times New Roman"/>
          <w:sz w:val="18"/>
          <w:szCs w:val="18"/>
          <w:color w:val="auto"/>
        </w:rPr>
        <w:t>. Capital markets transaction costs result from activities that are undertaken to improve our debt profile or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3" w:lineRule="exact"/>
        <w:rPr>
          <w:rFonts w:ascii="Times New Roman" w:cs="Times New Roman" w:eastAsia="Times New Roman" w:hAnsi="Times New Roman"/>
          <w:sz w:val="18"/>
          <w:szCs w:val="18"/>
          <w:color w:val="auto"/>
        </w:rPr>
      </w:pPr>
    </w:p>
    <w:p>
      <w:pPr>
        <w:jc w:val="both"/>
        <w:ind w:left="640" w:hanging="318"/>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realized investment gains and losses</w:t>
      </w:r>
      <w:r>
        <w:rPr>
          <w:rFonts w:ascii="Times New Roman" w:cs="Times New Roman" w:eastAsia="Times New Roman" w:hAnsi="Times New Roman"/>
          <w:sz w:val="18"/>
          <w:szCs w:val="18"/>
          <w:color w:val="auto"/>
        </w:rPr>
        <w:t>. The recognition of the net realized investment gains or losses can vary significantly across periods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3" w:lineRule="exact"/>
        <w:rPr>
          <w:rFonts w:ascii="Times New Roman" w:cs="Times New Roman" w:eastAsia="Times New Roman" w:hAnsi="Times New Roman"/>
          <w:sz w:val="18"/>
          <w:szCs w:val="18"/>
          <w:color w:val="auto"/>
        </w:rPr>
      </w:pPr>
    </w:p>
    <w:p>
      <w:pPr>
        <w:jc w:val="both"/>
        <w:ind w:left="640" w:hanging="318"/>
        <w:spacing w:after="0" w:line="24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infrequent, unusual or non-operating items</w:t>
      </w:r>
      <w:r>
        <w:rPr>
          <w:rFonts w:ascii="Times New Roman" w:cs="Times New Roman" w:eastAsia="Times New Roman" w:hAnsi="Times New Roman"/>
          <w:sz w:val="18"/>
          <w:szCs w:val="18"/>
          <w:color w:val="auto"/>
        </w:rPr>
        <w:t>. Items that are the result of unforeseen or uncommon events, and are not expected to recur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2,085,931</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76,646</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60,358</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113,302</w:t>
            </w:r>
          </w:p>
        </w:tc>
        <w:tc>
          <w:tcPr>
            <w:tcW w:w="0" w:type="dxa"/>
            <w:vAlign w:val="bottom"/>
          </w:tcPr>
          <w:p>
            <w:pPr>
              <w:spacing w:after="0"/>
              <w:rPr>
                <w:sz w:val="1"/>
                <w:szCs w:val="1"/>
                <w:color w:val="auto"/>
              </w:rPr>
            </w:pPr>
          </w:p>
        </w:tc>
      </w:tr>
      <w:tr>
        <w:trPr>
          <w:trHeight w:val="242"/>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2,450,581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260" w:type="dxa"/>
            <w:vAlign w:val="bottom"/>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395,323</w:t>
            </w:r>
          </w:p>
        </w:tc>
        <w:tc>
          <w:tcPr>
            <w:tcW w:w="100" w:type="dxa"/>
            <w:vAlign w:val="bottom"/>
          </w:tcPr>
          <w:p>
            <w:pPr>
              <w:spacing w:after="0"/>
              <w:rPr>
                <w:sz w:val="17"/>
                <w:szCs w:val="17"/>
                <w:color w:val="auto"/>
              </w:rPr>
            </w:pPr>
          </w:p>
        </w:tc>
        <w:tc>
          <w:tcPr>
            <w:tcW w:w="2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394,623</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139,237</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103,551</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164,175</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884,795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1,565,786</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left="80" w:firstLine="475"/>
        <w:spacing w:after="0" w:line="253" w:lineRule="auto"/>
        <w:rPr>
          <w:sz w:val="20"/>
          <w:szCs w:val="20"/>
          <w:color w:val="auto"/>
        </w:rPr>
      </w:pPr>
      <w:r>
        <w:rPr>
          <w:rFonts w:ascii="Times New Roman" w:cs="Times New Roman" w:eastAsia="Times New Roman" w:hAnsi="Times New Roman"/>
          <w:sz w:val="18"/>
          <w:szCs w:val="18"/>
          <w:color w:val="auto"/>
        </w:rPr>
        <w:t>Total cash and investments were $2.1 billion as of June 30, 2022, compared to $2.2 billion as of December 31, 2021. Cash and investments at June 30, 2022 included $114.4 million held by NMIH. The decrease in total cash and investments reflects an increase in the unrealized loss positions of our fixed income portfolio tied to the prevailing interest rate and credit spread environment and share repurchases during the six months ended June 30, 2022, partially offset by cash generated from operations.</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Premiums receivable was $63.7 million as of June 30, 2022, compared to $60.4 million as December 31, 2021. The increase was primarily driven by growth in our monthly premium policies in force, where premiums are generally paid one month in arrears.</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deferred policy acquisition costs were $59.8 million as of June 30, 2022, compared to $59.6 million as of December 31, 2021. The increase was primarily driven by the deferral of certain costs associated with the origination of new policies between the respective balance sheet dates, largely offset by the recognition of previously deferred policy acquisition costs.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Prepaid reinsurance premiums were $1.7 million as of June 30, 2022, compared to $2.4 million as of December 31, 2021. Prepaid reinsurance premiums, which represent the unearned premiums on single premium policies ceded under the 2016 QSR Transaction, decreased due to the continued amortization of previously ceded unearned premiums.</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Reinsurance recoverable was $19.6 million as of June 30, 2022, compared to $20.3 million as of December 31, 2021. The decrease was driven by a decrease in ceded losses recoverable associated with our QSR Transactions.</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Other assets increased to $123.6 million as of June 30, 2022, compared to $113.3 million as of December 31, 2021. The increase was primarily driven by the recognition of incremental ROU assets in connection with the modification of the operating lease for our corporate headquarters in January 2022. Other assets included $89.2 million of tax and loss bonds held by the Company at both June 30, 2022 and December 31, 2021. See Item 1, "</w:t>
      </w:r>
      <w:r>
        <w:rPr>
          <w:rFonts w:ascii="Times New Roman" w:cs="Times New Roman" w:eastAsia="Times New Roman" w:hAnsi="Times New Roman"/>
          <w:sz w:val="18"/>
          <w:szCs w:val="18"/>
          <w:i w:val="1"/>
          <w:iCs w:val="1"/>
          <w:color w:val="auto"/>
        </w:rPr>
        <w:t>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to Condensed Consolidated Financial Statements - Note 9, Income Taxes.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Unearned premiums were $135.7 million as of June 30, 2022, compared to $139.2 million as of December 31, 2021. The decrease was driven by the amortization of existing unearned premiums through earnings in accordance with the expiration of risk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18"/>
          <w:szCs w:val="18"/>
          <w:color w:val="auto"/>
        </w:rPr>
        <w:t>on related single premium policies and the cancellations of other single premium policies, partially offset by single premium policy originations during the six months ended June 30, 2022.</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Accounts payable and accrued expenses were $58.9 million as of June 30, 2022, compared to $72.0 million as of December 31, 2021. The decrease was primarily driven by the settlement of previously accrued compensation expenses, premium taxes and other contractual payables during the six months ended June 30, 2022, partially offset by an increase in reinsurance payables associated with the 2022-1 XOL Transaction.</w:t>
      </w:r>
    </w:p>
    <w:p>
      <w:pPr>
        <w:spacing w:after="0" w:line="12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Reserve for insurance claims and claim expenses was $98.5 million as of June 30, 2022, compared to $103.6 million as of December 31, 2021. The decrease was primarily driven by a release of a portion of the reserves we established for anticipated claims payments in prior periods, cure activity, and a decline in the total size of our default population. The decrease was partially offset by an increase in the average reserve carried per default. While we have generally established lower reserves per default for loans that we consider to be impaired in connection with the COVID-19 pandemic, we have increased the initial reserves held for such loans as they have aged in default status. See "</w:t>
      </w:r>
      <w:r>
        <w:rPr>
          <w:rFonts w:ascii="Times New Roman" w:cs="Times New Roman" w:eastAsia="Times New Roman" w:hAnsi="Times New Roman"/>
          <w:sz w:val="16"/>
          <w:szCs w:val="16"/>
          <w:i w:val="1"/>
          <w:iCs w:val="1"/>
          <w:color w:val="auto"/>
        </w:rPr>
        <w:t>- Insurance Claims and Claim Expenses</w:t>
      </w:r>
      <w:r>
        <w:rPr>
          <w:rFonts w:ascii="Times New Roman" w:cs="Times New Roman" w:eastAsia="Times New Roman" w:hAnsi="Times New Roman"/>
          <w:sz w:val="16"/>
          <w:szCs w:val="16"/>
          <w:color w:val="auto"/>
        </w:rPr>
        <w:t>," above for further details.</w:t>
      </w:r>
    </w:p>
    <w:p>
      <w:pPr>
        <w:spacing w:after="0" w:line="106"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Reinsurance funds withheld, which represents our ceded reinsurance premiums written, less our profit and ceding commission receivables related to the 2016 QSR Transaction was $4.5 million as of June 30, 2022, compared to $5.6 million as of December 31, 2021. The decrease relates to the continued decline in ceded premiums written on single premium policies, due to the end of the reinsurance coverage period for new business under the 2016 QSR Transaction at December 31, 2017. See Item 1, "</w:t>
      </w:r>
      <w:r>
        <w:rPr>
          <w:rFonts w:ascii="Times New Roman" w:cs="Times New Roman" w:eastAsia="Times New Roman" w:hAnsi="Times New Roman"/>
          <w:sz w:val="16"/>
          <w:szCs w:val="16"/>
          <w:i w:val="1"/>
          <w:iCs w:val="1"/>
          <w:color w:val="auto"/>
        </w:rPr>
        <w:t>Financial Statements - Notes to Condensed Consolidated Financial Statements - Note 5, Reinsurance</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All unexercised warrants expired at their contractual maturity in April 2022. No warrants or warrant liability remained at June 30, 2022. Warrant liability was $2.4 million at December 31, 2021. For further information regarding the valuation of our warrant liability and its impact on our results of operations and financial position, see Item 1, "</w:t>
      </w:r>
      <w:r>
        <w:rPr>
          <w:rFonts w:ascii="Times New Roman" w:cs="Times New Roman" w:eastAsia="Times New Roman" w:hAnsi="Times New Roman"/>
          <w:sz w:val="18"/>
          <w:szCs w:val="18"/>
          <w:i w:val="1"/>
          <w:iCs w:val="1"/>
          <w:color w:val="auto"/>
        </w:rPr>
        <w:t>Financial Statements - Notes to Condensed Consolidated Financial Statements - Note 3, Fair Value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deferred tax liability was $161.7 million at June 30, 2022, compared to $164.2 million at December 31, 2021. The decrease was primarily due to the increase in unrealized losses recorded in other comprehensive income, and was largely offset by an increase in the claimed deductibility of our statutory contingency reserve. For further information regarding income taxes and their impact on our results of operations and financial position, see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Notes to Condensed Consolidated Financial Statements - Note 9, Income Taxes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Other liabilities increased to $12.6 million as of June 30, 2022, compared to $3.2 million as of December 31, 2021. The increase was primarily driven by the recognition of an incremental lease liability in connection with the modification of the operating lease for our corporate headquarters in January 2022.</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420" w:type="dxa"/>
            <w:vAlign w:val="bottom"/>
          </w:tcPr>
          <w:p>
            <w:pPr>
              <w:spacing w:after="0"/>
              <w:rPr>
                <w:sz w:val="16"/>
                <w:szCs w:val="16"/>
                <w:color w:val="auto"/>
              </w:rPr>
            </w:pPr>
          </w:p>
        </w:tc>
        <w:tc>
          <w:tcPr>
            <w:tcW w:w="31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7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tcPr>
          <w:p>
            <w:pPr>
              <w:spacing w:after="0"/>
              <w:rPr>
                <w:sz w:val="18"/>
                <w:szCs w:val="18"/>
                <w:color w:val="auto"/>
              </w:rPr>
            </w:pPr>
          </w:p>
        </w:tc>
        <w:tc>
          <w:tcPr>
            <w:tcW w:w="196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8"/>
                <w:szCs w:val="18"/>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182,544</w:t>
            </w:r>
          </w:p>
        </w:tc>
      </w:tr>
      <w:tr>
        <w:trPr>
          <w:trHeight w:val="22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(240,679)</w:t>
            </w:r>
          </w:p>
        </w:tc>
      </w:tr>
      <w:tr>
        <w:trPr>
          <w:trHeight w:val="22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(58,857)</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$173.8 million for the six months ended June 30, 2022, compared to $182.5 million for the six months ended June 30, 2021. The decrease in cash provided by operating activities year-on-year was primarily driven by a decline in premium written tied to a reduction in single premium policies written during the six months ended June 30, 2022.</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and 2021 reflects the purchase of fixed and short-term maturities with cash provided by operating activities, and the reinvestment of coupon payments, maturities and sale proceeds within our investment portfolio.</w:t>
      </w:r>
    </w:p>
    <w:p>
      <w:pPr>
        <w:spacing w:after="0" w:line="11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Cash used in financing activities was $30.3 million for the six months ended June 30, 2022, compared to $0.7 million for the six months ended June 30, 2021. Cash used in financing activities during the six months ended June 30, 2022 primarily relates to the repurchase of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1" w:name="page52"/>
    <w:bookmarkEnd w:id="51"/>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As of June 30, 2022, NMIH had $114.4 million of cash and investments. NMIH's principal sources of net cash are dividends from its subsidiaries and investment income. NMIC paid a $34.9 million ordinary course dividend to NMIH in April 2022, representing its full ordinary course dividend capacity payable under Wisconsin law for the twelve-month period ending December 31, 2022. NMIH also has access to $250 million of undrawn revolving credit capacity under the 2021 Revolving Credit Facility. See Item 1, "</w:t>
      </w:r>
      <w:r>
        <w:rPr>
          <w:rFonts w:ascii="Times New Roman" w:cs="Times New Roman" w:eastAsia="Times New Roman" w:hAnsi="Times New Roman"/>
          <w:sz w:val="16"/>
          <w:szCs w:val="16"/>
          <w:i w:val="1"/>
          <w:iCs w:val="1"/>
          <w:color w:val="auto"/>
        </w:rPr>
        <w:t>Financial Statements - Notes to Condensed Consolidated Financial Statements - Note 4, Debt."</w:t>
      </w:r>
    </w:p>
    <w:p>
      <w:pPr>
        <w:spacing w:after="0" w:line="10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February 10, 2022, our Board of Directors approved a $125 million share repurchase program through December 31, 2023, that enables the company to repurchase its common stock. The authorization provides NMIH the flexibility to repurchase stock from time to time in the open market or in privately negotiated transactions, based on market and business conditions, stock price and other factors. During the six months ended June 30, 2022, NMIH repurchased 1.7 million shares of common stock pursuant to a trading plan under Rule 10b-18 of the Exchange Act, at a total cost of $30.4 million, including associated costs. As of June 30, 2022, $94.6 million of repurchase authority remained available under the program.</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30"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Secured Overnight Financing Rate (SOFR)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3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2021 Revolving Credit Facility, NMIH is required to pay a quarterly commitment fee on the average daily undrawn amount of 0.175% to 0.525%, based on the applicable corporate credit rating at the time. As of June 30, 2022, the applicable commitment fee was 0.35%. On July 21, 2022, Moody's upgraded its financial strength rating of NMIC from “Baa2” to “Baa1” and its rating of NMIH's Notes from “Ba2” to “Ba1”. As a result of the upgrade, the commitment fee due under the 2021 Revolving Credit Facility will be reduced to 0.30%.</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June 30, 2022.</w:t>
      </w:r>
    </w:p>
    <w:p>
      <w:pPr>
        <w:spacing w:after="0" w:line="126"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April 1, 2022, NMIC paid a $34.9 million ordinary course dividend to NMIH.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8"/>
          <w:szCs w:val="18"/>
          <w:i w:val="1"/>
          <w:iCs w:val="1"/>
          <w:color w:val="auto"/>
        </w:rPr>
        <w:t xml:space="preserve">minimum required asset </w:t>
      </w:r>
      <w:r>
        <w:rPr>
          <w:rFonts w:ascii="Times New Roman" w:cs="Times New Roman" w:eastAsia="Times New Roman" w:hAnsi="Times New Roman"/>
          <w:sz w:val="18"/>
          <w:szCs w:val="18"/>
          <w:color w:val="auto"/>
        </w:rPr>
        <w:t>thresholds under the PMIERs and minimum state capital requirements (respectively, as defined therein).</w:t>
      </w:r>
    </w:p>
    <w:p>
      <w:pPr>
        <w:spacing w:after="0" w:line="121"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June 30, 2022, NMIC reported $2,169 million available assets against $1,240 million risk-based required assets, for a $929 million "excess" funding position.</w:t>
      </w:r>
    </w:p>
    <w:p>
      <w:pPr>
        <w:spacing w:after="0" w:line="10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June 30, 2022, NMIC's performing primary RIF, net of reinsurance, was approximately $24.6 billion. NMIC ceded 100% of its pool RIF</w:t>
      </w:r>
    </w:p>
    <w:p>
      <w:pPr>
        <w:spacing w:after="0" w:line="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pursuant to the 2016 QSR Transaction. Based on NMIC's total statutory capital of $2.1 billion (including contingency reserves) as of June 30, 2022, NMIC's RTC ratio was 11.9:1. Re One has no risk in force remaining and no longer reports a RTC ratio.</w:t>
      </w:r>
    </w:p>
    <w:p>
      <w:pPr>
        <w:spacing w:after="0" w:line="116"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2022, NMIC had $2.0 billion of cash and investments, including $50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2022, NMIC generated $267 million of cash flow from operations and received an additional $109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Debt and Financial Strength Ratings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NMIC's financial strength is rated "Baa1" by Moody's and "BBB" by S&amp;P. NMIH’s Notes are rated “Ba1” by Moody’s and its long-term counter-party credit profile is rated “BB” by S&amp;P. Moody's outlook for both its ratings is stable and S&amp;P’s outlook for both its ratings is positive. For more information, see Item 1, "</w:t>
      </w:r>
      <w:r>
        <w:rPr>
          <w:rFonts w:ascii="Times New Roman" w:cs="Times New Roman" w:eastAsia="Times New Roman" w:hAnsi="Times New Roman"/>
          <w:sz w:val="18"/>
          <w:szCs w:val="18"/>
          <w:i w:val="1"/>
          <w:iCs w:val="1"/>
          <w:color w:val="auto"/>
        </w:rPr>
        <w:t>Financial Statements - Notes to Condensed Consolidated Financial Statements - Note 4,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0"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Our investment portfolio is comprised entirely of fixed maturity instruments. As of June 30, 2022, the fair value of our investment portfolio was $2.0 billion and we held an additional $72.4 million of cash and equivalents. Pre-tax book yield on the investment portfolio for the six months ended June 30, 2022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a breakdown of our investment portfolio and cash and cash equivalents by investment type and credit rating: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8"/>
                <w:szCs w:val="18"/>
                <w:b w:val="1"/>
                <w:bCs w:val="1"/>
                <w:color w:val="auto"/>
                <w:vertAlign w:val="superscript"/>
              </w:rPr>
              <w:t>(1)</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460" w:type="dxa"/>
            <w:vAlign w:val="bottom"/>
            <w:vMerge w:val="continue"/>
          </w:tcPr>
          <w:p>
            <w:pPr>
              <w:spacing w:after="0"/>
              <w:rPr>
                <w:sz w:val="24"/>
                <w:szCs w:val="24"/>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7"/>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(2)</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(2)</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BBB</w:t>
            </w:r>
            <w:r>
              <w:rPr>
                <w:rFonts w:ascii="Times New Roman" w:cs="Times New Roman" w:eastAsia="Times New Roman" w:hAnsi="Times New Roman"/>
                <w:sz w:val="22"/>
                <w:szCs w:val="22"/>
                <w:color w:val="auto"/>
                <w:vertAlign w:val="superscript"/>
              </w:rPr>
              <w:t>(2)</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(3)</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60" w:hanging="254"/>
        <w:spacing w:after="0"/>
        <w:tabs>
          <w:tab w:leader="none" w:pos="26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Excluding certain operating cash accounts.</w:t>
      </w:r>
    </w:p>
    <w:p>
      <w:pPr>
        <w:ind w:left="260" w:hanging="254"/>
        <w:spacing w:after="0"/>
        <w:tabs>
          <w:tab w:leader="none" w:pos="26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 ratings.</w:t>
      </w:r>
    </w:p>
    <w:p>
      <w:pPr>
        <w:spacing w:after="0" w:line="6" w:lineRule="exact"/>
        <w:rPr>
          <w:rFonts w:ascii="Times New Roman" w:cs="Times New Roman" w:eastAsia="Times New Roman" w:hAnsi="Times New Roman"/>
          <w:sz w:val="9"/>
          <w:szCs w:val="9"/>
          <w:color w:val="auto"/>
        </w:rPr>
      </w:pPr>
    </w:p>
    <w:p>
      <w:pPr>
        <w:ind w:left="240" w:hanging="234"/>
        <w:spacing w:after="0" w:line="198" w:lineRule="auto"/>
        <w:tabs>
          <w:tab w:leader="none" w:pos="24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held one security with a BB+ rating at June 30, 2022, which is not identifiable in the table due to rounding.</w:t>
      </w:r>
    </w:p>
    <w:p>
      <w:pPr>
        <w:spacing w:after="0" w:line="230"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Investment Securities - Allowance for credit losses</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did not recognize an allowance for credit loss for any security in the investment portfolio as of June 30, 2022 or December 31, 2021, and we did not record any provision for credit loss for investment securities during the three or six month periods ended June 30, 2022 or 2021.</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As of June 30, 2022, the investment portfolio had gross unrealized losses of $199.4 million, of which $41.7 million had been in an unrealized loss position for a period of twelve-months or longer. As of December 31, 2021, the investment portfolio had gross unrealized losses of $23.2 million, of which $6.5 million had been in an unrealized loss position for a period of twelve months or longer.</w:t>
      </w:r>
    </w:p>
    <w:p>
      <w:pPr>
        <w:spacing w:after="0" w:line="12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increase in the aggregate size of the unrealized loss position as of June 30, 2022, was primarily driven by interest rate movements following the purchase date of certain securities. We evaluated the securities in an unrealized loss position as of June 30, 2022, assessing their credit ratings as well as any adverse conditions specifically related to the security. Based upon our estimate of the amount and timing of cash flows to be collected over the remaining life of each instrument, we believe the unrealized losses as of June 30, 2022 are not indicative of the ultimate collectability of the current amortized cost of the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2021 10-K.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Board's Risk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drivers of our market risk exposure monitored and managed by us include but are not limited to:</w:t>
      </w:r>
    </w:p>
    <w:p>
      <w:pPr>
        <w:spacing w:after="0" w:line="143" w:lineRule="exact"/>
        <w:rPr>
          <w:sz w:val="20"/>
          <w:szCs w:val="20"/>
          <w:color w:val="auto"/>
        </w:rPr>
      </w:pPr>
    </w:p>
    <w:p>
      <w:pPr>
        <w:jc w:val="both"/>
        <w:ind w:left="960" w:hanging="321"/>
        <w:spacing w:after="0" w:line="250"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30"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11" w:lineRule="exact"/>
        <w:rPr>
          <w:rFonts w:ascii="Times New Roman" w:cs="Times New Roman" w:eastAsia="Times New Roman" w:hAnsi="Times New Roman"/>
          <w:sz w:val="18"/>
          <w:szCs w:val="18"/>
          <w:i w:val="1"/>
          <w:iCs w:val="1"/>
          <w:color w:val="auto"/>
        </w:rPr>
      </w:pPr>
    </w:p>
    <w:p>
      <w:pPr>
        <w:ind w:left="960" w:hanging="321"/>
        <w:spacing w:after="0" w:line="272"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rating agency) assessments, will reduce the value and potentially the liquidity of investments.</w:t>
      </w:r>
    </w:p>
    <w:p>
      <w:pPr>
        <w:spacing w:after="0" w:line="111"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11"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1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carrying value of our investment portfolio as of June 30, 2022 and December 31, 2021 was $2.0 billion and $2.1 billion, respectively, all of which were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June 30, 2022, the duration of our fixed income portfolio, including cash and cash equivalents, was 4.30 years, which means that an instantaneous parallel shift (movement up or down) in the yield curve of 100 basis points would result in a change of 4.30% in fair value of our fixed income portfolio. Excluding cash, our fixed income portfolio duration was 4.36 years, which means that an instantaneous parallel shift (movement up or down) in the yield curve of 100 basis points would result in a change of 4.36% in fair value of our fixed income portfolio.</w:t>
      </w:r>
    </w:p>
    <w:p>
      <w:pPr>
        <w:spacing w:after="0" w:line="12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We are also subject to market risk related to the Notes and the ILN Transactions. As discussed in Item 1, "</w:t>
      </w:r>
      <w:r>
        <w:rPr>
          <w:rFonts w:ascii="Times New Roman" w:cs="Times New Roman" w:eastAsia="Times New Roman" w:hAnsi="Times New Roman"/>
          <w:sz w:val="18"/>
          <w:szCs w:val="18"/>
          <w:i w:val="1"/>
          <w:iCs w:val="1"/>
          <w:color w:val="auto"/>
        </w:rPr>
        <w:t>Financial Statements - 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4, Debt</w:t>
      </w:r>
      <w:r>
        <w:rPr>
          <w:rFonts w:ascii="Times New Roman" w:cs="Times New Roman" w:eastAsia="Times New Roman" w:hAnsi="Times New Roman"/>
          <w:sz w:val="18"/>
          <w:szCs w:val="18"/>
          <w:color w:val="auto"/>
        </w:rPr>
        <w:t>" the Notes bear interest at a variable rate and, as a result, increases in market interest rates would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increased interest expense on our outstanding principal.</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risk premium amounts under the ILN Transactions are calculated by multiplying the outstanding reinsurance coverage amount at the beginning of any payment period by a coupon rate, which is the sum of one-month LIBOR or SOFR, as applicable, and a risk margin, and then subtracting actual investment income earned on the trust balance during that payment period. An increase in one-month LIBOR or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June 30, 2022,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June 30, 2022,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of our 2021 10-K. As of the date of this report, we are not aware of any material changes in our risk factors from the risk factors disclosed in our 2021 10-K. You should carefully consider the risks and uncertainties described herein and in our 2021 10-K, which have the potential to affect our business, financial condition, results of operations, cash flows or prospects in a material and adverse manner. The risks described herein and in our 2021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ectPr>
          <w:pgSz w:w="11900" w:h="16838" w:orient="portrait"/>
          <w:cols w:equalWidth="0" w:num="1">
            <w:col w:w="10960"/>
          </w:cols>
          <w:pgMar w:left="320" w:top="1161" w:right="619" w:bottom="1440" w:gutter="0" w:footer="0" w:header="0"/>
        </w:sectPr>
      </w:pP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636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63500</wp:posOffset>
            </wp:positionV>
            <wp:extent cx="6264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900" w:space="720"/>
            <w:col w:w="5340"/>
          </w:cols>
          <w:pgMar w:left="320" w:top="1161" w:right="619" w:bottom="1440" w:gutter="0" w:footer="0" w:header="0"/>
          <w:type w:val="continuous"/>
        </w:sectPr>
      </w:pPr>
    </w:p>
    <w:p>
      <w:pPr>
        <w:spacing w:after="0" w:line="18" w:lineRule="exact"/>
        <w:rPr>
          <w:sz w:val="20"/>
          <w:szCs w:val="20"/>
          <w:color w:val="auto"/>
        </w:rPr>
      </w:pPr>
    </w:p>
    <w:p>
      <w:pPr>
        <w:ind w:left="1140" w:hanging="733"/>
        <w:spacing w:after="0" w:line="23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71">
        <w:r>
          <w:rPr>
            <w:rFonts w:ascii="Times New Roman" w:cs="Times New Roman" w:eastAsia="Times New Roman" w:hAnsi="Times New Roman"/>
            <w:sz w:val="18"/>
            <w:szCs w:val="18"/>
            <w:u w:val="single" w:color="auto"/>
            <w:color w:val="0000FF"/>
          </w:rPr>
          <w:t>Stock Purchase Agreement, dated November 30, 2011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between NMI Holdings, Inc. and MAC Financial Ltd. (incorporated 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2.1 to our Form S-1 Registration Statement (Registration No. 333-191635), filed on October 9, 2013)</w:t>
      </w:r>
    </w:p>
    <w:p>
      <w:pPr>
        <w:spacing w:after="0" w:line="1" w:lineRule="exact"/>
        <w:rPr>
          <w:sz w:val="20"/>
          <w:szCs w:val="20"/>
          <w:color w:val="auto"/>
        </w:rPr>
      </w:pPr>
    </w:p>
    <w:p>
      <w:pPr>
        <w:ind w:left="1140" w:hanging="733"/>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72">
        <w:r>
          <w:rPr>
            <w:rFonts w:ascii="Times New Roman" w:cs="Times New Roman" w:eastAsia="Times New Roman" w:hAnsi="Times New Roman"/>
            <w:sz w:val="18"/>
            <w:szCs w:val="18"/>
            <w:u w:val="single" w:color="auto"/>
            <w:color w:val="0000FF"/>
          </w:rPr>
          <w:t>Amendment to Stock Purchase Agreement, dated April 6, 2012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between NMI Holdings, Inc. and MAC Financial Ltd. (incorporated herein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2.2 to our Form S-1 Registration Statement (Registration No. 333-191635), filed on October 9, 2013)</w:t>
      </w:r>
    </w:p>
    <w:p>
      <w:pPr>
        <w:ind w:left="1140" w:hanging="733"/>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73">
        <w:r>
          <w:rPr>
            <w:rFonts w:ascii="Times New Roman" w:cs="Times New Roman" w:eastAsia="Times New Roman" w:hAnsi="Times New Roman"/>
            <w:sz w:val="18"/>
            <w:szCs w:val="18"/>
            <w:u w:val="single" w:color="auto"/>
            <w:color w:val="0000FF"/>
          </w:rPr>
          <w:t xml:space="preserve">Second Amended and Restated Certificate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3.1 to our Form S-1 Registration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Statement (Registration No. 333-191635), filed on October 9, 2013)</w:t>
      </w: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74">
        <w:r>
          <w:rPr>
            <w:rFonts w:ascii="Times New Roman" w:cs="Times New Roman" w:eastAsia="Times New Roman" w:hAnsi="Times New Roman"/>
            <w:sz w:val="16"/>
            <w:szCs w:val="16"/>
            <w:u w:val="single" w:color="auto"/>
            <w:color w:val="0000FF"/>
          </w:rPr>
          <w:t xml:space="preserve">Third Amended and Restated By-Laws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3.1 to our Form 8-K, filed on December 9, 2014)</w:t>
      </w:r>
    </w:p>
    <w:p>
      <w:pPr>
        <w:spacing w:after="0" w:line="17" w:lineRule="exact"/>
        <w:rPr>
          <w:sz w:val="20"/>
          <w:szCs w:val="20"/>
          <w:color w:val="auto"/>
        </w:rPr>
      </w:pPr>
    </w:p>
    <w:p>
      <w:pPr>
        <w:ind w:left="1140" w:hanging="733"/>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75">
        <w:r>
          <w:rPr>
            <w:rFonts w:ascii="Times New Roman" w:cs="Times New Roman" w:eastAsia="Times New Roman" w:hAnsi="Times New Roman"/>
            <w:sz w:val="18"/>
            <w:szCs w:val="18"/>
            <w:u w:val="single" w:color="auto"/>
            <w:color w:val="0000FF"/>
          </w:rPr>
          <w:t xml:space="preserve">Specimen Class A common stock certificate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4.1 to our Form S-1 Registration Statement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(Registration No. 333-191635), filed on October 9, 2013)</w:t>
      </w:r>
    </w:p>
    <w:p>
      <w:pPr>
        <w:ind w:left="1140" w:hanging="733"/>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76">
        <w:r>
          <w:rPr>
            <w:rFonts w:ascii="Times New Roman" w:cs="Times New Roman" w:eastAsia="Times New Roman" w:hAnsi="Times New Roman"/>
            <w:sz w:val="18"/>
            <w:szCs w:val="18"/>
            <w:u w:val="single" w:color="auto"/>
            <w:color w:val="0000FF"/>
          </w:rPr>
          <w:t xml:space="preserve">Registration Rights Agreement between NMI Holdings, Inc. and FBR Capital Markets &amp; Co., dated April 24, 2012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4.2 to our Form S-1 Registration Statement (Registration No. 333-191635), filed on October 9, 2013)</w:t>
      </w:r>
    </w:p>
    <w:p>
      <w:pPr>
        <w:ind w:left="1140" w:hanging="733"/>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77">
        <w:r>
          <w:rPr>
            <w:rFonts w:ascii="Times New Roman" w:cs="Times New Roman" w:eastAsia="Times New Roman" w:hAnsi="Times New Roman"/>
            <w:sz w:val="18"/>
            <w:szCs w:val="18"/>
            <w:u w:val="single" w:color="auto"/>
            <w:color w:val="0000FF"/>
          </w:rPr>
          <w:t xml:space="preserve">Registration Rights Agreement by and between MAC Financial Ltd. and NMI Holdings, Inc., dated April 24, 2012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4.3 to our Form S-1 Registration Statement (Registration No. 333-191635), filed on October 9, 2013)</w:t>
      </w: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78">
        <w:r>
          <w:rPr>
            <w:rFonts w:ascii="Times New Roman" w:cs="Times New Roman" w:eastAsia="Times New Roman" w:hAnsi="Times New Roman"/>
            <w:sz w:val="16"/>
            <w:szCs w:val="16"/>
            <w:u w:val="single" w:color="auto"/>
            <w:color w:val="0000FF"/>
          </w:rPr>
          <w:t>Registration Rights Agreement between FBR &amp; Co., FBR Capital Markets LT, Inc., FBR Capital Markets &amp; Co., FBR Capital Markets PT,</w:t>
        </w:r>
      </w:hyperlink>
    </w:p>
    <w:p>
      <w:pPr>
        <w:jc w:val="both"/>
        <w:ind w:left="1140"/>
        <w:spacing w:after="0" w:line="220" w:lineRule="auto"/>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u w:val="single" w:color="auto"/>
            <w:color w:val="0000FF"/>
          </w:rPr>
          <w:t>Inc. and NMI Holdings, Inc., dated April 24, 2012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4.4 to our Form S-1 Registration Statement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(Registration No. 333-191635), filed on October 9, 2013)</w:t>
      </w: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79">
        <w:r>
          <w:rPr>
            <w:rFonts w:ascii="Times New Roman" w:cs="Times New Roman" w:eastAsia="Times New Roman" w:hAnsi="Times New Roman"/>
            <w:sz w:val="16"/>
            <w:szCs w:val="16"/>
            <w:u w:val="single" w:color="auto"/>
            <w:color w:val="0000FF"/>
          </w:rPr>
          <w:t>Indenture, dated as of June 19, 2020, among NMI Holdings, Inc., NMI Services, Inc. as the Initial Guarantor, and the Bank of New York</w:t>
        </w:r>
      </w:hyperlink>
    </w:p>
    <w:p>
      <w:pPr>
        <w:spacing w:after="0" w:line="1" w:lineRule="exact"/>
        <w:rPr>
          <w:sz w:val="20"/>
          <w:szCs w:val="20"/>
          <w:color w:val="auto"/>
        </w:rPr>
      </w:pPr>
    </w:p>
    <w:p>
      <w:pPr>
        <w:jc w:val="both"/>
        <w:ind w:left="1140"/>
        <w:spacing w:after="0" w:line="220" w:lineRule="auto"/>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u w:val="single" w:color="auto"/>
            <w:color w:val="0000FF"/>
          </w:rPr>
          <w:t>Mellon Trust Company, N.A. as Trustee and Notes Collateral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4.1 to our Form 8-K, filed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June 19, 2020)</w:t>
      </w:r>
    </w:p>
    <w:p>
      <w:pPr>
        <w:spacing w:after="0" w:line="1" w:lineRule="exact"/>
        <w:rPr>
          <w:sz w:val="20"/>
          <w:szCs w:val="20"/>
          <w:color w:val="auto"/>
        </w:rPr>
      </w:pPr>
    </w:p>
    <w:p>
      <w:pPr>
        <w:ind w:left="1140" w:hanging="846"/>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 ~</w:t>
      </w:r>
      <w:r>
        <w:rPr>
          <w:sz w:val="20"/>
          <w:szCs w:val="20"/>
          <w:color w:val="auto"/>
        </w:rPr>
        <w:tab/>
      </w:r>
      <w:hyperlink r:id="rId80">
        <w:r>
          <w:rPr>
            <w:rFonts w:ascii="Times New Roman" w:cs="Times New Roman" w:eastAsia="Times New Roman" w:hAnsi="Times New Roman"/>
            <w:sz w:val="18"/>
            <w:szCs w:val="18"/>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10.10 to our Form 10-Q, filed on April 28, 2016)</w:t>
      </w:r>
    </w:p>
    <w:p>
      <w:pPr>
        <w:ind w:left="28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 ~</w:t>
      </w:r>
      <w:r>
        <w:rPr>
          <w:sz w:val="20"/>
          <w:szCs w:val="20"/>
          <w:color w:val="auto"/>
        </w:rPr>
        <w:tab/>
      </w:r>
      <w:hyperlink r:id="rId81">
        <w:r>
          <w:rPr>
            <w:rFonts w:ascii="Times New Roman" w:cs="Times New Roman" w:eastAsia="Times New Roman" w:hAnsi="Times New Roman"/>
            <w:sz w:val="16"/>
            <w:szCs w:val="16"/>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1140"/>
        <w:spacing w:after="0"/>
        <w:rPr>
          <w:sz w:val="20"/>
          <w:szCs w:val="20"/>
          <w:color w:val="auto"/>
        </w:rPr>
      </w:pPr>
      <w:r>
        <w:rPr>
          <w:rFonts w:ascii="Times New Roman" w:cs="Times New Roman" w:eastAsia="Times New Roman" w:hAnsi="Times New Roman"/>
          <w:sz w:val="18"/>
          <w:szCs w:val="18"/>
          <w:color w:val="auto"/>
        </w:rPr>
        <w:t>10.1 to our Form 8-K, filed on September 9, 2021)</w:t>
      </w:r>
    </w:p>
    <w:p>
      <w:pPr>
        <w:ind w:left="28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10.3 ~</w:t>
      </w:r>
      <w:r>
        <w:rPr>
          <w:sz w:val="20"/>
          <w:szCs w:val="20"/>
          <w:color w:val="auto"/>
        </w:rPr>
        <w:tab/>
      </w:r>
      <w:hyperlink r:id="rId82">
        <w:r>
          <w:rPr>
            <w:rFonts w:ascii="Times New Roman" w:cs="Times New Roman" w:eastAsia="Times New Roman" w:hAnsi="Times New Roman"/>
            <w:sz w:val="16"/>
            <w:szCs w:val="16"/>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1140"/>
        <w:spacing w:after="0"/>
        <w:rPr>
          <w:sz w:val="20"/>
          <w:szCs w:val="20"/>
          <w:color w:val="auto"/>
        </w:rPr>
      </w:pPr>
      <w:r>
        <w:rPr>
          <w:rFonts w:ascii="Times New Roman" w:cs="Times New Roman" w:eastAsia="Times New Roman" w:hAnsi="Times New Roman"/>
          <w:sz w:val="18"/>
          <w:szCs w:val="18"/>
          <w:color w:val="auto"/>
        </w:rPr>
        <w:t>10.1 to our Form 8-K, filed on December 21, 2021)</w:t>
      </w:r>
    </w:p>
    <w:p>
      <w:pPr>
        <w:spacing w:after="0" w:line="2" w:lineRule="exact"/>
        <w:rPr>
          <w:sz w:val="20"/>
          <w:szCs w:val="20"/>
          <w:color w:val="auto"/>
        </w:rPr>
      </w:pPr>
    </w:p>
    <w:p>
      <w:pPr>
        <w:ind w:left="1140" w:hanging="846"/>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 ~</w:t>
      </w:r>
      <w:r>
        <w:rPr>
          <w:sz w:val="20"/>
          <w:szCs w:val="20"/>
          <w:color w:val="auto"/>
        </w:rPr>
        <w:tab/>
      </w:r>
      <w:hyperlink r:id="rId83">
        <w:r>
          <w:rPr>
            <w:rFonts w:ascii="Times New Roman" w:cs="Times New Roman" w:eastAsia="Times New Roman" w:hAnsi="Times New Roman"/>
            <w:sz w:val="18"/>
            <w:szCs w:val="18"/>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November 25, 2014)</w:t>
      </w:r>
    </w:p>
    <w:p>
      <w:pPr>
        <w:ind w:left="280"/>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 +</w:t>
      </w:r>
      <w:r>
        <w:rPr>
          <w:sz w:val="20"/>
          <w:szCs w:val="20"/>
          <w:color w:val="auto"/>
        </w:rPr>
        <w:tab/>
      </w:r>
      <w:hyperlink r:id="rId84">
        <w:r>
          <w:rPr>
            <w:rFonts w:ascii="Times New Roman" w:cs="Times New Roman" w:eastAsia="Times New Roman" w:hAnsi="Times New Roman"/>
            <w:sz w:val="18"/>
            <w:szCs w:val="18"/>
            <w:u w:val="single" w:color="auto"/>
            <w:color w:val="0000FF"/>
          </w:rPr>
          <w:t>Commitment Letter dated July 12, 2013 for Bulk Fannie Mae-Paid Loss-on-Sale Mortgage Insurance on the Portfolio of approximately</w:t>
        </w:r>
      </w:hyperlink>
    </w:p>
    <w:p>
      <w:pPr>
        <w:jc w:val="both"/>
        <w:ind w:left="1140"/>
        <w:spacing w:after="0" w:line="213" w:lineRule="auto"/>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u w:val="single" w:color="auto"/>
            <w:color w:val="0000FF"/>
          </w:rPr>
          <w:t>$5.46 billion Purchased by Fannie Mae and Identified by Fannie Mae as Deal No. 2013 MIRT 01 and by the Company as Policy No. P-</w:t>
        </w:r>
      </w:hyperlink>
      <w:hyperlink r:id="rId84">
        <w:r>
          <w:rPr>
            <w:rFonts w:ascii="Times New Roman" w:cs="Times New Roman" w:eastAsia="Times New Roman" w:hAnsi="Times New Roman"/>
            <w:sz w:val="18"/>
            <w:szCs w:val="18"/>
            <w:u w:val="single" w:color="auto"/>
            <w:color w:val="0000FF"/>
          </w:rPr>
          <w:t>0001-01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10.14 to our Form S-1 Registration Statement (Registration No. 333-191635), filed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October 9, 2013)</w:t>
      </w:r>
    </w:p>
    <w:p>
      <w:pPr>
        <w:ind w:left="1140" w:hanging="777"/>
        <w:spacing w:after="0" w:line="237"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10.6</w:t>
      </w:r>
      <w:r>
        <w:rPr>
          <w:sz w:val="20"/>
          <w:szCs w:val="20"/>
          <w:color w:val="auto"/>
        </w:rPr>
        <w:tab/>
      </w:r>
      <w:hyperlink r:id="rId85">
        <w:r>
          <w:rPr>
            <w:rFonts w:ascii="Times New Roman" w:cs="Times New Roman" w:eastAsia="Times New Roman" w:hAnsi="Times New Roman"/>
            <w:sz w:val="18"/>
            <w:szCs w:val="18"/>
            <w:u w:val="single" w:color="auto"/>
            <w:color w:val="0000FF"/>
          </w:rPr>
          <w:t>Credit Agreement, dated May 24, 2018, between NMI Holdings, Inc., the lender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4.1 to our Form 8-K, filed on May 25, 2018)</w:t>
        </w:r>
      </w:hyperlink>
    </w:p>
    <w:p>
      <w:pPr>
        <w:ind w:left="360"/>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86">
        <w:r>
          <w:rPr>
            <w:rFonts w:ascii="Times New Roman" w:cs="Times New Roman" w:eastAsia="Times New Roman" w:hAnsi="Times New Roman"/>
            <w:sz w:val="18"/>
            <w:szCs w:val="18"/>
            <w:u w:val="single" w:color="auto"/>
            <w:color w:val="0000FF"/>
          </w:rPr>
          <w:t>Extension Amendment, dated as of March 20, 2020, to the Company's Credit Agreement, dated as of May 24, 2018, by and among the</w:t>
        </w:r>
      </w:hyperlink>
    </w:p>
    <w:p>
      <w:pPr>
        <w:ind w:left="1140"/>
        <w:spacing w:after="0" w:line="220" w:lineRule="auto"/>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u w:val="single" w:color="auto"/>
            <w:color w:val="0000FF"/>
          </w:rPr>
          <w:t>Company, the lender parties thereto and JPMorgan Chase Bank, N.A.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our Form 8-K filed on March 20, 2020)</w:t>
      </w:r>
    </w:p>
    <w:p>
      <w:pPr>
        <w:ind w:left="360"/>
        <w:spacing w:after="0" w:line="23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87">
        <w:r>
          <w:rPr>
            <w:rFonts w:ascii="Times New Roman" w:cs="Times New Roman" w:eastAsia="Times New Roman" w:hAnsi="Times New Roman"/>
            <w:sz w:val="18"/>
            <w:szCs w:val="18"/>
            <w:u w:val="single" w:color="auto"/>
            <w:color w:val="0000FF"/>
          </w:rPr>
          <w:t>Joinder Agreement, dated as of March 20, 2020, to the Company's Credit Agreement, dated as of May 24, 2018, by and among the</w:t>
        </w:r>
      </w:hyperlink>
    </w:p>
    <w:p>
      <w:pPr>
        <w:spacing w:after="0" w:line="1" w:lineRule="exact"/>
        <w:rPr>
          <w:sz w:val="20"/>
          <w:szCs w:val="20"/>
          <w:color w:val="auto"/>
        </w:rPr>
      </w:pPr>
    </w:p>
    <w:p>
      <w:pPr>
        <w:ind w:left="1140"/>
        <w:spacing w:after="0" w:line="220" w:lineRule="auto"/>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Company, JPMorgan Chase Bank, N.A. as administrative agent, and Citibank, N.A.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 to our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8-K, filed on March 20, 2020)</w:t>
      </w:r>
    </w:p>
    <w:p>
      <w:pPr>
        <w:ind w:left="36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88">
        <w:r>
          <w:rPr>
            <w:rFonts w:ascii="Times New Roman" w:cs="Times New Roman" w:eastAsia="Times New Roman" w:hAnsi="Times New Roman"/>
            <w:sz w:val="16"/>
            <w:szCs w:val="16"/>
            <w:u w:val="single" w:color="auto"/>
            <w:color w:val="0000FF"/>
          </w:rPr>
          <w:t>Amendment No. 1, dated as of May 6, 2020, to the Company's Credit Agreement, dated as of May 24, 2018, by and among the Company,</w:t>
        </w:r>
      </w:hyperlink>
    </w:p>
    <w:p>
      <w:pPr>
        <w:spacing w:after="0" w:line="1" w:lineRule="exact"/>
        <w:rPr>
          <w:sz w:val="20"/>
          <w:szCs w:val="20"/>
          <w:color w:val="auto"/>
        </w:rPr>
      </w:pPr>
    </w:p>
    <w:p>
      <w:pPr>
        <w:ind w:left="1140"/>
        <w:spacing w:after="0" w:line="220" w:lineRule="auto"/>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u w:val="single" w:color="auto"/>
            <w:color w:val="0000FF"/>
          </w:rPr>
          <w:t>the lender parties thereto and JPMorgan Chase Bank, N.A.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 to our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8-K filed on May 6, 2020)</w:t>
      </w:r>
    </w:p>
    <w:p>
      <w:pPr>
        <w:spacing w:after="0" w:line="1" w:lineRule="exact"/>
        <w:rPr>
          <w:sz w:val="20"/>
          <w:szCs w:val="20"/>
          <w:color w:val="auto"/>
        </w:rPr>
      </w:pPr>
    </w:p>
    <w:p>
      <w:pPr>
        <w:jc w:val="right"/>
        <w:ind w:left="300"/>
        <w:spacing w:after="0" w:line="25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10.10     </w:t>
      </w:r>
      <w:hyperlink r:id="rId89">
        <w:r>
          <w:rPr>
            <w:rFonts w:ascii="Times New Roman" w:cs="Times New Roman" w:eastAsia="Times New Roman" w:hAnsi="Times New Roman"/>
            <w:sz w:val="18"/>
            <w:szCs w:val="18"/>
            <w:u w:val="single" w:color="auto"/>
            <w:color w:val="0000FF"/>
          </w:rPr>
          <w:t>Joinder Agreement, dated as of October 29, 2020, to the Company’s Credit Agreement, dated as of May 24, 2018, by and among the</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Company, JPMorgan Chase Bank, N.A. as administrative agent, and Citibank, N.A.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10.20 to</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Form 10-Q filed on November 5, 2020).</w:t>
      </w:r>
    </w:p>
    <w:p>
      <w:pPr>
        <w:spacing w:after="0" w:line="8"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90">
        <w:r>
          <w:rPr>
            <w:rFonts w:ascii="Times New Roman" w:cs="Times New Roman" w:eastAsia="Times New Roman" w:hAnsi="Times New Roman"/>
            <w:sz w:val="18"/>
            <w:szCs w:val="18"/>
            <w:u w:val="single" w:color="auto"/>
            <w:color w:val="0000FF"/>
          </w:rPr>
          <w:t>Amended and Restated Credit Agreement, dated as of November 29, 2021, by and among the Company, the lender parties thereto and</w:t>
        </w:r>
      </w:hyperlink>
    </w:p>
    <w:p>
      <w:pPr>
        <w:ind w:left="1140"/>
        <w:spacing w:after="0" w:line="220" w:lineRule="auto"/>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u w:val="single" w:color="auto"/>
            <w:color w:val="0000FF"/>
          </w:rPr>
          <w:t>JPMorgan Chase Bank, N.A.,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 to our Form 8-K filed on November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161" w:right="619" w:bottom="1440" w:gutter="0" w:footer="0" w:header="0"/>
          <w:type w:val="continuous"/>
        </w:sectPr>
      </w:pPr>
    </w:p>
    <w:bookmarkStart w:id="59" w:name="page60"/>
    <w:bookmarkEnd w:id="59"/>
    <w:p>
      <w:pPr>
        <w:ind w:left="900" w:hanging="890"/>
        <w:spacing w:after="0" w:line="23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 ~</w:t>
      </w:r>
      <w:r>
        <w:rPr>
          <w:sz w:val="20"/>
          <w:szCs w:val="20"/>
          <w:color w:val="auto"/>
        </w:rPr>
        <w:tab/>
      </w:r>
      <w:hyperlink r:id="rId92">
        <w:r>
          <w:rPr>
            <w:rFonts w:ascii="Times New Roman" w:cs="Times New Roman" w:eastAsia="Times New Roman" w:hAnsi="Times New Roman"/>
            <w:sz w:val="18"/>
            <w:szCs w:val="18"/>
            <w:u w:val="single" w:color="auto"/>
            <w:color w:val="0000FF"/>
          </w:rPr>
          <w:t xml:space="preserve">NMI Holdings, Inc. Amended and Restated 2014 Omnibus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Appendix A to our 2017</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Annual Proxy Statement, filed on March 30, 2017)</w:t>
      </w:r>
    </w:p>
    <w:p>
      <w:pPr>
        <w:spacing w:after="0" w:line="1" w:lineRule="exact"/>
        <w:rPr>
          <w:sz w:val="20"/>
          <w:szCs w:val="20"/>
          <w:color w:val="auto"/>
        </w:rPr>
      </w:pPr>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 ~</w:t>
      </w:r>
      <w:r>
        <w:rPr>
          <w:sz w:val="20"/>
          <w:szCs w:val="20"/>
          <w:color w:val="auto"/>
        </w:rPr>
        <w:tab/>
      </w:r>
      <w:hyperlink r:id="rId93">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 Chief</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Executive Officer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10.19 to our Form 10-Q filed on August 1, 2017)</w:t>
        </w:r>
      </w:hyperlink>
    </w:p>
    <w:p>
      <w:pPr>
        <w:ind w:left="900" w:right="2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 ~</w:t>
      </w:r>
      <w:r>
        <w:rPr>
          <w:sz w:val="20"/>
          <w:szCs w:val="20"/>
          <w:color w:val="auto"/>
        </w:rPr>
        <w:tab/>
      </w:r>
      <w:hyperlink r:id="rId94">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 Executive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Officers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10.20 to our Form 10-Q filed on August 1, 2017)</w:t>
        </w:r>
      </w:hyperlink>
    </w:p>
    <w:p>
      <w:pPr>
        <w:ind w:left="900" w:hanging="89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 ~</w:t>
      </w:r>
      <w:r>
        <w:rPr>
          <w:sz w:val="20"/>
          <w:szCs w:val="20"/>
          <w:color w:val="auto"/>
        </w:rPr>
        <w:tab/>
      </w:r>
      <w:hyperlink r:id="rId95">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 Employees</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(incorporated herein by reference to Exhibit 10.21 to our Form 10-Q filed on August 1, 2017)</w:t>
      </w:r>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 ~</w:t>
      </w:r>
      <w:r>
        <w:rPr>
          <w:sz w:val="20"/>
          <w:szCs w:val="20"/>
          <w:color w:val="auto"/>
        </w:rPr>
        <w:tab/>
      </w:r>
      <w:hyperlink r:id="rId96">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10.22 to our Form 10-Q filed on August 1, 2017)</w:t>
        </w:r>
      </w:hyperlink>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 ~</w:t>
      </w:r>
      <w:r>
        <w:rPr>
          <w:sz w:val="20"/>
          <w:szCs w:val="20"/>
          <w:color w:val="auto"/>
        </w:rPr>
        <w:tab/>
      </w:r>
      <w:hyperlink r:id="rId97">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 Chief</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Executive Officer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10.23 to our Form 10-Q filed on August 1, 2017)</w:t>
        </w:r>
      </w:hyperlink>
    </w:p>
    <w:p>
      <w:pPr>
        <w:ind w:left="900" w:right="2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10.18 ~</w:t>
      </w:r>
      <w:r>
        <w:rPr>
          <w:sz w:val="20"/>
          <w:szCs w:val="20"/>
          <w:color w:val="auto"/>
        </w:rPr>
        <w:tab/>
      </w:r>
      <w:hyperlink r:id="rId98">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Executive Officers and Employees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10.24 to our Form 10-Q filed on August 1, 2017)</w:t>
        </w:r>
      </w:hyperlink>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10.19 ~</w:t>
      </w:r>
      <w:r>
        <w:rPr>
          <w:sz w:val="20"/>
          <w:szCs w:val="20"/>
          <w:color w:val="auto"/>
        </w:rPr>
        <w:tab/>
      </w:r>
      <w:hyperlink r:id="rId99">
        <w:r>
          <w:rPr>
            <w:rFonts w:ascii="Times New Roman" w:cs="Times New Roman" w:eastAsia="Times New Roman" w:hAnsi="Times New Roman"/>
            <w:sz w:val="18"/>
            <w:szCs w:val="18"/>
            <w:u w:val="single" w:color="auto"/>
            <w:color w:val="0000FF"/>
          </w:rPr>
          <w:t>Form of NMI Holdings, Inc. 2014 Omnibus Incentive Plan Performance Based Restricted Stock Unit Award Agreement for Chief</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Executive Officer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10.26 to our Form 10-K, filed on February 17, 2017)</w:t>
        </w:r>
      </w:hyperlink>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10.20 ~</w:t>
      </w:r>
      <w:r>
        <w:rPr>
          <w:sz w:val="20"/>
          <w:szCs w:val="20"/>
          <w:color w:val="auto"/>
        </w:rPr>
        <w:tab/>
      </w:r>
      <w:hyperlink r:id="rId100">
        <w:r>
          <w:rPr>
            <w:rFonts w:ascii="Times New Roman" w:cs="Times New Roman" w:eastAsia="Times New Roman" w:hAnsi="Times New Roman"/>
            <w:sz w:val="16"/>
            <w:szCs w:val="16"/>
            <w:u w:val="single" w:color="auto"/>
            <w:color w:val="0000FF"/>
          </w:rPr>
          <w:t xml:space="preserve">NMI Holdings, Inc. Severance Benefit Plan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10.1 to our Form 8-K, filed on February 17, 2016)</w:t>
      </w:r>
    </w:p>
    <w:p>
      <w:pPr>
        <w:spacing w:after="0" w:line="17" w:lineRule="exact"/>
        <w:rPr>
          <w:sz w:val="20"/>
          <w:szCs w:val="20"/>
          <w:color w:val="auto"/>
        </w:rPr>
      </w:pPr>
    </w:p>
    <w:p>
      <w:pPr>
        <w:ind w:left="900" w:right="20" w:hanging="89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 ~</w:t>
      </w:r>
      <w:r>
        <w:rPr>
          <w:sz w:val="20"/>
          <w:szCs w:val="20"/>
          <w:color w:val="auto"/>
        </w:rPr>
        <w:tab/>
      </w:r>
      <w:hyperlink r:id="rId101">
        <w:r>
          <w:rPr>
            <w:rFonts w:ascii="Times New Roman" w:cs="Times New Roman" w:eastAsia="Times New Roman" w:hAnsi="Times New Roman"/>
            <w:sz w:val="18"/>
            <w:szCs w:val="18"/>
            <w:u w:val="single" w:color="auto"/>
            <w:color w:val="0000FF"/>
          </w:rPr>
          <w:t xml:space="preserve">NMI Holdings, Inc. Amended and Restated Change in Control Severance Benefit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10.30</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to our Form 10-Q, filed on October 30, 2018)</w:t>
      </w: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10.22 ~</w:t>
      </w:r>
      <w:r>
        <w:rPr>
          <w:sz w:val="20"/>
          <w:szCs w:val="20"/>
          <w:color w:val="auto"/>
        </w:rPr>
        <w:tab/>
      </w:r>
      <w:hyperlink r:id="rId102">
        <w:r>
          <w:rPr>
            <w:rFonts w:ascii="Times New Roman" w:cs="Times New Roman" w:eastAsia="Times New Roman" w:hAnsi="Times New Roman"/>
            <w:sz w:val="16"/>
            <w:szCs w:val="16"/>
            <w:u w:val="single" w:color="auto"/>
            <w:color w:val="0000FF"/>
          </w:rPr>
          <w:t xml:space="preserve">NMI Holdings, Inc. Clawback Policy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10.2 to our Form 8-K, filed on February 23, 2017)</w:t>
      </w:r>
    </w:p>
    <w:p>
      <w:pPr>
        <w:spacing w:after="0" w:line="17" w:lineRule="exact"/>
        <w:rPr>
          <w:sz w:val="20"/>
          <w:szCs w:val="20"/>
          <w:color w:val="auto"/>
        </w:rPr>
      </w:pPr>
    </w:p>
    <w:p>
      <w:pPr>
        <w:ind w:left="900" w:hanging="89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 ~</w:t>
      </w:r>
      <w:r>
        <w:rPr>
          <w:sz w:val="20"/>
          <w:szCs w:val="20"/>
          <w:color w:val="auto"/>
        </w:rPr>
        <w:tab/>
      </w:r>
      <w:hyperlink r:id="rId103">
        <w:r>
          <w:rPr>
            <w:rFonts w:ascii="Times New Roman" w:cs="Times New Roman" w:eastAsia="Times New Roman" w:hAnsi="Times New Roman"/>
            <w:sz w:val="18"/>
            <w:szCs w:val="18"/>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December 28, 2018)</w:t>
      </w:r>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10.24 ~</w:t>
      </w:r>
      <w:r>
        <w:rPr>
          <w:sz w:val="20"/>
          <w:szCs w:val="20"/>
          <w:color w:val="auto"/>
        </w:rPr>
        <w:tab/>
      </w:r>
      <w:hyperlink r:id="rId104">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10.33 to our Form 10-Q, filed on May 2, 2019)</w:t>
        </w:r>
      </w:hyperlink>
    </w:p>
    <w:p>
      <w:pPr>
        <w:ind w:left="900" w:hanging="89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 ~</w:t>
      </w:r>
      <w:r>
        <w:rPr>
          <w:sz w:val="20"/>
          <w:szCs w:val="20"/>
          <w:color w:val="auto"/>
        </w:rPr>
        <w:tab/>
      </w:r>
      <w:hyperlink r:id="rId105">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 Employees</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(incorporated herein by reference to Exhibit 10.34 to our Form 10-Q, filed on May 2, 2019)</w:t>
      </w:r>
    </w:p>
    <w:p>
      <w:pPr>
        <w:ind w:left="900" w:hanging="89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 ~</w:t>
      </w:r>
      <w:r>
        <w:rPr>
          <w:sz w:val="20"/>
          <w:szCs w:val="20"/>
          <w:color w:val="auto"/>
        </w:rPr>
        <w:tab/>
      </w:r>
      <w:hyperlink r:id="rId106">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(incorporated herein by reference to Exhibit 10.35 to our Form 10-Q, filed on May 2, 2019)</w:t>
      </w:r>
    </w:p>
    <w:p>
      <w:pPr>
        <w:ind w:left="900" w:hanging="890"/>
        <w:spacing w:after="0" w:line="237"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10.27 ~</w:t>
      </w:r>
      <w:r>
        <w:rPr>
          <w:sz w:val="20"/>
          <w:szCs w:val="20"/>
          <w:color w:val="auto"/>
        </w:rPr>
        <w:tab/>
      </w:r>
      <w:hyperlink r:id="rId107">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Based)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10.38 to our Form 10-Q, filed on May 7, 2020)</w:t>
        </w:r>
      </w:hyperlink>
    </w:p>
    <w:p>
      <w:pPr>
        <w:ind w:left="12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108">
        <w:r>
          <w:rPr>
            <w:rFonts w:ascii="Times New Roman" w:cs="Times New Roman" w:eastAsia="Times New Roman" w:hAnsi="Times New Roman"/>
            <w:sz w:val="16"/>
            <w:szCs w:val="16"/>
            <w:u w:val="single" w:color="auto"/>
            <w:color w:val="0000FF"/>
          </w:rPr>
          <w:t xml:space="preserve">Subsidiaries of NMI Holdings, Inc.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21.1 to our Form 10-Q, filed on October 30, 2015)</w:t>
      </w:r>
    </w:p>
    <w:p>
      <w:pPr>
        <w:spacing w:after="0" w:line="10"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u w:val="single" w:color="auto"/>
          <w:color w:val="0000FF"/>
        </w:rPr>
        <w:t xml:space="preserve">Guaranteed Securities by Subsidiary Guarantor </w:t>
      </w:r>
      <w:r>
        <w:rPr>
          <w:rFonts w:ascii="Times New Roman" w:cs="Times New Roman" w:eastAsia="Times New Roman" w:hAnsi="Times New Roman"/>
          <w:sz w:val="16"/>
          <w:szCs w:val="16"/>
          <w:color w:val="000000"/>
        </w:rPr>
        <w:t>(incorporated herein by reference to Exhibit 22.1 to our Form 10-K, filed on February 16,</w:t>
      </w:r>
    </w:p>
    <w:p>
      <w:pPr>
        <w:ind w:left="900"/>
        <w:spacing w:after="0"/>
        <w:rPr>
          <w:sz w:val="20"/>
          <w:szCs w:val="20"/>
          <w:color w:val="auto"/>
        </w:rPr>
      </w:pPr>
      <w:r>
        <w:rPr>
          <w:rFonts w:ascii="Times New Roman" w:cs="Times New Roman" w:eastAsia="Times New Roman" w:hAnsi="Times New Roman"/>
          <w:sz w:val="18"/>
          <w:szCs w:val="18"/>
          <w:color w:val="auto"/>
        </w:rPr>
        <w:t>2022)</w:t>
      </w:r>
    </w:p>
    <w:p>
      <w:pPr>
        <w:spacing w:after="0" w:line="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u w:val="single" w:color="auto"/>
          <w:color w:val="0000FF"/>
        </w:rPr>
        <w:t>Principal Executive Officer's Certification Pursuant to Section 302 of the Sarbanes-Oxley Act of 2002</w:t>
      </w:r>
    </w:p>
    <w:p>
      <w:pPr>
        <w:spacing w:after="0" w:line="1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u w:val="single" w:color="auto"/>
          <w:color w:val="0000FF"/>
        </w:rPr>
        <w:t>Principal Financial Officer's Certification Pursuant to Section 302 of the Sarbanes-Oxley Act of 2002</w:t>
      </w:r>
    </w:p>
    <w:p>
      <w:pPr>
        <w:spacing w:after="0" w:line="10"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Certifications of CEO and CFO Pursuant to 18 U.S.C. Section 1350, as Adopted Pursuant to Section 906 of the Sarbanes-Oxley Act of</w:t>
      </w:r>
    </w:p>
    <w:p>
      <w:pPr>
        <w:ind w:left="90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 w:lineRule="exact"/>
        <w:rPr>
          <w:sz w:val="20"/>
          <w:szCs w:val="20"/>
          <w:color w:val="auto"/>
        </w:rPr>
      </w:pPr>
    </w:p>
    <w:p>
      <w:pPr>
        <w:ind w:left="900" w:right="560" w:hanging="765"/>
        <w:spacing w:after="0" w:line="237"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NMI Holdings, Inc.'s Quarterly Report on Form 10-Q for the quarter ended June 30, 2022 formatted in XBRL (eXtensible Business Reporting Language):</w:t>
      </w:r>
    </w:p>
    <w:p>
      <w:pPr>
        <w:ind w:left="1100" w:hanging="209"/>
        <w:spacing w:after="0"/>
        <w:tabs>
          <w:tab w:leader="none" w:pos="11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June 30, 2022 and December 31, 2021;</w:t>
      </w:r>
    </w:p>
    <w:p>
      <w:pPr>
        <w:spacing w:after="0" w:line="17" w:lineRule="exact"/>
        <w:rPr>
          <w:rFonts w:ascii="Times New Roman" w:cs="Times New Roman" w:eastAsia="Times New Roman" w:hAnsi="Times New Roman"/>
          <w:sz w:val="18"/>
          <w:szCs w:val="18"/>
          <w:color w:val="auto"/>
        </w:rPr>
      </w:pPr>
    </w:p>
    <w:p>
      <w:pPr>
        <w:ind w:left="900" w:right="380" w:hanging="9"/>
        <w:spacing w:after="0" w:line="237" w:lineRule="auto"/>
        <w:tabs>
          <w:tab w:leader="none" w:pos="11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(Loss) for the three and six months ended June 30, 2022 and 2021;</w:t>
      </w:r>
    </w:p>
    <w:p>
      <w:pPr>
        <w:ind w:left="1200" w:hanging="309"/>
        <w:spacing w:after="0"/>
        <w:tabs>
          <w:tab w:leader="none" w:pos="1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Shareholders' Equity for the three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60" w:top="1203" w:right="619" w:bottom="1440" w:gutter="0" w:footer="0" w:header="0"/>
        </w:sectPr>
      </w:pPr>
    </w:p>
    <w:bookmarkStart w:id="60" w:name="page61"/>
    <w:bookmarkEnd w:id="60"/>
    <w:p>
      <w:pPr>
        <w:ind w:left="1285" w:hanging="289"/>
        <w:spacing w:after="0"/>
        <w:tabs>
          <w:tab w:leader="none" w:pos="12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June 30, 2022 and 2021; and</w:t>
      </w:r>
    </w:p>
    <w:p>
      <w:pPr>
        <w:spacing w:after="0" w:line="21" w:lineRule="exact"/>
        <w:rPr>
          <w:rFonts w:ascii="Times New Roman" w:cs="Times New Roman" w:eastAsia="Times New Roman" w:hAnsi="Times New Roman"/>
          <w:sz w:val="18"/>
          <w:szCs w:val="18"/>
          <w:color w:val="auto"/>
        </w:rPr>
      </w:pPr>
    </w:p>
    <w:p>
      <w:pPr>
        <w:ind w:left="1005" w:right="220" w:hanging="9"/>
        <w:spacing w:after="0" w:line="237" w:lineRule="auto"/>
        <w:tabs>
          <w:tab w:leader="none" w:pos="12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The instance document does not appear in the Interactive Data File because XBRL tags are embedded within the Inline XBRL document.</w:t>
      </w:r>
    </w:p>
    <w:p>
      <w:pPr>
        <w:ind w:left="1005" w:hanging="765"/>
        <w:spacing w:after="0" w:line="237" w:lineRule="auto"/>
        <w:tabs>
          <w:tab w:leader="none" w:pos="10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NMI Holdings, Inc.'s Quarterly Report on Form 10-Q for the quarter ended June 30, 2022 (formatted as Inline XBRL and contained in Exhibit 101).</w:t>
      </w:r>
    </w:p>
    <w:p>
      <w:pPr>
        <w:spacing w:after="0" w:line="277" w:lineRule="exact"/>
        <w:rPr>
          <w:rFonts w:ascii="Times New Roman" w:cs="Times New Roman" w:eastAsia="Times New Roman" w:hAnsi="Times New Roman"/>
          <w:sz w:val="18"/>
          <w:szCs w:val="18"/>
          <w:color w:val="auto"/>
        </w:rPr>
      </w:pPr>
    </w:p>
    <w:p>
      <w:pPr>
        <w:ind w:left="265" w:hanging="265"/>
        <w:spacing w:after="0"/>
        <w:tabs>
          <w:tab w:leader="none" w:pos="26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right="40" w:hanging="265"/>
        <w:spacing w:after="0" w:line="227" w:lineRule="auto"/>
        <w:tabs>
          <w:tab w:leader="none" w:pos="26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4"/>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5"/>
          </w:cols>
          <w:pgMar w:left="455" w:top="1203" w:right="6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7"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-10160</wp:posOffset>
            </wp:positionV>
            <wp:extent cx="12153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Ravi Mallela</w:t>
      </w:r>
    </w:p>
    <w:p>
      <w:pPr>
        <w:spacing w:after="0" w:line="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securities issued by the Company and guaranteed by NMI Services, Inc., a wholly-owned subsidiary of the Company (Subsidiary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27240" cy="636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7127240" cy="6362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7.375% senior secured notes due June 19, 2025.</w:t>
      </w:r>
    </w:p>
    <w:p>
      <w:pPr>
        <w:spacing w:after="0" w:line="57" w:lineRule="exact"/>
        <w:rPr>
          <w:sz w:val="20"/>
          <w:szCs w:val="20"/>
          <w:color w:val="auto"/>
        </w:rPr>
      </w:pPr>
    </w:p>
    <w:p>
      <w:pPr>
        <w:ind w:left="40" w:right="40"/>
        <w:spacing w:after="0" w:line="254" w:lineRule="auto"/>
        <w:rPr>
          <w:sz w:val="20"/>
          <w:szCs w:val="20"/>
          <w:color w:val="auto"/>
        </w:rPr>
      </w:pPr>
      <w:r>
        <w:rPr>
          <w:rFonts w:ascii="Times New Roman" w:cs="Times New Roman" w:eastAsia="Times New Roman" w:hAnsi="Times New Roman"/>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960" w:right="180" w:hanging="321"/>
        <w:spacing w:after="0" w:line="269" w:lineRule="auto"/>
        <w:tabs>
          <w:tab w:leader="none" w:pos="9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August 2, 2022</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Pollitzer</w:t>
            </w:r>
          </w:p>
        </w:tc>
      </w:tr>
      <w:tr>
        <w:trPr>
          <w:trHeight w:val="239"/>
        </w:trPr>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Adam S. Pollitzer</w:t>
            </w:r>
          </w:p>
        </w:tc>
      </w:tr>
      <w:tr>
        <w:trPr>
          <w:trHeight w:val="224"/>
        </w:trPr>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7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5"/>
              </w:rPr>
              <w:t>August 2, 2022</w:t>
            </w:r>
          </w:p>
        </w:tc>
        <w:tc>
          <w:tcPr>
            <w:tcW w:w="1560" w:type="dxa"/>
            <w:vAlign w:val="bottom"/>
          </w:tcPr>
          <w:p>
            <w:pPr>
              <w:spacing w:after="0"/>
              <w:rPr>
                <w:sz w:val="18"/>
                <w:szCs w:val="18"/>
                <w:color w:val="auto"/>
              </w:rPr>
            </w:pPr>
          </w:p>
        </w:tc>
        <w:tc>
          <w:tcPr>
            <w:tcW w:w="4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 Ravi Mallela</w:t>
            </w:r>
          </w:p>
        </w:tc>
      </w:tr>
      <w:tr>
        <w:trPr>
          <w:trHeight w:val="20"/>
        </w:trPr>
        <w:tc>
          <w:tcPr>
            <w:tcW w:w="10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Ravi Mallela</w:t>
            </w:r>
          </w:p>
        </w:tc>
      </w:tr>
      <w:tr>
        <w:trPr>
          <w:trHeight w:val="224"/>
        </w:trPr>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7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June 30,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August 2, 2022</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u w:val="single" w:color="auto"/>
          <w:color w:val="auto"/>
        </w:rPr>
        <w:t>/s/ Adam S. Pollitzer</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August 2, 2022</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Ravi Mallela</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01"/>
    </w:lvl>
    <w:lvl w:ilvl="1">
      <w:lvlJc w:val="left"/>
      <w:lvlText w:val="(%2)"/>
      <w:numFmt w:val="lowerRoman"/>
      <w:start w:val="1"/>
    </w:lvl>
  </w:abstractNum>
  <w:abstractNum w:abstractNumId="24">
    <w:nsid w:val="71F32454"/>
    <w:multiLevelType w:val="hybridMultilevel"/>
    <w:lvl w:ilvl="0">
      <w:lvlJc w:val="left"/>
      <w:lvlText w:val="(%1)"/>
      <w:numFmt w:val="lowerRoman"/>
      <w:start w:val="4"/>
    </w:lvl>
  </w:abstractNum>
  <w:abstractNum w:abstractNumId="25">
    <w:nsid w:val="2CA88611"/>
    <w:multiLevelType w:val="hybridMultilevel"/>
    <w:lvl w:ilvl="0">
      <w:lvlJc w:val="left"/>
      <w:lvlText w:val="~"/>
      <w:numFmt w:val="bullet"/>
      <w:start w:val="1"/>
    </w:lvl>
    <w:lvl w:ilvl="1">
      <w:lvlJc w:val="left"/>
      <w:lvlText w:val="%2"/>
      <w:numFmt w:val="decimal"/>
      <w:start w:val="104"/>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1"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71" Type="http://schemas.openxmlformats.org/officeDocument/2006/relationships/hyperlink" Target="http://www.sec.gov/Archives/edgar/data/1547903/000154790313000020/a21macstockpurchaseagreeme.htm" TargetMode="External"/><Relationship Id="rId72" Type="http://schemas.openxmlformats.org/officeDocument/2006/relationships/hyperlink" Target="http://www.sec.gov/Archives/edgar/data/1547903/000154790313000020/a22amendmenttomacpurhcasea.htm" TargetMode="External"/><Relationship Id="rId73" Type="http://schemas.openxmlformats.org/officeDocument/2006/relationships/hyperlink" Target="http://www.sec.gov/Archives/edgar/data/1547903/000154790313000020/a31secondamendedandrestate.htm" TargetMode="External"/><Relationship Id="rId74" Type="http://schemas.openxmlformats.org/officeDocument/2006/relationships/hyperlink" Target="http://www.sec.gov/Archives/edgar/data/1547903/000154790314000152/exhibit31december92014.htm" TargetMode="External"/><Relationship Id="rId75" Type="http://schemas.openxmlformats.org/officeDocument/2006/relationships/hyperlink" Target="http://www.sec.gov/Archives/edgar/data/1547903/000154790313000020/a41specimenclassacommonsto.htm" TargetMode="External"/><Relationship Id="rId76" Type="http://schemas.openxmlformats.org/officeDocument/2006/relationships/hyperlink" Target="http://www.sec.gov/Archives/edgar/data/1547903/000154790313000020/a42registrationrightsagree.htm" TargetMode="External"/><Relationship Id="rId77" Type="http://schemas.openxmlformats.org/officeDocument/2006/relationships/hyperlink" Target="http://www.sec.gov/Archives/edgar/data/1547903/000154790313000020/a43registrationrightsagree.htm" TargetMode="External"/><Relationship Id="rId78" Type="http://schemas.openxmlformats.org/officeDocument/2006/relationships/hyperlink" Target="http://www.sec.gov/Archives/edgar/data/1547903/000154790313000020/a44registrationrightsagree.htm" TargetMode="External"/><Relationship Id="rId79" Type="http://schemas.openxmlformats.org/officeDocument/2006/relationships/hyperlink" Target="https://www.sec.gov/Archives/edgar/data/1547903/000119312520174237/d949308dex41.htm" TargetMode="External"/><Relationship Id="rId80" Type="http://schemas.openxmlformats.org/officeDocument/2006/relationships/hyperlink" Target="http://www.sec.gov/Archives/edgar/data/1547903/000154790316000230/exhibit1010leatherberrybil.htm" TargetMode="External"/><Relationship Id="rId81" Type="http://schemas.openxmlformats.org/officeDocument/2006/relationships/hyperlink" Target="https://www.sec.gov/Archives/edgar/data/0001547903/000154790321000153/exhibit101-nmihxapollitz.htm" TargetMode="External"/><Relationship Id="rId82" Type="http://schemas.openxmlformats.org/officeDocument/2006/relationships/hyperlink" Target="https://www.sec.gov/Archives/edgar/data/0001547903/000154790321000188/rmallelaofferletter.htm" TargetMode="External"/><Relationship Id="rId83" Type="http://schemas.openxmlformats.org/officeDocument/2006/relationships/hyperlink" Target="http://www.sec.gov/Archives/edgar/data/1547903/000154790314000146/exhibit101november252014.htm" TargetMode="External"/><Relationship Id="rId84" Type="http://schemas.openxmlformats.org/officeDocument/2006/relationships/hyperlink" Target="http://www.sec.gov/Archives/edgar/data/1547903/000154790313000020/a1014commitmentletterforbu.htm" TargetMode="External"/><Relationship Id="rId85" Type="http://schemas.openxmlformats.org/officeDocument/2006/relationships/hyperlink" Target="http://www.sec.gov/Archives/edgar/data/1547903/000154790318000088/exhibit41-creditagreement.htm" TargetMode="External"/><Relationship Id="rId86" Type="http://schemas.openxmlformats.org/officeDocument/2006/relationships/hyperlink" Target="https://www.sec.gov/Archives/edgar/data/1547903/000154790320000032/exhibit101-extensionam.htm" TargetMode="External"/><Relationship Id="rId87" Type="http://schemas.openxmlformats.org/officeDocument/2006/relationships/hyperlink" Target="https://www.sec.gov/Archives/edgar/data/1547903/000154790320000032/exhibit102joinderagree.htm" TargetMode="External"/><Relationship Id="rId88" Type="http://schemas.openxmlformats.org/officeDocument/2006/relationships/hyperlink" Target="https://www.sec.gov/Archives/edgar/data/1547903/000154790320000043/exhibit101-amendmentto.htm" TargetMode="External"/><Relationship Id="rId89" Type="http://schemas.openxmlformats.org/officeDocument/2006/relationships/hyperlink" Target="https://www.sec.gov/Archives/edgar/data/0001547903/000154790320000089/ex1020q32020joinderagr.htm" TargetMode="External"/><Relationship Id="rId90" Type="http://schemas.openxmlformats.org/officeDocument/2006/relationships/hyperlink" Target="https://www.sec.gov/Archives/edgar/data/0001547903/000154790321000180/nmiholdingsinc-creditagree.htm" TargetMode="External"/><Relationship Id="rId92" Type="http://schemas.openxmlformats.org/officeDocument/2006/relationships/hyperlink" Target="http://www.sec.gov/Archives/edgar/data/1547903/000154790317000043/nmihproxy2017.htm" TargetMode="External"/><Relationship Id="rId93" Type="http://schemas.openxmlformats.org/officeDocument/2006/relationships/hyperlink" Target="http://www.sec.gov/Archives/edgar/data/1547903/000154790317000100/ex1019rsuceo.htm" TargetMode="External"/><Relationship Id="rId94" Type="http://schemas.openxmlformats.org/officeDocument/2006/relationships/hyperlink" Target="http://www.sec.gov/Archives/edgar/data/1547903/000154790317000100/ex1020rsueo.htm" TargetMode="External"/><Relationship Id="rId95" Type="http://schemas.openxmlformats.org/officeDocument/2006/relationships/hyperlink" Target="http://www.sec.gov/Archives/edgar/data/1547903/000154790317000100/ex1021rsuee.htm" TargetMode="External"/><Relationship Id="rId96" Type="http://schemas.openxmlformats.org/officeDocument/2006/relationships/hyperlink" Target="http://www.sec.gov/Archives/edgar/data/1547903/000154790317000100/ex1022rsuindependentdirect.htm" TargetMode="External"/><Relationship Id="rId97" Type="http://schemas.openxmlformats.org/officeDocument/2006/relationships/hyperlink" Target="http://www.sec.gov/Archives/edgar/data/1547903/000154790317000100/ex1023nqsceo.htm" TargetMode="External"/><Relationship Id="rId98" Type="http://schemas.openxmlformats.org/officeDocument/2006/relationships/hyperlink" Target="http://www.sec.gov/Archives/edgar/data/1547903/000154790317000100/ex1024nqseoee.htm" TargetMode="External"/><Relationship Id="rId99" Type="http://schemas.openxmlformats.org/officeDocument/2006/relationships/hyperlink" Target="http://www.sec.gov/Archives/edgar/data/1547903/000154790317000032/exhibit1026-2014omnibusinc.htm" TargetMode="External"/><Relationship Id="rId100" Type="http://schemas.openxmlformats.org/officeDocument/2006/relationships/hyperlink" Target="http://www.sec.gov/Archives/edgar/data/1547903/000154790316000185/ex101severancebenefitplan.htm" TargetMode="External"/><Relationship Id="rId101" Type="http://schemas.openxmlformats.org/officeDocument/2006/relationships/hyperlink" Target="https://www.sec.gov/Archives/edgar/data/1547903/000154790318000133/exhibit1030arcicsbp.htm" TargetMode="External"/><Relationship Id="rId102" Type="http://schemas.openxmlformats.org/officeDocument/2006/relationships/hyperlink" Target="http://www.sec.gov/Archives/edgar/data/1547903/000154790317000035/exhibit102.htm" TargetMode="External"/><Relationship Id="rId103" Type="http://schemas.openxmlformats.org/officeDocument/2006/relationships/hyperlink" Target="http://www.sec.gov/Archives/edgar/data/1547903/000154790318000137/exhibit101shuster.htm" TargetMode="External"/><Relationship Id="rId104" Type="http://schemas.openxmlformats.org/officeDocument/2006/relationships/hyperlink" Target="http://www.sec.gov/Archives/edgar/data/1547903/000154790319000064/exhibit1033.htm" TargetMode="External"/><Relationship Id="rId105" Type="http://schemas.openxmlformats.org/officeDocument/2006/relationships/hyperlink" Target="http://www.sec.gov/Archives/edgar/data/1547903/000154790319000064/exhibit1034.htm" TargetMode="External"/><Relationship Id="rId106" Type="http://schemas.openxmlformats.org/officeDocument/2006/relationships/hyperlink" Target="http://www.sec.gov/Archives/edgar/data/1547903/000154790319000064/exhibit1035.htm" TargetMode="External"/><Relationship Id="rId107" Type="http://schemas.openxmlformats.org/officeDocument/2006/relationships/hyperlink" Target="https://www.sec.gov/Archives/edgar/data/1547903/000154790320000045/ex1038202010q.htm" TargetMode="External"/><Relationship Id="rId108"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2022-08-03T05:18:19Z</dcterms:created>
  <dcterms:modified xsi:type="dcterms:W3CDTF">2022-08-03T05:18:19Z</dcterms:modified>
</cp:coreProperties>
</file>