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10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ANNUAL REPORT PURSUANT TO SECTION 13 OR 15(d) OF THE SECURITIES EXCHANGE ACT OF 1934</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420" w:type="dxa"/>
            <w:vAlign w:val="bottom"/>
          </w:tcPr>
          <w:p>
            <w:pPr>
              <w:spacing w:after="0"/>
              <w:rPr>
                <w:sz w:val="15"/>
                <w:szCs w:val="15"/>
                <w:color w:val="auto"/>
              </w:rPr>
            </w:pPr>
          </w:p>
        </w:tc>
        <w:tc>
          <w:tcPr>
            <w:tcW w:w="2020" w:type="dxa"/>
            <w:vAlign w:val="bottom"/>
          </w:tcPr>
          <w:p>
            <w:pPr>
              <w:ind w:left="260"/>
              <w:spacing w:after="0"/>
              <w:rPr>
                <w:sz w:val="20"/>
                <w:szCs w:val="20"/>
                <w:color w:val="auto"/>
              </w:rPr>
            </w:pPr>
            <w:r>
              <w:rPr>
                <w:rFonts w:ascii="Arial" w:cs="Arial" w:eastAsia="Arial" w:hAnsi="Arial"/>
                <w:sz w:val="14"/>
                <w:szCs w:val="14"/>
                <w:color w:val="auto"/>
              </w:rPr>
              <w:t>For the fiscal year ended</w:t>
            </w:r>
          </w:p>
        </w:tc>
        <w:tc>
          <w:tcPr>
            <w:tcW w:w="520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0" w:type="dxa"/>
            <w:vAlign w:val="bottom"/>
          </w:tcPr>
          <w:p>
            <w:pPr>
              <w:jc w:val="center"/>
              <w:ind w:right="48"/>
              <w:spacing w:after="0"/>
              <w:rPr>
                <w:sz w:val="20"/>
                <w:szCs w:val="20"/>
                <w:color w:val="auto"/>
              </w:rPr>
            </w:pPr>
            <w:r>
              <w:rPr>
                <w:rFonts w:ascii="Arial" w:cs="Arial" w:eastAsia="Arial" w:hAnsi="Arial"/>
                <w:sz w:val="14"/>
                <w:szCs w:val="14"/>
                <w:color w:val="auto"/>
                <w:w w:val="95"/>
              </w:rPr>
              <w:t>OR</w:t>
            </w:r>
          </w:p>
        </w:tc>
        <w:tc>
          <w:tcPr>
            <w:tcW w:w="0" w:type="dxa"/>
            <w:vAlign w:val="bottom"/>
          </w:tcPr>
          <w:p>
            <w:pPr>
              <w:spacing w:after="0"/>
              <w:rPr>
                <w:sz w:val="1"/>
                <w:szCs w:val="1"/>
                <w:color w:val="auto"/>
              </w:rPr>
            </w:pPr>
          </w:p>
        </w:tc>
      </w:tr>
      <w:tr>
        <w:trPr>
          <w:trHeight w:val="290"/>
        </w:trPr>
        <w:tc>
          <w:tcPr>
            <w:tcW w:w="4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7220" w:type="dxa"/>
            <w:vAlign w:val="bottom"/>
            <w:gridSpan w:val="5"/>
          </w:tcPr>
          <w:p>
            <w:pPr>
              <w:ind w:left="260"/>
              <w:spacing w:after="0"/>
              <w:rPr>
                <w:sz w:val="20"/>
                <w:szCs w:val="20"/>
                <w:color w:val="auto"/>
              </w:rPr>
            </w:pPr>
            <w:r>
              <w:rPr>
                <w:rFonts w:ascii="Arial" w:cs="Arial" w:eastAsia="Arial" w:hAnsi="Arial"/>
                <w:sz w:val="14"/>
                <w:szCs w:val="14"/>
                <w:color w:val="auto"/>
                <w:w w:val="97"/>
              </w:rPr>
              <w:t>TRANSITION REPORT PURSUANT TO SECTION 13 OR 15(d) OF THE SECURITIES EXCHANGE ACT OF 1934</w:t>
            </w:r>
          </w:p>
        </w:tc>
        <w:tc>
          <w:tcPr>
            <w:tcW w:w="0" w:type="dxa"/>
            <w:vAlign w:val="bottom"/>
          </w:tcPr>
          <w:p>
            <w:pPr>
              <w:spacing w:after="0"/>
              <w:rPr>
                <w:sz w:val="1"/>
                <w:szCs w:val="1"/>
                <w:color w:val="auto"/>
              </w:rPr>
            </w:pPr>
          </w:p>
        </w:tc>
      </w:tr>
      <w:tr>
        <w:trPr>
          <w:trHeight w:val="154"/>
        </w:trPr>
        <w:tc>
          <w:tcPr>
            <w:tcW w:w="420" w:type="dxa"/>
            <w:vAlign w:val="bottom"/>
            <w:vMerge w:val="continue"/>
          </w:tcPr>
          <w:p>
            <w:pPr>
              <w:spacing w:after="0"/>
              <w:rPr>
                <w:sz w:val="13"/>
                <w:szCs w:val="13"/>
                <w:color w:val="auto"/>
              </w:rPr>
            </w:pPr>
          </w:p>
        </w:tc>
        <w:tc>
          <w:tcPr>
            <w:tcW w:w="2020" w:type="dxa"/>
            <w:vAlign w:val="bottom"/>
          </w:tcPr>
          <w:p>
            <w:pPr>
              <w:ind w:left="260"/>
              <w:spacing w:after="0" w:line="154" w:lineRule="exact"/>
              <w:rPr>
                <w:sz w:val="20"/>
                <w:szCs w:val="20"/>
                <w:color w:val="auto"/>
              </w:rPr>
            </w:pPr>
            <w:r>
              <w:rPr>
                <w:rFonts w:ascii="Arial" w:cs="Arial" w:eastAsia="Arial" w:hAnsi="Arial"/>
                <w:sz w:val="14"/>
                <w:szCs w:val="14"/>
                <w:color w:val="auto"/>
                <w:w w:val="96"/>
              </w:rPr>
              <w:t>For the transition period from</w:t>
            </w:r>
          </w:p>
        </w:tc>
        <w:tc>
          <w:tcPr>
            <w:tcW w:w="600" w:type="dxa"/>
            <w:vAlign w:val="bottom"/>
          </w:tcPr>
          <w:p>
            <w:pPr>
              <w:spacing w:after="0"/>
              <w:rPr>
                <w:sz w:val="13"/>
                <w:szCs w:val="13"/>
                <w:color w:val="auto"/>
              </w:rPr>
            </w:pPr>
          </w:p>
        </w:tc>
        <w:tc>
          <w:tcPr>
            <w:tcW w:w="460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800" w:type="dxa"/>
            <w:vAlign w:val="bottom"/>
          </w:tcPr>
          <w:p>
            <w:pPr>
              <w:jc w:val="center"/>
              <w:ind w:right="68"/>
              <w:spacing w:after="0"/>
              <w:rPr>
                <w:sz w:val="20"/>
                <w:szCs w:val="20"/>
                <w:color w:val="auto"/>
              </w:rPr>
            </w:pPr>
            <w:r>
              <w:rPr>
                <w:rFonts w:ascii="Arial" w:cs="Arial" w:eastAsia="Arial" w:hAnsi="Arial"/>
                <w:sz w:val="14"/>
                <w:szCs w:val="14"/>
                <w:color w:val="auto"/>
                <w:w w:val="95"/>
              </w:rPr>
              <w:t xml:space="preserve">Commission file number </w:t>
            </w:r>
            <w:r>
              <w:rPr>
                <w:rFonts w:ascii="Arial" w:cs="Arial" w:eastAsia="Arial" w:hAnsi="Arial"/>
                <w:sz w:val="14"/>
                <w:szCs w:val="14"/>
                <w:b w:val="1"/>
                <w:bCs w:val="1"/>
                <w:color w:val="auto"/>
                <w:w w:val="95"/>
              </w:rPr>
              <w:t>001-36174</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-232410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17145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60"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Delaware</w:t>
            </w:r>
          </w:p>
        </w:tc>
        <w:tc>
          <w:tcPr>
            <w:tcW w:w="3580" w:type="dxa"/>
            <w:vAlign w:val="bottom"/>
          </w:tcPr>
          <w:p>
            <w:pPr>
              <w:spacing w:after="0"/>
              <w:rPr>
                <w:sz w:val="16"/>
                <w:szCs w:val="16"/>
                <w:color w:val="auto"/>
              </w:rPr>
            </w:pPr>
          </w:p>
        </w:tc>
        <w:tc>
          <w:tcPr>
            <w:tcW w:w="3680" w:type="dxa"/>
            <w:vAlign w:val="bottom"/>
            <w:gridSpan w:val="2"/>
          </w:tcPr>
          <w:p>
            <w:pPr>
              <w:jc w:val="right"/>
              <w:ind w:right="2228"/>
              <w:spacing w:after="0"/>
              <w:rPr>
                <w:sz w:val="20"/>
                <w:szCs w:val="20"/>
                <w:color w:val="auto"/>
              </w:rPr>
            </w:pPr>
            <w:r>
              <w:rPr>
                <w:rFonts w:ascii="Arial" w:cs="Arial" w:eastAsia="Arial" w:hAnsi="Arial"/>
                <w:sz w:val="14"/>
                <w:szCs w:val="14"/>
                <w:b w:val="1"/>
                <w:bCs w:val="1"/>
                <w:color w:val="auto"/>
              </w:rPr>
              <w:t>45-4914248</w:t>
            </w:r>
          </w:p>
        </w:tc>
      </w:tr>
      <w:tr>
        <w:trPr>
          <w:trHeight w:val="266"/>
        </w:trPr>
        <w:tc>
          <w:tcPr>
            <w:tcW w:w="880" w:type="dxa"/>
            <w:vAlign w:val="bottom"/>
          </w:tcPr>
          <w:p>
            <w:pPr>
              <w:spacing w:after="0"/>
              <w:rPr>
                <w:sz w:val="23"/>
                <w:szCs w:val="23"/>
                <w:color w:val="auto"/>
              </w:rPr>
            </w:pPr>
          </w:p>
        </w:tc>
        <w:tc>
          <w:tcPr>
            <w:tcW w:w="5780" w:type="dxa"/>
            <w:vAlign w:val="bottom"/>
            <w:gridSpan w:val="3"/>
          </w:tcPr>
          <w:p>
            <w:pPr>
              <w:jc w:val="center"/>
              <w:ind w:right="2130"/>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680" w:type="dxa"/>
            <w:vAlign w:val="bottom"/>
            <w:gridSpan w:val="2"/>
          </w:tcPr>
          <w:p>
            <w:pPr>
              <w:jc w:val="center"/>
              <w:ind w:right="1548"/>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382"/>
        </w:trPr>
        <w:tc>
          <w:tcPr>
            <w:tcW w:w="880" w:type="dxa"/>
            <w:vAlign w:val="bottom"/>
          </w:tcPr>
          <w:p>
            <w:pPr>
              <w:spacing w:after="0"/>
              <w:rPr>
                <w:sz w:val="24"/>
                <w:szCs w:val="24"/>
                <w:color w:val="auto"/>
              </w:rPr>
            </w:pPr>
          </w:p>
        </w:tc>
        <w:tc>
          <w:tcPr>
            <w:tcW w:w="2200" w:type="dxa"/>
            <w:vAlign w:val="bottom"/>
            <w:gridSpan w:val="2"/>
          </w:tcPr>
          <w:p>
            <w:pPr>
              <w:ind w:left="680"/>
              <w:spacing w:after="0"/>
              <w:rPr>
                <w:sz w:val="20"/>
                <w:szCs w:val="20"/>
                <w:color w:val="auto"/>
              </w:rPr>
            </w:pPr>
            <w:r>
              <w:rPr>
                <w:rFonts w:ascii="Arial" w:cs="Arial" w:eastAsia="Arial" w:hAnsi="Arial"/>
                <w:sz w:val="14"/>
                <w:szCs w:val="14"/>
                <w:b w:val="1"/>
                <w:bCs w:val="1"/>
                <w:color w:val="auto"/>
              </w:rPr>
              <w:t>2100 Powell Street ,</w:t>
            </w:r>
          </w:p>
        </w:tc>
        <w:tc>
          <w:tcPr>
            <w:tcW w:w="3580" w:type="dxa"/>
            <w:vAlign w:val="bottom"/>
          </w:tcPr>
          <w:p>
            <w:pPr>
              <w:ind w:left="120"/>
              <w:spacing w:after="0"/>
              <w:rPr>
                <w:sz w:val="20"/>
                <w:szCs w:val="20"/>
                <w:color w:val="auto"/>
              </w:rPr>
            </w:pPr>
            <w:r>
              <w:rPr>
                <w:rFonts w:ascii="Arial" w:cs="Arial" w:eastAsia="Arial" w:hAnsi="Arial"/>
                <w:sz w:val="14"/>
                <w:szCs w:val="14"/>
                <w:b w:val="1"/>
                <w:bCs w:val="1"/>
                <w:color w:val="auto"/>
              </w:rPr>
              <w:t>Emeryville , CA</w:t>
            </w:r>
          </w:p>
        </w:tc>
        <w:tc>
          <w:tcPr>
            <w:tcW w:w="3680" w:type="dxa"/>
            <w:vAlign w:val="bottom"/>
            <w:gridSpan w:val="2"/>
          </w:tcPr>
          <w:p>
            <w:pPr>
              <w:jc w:val="right"/>
              <w:ind w:right="2408"/>
              <w:spacing w:after="0"/>
              <w:rPr>
                <w:sz w:val="20"/>
                <w:szCs w:val="20"/>
                <w:color w:val="auto"/>
              </w:rPr>
            </w:pPr>
            <w:r>
              <w:rPr>
                <w:rFonts w:ascii="Arial" w:cs="Arial" w:eastAsia="Arial" w:hAnsi="Arial"/>
                <w:sz w:val="14"/>
                <w:szCs w:val="14"/>
                <w:b w:val="1"/>
                <w:bCs w:val="1"/>
                <w:color w:val="auto"/>
              </w:rPr>
              <w:t>94608</w:t>
            </w:r>
          </w:p>
        </w:tc>
      </w:tr>
      <w:tr>
        <w:trPr>
          <w:trHeight w:val="266"/>
        </w:trPr>
        <w:tc>
          <w:tcPr>
            <w:tcW w:w="880" w:type="dxa"/>
            <w:vAlign w:val="bottom"/>
          </w:tcPr>
          <w:p>
            <w:pPr>
              <w:spacing w:after="0"/>
              <w:rPr>
                <w:sz w:val="23"/>
                <w:szCs w:val="23"/>
                <w:color w:val="auto"/>
              </w:rPr>
            </w:pPr>
          </w:p>
        </w:tc>
        <w:tc>
          <w:tcPr>
            <w:tcW w:w="5780" w:type="dxa"/>
            <w:vAlign w:val="bottom"/>
            <w:gridSpan w:val="3"/>
          </w:tcPr>
          <w:p>
            <w:pPr>
              <w:jc w:val="center"/>
              <w:ind w:right="213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680" w:type="dxa"/>
            <w:vAlign w:val="bottom"/>
            <w:gridSpan w:val="2"/>
          </w:tcPr>
          <w:p>
            <w:pPr>
              <w:jc w:val="center"/>
              <w:ind w:right="1548"/>
              <w:spacing w:after="0"/>
              <w:rPr>
                <w:sz w:val="20"/>
                <w:szCs w:val="20"/>
                <w:color w:val="auto"/>
              </w:rPr>
            </w:pPr>
            <w:r>
              <w:rPr>
                <w:rFonts w:ascii="Arial" w:cs="Arial" w:eastAsia="Arial" w:hAnsi="Arial"/>
                <w:sz w:val="13"/>
                <w:szCs w:val="13"/>
                <w:b w:val="1"/>
                <w:bCs w:val="1"/>
                <w:color w:val="auto"/>
                <w:w w:val="90"/>
              </w:rPr>
              <w:t>(Zip Code)</w:t>
            </w:r>
          </w:p>
        </w:tc>
      </w:tr>
      <w:tr>
        <w:trPr>
          <w:trHeight w:val="281"/>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80" w:type="dxa"/>
            <w:vAlign w:val="bottom"/>
          </w:tcPr>
          <w:p>
            <w:pPr>
              <w:jc w:val="center"/>
              <w:ind w:left="530"/>
              <w:spacing w:after="0"/>
              <w:rPr>
                <w:sz w:val="20"/>
                <w:szCs w:val="20"/>
                <w:color w:val="auto"/>
              </w:rPr>
            </w:pPr>
            <w:r>
              <w:rPr>
                <w:rFonts w:ascii="Arial" w:cs="Arial" w:eastAsia="Arial" w:hAnsi="Arial"/>
                <w:sz w:val="14"/>
                <w:szCs w:val="14"/>
                <w:b w:val="1"/>
                <w:bCs w:val="1"/>
                <w:color w:val="auto"/>
                <w:w w:val="93"/>
              </w:rPr>
              <w:t>(855) 530-6642</w:t>
            </w:r>
          </w:p>
        </w:tc>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64"/>
        </w:trPr>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tcPr>
          <w:p>
            <w:pPr>
              <w:jc w:val="center"/>
              <w:ind w:left="55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00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328"/>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60" w:type="dxa"/>
            <w:vAlign w:val="bottom"/>
            <w:gridSpan w:val="3"/>
          </w:tcPr>
          <w:p>
            <w:pPr>
              <w:jc w:val="center"/>
              <w:ind w:right="29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74"/>
        </w:trPr>
        <w:tc>
          <w:tcPr>
            <w:tcW w:w="8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120" w:type="dxa"/>
            <w:vAlign w:val="bottom"/>
          </w:tcPr>
          <w:p>
            <w:pPr>
              <w:spacing w:after="0"/>
              <w:rPr>
                <w:sz w:val="15"/>
                <w:szCs w:val="15"/>
                <w:color w:val="auto"/>
              </w:rPr>
            </w:pPr>
          </w:p>
        </w:tc>
        <w:tc>
          <w:tcPr>
            <w:tcW w:w="3580" w:type="dxa"/>
            <w:vAlign w:val="bottom"/>
          </w:tcPr>
          <w:p>
            <w:pPr>
              <w:jc w:val="center"/>
              <w:ind w:left="670"/>
              <w:spacing w:after="0"/>
              <w:rPr>
                <w:sz w:val="20"/>
                <w:szCs w:val="20"/>
                <w:color w:val="auto"/>
              </w:rPr>
            </w:pPr>
            <w:r>
              <w:rPr>
                <w:rFonts w:ascii="Arial" w:cs="Arial" w:eastAsia="Arial" w:hAnsi="Arial"/>
                <w:sz w:val="14"/>
                <w:szCs w:val="14"/>
                <w:b w:val="1"/>
                <w:bCs w:val="1"/>
                <w:color w:val="auto"/>
                <w:w w:val="94"/>
              </w:rPr>
              <w:t>Trading Symbol(s)</w:t>
            </w:r>
          </w:p>
        </w:tc>
        <w:tc>
          <w:tcPr>
            <w:tcW w:w="100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1"/>
        </w:trPr>
        <w:tc>
          <w:tcPr>
            <w:tcW w:w="3080" w:type="dxa"/>
            <w:vAlign w:val="bottom"/>
            <w:gridSpan w:val="3"/>
          </w:tcPr>
          <w:p>
            <w:pPr>
              <w:jc w:val="center"/>
              <w:ind w:right="168"/>
              <w:spacing w:after="0"/>
              <w:rPr>
                <w:sz w:val="20"/>
                <w:szCs w:val="20"/>
                <w:color w:val="auto"/>
              </w:rPr>
            </w:pPr>
            <w:r>
              <w:rPr>
                <w:rFonts w:ascii="Arial" w:cs="Arial" w:eastAsia="Arial" w:hAnsi="Arial"/>
                <w:sz w:val="14"/>
                <w:szCs w:val="14"/>
                <w:color w:val="auto"/>
                <w:w w:val="92"/>
              </w:rPr>
              <w:t>Class A Common Stock, $.01 par value per share</w:t>
            </w:r>
          </w:p>
        </w:tc>
        <w:tc>
          <w:tcPr>
            <w:tcW w:w="3580" w:type="dxa"/>
            <w:vAlign w:val="bottom"/>
          </w:tcPr>
          <w:p>
            <w:pPr>
              <w:jc w:val="center"/>
              <w:ind w:left="670"/>
              <w:spacing w:after="0"/>
              <w:rPr>
                <w:sz w:val="20"/>
                <w:szCs w:val="20"/>
                <w:color w:val="auto"/>
              </w:rPr>
            </w:pPr>
            <w:r>
              <w:rPr>
                <w:rFonts w:ascii="Arial" w:cs="Arial" w:eastAsia="Arial" w:hAnsi="Arial"/>
                <w:sz w:val="14"/>
                <w:szCs w:val="14"/>
                <w:color w:val="auto"/>
              </w:rPr>
              <w:t>NMIH</w:t>
            </w:r>
          </w:p>
        </w:tc>
        <w:tc>
          <w:tcPr>
            <w:tcW w:w="10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rPr>
              <w:t>NASDAQ</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175" w:lineRule="exact"/>
        <w:rPr>
          <w:sz w:val="24"/>
          <w:szCs w:val="24"/>
          <w:color w:val="auto"/>
        </w:rPr>
      </w:pPr>
    </w:p>
    <w:p>
      <w:pPr>
        <w:ind w:right="3800"/>
        <w:spacing w:after="0" w:line="3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6"/>
          <w:szCs w:val="16"/>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6"/>
          <w:szCs w:val="16"/>
          <w:color w:val="auto"/>
        </w:rPr>
        <w:t>☐</w:t>
      </w:r>
      <w:r>
        <w:rPr>
          <w:rFonts w:ascii="Arial" w:cs="Arial" w:eastAsia="Arial" w:hAnsi="Arial"/>
          <w:sz w:val="13"/>
          <w:szCs w:val="13"/>
          <w:color w:val="auto"/>
        </w:rPr>
        <w:t xml:space="preserve"> Indicate by check mark if the registrant is not required to file reports pursuant to Section 13 or 15(d) of the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6"/>
          <w:szCs w:val="16"/>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8"/>
          <w:szCs w:val="18"/>
          <w:color w:val="auto"/>
        </w:rPr>
        <w:t>☐</w:t>
      </w:r>
    </w:p>
    <w:p>
      <w:pPr>
        <w:spacing w:after="0" w:line="186" w:lineRule="exact"/>
        <w:rPr>
          <w:sz w:val="24"/>
          <w:szCs w:val="24"/>
          <w:color w:val="auto"/>
        </w:rPr>
      </w:pPr>
    </w:p>
    <w:p>
      <w:pPr>
        <w:ind w:right="20"/>
        <w:spacing w:after="0" w:line="22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8"/>
          <w:szCs w:val="18"/>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1600" w:type="dxa"/>
        <w:tblCellMar>
          <w:top w:w="0" w:type="dxa"/>
          <w:left w:w="0" w:type="dxa"/>
          <w:bottom w:w="0" w:type="dxa"/>
          <w:right w:w="0" w:type="dxa"/>
        </w:tblCellMar>
      </w:tblPr>
      <w:tr>
        <w:trPr>
          <w:trHeight w:val="270"/>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740"/>
              <w:spacing w:after="0"/>
              <w:rPr>
                <w:sz w:val="20"/>
                <w:szCs w:val="20"/>
                <w:color w:val="auto"/>
              </w:rPr>
            </w:pPr>
            <w:r>
              <w:rPr>
                <w:rFonts w:ascii="Arial" w:cs="Arial" w:eastAsia="Arial" w:hAnsi="Arial"/>
                <w:sz w:val="14"/>
                <w:szCs w:val="14"/>
                <w:color w:val="auto"/>
              </w:rPr>
              <w:t>Accelerated filer</w:t>
            </w:r>
          </w:p>
        </w:tc>
        <w:tc>
          <w:tcPr>
            <w:tcW w:w="9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240" w:type="dxa"/>
            <w:vAlign w:val="bottom"/>
          </w:tcPr>
          <w:p>
            <w:pPr>
              <w:spacing w:after="0"/>
              <w:rPr>
                <w:sz w:val="20"/>
                <w:szCs w:val="20"/>
                <w:color w:val="auto"/>
              </w:rPr>
            </w:pPr>
            <w:r>
              <w:rPr>
                <w:rFonts w:ascii="Arial" w:cs="Arial" w:eastAsia="Arial" w:hAnsi="Arial"/>
                <w:sz w:val="14"/>
                <w:szCs w:val="14"/>
                <w:color w:val="auto"/>
              </w:rPr>
              <w:t>Non-accelerated filer</w:t>
            </w:r>
          </w:p>
        </w:tc>
        <w:tc>
          <w:tcPr>
            <w:tcW w:w="184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100" w:type="dxa"/>
            <w:vAlign w:val="bottom"/>
          </w:tcPr>
          <w:p>
            <w:pPr>
              <w:ind w:left="740"/>
              <w:spacing w:after="0"/>
              <w:rPr>
                <w:sz w:val="20"/>
                <w:szCs w:val="20"/>
                <w:color w:val="auto"/>
              </w:rPr>
            </w:pPr>
            <w:r>
              <w:rPr>
                <w:rFonts w:ascii="Arial" w:cs="Arial" w:eastAsia="Arial" w:hAnsi="Arial"/>
                <w:sz w:val="14"/>
                <w:szCs w:val="14"/>
                <w:color w:val="auto"/>
              </w:rPr>
              <w:t>Smaller reporting company</w:t>
            </w:r>
          </w:p>
        </w:tc>
        <w:tc>
          <w:tcPr>
            <w:tcW w:w="9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00" w:type="dxa"/>
            <w:vAlign w:val="bottom"/>
          </w:tcPr>
          <w:p>
            <w:pPr>
              <w:ind w:left="740"/>
              <w:spacing w:after="0"/>
              <w:rPr>
                <w:sz w:val="20"/>
                <w:szCs w:val="20"/>
                <w:color w:val="auto"/>
              </w:rPr>
            </w:pPr>
            <w:r>
              <w:rPr>
                <w:rFonts w:ascii="Arial" w:cs="Arial" w:eastAsia="Arial" w:hAnsi="Arial"/>
                <w:sz w:val="14"/>
                <w:szCs w:val="14"/>
                <w:color w:val="auto"/>
              </w:rPr>
              <w:t>Emerging growth company</w:t>
            </w:r>
          </w:p>
        </w:tc>
        <w:tc>
          <w:tcPr>
            <w:tcW w:w="9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23" w:lineRule="exact"/>
        <w:rPr>
          <w:sz w:val="24"/>
          <w:szCs w:val="24"/>
          <w:color w:val="auto"/>
        </w:rPr>
      </w:pPr>
    </w:p>
    <w:p>
      <w:pPr>
        <w:spacing w:after="0" w:line="22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8"/>
          <w:szCs w:val="18"/>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2019, the last business day of the registrant's most recently completed second fiscal quarter, the calculated aggregate market value of common stock held by non-affiliates was $1,617,138,263</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$0.01 par value per share, of the registrant outstanding on February 11, 2020 was 68,438,109 shares.</w:t>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registrant's Proxy Statement for the 2020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2019.</w:t>
      </w:r>
    </w:p>
    <w:p>
      <w:pPr>
        <w:sectPr>
          <w:pgSz w:w="11900" w:h="16838" w:orient="portrait"/>
          <w:cols w:equalWidth="0" w:num="1">
            <w:col w:w="11420"/>
          </w:cols>
          <w:pgMar w:left="240" w:top="65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40" w:type="dxa"/>
            <w:vAlign w:val="bottom"/>
            <w:gridSpan w:val="8"/>
          </w:tcPr>
          <w:p>
            <w:pPr>
              <w:jc w:val="center"/>
              <w:ind w:right="3100"/>
              <w:spacing w:after="0"/>
              <w:rPr>
                <w:sz w:val="20"/>
                <w:szCs w:val="20"/>
                <w:color w:val="auto"/>
              </w:rPr>
            </w:pPr>
            <w:r>
              <w:rPr>
                <w:rFonts w:ascii="Arial" w:cs="Arial" w:eastAsia="Arial" w:hAnsi="Arial"/>
                <w:sz w:val="18"/>
                <w:szCs w:val="18"/>
                <w:b w:val="1"/>
                <w:bCs w:val="1"/>
                <w:color w:val="auto"/>
                <w:w w:val="98"/>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140" w:type="dxa"/>
            <w:vAlign w:val="bottom"/>
            <w:tcBorders>
              <w:bottom w:val="single" w:sz="8" w:color="CCEEFF"/>
            </w:tcBorders>
            <w:gridSpan w:val="2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Cautionary Note Regarding Forward Looking Statements</w:t>
            </w:r>
          </w:p>
        </w:tc>
        <w:tc>
          <w:tcPr>
            <w:tcW w:w="1160" w:type="dxa"/>
            <w:vAlign w:val="bottom"/>
            <w:tcBorders>
              <w:bottom w:val="single" w:sz="8" w:color="CCEEFF"/>
            </w:tcBorders>
            <w:gridSpan w:val="5"/>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420" w:type="dxa"/>
            <w:vAlign w:val="bottom"/>
            <w:tcBorders>
              <w:bottom w:val="single" w:sz="8" w:color="CCEEFF"/>
            </w:tcBorders>
            <w:gridSpan w:val="21"/>
            <w:shd w:val="clear" w:color="auto" w:fill="CCEEFF"/>
          </w:tcPr>
          <w:p>
            <w:pPr>
              <w:spacing w:after="0"/>
              <w:rPr>
                <w:sz w:val="21"/>
                <w:szCs w:val="21"/>
                <w:color w:val="auto"/>
              </w:rPr>
            </w:pPr>
          </w:p>
        </w:tc>
        <w:tc>
          <w:tcPr>
            <w:tcW w:w="1160" w:type="dxa"/>
            <w:vAlign w:val="bottom"/>
            <w:tcBorders>
              <w:bottom w:val="single" w:sz="8" w:color="CCEEFF"/>
            </w:tcBorders>
            <w:gridSpan w:val="5"/>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1A.</w:t>
            </w:r>
          </w:p>
        </w:tc>
        <w:tc>
          <w:tcPr>
            <w:tcW w:w="9060" w:type="dxa"/>
            <w:vAlign w:val="bottom"/>
            <w:gridSpan w:val="22"/>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1B.</w:t>
            </w:r>
          </w:p>
        </w:tc>
        <w:tc>
          <w:tcPr>
            <w:tcW w:w="9060" w:type="dxa"/>
            <w:vAlign w:val="bottom"/>
            <w:gridSpan w:val="22"/>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1"/>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Properties</w:t>
              </w:r>
            </w:hyperlink>
          </w:p>
        </w:tc>
        <w:tc>
          <w:tcPr>
            <w:tcW w:w="7020" w:type="dxa"/>
            <w:vAlign w:val="bottom"/>
            <w:gridSpan w:val="11"/>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9060" w:type="dxa"/>
            <w:vAlign w:val="bottom"/>
            <w:gridSpan w:val="22"/>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4.</w:t>
            </w:r>
          </w:p>
        </w:tc>
        <w:tc>
          <w:tcPr>
            <w:tcW w:w="9060" w:type="dxa"/>
            <w:vAlign w:val="bottom"/>
            <w:gridSpan w:val="22"/>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0000EE"/>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73"/>
                <w:shd w:val="clear" w:color="auto" w:fill="CCEEFF"/>
              </w:rPr>
            </w:pPr>
            <w:hyperlink w:anchor="page46">
              <w:r>
                <w:rPr>
                  <w:rFonts w:ascii="Arial" w:cs="Arial" w:eastAsia="Arial" w:hAnsi="Arial"/>
                  <w:sz w:val="17"/>
                  <w:szCs w:val="17"/>
                  <w:color w:val="0000EE"/>
                  <w:w w:val="73"/>
                  <w:shd w:val="clear" w:color="auto" w:fill="CCEEFF"/>
                </w:rPr>
                <w:t>46</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8060" w:type="dxa"/>
            <w:vAlign w:val="bottom"/>
            <w:gridSpan w:val="21"/>
            <w:shd w:val="clear" w:color="auto" w:fill="CCEEFF"/>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Market for Registrant's Common Equity, Related Stockholder Matters and Issuer Purchases of Equity Securities</w:t>
              </w:r>
            </w:hyperlink>
          </w:p>
        </w:tc>
        <w:tc>
          <w:tcPr>
            <w:tcW w:w="1000" w:type="dxa"/>
            <w:vAlign w:val="bottom"/>
            <w:shd w:val="clear" w:color="auto" w:fill="CCEEFF"/>
          </w:tcPr>
          <w:p>
            <w:pPr>
              <w:spacing w:after="0"/>
              <w:rPr>
                <w:sz w:val="24"/>
                <w:szCs w:val="24"/>
                <w:color w:val="auto"/>
              </w:rPr>
            </w:pPr>
          </w:p>
        </w:tc>
        <w:tc>
          <w:tcPr>
            <w:tcW w:w="1280" w:type="dxa"/>
            <w:vAlign w:val="bottom"/>
            <w:gridSpan w:val="7"/>
            <w:shd w:val="clear" w:color="auto" w:fill="CCEEFF"/>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sz w:val="2"/>
                <w:szCs w:val="2"/>
                <w:color w:val="auto"/>
              </w:rPr>
            </w:pPr>
          </w:p>
        </w:tc>
        <w:tc>
          <w:tcPr>
            <w:tcW w:w="400" w:type="dxa"/>
            <w:vAlign w:val="bottom"/>
            <w:tcBorders>
              <w:top w:val="single" w:sz="8" w:color="0000EE"/>
            </w:tcBorders>
            <w:gridSpan w:val="2"/>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gridSpan w:val="2"/>
            <w:vMerge w:val="restart"/>
          </w:tcPr>
          <w:p>
            <w:pPr>
              <w:spacing w:after="0"/>
              <w:rPr>
                <w:sz w:val="2"/>
                <w:szCs w:val="2"/>
                <w:color w:val="auto"/>
              </w:rPr>
            </w:pPr>
          </w:p>
        </w:tc>
        <w:tc>
          <w:tcPr>
            <w:tcW w:w="180" w:type="dxa"/>
            <w:vAlign w:val="bottom"/>
            <w:tcBorders>
              <w:top w:val="single" w:sz="8" w:color="0000EE"/>
            </w:tcBorders>
            <w:vMerge w:val="restart"/>
          </w:tcPr>
          <w:p>
            <w:pPr>
              <w:spacing w:after="0"/>
              <w:rPr>
                <w:sz w:val="2"/>
                <w:szCs w:val="2"/>
                <w:color w:val="auto"/>
              </w:rPr>
            </w:pPr>
          </w:p>
        </w:tc>
        <w:tc>
          <w:tcPr>
            <w:tcW w:w="880" w:type="dxa"/>
            <w:vAlign w:val="bottom"/>
            <w:tcBorders>
              <w:top w:val="single" w:sz="8" w:color="0000EE"/>
            </w:tcBorders>
            <w:gridSpan w:val="2"/>
            <w:vMerge w:val="restart"/>
          </w:tcPr>
          <w:p>
            <w:pPr>
              <w:spacing w:after="0"/>
              <w:rPr>
                <w:sz w:val="2"/>
                <w:szCs w:val="2"/>
                <w:color w:val="auto"/>
              </w:rPr>
            </w:pPr>
          </w:p>
        </w:tc>
        <w:tc>
          <w:tcPr>
            <w:tcW w:w="30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vMerge w:val="restart"/>
          </w:tcPr>
          <w:p>
            <w:pPr>
              <w:spacing w:after="0"/>
              <w:rPr>
                <w:sz w:val="2"/>
                <w:szCs w:val="2"/>
                <w:color w:val="auto"/>
              </w:rPr>
            </w:pPr>
          </w:p>
        </w:tc>
        <w:tc>
          <w:tcPr>
            <w:tcW w:w="760" w:type="dxa"/>
            <w:vAlign w:val="bottom"/>
            <w:tcBorders>
              <w:top w:val="single" w:sz="8" w:color="0000EE"/>
            </w:tcBorders>
            <w:vMerge w:val="restart"/>
          </w:tcPr>
          <w:p>
            <w:pPr>
              <w:spacing w:after="0"/>
              <w:rPr>
                <w:sz w:val="2"/>
                <w:szCs w:val="2"/>
                <w:color w:val="auto"/>
              </w:rPr>
            </w:pPr>
          </w:p>
        </w:tc>
        <w:tc>
          <w:tcPr>
            <w:tcW w:w="280" w:type="dxa"/>
            <w:vAlign w:val="bottom"/>
            <w:tcBorders>
              <w:top w:val="single" w:sz="8" w:color="0000EE"/>
            </w:tcBorders>
            <w:vMerge w:val="restart"/>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0000EE"/>
            </w:tcBorders>
            <w:vMerge w:val="restart"/>
          </w:tcPr>
          <w:p>
            <w:pPr>
              <w:spacing w:after="0"/>
              <w:rPr>
                <w:sz w:val="2"/>
                <w:szCs w:val="2"/>
                <w:color w:val="auto"/>
              </w:rPr>
            </w:pPr>
          </w:p>
        </w:tc>
        <w:tc>
          <w:tcPr>
            <w:tcW w:w="800" w:type="dxa"/>
            <w:vAlign w:val="bottom"/>
            <w:tcBorders>
              <w:top w:val="single" w:sz="8" w:color="0000EE"/>
            </w:tcBorders>
            <w:vMerge w:val="restart"/>
          </w:tcPr>
          <w:p>
            <w:pPr>
              <w:spacing w:after="0"/>
              <w:rPr>
                <w:sz w:val="2"/>
                <w:szCs w:val="2"/>
                <w:color w:val="auto"/>
              </w:rPr>
            </w:pPr>
          </w:p>
        </w:tc>
        <w:tc>
          <w:tcPr>
            <w:tcW w:w="7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CCEEFF"/>
            </w:tcBorders>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720" w:type="dxa"/>
            <w:vAlign w:val="bottom"/>
            <w:gridSpan w:val="7"/>
            <w:shd w:val="clear" w:color="auto" w:fill="CCEEFF"/>
          </w:tcPr>
          <w:p>
            <w:pPr>
              <w:spacing w:after="0" w:line="176" w:lineRule="exact"/>
              <w:rPr>
                <w:rFonts w:ascii="Arial" w:cs="Arial" w:eastAsia="Arial" w:hAnsi="Arial"/>
                <w:sz w:val="18"/>
                <w:szCs w:val="18"/>
                <w:color w:val="0000EE"/>
                <w:w w:val="89"/>
                <w:shd w:val="clear" w:color="auto" w:fill="CCEEFF"/>
              </w:rPr>
            </w:pPr>
            <w:hyperlink w:anchor="page47">
              <w:r>
                <w:rPr>
                  <w:rFonts w:ascii="Arial" w:cs="Arial" w:eastAsia="Arial" w:hAnsi="Arial"/>
                  <w:sz w:val="18"/>
                  <w:szCs w:val="18"/>
                  <w:color w:val="0000EE"/>
                  <w:w w:val="89"/>
                  <w:shd w:val="clear" w:color="auto" w:fill="CCEEFF"/>
                </w:rPr>
                <w:t>Selected Financial Data</w:t>
              </w:r>
            </w:hyperlink>
          </w:p>
        </w:tc>
        <w:tc>
          <w:tcPr>
            <w:tcW w:w="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47">
              <w:r>
                <w:rPr>
                  <w:rFonts w:ascii="Arial" w:cs="Arial" w:eastAsia="Arial" w:hAnsi="Arial"/>
                  <w:sz w:val="17"/>
                  <w:szCs w:val="17"/>
                  <w:color w:val="0000EE"/>
                  <w:w w:val="73"/>
                  <w:shd w:val="clear" w:color="auto" w:fill="CCEEFF"/>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7.</w:t>
            </w:r>
          </w:p>
        </w:tc>
        <w:tc>
          <w:tcPr>
            <w:tcW w:w="6440" w:type="dxa"/>
            <w:vAlign w:val="bottom"/>
            <w:gridSpan w:val="18"/>
            <w:shd w:val="clear" w:color="auto" w:fill="CCEEFF"/>
          </w:tcPr>
          <w:p>
            <w:pPr>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2620" w:type="dxa"/>
            <w:vAlign w:val="bottom"/>
            <w:gridSpan w:val="4"/>
            <w:shd w:val="clear" w:color="auto" w:fill="CCEEFF"/>
          </w:tcPr>
          <w:p>
            <w:pPr>
              <w:spacing w:after="0"/>
              <w:rPr>
                <w:sz w:val="21"/>
                <w:szCs w:val="21"/>
                <w:color w:val="auto"/>
              </w:rPr>
            </w:pPr>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7A.</w:t>
            </w:r>
          </w:p>
        </w:tc>
        <w:tc>
          <w:tcPr>
            <w:tcW w:w="130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1780" w:type="dxa"/>
            <w:vAlign w:val="bottom"/>
            <w:tcBorders>
              <w:top w:val="single" w:sz="8" w:color="CCEEFF"/>
            </w:tcBorders>
            <w:gridSpan w:val="2"/>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shd w:val="clear" w:color="auto" w:fill="CCEEFF"/>
              </w:rPr>
            </w:pPr>
            <w:hyperlink w:anchor="page74">
              <w:r>
                <w:rPr>
                  <w:rFonts w:ascii="Arial" w:cs="Arial" w:eastAsia="Arial" w:hAnsi="Arial"/>
                  <w:sz w:val="18"/>
                  <w:szCs w:val="18"/>
                  <w:color w:val="0000EE"/>
                  <w:w w:val="92"/>
                  <w:shd w:val="clear" w:color="auto" w:fill="CCEEFF"/>
                </w:rPr>
                <w:t>Quantitative and Qualitative Disclosures About Market Risk</w:t>
              </w:r>
            </w:hyperlink>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tcBorders>
              <w:bottom w:val="single" w:sz="8" w:color="0000EE"/>
            </w:tcBorders>
            <w:vMerge w:val="continue"/>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74">
              <w:r>
                <w:rPr>
                  <w:rFonts w:ascii="Arial" w:cs="Arial" w:eastAsia="Arial" w:hAnsi="Arial"/>
                  <w:sz w:val="17"/>
                  <w:szCs w:val="17"/>
                  <w:color w:val="0000EE"/>
                  <w:w w:val="73"/>
                  <w:shd w:val="clear" w:color="auto" w:fill="CCEEFF"/>
                </w:rPr>
                <w:t>74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8.</w:t>
            </w:r>
          </w:p>
        </w:tc>
        <w:tc>
          <w:tcPr>
            <w:tcW w:w="9060" w:type="dxa"/>
            <w:vAlign w:val="bottom"/>
            <w:gridSpan w:val="22"/>
            <w:shd w:val="clear" w:color="auto" w:fill="CCEEFF"/>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Financial Statements and Supplementary Data</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w:t>
            </w:r>
          </w:p>
        </w:tc>
        <w:tc>
          <w:tcPr>
            <w:tcW w:w="130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1360" w:type="dxa"/>
            <w:vAlign w:val="bottom"/>
            <w:tcBorders>
              <w:top w:val="single" w:sz="8" w:color="CCEEFF"/>
            </w:tcBorders>
            <w:gridSpan w:val="2"/>
          </w:tcPr>
          <w:p>
            <w:pPr>
              <w:spacing w:after="0"/>
              <w:rPr>
                <w:sz w:val="2"/>
                <w:szCs w:val="2"/>
                <w:color w:val="auto"/>
              </w:rPr>
            </w:pPr>
          </w:p>
        </w:tc>
        <w:tc>
          <w:tcPr>
            <w:tcW w:w="1040" w:type="dxa"/>
            <w:vAlign w:val="bottom"/>
            <w:tcBorders>
              <w:top w:val="single" w:sz="8" w:color="CCEEFF"/>
            </w:tcBorders>
            <w:gridSpan w:val="2"/>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1780" w:type="dxa"/>
            <w:vAlign w:val="bottom"/>
            <w:tcBorders>
              <w:top w:val="single" w:sz="8" w:color="CCEEFF"/>
            </w:tcBorders>
            <w:gridSpan w:val="2"/>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0000EE"/>
            </w:tcBorders>
            <w:gridSpan w:val="3"/>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4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shd w:val="clear" w:color="auto" w:fill="CCEEFF"/>
              </w:rPr>
            </w:pPr>
            <w:hyperlink w:anchor="page111">
              <w:r>
                <w:rPr>
                  <w:rFonts w:ascii="Arial" w:cs="Arial" w:eastAsia="Arial" w:hAnsi="Arial"/>
                  <w:sz w:val="18"/>
                  <w:szCs w:val="18"/>
                  <w:color w:val="0000EE"/>
                  <w:w w:val="90"/>
                  <w:shd w:val="clear" w:color="auto" w:fill="CCEEFF"/>
                </w:rPr>
                <w:t>Changes in and Disagreements with Accountants on Accounting and Financial Disclosure</w:t>
              </w:r>
            </w:hyperlink>
          </w:p>
        </w:tc>
        <w:tc>
          <w:tcPr>
            <w:tcW w:w="800" w:type="dxa"/>
            <w:vAlign w:val="bottom"/>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6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111">
              <w:r>
                <w:rPr>
                  <w:rFonts w:ascii="Arial" w:cs="Arial" w:eastAsia="Arial" w:hAnsi="Arial"/>
                  <w:sz w:val="18"/>
                  <w:szCs w:val="18"/>
                  <w:color w:val="0000EE"/>
                  <w:w w:val="79"/>
                  <w:shd w:val="clear" w:color="auto" w:fill="CCEEFF"/>
                </w:rPr>
                <w:t>111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Borders>
              <w:top w:val="single" w:sz="8" w:color="CCEEFF"/>
            </w:tcBorders>
          </w:tcPr>
          <w:p>
            <w:pPr>
              <w:spacing w:after="0"/>
              <w:rPr>
                <w:sz w:val="2"/>
                <w:szCs w:val="2"/>
                <w:color w:val="auto"/>
              </w:rPr>
            </w:pPr>
          </w:p>
        </w:tc>
        <w:tc>
          <w:tcPr>
            <w:tcW w:w="100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9A.</w:t>
            </w:r>
          </w:p>
        </w:tc>
        <w:tc>
          <w:tcPr>
            <w:tcW w:w="9060" w:type="dxa"/>
            <w:vAlign w:val="bottom"/>
            <w:gridSpan w:val="22"/>
            <w:shd w:val="clear" w:color="auto" w:fill="CCEEFF"/>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Controls and Procedures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111</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9B.</w:t>
            </w:r>
          </w:p>
        </w:tc>
        <w:tc>
          <w:tcPr>
            <w:tcW w:w="1300" w:type="dxa"/>
            <w:vAlign w:val="bottom"/>
            <w:tcBorders>
              <w:top w:val="single" w:sz="8" w:color="0000EE"/>
            </w:tcBorders>
            <w:gridSpan w:val="4"/>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440" w:type="dxa"/>
            <w:vAlign w:val="bottom"/>
            <w:tcBorders>
              <w:top w:val="single" w:sz="8" w:color="0000EE"/>
            </w:tcBorders>
            <w:gridSpan w:val="3"/>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180" w:type="dxa"/>
            <w:vAlign w:val="bottom"/>
            <w:tcBorders>
              <w:top w:val="single" w:sz="8" w:color="CCEEFF"/>
            </w:tcBorders>
            <w:vMerge w:val="restart"/>
          </w:tcPr>
          <w:p>
            <w:pPr>
              <w:spacing w:after="0"/>
              <w:rPr>
                <w:sz w:val="2"/>
                <w:szCs w:val="2"/>
                <w:color w:val="auto"/>
              </w:rPr>
            </w:pPr>
          </w:p>
        </w:tc>
        <w:tc>
          <w:tcPr>
            <w:tcW w:w="880" w:type="dxa"/>
            <w:vAlign w:val="bottom"/>
            <w:tcBorders>
              <w:top w:val="single" w:sz="8" w:color="CCEEFF"/>
            </w:tcBorders>
            <w:gridSpan w:val="2"/>
            <w:vMerge w:val="restart"/>
          </w:tcPr>
          <w:p>
            <w:pPr>
              <w:spacing w:after="0"/>
              <w:rPr>
                <w:sz w:val="2"/>
                <w:szCs w:val="2"/>
                <w:color w:val="auto"/>
              </w:rPr>
            </w:pPr>
          </w:p>
        </w:tc>
        <w:tc>
          <w:tcPr>
            <w:tcW w:w="300" w:type="dxa"/>
            <w:vAlign w:val="bottom"/>
            <w:tcBorders>
              <w:top w:val="single" w:sz="8" w:color="CCEEFF"/>
            </w:tcBorders>
            <w:vMerge w:val="restart"/>
          </w:tcPr>
          <w:p>
            <w:pPr>
              <w:spacing w:after="0"/>
              <w:rPr>
                <w:sz w:val="2"/>
                <w:szCs w:val="2"/>
                <w:color w:val="auto"/>
              </w:rPr>
            </w:pPr>
          </w:p>
        </w:tc>
        <w:tc>
          <w:tcPr>
            <w:tcW w:w="920" w:type="dxa"/>
            <w:vAlign w:val="bottom"/>
            <w:tcBorders>
              <w:top w:val="single" w:sz="8" w:color="CCEEFF"/>
            </w:tcBorders>
            <w:gridSpan w:val="2"/>
            <w:vMerge w:val="restart"/>
          </w:tcPr>
          <w:p>
            <w:pPr>
              <w:spacing w:after="0"/>
              <w:rPr>
                <w:sz w:val="2"/>
                <w:szCs w:val="2"/>
                <w:color w:val="auto"/>
              </w:rPr>
            </w:pPr>
          </w:p>
        </w:tc>
        <w:tc>
          <w:tcPr>
            <w:tcW w:w="1360" w:type="dxa"/>
            <w:vAlign w:val="bottom"/>
            <w:tcBorders>
              <w:top w:val="single" w:sz="8" w:color="CCEEFF"/>
            </w:tcBorders>
            <w:gridSpan w:val="2"/>
            <w:vMerge w:val="restart"/>
          </w:tcPr>
          <w:p>
            <w:pPr>
              <w:spacing w:after="0"/>
              <w:rPr>
                <w:sz w:val="2"/>
                <w:szCs w:val="2"/>
                <w:color w:val="auto"/>
              </w:rPr>
            </w:pPr>
          </w:p>
        </w:tc>
        <w:tc>
          <w:tcPr>
            <w:tcW w:w="1840" w:type="dxa"/>
            <w:vAlign w:val="bottom"/>
            <w:tcBorders>
              <w:top w:val="single" w:sz="8" w:color="CCEEFF"/>
            </w:tcBorders>
            <w:gridSpan w:val="3"/>
            <w:vMerge w:val="restart"/>
          </w:tcPr>
          <w:p>
            <w:pPr>
              <w:spacing w:after="0"/>
              <w:rPr>
                <w:sz w:val="2"/>
                <w:szCs w:val="2"/>
                <w:color w:val="auto"/>
              </w:rPr>
            </w:pPr>
          </w:p>
        </w:tc>
        <w:tc>
          <w:tcPr>
            <w:tcW w:w="1780" w:type="dxa"/>
            <w:vAlign w:val="bottom"/>
            <w:tcBorders>
              <w:top w:val="single" w:sz="8" w:color="CCEEFF"/>
            </w:tcBorders>
            <w:gridSpan w:val="2"/>
            <w:vMerge w:val="restart"/>
          </w:tcPr>
          <w:p>
            <w:pPr>
              <w:spacing w:after="0"/>
              <w:rPr>
                <w:sz w:val="2"/>
                <w:szCs w:val="2"/>
                <w:color w:val="auto"/>
              </w:rPr>
            </w:pPr>
          </w:p>
        </w:tc>
        <w:tc>
          <w:tcPr>
            <w:tcW w:w="98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260" w:type="dxa"/>
            <w:vAlign w:val="bottom"/>
            <w:tcBorders>
              <w:top w:val="single" w:sz="8" w:color="0000EE"/>
            </w:tcBorders>
            <w:gridSpan w:val="4"/>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shd w:val="clear" w:color="auto" w:fill="CCEEFF"/>
              </w:rPr>
            </w:pPr>
            <w:hyperlink w:anchor="page113">
              <w:r>
                <w:rPr>
                  <w:rFonts w:ascii="Arial" w:cs="Arial" w:eastAsia="Arial" w:hAnsi="Arial"/>
                  <w:sz w:val="18"/>
                  <w:szCs w:val="18"/>
                  <w:color w:val="0000EE"/>
                  <w:w w:val="91"/>
                  <w:shd w:val="clear" w:color="auto" w:fill="CCEEFF"/>
                </w:rPr>
                <w:t>Other Information</w:t>
              </w:r>
            </w:hyperlink>
          </w:p>
        </w:tc>
        <w:tc>
          <w:tcPr>
            <w:tcW w:w="20" w:type="dxa"/>
            <w:vAlign w:val="bottom"/>
            <w:tcBorders>
              <w:bottom w:val="single" w:sz="8" w:color="0000EE"/>
            </w:tcBorders>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26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79"/>
                <w:shd w:val="clear" w:color="auto" w:fill="CCEEFF"/>
              </w:rPr>
            </w:pPr>
            <w:hyperlink w:anchor="page113">
              <w:r>
                <w:rPr>
                  <w:rFonts w:ascii="Arial" w:cs="Arial" w:eastAsia="Arial" w:hAnsi="Arial"/>
                  <w:sz w:val="18"/>
                  <w:szCs w:val="18"/>
                  <w:color w:val="0000EE"/>
                  <w:w w:val="79"/>
                  <w:shd w:val="clear" w:color="auto" w:fill="CCEEFF"/>
                </w:rPr>
                <w:t>113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gridSpan w:val="7"/>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10.</w:t>
            </w:r>
          </w:p>
        </w:tc>
        <w:tc>
          <w:tcPr>
            <w:tcW w:w="9060" w:type="dxa"/>
            <w:vAlign w:val="bottom"/>
            <w:gridSpan w:val="22"/>
            <w:shd w:val="clear" w:color="auto" w:fill="CCEEFF"/>
          </w:tcPr>
          <w:p>
            <w:pPr>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Directors, Executive Officers and Corporate Governance</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11.</w:t>
            </w:r>
          </w:p>
        </w:tc>
        <w:tc>
          <w:tcPr>
            <w:tcW w:w="408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Executive Compensation</w:t>
              </w:r>
            </w:hyperlink>
          </w:p>
        </w:tc>
        <w:tc>
          <w:tcPr>
            <w:tcW w:w="4980" w:type="dxa"/>
            <w:vAlign w:val="bottom"/>
            <w:tcBorders>
              <w:top w:val="single" w:sz="8" w:color="CCEEFF"/>
            </w:tcBorders>
            <w:gridSpan w:val="7"/>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5"/>
          </w:tcPr>
          <w:p>
            <w:pPr>
              <w:jc w:val="right"/>
              <w:spacing w:after="0" w:line="202"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114</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12.</w:t>
            </w:r>
          </w:p>
        </w:tc>
        <w:tc>
          <w:tcPr>
            <w:tcW w:w="9060" w:type="dxa"/>
            <w:vAlign w:val="bottom"/>
            <w:gridSpan w:val="22"/>
            <w:shd w:val="clear" w:color="auto" w:fill="CCEEFF"/>
          </w:tcPr>
          <w:p>
            <w:pPr>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Security Ownership of Certain Beneficial Owners and Management and Related Stockholder Matters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Certain Relationships and Related Transactions, and Director Independence</w:t>
              </w:r>
            </w:hyperlink>
          </w:p>
        </w:tc>
        <w:tc>
          <w:tcPr>
            <w:tcW w:w="1780" w:type="dxa"/>
            <w:vAlign w:val="bottom"/>
            <w:tcBorders>
              <w:top w:val="single" w:sz="8" w:color="CCEEFF"/>
            </w:tcBorders>
            <w:gridSpan w:val="2"/>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80" w:type="dxa"/>
            <w:vAlign w:val="bottom"/>
            <w:tcBorders>
              <w:top w:val="single" w:sz="8" w:color="0000EE"/>
            </w:tcBorders>
            <w:gridSpan w:val="5"/>
          </w:tcPr>
          <w:p>
            <w:pPr>
              <w:jc w:val="right"/>
              <w:spacing w:after="0" w:line="202"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114</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14.</w:t>
            </w:r>
          </w:p>
        </w:tc>
        <w:tc>
          <w:tcPr>
            <w:tcW w:w="28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Principal Accountant Fees and Services</w:t>
              </w:r>
            </w:hyperlink>
          </w:p>
        </w:tc>
        <w:tc>
          <w:tcPr>
            <w:tcW w:w="6200" w:type="dxa"/>
            <w:vAlign w:val="bottom"/>
            <w:tcBorders>
              <w:bottom w:val="single" w:sz="8" w:color="CCEEFF"/>
            </w:tcBorders>
            <w:gridSpan w:val="10"/>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line="202"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114</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PART IV</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Exhibits and Financial Statement Schedules</w:t>
              </w:r>
            </w:hyperlink>
          </w:p>
        </w:tc>
        <w:tc>
          <w:tcPr>
            <w:tcW w:w="5900" w:type="dxa"/>
            <w:vAlign w:val="bottom"/>
            <w:tcBorders>
              <w:bottom w:val="single" w:sz="8" w:color="CCEEFF"/>
            </w:tcBorders>
            <w:gridSpan w:val="9"/>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line="202"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115</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Signatures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gridSpan w:val="7"/>
          </w:tcPr>
          <w:p>
            <w:pPr>
              <w:jc w:val="right"/>
              <w:ind w:right="20"/>
              <w:spacing w:after="0" w:line="202" w:lineRule="exact"/>
              <w:rPr>
                <w:rFonts w:ascii="Arial" w:cs="Arial" w:eastAsia="Arial" w:hAnsi="Arial"/>
                <w:sz w:val="18"/>
                <w:szCs w:val="18"/>
                <w:color w:val="0000EE"/>
              </w:rPr>
            </w:pPr>
            <w:hyperlink w:anchor="page118">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140" w:type="dxa"/>
            <w:vAlign w:val="bottom"/>
            <w:gridSpan w:val="25"/>
            <w:shd w:val="clear" w:color="auto" w:fill="CCEEFF"/>
          </w:tcPr>
          <w:p>
            <w:pPr>
              <w:ind w:left="40"/>
              <w:spacing w:after="0" w:line="202"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Index to Financial Statement Schedules</w:t>
              </w:r>
            </w:hyperlink>
          </w:p>
        </w:tc>
        <w:tc>
          <w:tcPr>
            <w:tcW w:w="1280" w:type="dxa"/>
            <w:vAlign w:val="bottom"/>
            <w:gridSpan w:val="7"/>
            <w:shd w:val="clear" w:color="auto" w:fill="CCEEFF"/>
          </w:tcPr>
          <w:p>
            <w:pPr>
              <w:jc w:val="right"/>
              <w:ind w:right="20"/>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r>
        <w:trPr>
          <w:trHeight w:val="864"/>
        </w:trPr>
        <w:tc>
          <w:tcPr>
            <w:tcW w:w="40" w:type="dxa"/>
            <w:vAlign w:val="bottom"/>
            <w:tcBorders>
              <w:top w:val="single" w:sz="8" w:color="CCEEFF"/>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gridSpan w:val="10"/>
          </w:tcPr>
          <w:p>
            <w:pPr>
              <w:spacing w:after="0"/>
              <w:rPr>
                <w:sz w:val="24"/>
                <w:szCs w:val="24"/>
                <w:color w:val="auto"/>
              </w:rPr>
            </w:pPr>
          </w:p>
        </w:tc>
        <w:tc>
          <w:tcPr>
            <w:tcW w:w="3460" w:type="dxa"/>
            <w:vAlign w:val="bottom"/>
            <w:tcBorders>
              <w:top w:val="single" w:sz="8" w:color="CCEEFF"/>
            </w:tcBorders>
            <w:gridSpan w:val="7"/>
          </w:tcPr>
          <w:p>
            <w:pPr>
              <w:jc w:val="right"/>
              <w:ind w:right="760"/>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jc w:val="both"/>
        <w:ind w:left="1140" w:hanging="322"/>
        <w:spacing w:after="0" w:line="264"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 generally, or with first time homebuyers or on very high loan-to-value mortgages;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actions of existing competitors, including other private mortgage insurers and government mortgage insurers like the Federal Housing Administration (FHA), the U.S. Department of Agriculture's Rural Housing Service (USDA) and the Veterans Administration (VA) (collectively, government MIs), and potential market entry by new competitors or consolidation of existing competitors;</w:t>
      </w:r>
    </w:p>
    <w:p>
      <w:pPr>
        <w:spacing w:after="0" w:line="57" w:lineRule="exact"/>
        <w:rPr>
          <w:rFonts w:ascii="Arial" w:cs="Arial" w:eastAsia="Arial" w:hAnsi="Arial"/>
          <w:sz w:val="17"/>
          <w:szCs w:val="17"/>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jc w:val="both"/>
        <w:ind w:left="1140" w:hanging="322"/>
        <w:spacing w:after="0" w:line="312"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adoption of new or changes to existing laws and regulations that impact our business or financial condition directly or the mortgage insurance industry generally or their enforcement and implementation by regulators including any action by the Consumer Financial Protection Bureau to address the planned expiration of the "QM Patch" under the Dodd-Frank Act Ability to Repay/Qualified Mortgage rule;</w:t>
      </w:r>
    </w:p>
    <w:p>
      <w:pPr>
        <w:spacing w:after="0" w:line="38" w:lineRule="exact"/>
        <w:rPr>
          <w:rFonts w:ascii="Arial" w:cs="Arial" w:eastAsia="Arial" w:hAnsi="Arial"/>
          <w:sz w:val="16"/>
          <w:szCs w:val="16"/>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3"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3" w:name="page4"/>
    <w:bookmarkEnd w:id="3"/>
    <w:p>
      <w:pPr>
        <w:ind w:left="1140" w:hanging="322"/>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1140" w:hanging="322"/>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impacts arising from natural disasters, including, with respect to affected areas, a decline in new business, adverse effects on home prices, and an increase in notices of default on insured mortgages;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more information regarding these risks and uncertainties as well as certain additional risks that we face, you should refer to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described in this report in Item 1A, "</w:t>
      </w:r>
      <w:r>
        <w:rPr>
          <w:rFonts w:ascii="Arial" w:cs="Arial" w:eastAsia="Arial" w:hAnsi="Arial"/>
          <w:sz w:val="18"/>
          <w:szCs w:val="18"/>
          <w:i w:val="1"/>
          <w:iCs w:val="1"/>
          <w:color w:val="auto"/>
        </w:rPr>
        <w:t>Risk Factors,</w:t>
      </w:r>
      <w:r>
        <w:rPr>
          <w:rFonts w:ascii="Arial" w:cs="Arial" w:eastAsia="Arial" w:hAnsi="Arial"/>
          <w:sz w:val="18"/>
          <w:szCs w:val="18"/>
          <w:color w:val="auto"/>
        </w:rPr>
        <w:t>"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including the exhibits hereto.</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provide mortgage insurance (referred to as "mortgage insurance" or "MI") through our wholly-owned insurance subsidiaries, National Mortgage Insurance Corporation (NMIC) and National Mortgage Reinsurance Inc One (Re One). NMIC and Re One are domiciled in Wisconsin and principally regulated by the Wisconsin Office of the Commissioner of Insurance (Wisconsin OCI). NMIC is our primary insurance subsidiary, and is approved as an MI provider by the GSEs and is licensed to write MI coverage in all 50 states and D.C. Re One provides reinsurance to NMIC on certain insured loans after giving effect to third-party reinsurance. Our subsidiary, NMI Services, Inc. (NMIS), provides outsourced loan review services to mortgage loan originators.</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2019, we had master policies with 1,476 customers, including national and regional mortgage banks, money center banks, credit unions, community banks, builder-owned mortgage lenders, internet-sourced lenders and other non-bank lenders. As of December 31, 2019, we had $97.3 billion of total insurance-in-force (IIF), including primary IIF of $94.8 billion, and $24.3 billion of gross risk-in-force (RIF), including primary RIF of $24.2 billion. For the year ended December 31, 2019, we generated new insurance written (NIW) of $45.1 billion. As of December 31, 2019, we had 321 full- and part-time employees..</w:t>
      </w:r>
    </w:p>
    <w:p>
      <w:pPr>
        <w:spacing w:after="0" w:line="1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utilize our proprietary Rate GPS</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under the symbol "NMIH."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Residential Mortgage Finance and the Role of the Private MI Industry in the Current Operating Environment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Residential Mortgage Market</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According to statistics published by the U.S. Federal Reserve, the U.S. residential mortgage market is one of the largest in the world, with more than $11 trillion of mortgage debt outstanding as of December 31, 2019,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residential mortgage market attracts and involves participation from a range of private and governmental institutions. Private industry participants include national and regional mortgage banks, money center banks, mortgage brokers, community banks, builder-owned mortgage lenders, internet-sourced lenders, commercial, regional and investment banks, savings institutions, credit unions, real estate investment trusts (REITs) and other financial institutions. Government participants include government agencies such as the government MIs (</w:t>
      </w:r>
      <w:r>
        <w:rPr>
          <w:rFonts w:ascii="Arial" w:cs="Arial" w:eastAsia="Arial" w:hAnsi="Arial"/>
          <w:sz w:val="18"/>
          <w:szCs w:val="18"/>
          <w:i w:val="1"/>
          <w:iCs w:val="1"/>
          <w:color w:val="auto"/>
        </w:rPr>
        <w:t>e.g.</w:t>
      </w:r>
      <w:r>
        <w:rPr>
          <w:rFonts w:ascii="Arial" w:cs="Arial" w:eastAsia="Arial" w:hAnsi="Arial"/>
          <w:sz w:val="18"/>
          <w:szCs w:val="18"/>
          <w:color w:val="auto"/>
        </w:rPr>
        <w:t>, FHA, USDA and VA) and Ginnie Mae, as well as government-sponsored enterprises, such as Fannie Mae and Freddie Mac.</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3"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b w:val="1"/>
          <w:bCs w:val="1"/>
          <w:i w:val="1"/>
          <w:iCs w:val="1"/>
          <w:color w:val="auto"/>
        </w:rPr>
        <w:t>GSEs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demand for high-LTV loans, mortgage insurance requirements and business practices. See "</w:t>
      </w:r>
      <w:r>
        <w:rPr>
          <w:rFonts w:ascii="Arial" w:cs="Arial" w:eastAsia="Arial" w:hAnsi="Arial"/>
          <w:sz w:val="16"/>
          <w:szCs w:val="16"/>
          <w:i w:val="1"/>
          <w:iCs w:val="1"/>
          <w:color w:val="auto"/>
        </w:rPr>
        <w:t>Business - U.S. Mortgage Insurance Regulation - GSE Oversight</w:t>
      </w:r>
      <w:r>
        <w:rPr>
          <w:rFonts w:ascii="Arial" w:cs="Arial" w:eastAsia="Arial" w:hAnsi="Arial"/>
          <w:sz w:val="16"/>
          <w:szCs w:val="16"/>
          <w:color w:val="auto"/>
        </w:rPr>
        <w:t>," below.</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competition includes other private mortgage insurers, government MIs and other alternatives designed to eliminate the need for MI, such as piggy-back loans or front-end risk sharing arrangements that do not require private MI on loans sold to the GSEs.</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private MI industry is highly competitive and currently consists of six active participants, including us, Arch Capital Group Ltd., Essent Group Ltd. (Essent), Genworth Financial,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and other private mortgage insurers also compete directly with the government MI companies, who significantly increased their share in the MI market following the 2008 financial crisis. Prior to the financial crisis, private mortgage insurers accounted for the majority of the insured mortgage origination market. During the financial crisis, the government MIs captured an increasing share of the high-LTV MI market as incumbent private mortgage insurers came under significant financial stress. According to data reported by Inside Mortgage Finance, in 2007, government MIs accounted for 23% of the total insured mortgage origination market. By 2009, government MI share had peaked at approximately 82% of the total insured mortgage origination market. Government MI share has since declined and is estimated to have been 54% in 2019. Previous rate actions and product introductions continue to impact the government MIs' market share and by extension the private MI market.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decision to choose private over government MI, including among others, GSE demand, premium rates and other charges, loan eligibility requirements, cancelability, loan size limits and the relative ease of use of private MI products compared to government MI alternatives.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 Products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two principal types of MI coverage, primary and pool.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Mortgage Insurance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Primary MI provides default protection on individual mortgage loans at specified coverage percentages. Primary MI is typically written on a flow basis, whereby mortgages are insured on an individual, loan-by-loan basis at the time of origination.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Primary MI can also be written on an aggregated basis, whereby each mortgage in a given loan portfolio is individually insured in a single transaction after the point of origination.</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Lenders select specific coverage levels for each loan insured on a primary basis. For loans sold to a GSE, the coverage level must comply with the requirements established by that GSE. For other loans, lenders determine their desired coverage levels.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maximum obligation with respect to a claim is generally determined by multiplying the selected coverage percentage by the loss amount on an insured loan. The loss amount is defined in our master mortgage insurance policy (together with any related endorsements, the Master Policy) and includes unpaid loan principal, delinquent interest and certain expenses associated with the default and subsequent foreclosure or sale of the property securing the insured loan. See "</w:t>
      </w:r>
      <w:r>
        <w:rPr>
          <w:rFonts w:ascii="Arial" w:cs="Arial" w:eastAsia="Arial" w:hAnsi="Arial"/>
          <w:sz w:val="16"/>
          <w:szCs w:val="16"/>
          <w:i w:val="1"/>
          <w:iCs w:val="1"/>
          <w:color w:val="auto"/>
        </w:rPr>
        <w:t>Business - Defaults and Claims; Loss Mitigation - Defaults and Claims</w:t>
      </w:r>
      <w:r>
        <w:rPr>
          <w:rFonts w:ascii="Arial" w:cs="Arial" w:eastAsia="Arial" w:hAnsi="Arial"/>
          <w:sz w:val="16"/>
          <w:szCs w:val="16"/>
          <w:color w:val="auto"/>
        </w:rPr>
        <w:t>," below for a description of our claim settlement processes.</w:t>
      </w:r>
    </w:p>
    <w:p>
      <w:pPr>
        <w:spacing w:after="0" w:line="1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our primary mortgage insurance coverage are governed by the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We are currently implementing a new master mortgage insurance policy that will replace our existing Master Policy (the 2014 Master Policy) and provide terms of coverage for NIW associated with MI applications we receive on and after March 1, 2020 (the 2020 Master Policy, and together with the 2014 Master Policy, the Master Policies). IIF written prior to March 1, 2020 will continue to be covered under our 2014 Master Policy. Our Master Policies are publicly available on our website. Upon receipt of an insurable loan, we issue a certificate of insurance that extends coverage for such loan under the applicable Master Policy. See "</w:t>
      </w:r>
      <w:r>
        <w:rPr>
          <w:rFonts w:ascii="Arial" w:cs="Arial" w:eastAsia="Arial" w:hAnsi="Arial"/>
          <w:sz w:val="17"/>
          <w:szCs w:val="17"/>
          <w:i w:val="1"/>
          <w:iCs w:val="1"/>
          <w:color w:val="auto"/>
        </w:rPr>
        <w:t>Business - Underwriting</w:t>
      </w:r>
      <w:r>
        <w:rPr>
          <w:rFonts w:ascii="Arial" w:cs="Arial" w:eastAsia="Arial" w:hAnsi="Arial"/>
          <w:sz w:val="17"/>
          <w:szCs w:val="17"/>
          <w:color w:val="auto"/>
        </w:rPr>
        <w:t>," below for a description of our underwriting processes. Our MI coverage attaches at a loan level and remains in effect whether a mortgage is retained by the originating lender or sold, assigned or otherwise transferred in the secondary market. We consider the original lender or any subsequent owner of an insured loan to be our insured or, with respect to the GSEs, third-party beneficiaries under our Master Policies.</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borrower paid mortgage insurance (BPMI) and those with premium payments made by the lender are referred to as lender paid mortgage insurance (LPMI). Lenders may structure loans to recover LPMI premiums from borrowers, including through increases in mortgage note rates or higher origination fees.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debt-to-income (DTI) profiles, and market and macroeconomic conditions. We have discretion under our rates and rating rules to flex our premium rates to a limited degree, and we may choose to do so for lenders or programs that meet certain criteria. We generally cannot change premium rates on insured loans after coverage is established.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premiums are calculated as a percentage of the original principal balance of an insured loan. We have four premium plans:</w:t>
      </w:r>
    </w:p>
    <w:p>
      <w:pPr>
        <w:spacing w:after="0" w:line="171" w:lineRule="exact"/>
        <w:rPr>
          <w:sz w:val="20"/>
          <w:szCs w:val="20"/>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single — entire premium is paid upfront at the time coverage is placed;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 premiums are paid in advance for a subsequent 12 month period over the life of a policy;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monthly — premiums are paid in advance on a monthly basis over the life of the policy; and</w:t>
      </w:r>
    </w:p>
    <w:p>
      <w:pPr>
        <w:spacing w:after="0" w:line="117" w:lineRule="exact"/>
        <w:rPr>
          <w:rFonts w:ascii="Arial" w:cs="Arial" w:eastAsia="Arial" w:hAnsi="Arial"/>
          <w:sz w:val="18"/>
          <w:szCs w:val="18"/>
          <w:color w:val="auto"/>
        </w:rPr>
      </w:pPr>
    </w:p>
    <w:p>
      <w:pPr>
        <w:ind w:left="1140" w:hanging="322"/>
        <w:spacing w:after="0" w:line="216"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Monthly Advantage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premiums are billed upon our receipt of notice of a mortgage close and then paid in arrears on a monthly basis over the life of the policy.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7" w:right="239" w:bottom="1440" w:gutter="0" w:footer="0" w:header="0"/>
        </w:sectPr>
      </w:pPr>
    </w:p>
    <w:bookmarkStart w:id="7" w:name="page8"/>
    <w:bookmarkEnd w:id="7"/>
    <w:p>
      <w:pPr>
        <w:jc w:val="both"/>
        <w:ind w:firstLine="648"/>
        <w:spacing w:after="0" w:line="269" w:lineRule="auto"/>
        <w:rPr>
          <w:sz w:val="20"/>
          <w:szCs w:val="20"/>
          <w:color w:val="auto"/>
        </w:rPr>
      </w:pPr>
      <w:r>
        <w:rPr>
          <w:rFonts w:ascii="Arial" w:cs="Arial" w:eastAsia="Arial" w:hAnsi="Arial"/>
          <w:sz w:val="17"/>
          <w:szCs w:val="17"/>
          <w:color w:val="auto"/>
        </w:rPr>
        <w:t>In general, we may not terminate MI coverage except when an insured fails to pay premium as due or for certain material violations of our Master Policy; although, as discussed below in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 </w:t>
      </w:r>
      <w:r>
        <w:rPr>
          <w:rFonts w:ascii="Arial" w:cs="Arial" w:eastAsia="Arial" w:hAnsi="Arial"/>
          <w:sz w:val="17"/>
          <w:szCs w:val="17"/>
          <w:i w:val="1"/>
          <w:iCs w:val="1"/>
          <w:color w:val="auto"/>
        </w:rPr>
        <w:t>Underwriting - Independent Validation and Rescission Relief</w:t>
      </w:r>
      <w:r>
        <w:rPr>
          <w:rFonts w:ascii="Arial" w:cs="Arial" w:eastAsia="Arial" w:hAnsi="Arial"/>
          <w:sz w:val="17"/>
          <w:szCs w:val="17"/>
          <w:color w:val="auto"/>
        </w:rPr>
        <w:t>," the terms of our Master Policy restrict our ability to rescind coverage when certain criteria are met. Insureds may cancel coverage on a loan at any time at their option or upon mortgage repayment, 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The federal Homeowners Protection Act of 1998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Pool 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Pool insurance is generally used to provide additional "credit enhancement"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aggregate loss on the pool of loans exceeds the deductible.</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2013, NMIC entered into a pool agreement with Fannie Mae, pursuant to which NMIC initially insured 21,921 loans with IIF of $5.2 billion (as of September 1, 2013). Fannie Mae pays monthly premiums for this transaction, which are recorded as written and earned in the month received. The agreement has a term of 10 years from September 1, 2013, the coverage effective date. The RIF to NMIC is $93.1 million, which represents the difference between a deductible payable by Fannie Mae on initial losses and a stop loss above which losses are borne by Fannie Mae. NMIC provides this same level of risk coverage over the term of the agreement. 100% of this pool risk is reinsured under the Company's September 2016 quota-share reinsurance transaction (2016 QSR Transaction), discussed below at "</w:t>
      </w:r>
      <w:r>
        <w:rPr>
          <w:rFonts w:ascii="Arial" w:cs="Arial" w:eastAsia="Arial" w:hAnsi="Arial"/>
          <w:sz w:val="17"/>
          <w:szCs w:val="17"/>
          <w:i w:val="1"/>
          <w:iCs w:val="1"/>
          <w:color w:val="auto"/>
        </w:rPr>
        <w:t>Business - Reinsurance - Third Party Reinsurance - Quota Share Reinsurance</w:t>
      </w:r>
      <w:r>
        <w:rPr>
          <w:rFonts w:ascii="Arial" w:cs="Arial" w:eastAsia="Arial" w:hAnsi="Arial"/>
          <w:sz w:val="17"/>
          <w:szCs w:val="17"/>
          <w:color w:val="auto"/>
        </w:rPr>
        <w:t>."</w:t>
      </w:r>
    </w:p>
    <w:p>
      <w:pPr>
        <w:spacing w:after="0" w:line="124" w:lineRule="exact"/>
        <w:rPr>
          <w:sz w:val="20"/>
          <w:szCs w:val="20"/>
          <w:color w:val="auto"/>
        </w:rPr>
      </w:pPr>
    </w:p>
    <w:p>
      <w:pPr>
        <w:ind w:left="340" w:right="540" w:firstLine="324"/>
        <w:spacing w:after="0" w:line="438" w:lineRule="auto"/>
        <w:rPr>
          <w:sz w:val="20"/>
          <w:szCs w:val="20"/>
          <w:color w:val="auto"/>
        </w:rPr>
      </w:pPr>
      <w:r>
        <w:rPr>
          <w:rFonts w:ascii="Arial" w:cs="Arial" w:eastAsia="Arial" w:hAnsi="Arial"/>
          <w:sz w:val="18"/>
          <w:szCs w:val="18"/>
          <w:color w:val="auto"/>
        </w:rPr>
        <w:t xml:space="preserve">We did not write any pool insurance in 2019 and at present do not expect to write any meaningful amount of pool insurance in the near future. </w:t>
      </w:r>
      <w:r>
        <w:rPr>
          <w:rFonts w:ascii="Arial" w:cs="Arial" w:eastAsia="Arial" w:hAnsi="Arial"/>
          <w:sz w:val="18"/>
          <w:szCs w:val="18"/>
          <w:b w:val="1"/>
          <w:bCs w:val="1"/>
          <w:i w:val="1"/>
          <w:iCs w:val="1"/>
          <w:color w:val="auto"/>
        </w:rPr>
        <w:t>Loan Review Services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offer outsourced loan review services to mortgage originators through NMIS. In connection with these services, NMIS reviews loan data and documentation and assesses whether individual loan applications comply with the originator's and/or GSE underwriting guidelines. We provide loan review services for mortgages that require MI and those that do not. Under the terms of its loan review agreements, NMIS provides customers with limited indemnification against losses for certain material loan review errors. The indemnification may be in the form of monetary or other remedies, subject to per loan and annual limits. NMIS utilizes third party service providers to conduct individual loan reviews.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Since our inception, we have sought to establish customer relationships with a broad group of mortgage lenders. As of December 31, 2019, we had Master Policies with 1,476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spacing w:after="0" w:line="1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further define customers as "centralized" or "decentralized" based on how they allocate their mortgage insurance purchasing decisions across each of their MI providers. Centralized lenders make decisions about the placement and allocation of private mortgage insurance at a centralized, corporate level. Decentralized lenders make decisions about the placement and allocation of private mortgage insurance at a loan level by loan production personnel, such as loan officers. National Account lenders primarily utilize the centralized allocation model and Regional Account lenders primarily utilize the decentralized allocation model. There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7"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are, however, a number of National Account lenders who opt for a decentralized approach and a number of Regional Account lenders who opt for a centralized approach.</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GSEs, as major purchasers of conventional mortgage loans in the U.S., are the primary beneficiaries of our mortgage insurance coverage.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Revenues from our customers have been generated in the U.S. only.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Customers exceeding 10% of consolidated 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individual customer accounted for greater than 10% of our consolidated revenues in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small or regional lenders, such as community banks, credit unions, mortgage bankers and branches of National Accounts. We also maintain a dedicated customer service team, which we refer to as the Solution Center and which offers support in loan submission and underwriting service, risk management and technology to support our sales efforts.</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 loans and issue policies through two underwriting platforms:</w:t>
      </w:r>
    </w:p>
    <w:p>
      <w:pPr>
        <w:spacing w:after="0" w:line="171" w:lineRule="exact"/>
        <w:rPr>
          <w:sz w:val="20"/>
          <w:szCs w:val="20"/>
          <w:color w:val="auto"/>
        </w:rPr>
      </w:pPr>
    </w:p>
    <w:p>
      <w:pPr>
        <w:jc w:val="both"/>
        <w:ind w:left="1140" w:hanging="322"/>
        <w:spacing w:after="0" w:line="264" w:lineRule="auto"/>
        <w:tabs>
          <w:tab w:leader="none" w:pos="11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Non-Delegated</w:t>
      </w:r>
      <w:r>
        <w:rPr>
          <w:rFonts w:ascii="Arial" w:cs="Arial" w:eastAsia="Arial" w:hAnsi="Arial"/>
          <w:sz w:val="18"/>
          <w:szCs w:val="18"/>
          <w:color w:val="auto"/>
        </w:rPr>
        <w:t>: Customers submit loan information and documentation to us so that we may individually underwrite each application to reach</w:t>
      </w:r>
      <w:r>
        <w:rPr>
          <w:rFonts w:ascii="Arial" w:cs="Arial" w:eastAsia="Arial" w:hAnsi="Arial"/>
          <w:sz w:val="18"/>
          <w:szCs w:val="18"/>
          <w:i w:val="1"/>
          <w:iCs w:val="1"/>
          <w:color w:val="auto"/>
        </w:rPr>
        <w:t xml:space="preserve"> </w:t>
      </w:r>
      <w:r>
        <w:rPr>
          <w:rFonts w:ascii="Arial" w:cs="Arial" w:eastAsia="Arial" w:hAnsi="Arial"/>
          <w:sz w:val="18"/>
          <w:szCs w:val="18"/>
          <w:color w:val="auto"/>
        </w:rPr>
        <w:t>a decision as to whether we will insure a loan. On receipt of a non-delegated submission, we review the information, documentation and data provided by the lender to underwrite the MI application.</w:t>
      </w:r>
    </w:p>
    <w:p>
      <w:pPr>
        <w:spacing w:after="0" w:line="73" w:lineRule="exact"/>
        <w:rPr>
          <w:rFonts w:ascii="Arial" w:cs="Arial" w:eastAsia="Arial" w:hAnsi="Arial"/>
          <w:sz w:val="18"/>
          <w:szCs w:val="18"/>
          <w:i w:val="1"/>
          <w:iCs w:val="1"/>
          <w:color w:val="auto"/>
        </w:rPr>
      </w:pPr>
    </w:p>
    <w:p>
      <w:pPr>
        <w:jc w:val="both"/>
        <w:ind w:left="1140" w:hanging="322"/>
        <w:spacing w:after="0" w:line="293" w:lineRule="auto"/>
        <w:tabs>
          <w:tab w:leader="none" w:pos="11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Delegated</w:t>
      </w:r>
      <w:r>
        <w:rPr>
          <w:rFonts w:ascii="Arial" w:cs="Arial" w:eastAsia="Arial" w:hAnsi="Arial"/>
          <w:sz w:val="16"/>
          <w:szCs w:val="16"/>
          <w:color w:val="auto"/>
        </w:rPr>
        <w:t>: We provide eligible customers who we have vetted and approved with the ability to directly underwrite our policies and bind our</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based on pre-established eligibility rules, approved underwriting guidelines and according to the terms of our Master Policy.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w:t>
      </w:r>
    </w:p>
    <w:p>
      <w:pPr>
        <w:spacing w:after="0" w:line="1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employ a team of experienced underwriters who review and evaluate our non-delegated loan submissions. Our underwriters are located remotely across the continental United States, facilitating our ability to service our customers nationwide across the different time zones. We also engage third-party underwriting service providers (USPs) who provide us with incremental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underwriting capacity. We train and require our USPs to follow the same processes and underwriting guidelines that our own employees follow when rendering insurance decisions.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has been subject to modest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An increase in refinancing volume may limit the seasonal effect of home purchase patterns on mortgage insurance NIW.</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Independent Validation and Rescission Relief</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offer post-closing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on an accelerated basis that we will not rescind coverage under certain circumstances. We believe our Master Policies set forth clear and straightforward terms regarding our rescission rights, including limitations on our right to rescind coverage when certain conditions are met, which we refer to as "rescission relief." National MI’s rescission relief program includes early and payment-based rescission relief options for both delegated and non-delegated loans, as described below.</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September 2018, the GSEs issued revised Amended and Restated GSE Rescission Relief Principles (RRPs), the rescission relief provisions that are required to, or may, be included in the master policies of GSE-approved mortgage insurers. We are implementing the 2020 Master Policy, in part, to provide terms of coverage that conform to the requirements of the revised RRPs for MI applications we receive on and after March 1, 2020. Our Master Policies generally provide us the ability to rescind coverage of a loan if there are material misrepresentations, significant underwriting defects and/or fraud in the origination process. When we rescind coverage of a loan, we cancel the certificate as of the original certificate effective date and return all premiums received related to the impacted loan.</w:t>
      </w:r>
    </w:p>
    <w:p>
      <w:pPr>
        <w:spacing w:after="0" w:line="1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qualify for the earliest rescission relief we can provide on a loan, we are required to conduct an independent validation of such loan. Lenders have the ability to select whether or not to have insured loans subjected to our post-close independent validation processes. Subject to our validation of coverage of an insured loan, we stipulate in our Master Policies that we will not rescind coverage of such loan for certain material misrepresentations or underwriting defects, provided the terms of the applicable Master Policy are met. In our 2014 Master Policy, a loan may be eligible for early rescission relief following an independent validation, if the borrower makes the first 12 monthly mortgage payments on time. Under the 2020 Master Policy, we are required to grant rescission relief following our satisfactory completion of an independent validation, rather than waiting for the borrower to timely make the first 12 payments. In addition, the 2020 Master Policy provides for a "closing document exception", which permits eligible non-delegated lenders to obtain early rescission relief without post-close independent validations of qualifying loans, if the borrower timely makes the first 12 mortgage payments.</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Insured loans that do not qualify for early rescission relief may still achieve rescission relief based on a borrower’s payment history at the 36th or 60th month, provided the conditions in the applicable Master Policy are satisfied. Under both of our Master Policies, if a lender has elected not to pursue independent validation and accelerated rescission relief, the loan is still eligible for rescission relief if it is current after 36 months and the borrower has had no more than two 30-day delinquencies and no 60-day or greater delinquencies during such 36-month period. The 2020 Master Policy further provides for a sunset of our rescission rights at the 60-month anniversary of the inception of coverage of an insured loan, provided such loan is then current or subsequently cures.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Master Policies include additional limitations on our ability to initiate certain investigations or to request information from our insureds after a loan has achieved rescission relief. On the other hand, rescission relief does not limit our rights and remedies (</w:t>
      </w:r>
      <w:r>
        <w:rPr>
          <w:rFonts w:ascii="Arial" w:cs="Arial" w:eastAsia="Arial" w:hAnsi="Arial"/>
          <w:sz w:val="18"/>
          <w:szCs w:val="18"/>
          <w:i w:val="1"/>
          <w:iCs w:val="1"/>
          <w:color w:val="auto"/>
        </w:rPr>
        <w:t>i.e.,</w:t>
      </w:r>
      <w:r>
        <w:rPr>
          <w:rFonts w:ascii="Arial" w:cs="Arial" w:eastAsia="Arial" w:hAnsi="Arial"/>
          <w:sz w:val="18"/>
          <w:szCs w:val="18"/>
          <w:color w:val="auto"/>
        </w:rPr>
        <w:t xml:space="preserve"> we retain our rescission rights) under certain life-of-coverage exclusions, including for fraud and pattern activity; however, the evidentiary standard we must meet to pursue these rights under the 2020 Master Policy is more stringent than in the current Master Policy.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7" w:right="239" w:bottom="1440" w:gutter="0" w:footer="0" w:header="0"/>
        </w:sectPr>
      </w:pPr>
    </w:p>
    <w:bookmarkStart w:id="10" w:name="page11"/>
    <w:bookmarkEnd w:id="10"/>
    <w:p>
      <w:pPr>
        <w:jc w:val="both"/>
        <w:ind w:firstLine="648"/>
        <w:spacing w:after="0" w:line="259" w:lineRule="auto"/>
        <w:rPr>
          <w:sz w:val="20"/>
          <w:szCs w:val="20"/>
          <w:color w:val="auto"/>
        </w:rPr>
      </w:pPr>
      <w:r>
        <w:rPr>
          <w:rFonts w:ascii="Arial" w:cs="Arial" w:eastAsia="Arial" w:hAnsi="Arial"/>
          <w:sz w:val="18"/>
          <w:szCs w:val="18"/>
          <w:color w:val="auto"/>
        </w:rPr>
        <w:t>Non-delegated lenders who desire our earliest rescission relief are required to submit additional loan documentation post-closing that allows us to independently validate such loans, including a loan's closing disclosures, note, executed mortgage and title insurance commitment. Loans from non-delegated lenders that do not achieve early rescission relief are eligible for 36-month or 60-month rescission relief in accordance with the terms of the applicable Master Policy.</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Delegated lenders who desire our earliest rescission relief are required to submit a full file (which contains all the underwriting information and documentation otherwise required by us as part of a non-delegated review and the above-referenced post-closing documentation) after a loan's coverage effective date. We refer to our independent validation of delegated loans as our "Delegated Assurance Review" or "DAR" process. Through DAR, we assess and validate the MI underwriting process and decisions made by our delegated customers on an individual loan level basis. Loans from delegated lenders who choose not to participate in our DAR process are eligible for 36 or 60-month rescission relief in accordance with the terms of the applicable Master Policy.</w:t>
      </w:r>
    </w:p>
    <w:p>
      <w:pPr>
        <w:spacing w:after="0" w:line="10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loans, whether included in our post-close validation processes or not, are eligible for review under our quality control process, and such QC reviews qualify as independent validations for such loans, making them eligible for early rescission relief.</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engage USPs to perform the majority of our delegated and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Pricing</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utilize a proprietary risk-based pricing platform, which we refer to as Rate GPS, to establish individualized premium rates for most new loans that we insure based on our modeled view of the relative risk and anticipated performance of each loan. Rate GPS considers a broad range of variables, including property type, type of loan product, borrower credit characteristics, and lender and market factors, and provides us with the ability to set and charge premium rates commensurate with the underlying risk of each loan that we insure.</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introduced Rate GPS in June 2018 to replace our previous rate card pricing system. While we expect most of our new business will be priced through Rate GPS, we also continue to offer a rate card pricing option to a limited number of lender customers who require a rate card for business process reasons.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pricing approach targets through-the-cycle returns that exceed our cost of capital.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Servicing</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Policy Servicing Department is responsible for various servicing activities related to Master Policy and certificate administration, premium billing and payment processing. Our Policy Servicing Department primarily interfaces with our insureds' mortgage loan servicers. Some insureds retain the servicing rights and responsibilities for their own loan originations, while others transfer such rights and responsibilities to third 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Our servicing specialists are assigned to our servicers to assist with day-to-day transactions and monitoring of their insured loans.</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applicable Master Policy and to all defenses we may have had prior to any such sale, assignment or transfer. Under the Master Policy, if the servicing rights for a loan are sold, assigned or transferred to a servicer we approve, coverage of the loan will continue. We have the right under our Master Policy to revoke approval of a servicer; if the impacted insureds wish to maintain coverage of insured loans serviced by the disapproved provider, such insureds must find another servicer that we approve.</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policies and procedures accommodate various methods for servicers to communicate loan and certificate information to us. Our Master Policies require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11" w:name="page12"/>
    <w:bookmarkEnd w:id="11"/>
    <w:p>
      <w:pPr>
        <w:jc w:val="both"/>
        <w:ind w:right="20"/>
        <w:spacing w:after="0" w:line="308" w:lineRule="auto"/>
        <w:rPr>
          <w:sz w:val="20"/>
          <w:szCs w:val="20"/>
          <w:color w:val="auto"/>
        </w:rPr>
      </w:pPr>
      <w:r>
        <w:rPr>
          <w:rFonts w:ascii="Arial" w:cs="Arial" w:eastAsia="Arial" w:hAnsi="Arial"/>
          <w:sz w:val="17"/>
          <w:szCs w:val="17"/>
          <w:color w:val="auto"/>
        </w:rPr>
        <w:t>parties' servicing platforms are used by the majority of our larger servicing accounts to exchange billing, payment and certificate level information on a daily or monthly basis. Servicers may also use our own external facing servicing website to process their servicing transactions.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 Loss Mitigation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Defaults and Claims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MI claim cycle begins with the receipt of a Notice of Default (NOD) for an insured loan from a loan servicer. Generally, our Master Policies require our insureds to notify us after a loan is two payments in default. Upon receipt of a 60-day NOD, we establish claim reserves. The incidence of default is 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w:t>
      </w:r>
    </w:p>
    <w:p>
      <w:pPr>
        <w:spacing w:after="0" w:line="1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terms of our Master Policies, our insureds are generally required to file claims within 60 days of acquiring title to a property securing an insured loan (typically through foreclosure) or when there has been an approved short sale. In the years following the most recent financial crisis, foreclosure time-lines and the average time from initial default by a borrower to MI claim submission have extended due to legislation and GSE programs requiring mortgage servicers to mitigate losses by offering forbearance and loan modifications prior to pursuing foreclosure on delinquent loans. We have rights under our Master Policies to deny a claim under certain conditions, such as when a loan servicer does not produce documents necessary to perfect a claim or when the reason for our underlying loss associated with a claim is not covered by our Master Policies.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When we approve a claim, our Master Policies give us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or (iii) 100% of the insured's claim amount (</w:t>
      </w:r>
      <w:r>
        <w:rPr>
          <w:rFonts w:ascii="Arial" w:cs="Arial" w:eastAsia="Arial" w:hAnsi="Arial"/>
          <w:sz w:val="18"/>
          <w:szCs w:val="18"/>
          <w:i w:val="1"/>
          <w:iCs w:val="1"/>
          <w:color w:val="auto"/>
        </w:rPr>
        <w:t>i.e.</w:t>
      </w:r>
      <w:r>
        <w:rPr>
          <w:rFonts w:ascii="Arial" w:cs="Arial" w:eastAsia="Arial" w:hAnsi="Arial"/>
          <w:sz w:val="18"/>
          <w:szCs w:val="18"/>
          <w:color w:val="auto"/>
        </w:rPr>
        <w:t>, the insured's loss on an insured loan, as defined in the Master Policy) in exchange for the insured's conveyance of good and marketable title to the property to us. If we elect to receive title to a property, we will market and sell the acquired property and retain all proceeds. We have opted to settle the significant majority of our claims paid to date through the percentage option.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Before paying a claim, we review loan and servicing files to determine the appropriateness of the claim submission and claim amount and to ensure we only pay for expenses covered under our Master Policy. Our Master Policy provides that we can reduce or deny a claim if the servicer did not comply with its obligations required by our policy, including the requirement to pursue reasonable loss mitigation efforts. Such efforts may include pursuing foreclosure or bankruptcy relief in a timely and diligent manner. We deem a reduction in the claim amount to be a "curtailment." We may also receive claims submissions that include costs and expenses not covered by our Master Policy, such as mortgage insurance premiums, hazard insurance premiums for periods after the claim date and losses resulting from property damage that has not been repaired.</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our Master Policy,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size of the insurance benefit we are responsible to pay. In connection with our approval rights for short sales or deed-in-lieu of foreclosure transactions, our Master Policies also provide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and loan modifications for most GSE-owned loans that we insure.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has repealed this requirement for future periods beginning January 10, 2019. Several other states previously imposed the same or similar coverage restrictions and repealed these measures prior to 2018. To comply with these previous state coverage limits, NMIC and Re One have reinsurance agreements in place under which Re One provides reinsurance to NMIC on insured loans with coverage levels in excess of 25%, after giving effect to third-party reinsurance.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utilize third-party reinsurance to actively manage our risk, ensure compliance with PMIERs, state regulatory and other applicable capital requirements, and support the growth of our business. We currently have both excess of loss and quota share reinsurance agreements in place.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entered into excess-of-loss reinsurance agreements with Oaktown Re Ltd., Oaktown Re II Ltd. and Oaktown Re III Ltd. (special purpose reinsurance entities collectively referred to as the Oaktown Re Vehicles) effective May 2, 2017, July 25, 2018 and July 30, 2019, respectively. Each agreement provides NMIC with aggregate excess-of-loss reinsurance coverage on a defined portfolio of mortgage insurance policies written during a discrete period.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10-year period as the underlying insured mortgages are amortized or repaid, and/or the mortgage insurance coverage is canceled. The respective outstanding reinsurance coverage amounts stop amortizing if certain credit enhancement or delinquency thresholds, as defined in each agreement, are triggered.</w:t>
      </w:r>
    </w:p>
    <w:p>
      <w:pPr>
        <w:spacing w:after="0" w:line="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10 years from the inception date of each reinsurance agreement. We refer to NMIC's reinsurance agreements with and the insurance-linked note issuances by Oaktown Re Ltd., Oaktown Re II, Ltd. and Oaktown Re III, Ltd. individually as the 2017 ILN Transaction, 2018 ILN Transaction and 2019 ILN Transaction, and collectively as the ILN Transactions.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reinsurance coverage amount and initial and first layer retained aggregate loss under each of the ILN Transactions.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Initial</w:t>
            </w:r>
          </w:p>
        </w:tc>
        <w:tc>
          <w:tcPr>
            <w:tcW w:w="180" w:type="dxa"/>
            <w:vAlign w:val="bottom"/>
          </w:tcPr>
          <w:p>
            <w:pPr>
              <w:spacing w:after="0"/>
              <w:rPr>
                <w:sz w:val="14"/>
                <w:szCs w:val="14"/>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Initial First Layer</w:t>
            </w: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2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Inception Date</w:t>
            </w:r>
          </w:p>
        </w:tc>
        <w:tc>
          <w:tcPr>
            <w:tcW w:w="120" w:type="dxa"/>
            <w:vAlign w:val="bottom"/>
            <w:vMerge w:val="restart"/>
          </w:tcPr>
          <w:p>
            <w:pPr>
              <w:spacing w:after="0"/>
              <w:rPr>
                <w:sz w:val="12"/>
                <w:szCs w:val="12"/>
                <w:color w:val="auto"/>
              </w:rPr>
            </w:pPr>
          </w:p>
        </w:tc>
        <w:tc>
          <w:tcPr>
            <w:tcW w:w="26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Covered Production</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Reinsurance</w:t>
            </w: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Coverage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Retained Loss</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ILN Transaction</w:t>
            </w:r>
          </w:p>
        </w:tc>
        <w:tc>
          <w:tcPr>
            <w:tcW w:w="23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May 2, 2017</w:t>
            </w:r>
          </w:p>
        </w:tc>
        <w:tc>
          <w:tcPr>
            <w:tcW w:w="2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1/1/2013 - 12/31/2016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126,793</w:t>
            </w:r>
          </w:p>
        </w:tc>
        <w:tc>
          <w:tcPr>
            <w:tcW w:w="0" w:type="dxa"/>
            <w:vAlign w:val="bottom"/>
          </w:tcPr>
          <w:p>
            <w:pPr>
              <w:spacing w:after="0"/>
              <w:rPr>
                <w:sz w:val="1"/>
                <w:szCs w:val="1"/>
                <w:color w:val="auto"/>
              </w:rPr>
            </w:pPr>
          </w:p>
        </w:tc>
      </w:tr>
      <w:tr>
        <w:trPr>
          <w:trHeight w:val="243"/>
        </w:trPr>
        <w:tc>
          <w:tcPr>
            <w:tcW w:w="2840" w:type="dxa"/>
            <w:vAlign w:val="bottom"/>
          </w:tcPr>
          <w:p>
            <w:pPr>
              <w:ind w:left="280"/>
              <w:spacing w:after="0"/>
              <w:rPr>
                <w:sz w:val="20"/>
                <w:szCs w:val="20"/>
                <w:color w:val="auto"/>
              </w:rPr>
            </w:pPr>
            <w:r>
              <w:rPr>
                <w:rFonts w:ascii="Arial" w:cs="Arial" w:eastAsia="Arial" w:hAnsi="Arial"/>
                <w:sz w:val="18"/>
                <w:szCs w:val="18"/>
                <w:color w:val="auto"/>
              </w:rPr>
              <w:t>2018 ILN Transaction</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July 25, 2018</w:t>
            </w:r>
          </w:p>
        </w:tc>
        <w:tc>
          <w:tcPr>
            <w:tcW w:w="2680" w:type="dxa"/>
            <w:vAlign w:val="bottom"/>
          </w:tcPr>
          <w:p>
            <w:pPr>
              <w:ind w:left="260"/>
              <w:spacing w:after="0"/>
              <w:rPr>
                <w:sz w:val="20"/>
                <w:szCs w:val="20"/>
                <w:color w:val="auto"/>
              </w:rPr>
            </w:pPr>
            <w:r>
              <w:rPr>
                <w:rFonts w:ascii="Arial" w:cs="Arial" w:eastAsia="Arial" w:hAnsi="Arial"/>
                <w:sz w:val="18"/>
                <w:szCs w:val="18"/>
                <w:color w:val="auto"/>
              </w:rPr>
              <w:t>1/1/2017 - 5/31/2018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264,545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125,312</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2019 ILN Transaction</w:t>
            </w:r>
          </w:p>
        </w:tc>
        <w:tc>
          <w:tcPr>
            <w:tcW w:w="2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July 30, 2019</w:t>
            </w:r>
          </w:p>
        </w:tc>
        <w:tc>
          <w:tcPr>
            <w:tcW w:w="2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6/1/2018 - 6/30/2019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326,905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123,424</w:t>
            </w:r>
          </w:p>
        </w:tc>
        <w:tc>
          <w:tcPr>
            <w:tcW w:w="0" w:type="dxa"/>
            <w:vAlign w:val="bottom"/>
          </w:tcPr>
          <w:p>
            <w:pPr>
              <w:spacing w:after="0"/>
              <w:rPr>
                <w:sz w:val="1"/>
                <w:szCs w:val="1"/>
                <w:color w:val="auto"/>
              </w:rPr>
            </w:pPr>
          </w:p>
        </w:tc>
      </w:tr>
      <w:tr>
        <w:trPr>
          <w:trHeight w:val="27"/>
        </w:trPr>
        <w:tc>
          <w:tcPr>
            <w:tcW w:w="28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terms of the 2018 ILN Transaction and the 2019 ILN Transaction, we are required to maintain a certain level of restricted funds in premium deposit accounts with Bank of New York Mellon until the respective notes have been redeemed in full.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3"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We are not required to deposit additional funds into the premium deposit accounts in the future and the restricted balances will decrease over time as the outstanding principal balances of the respective insurance-linked notes decline.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a quota share reinsurance agreement, the ceding insurer pays a premium in exchange for coverage on an agreed-upon portion of incurred losses. Quota share arrangements reduce net premiums written and earned and also reduce net RIF, providing capital relief to the ceding insurer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NMIC entered into two quota share reinsurance treaties each with a syndicate of third party reinsurers, effective September 1, 2016 (the 2016 QSR Transaction) and January 1, 2018 (the 2018 QSR Transaction) collectively referred to as the QSR Transactions.</w:t>
      </w:r>
    </w:p>
    <w:p>
      <w:pPr>
        <w:spacing w:after="0" w:line="1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April 1, 2019, NMIC elected to terminate its engagement with one reinsurer under the 2016 QSR Transaction on a cut-off basis. In connection with the termination, ceded premiums written under the 2016 QSR Transaction decreased from 25% to 20.5% on eligible policies. The termination had no effect on the cession of pool risk under the 2016 QSR Transaction.</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further discussion of the effect of reinsurance on our business, see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Conditions and Trends Impacting our Business - Net Premiums Written and Net Premiums Earned - Effect of reinsurance on our results.</w:t>
      </w:r>
      <w:r>
        <w:rPr>
          <w:rFonts w:ascii="Arial" w:cs="Arial" w:eastAsia="Arial" w:hAnsi="Arial"/>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established enterprise wide policies, procedures and processes to allow us to identify, assess, monitor and manage credit market and operational risks in our business, as well as other risks discussed below in Item 1A, "</w:t>
      </w:r>
      <w:r>
        <w:rPr>
          <w:rFonts w:ascii="Arial" w:cs="Arial" w:eastAsia="Arial" w:hAnsi="Arial"/>
          <w:sz w:val="18"/>
          <w:szCs w:val="18"/>
          <w:i w:val="1"/>
          <w:iCs w:val="1"/>
          <w:color w:val="auto"/>
        </w:rPr>
        <w:t>Risk Factors</w:t>
      </w:r>
      <w:r>
        <w:rPr>
          <w:rFonts w:ascii="Arial" w:cs="Arial" w:eastAsia="Arial" w:hAnsi="Arial"/>
          <w:sz w:val="18"/>
          <w:szCs w:val="18"/>
          <w:color w:val="auto"/>
        </w:rPr>
        <w:t>."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enterprise risk committee comprised of senior members of our management team and led by our Chief Risk Officer. Our internal audit function, which reports to the Audit Committee of our Board, provides independent ongoing assessments of our management of certain enterprise risks and reports its findings to our Board's Risk Committee. Our internal audit function also engages external resources to assist in the assessment of enterprise risks and our related control and monitoring processes.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Market Risk</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implemented a complementary range of strategies to actively monitor and manage the credit performance of our insured portfolio, including:</w:t>
      </w:r>
    </w:p>
    <w:p>
      <w:pPr>
        <w:spacing w:after="0" w:line="116" w:lineRule="exact"/>
        <w:rPr>
          <w:sz w:val="20"/>
          <w:szCs w:val="20"/>
          <w:color w:val="auto"/>
        </w:rPr>
      </w:pPr>
    </w:p>
    <w:p>
      <w:pPr>
        <w:jc w:val="both"/>
        <w:ind w:left="1140" w:hanging="322"/>
        <w:spacing w:after="0" w:line="26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prudential underwriting standards and loan-level eligibility matrices which describe the maximum LTV, minimum FICO, maximum borrower DTI ratio, maximum loan size, property type and occupancy status of loans that we will insure, and memorializing these standards and eligibility matrices in our underwriting guidelines;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7" w:right="239" w:bottom="1440" w:gutter="0" w:footer="0" w:header="0"/>
        </w:sectPr>
      </w:pPr>
    </w:p>
    <w:bookmarkStart w:id="14" w:name="page15"/>
    <w:bookmarkEnd w:id="14"/>
    <w:p>
      <w:pPr>
        <w:jc w:val="both"/>
        <w:ind w:left="1140" w:hanging="322"/>
        <w:spacing w:after="0" w:line="286"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spacing w:after="0" w:line="111" w:lineRule="exact"/>
        <w:rPr>
          <w:rFonts w:ascii="Arial" w:cs="Arial" w:eastAsia="Arial" w:hAnsi="Arial"/>
          <w:sz w:val="17"/>
          <w:szCs w:val="17"/>
          <w:color w:val="auto"/>
        </w:rPr>
      </w:pPr>
    </w:p>
    <w:p>
      <w:pPr>
        <w:jc w:val="both"/>
        <w:ind w:left="1140" w:hanging="322"/>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a quality control process to ensure ongoing adherence with our underwriting guidelines and eligibility criteria, under which our quality control group performs audits of insured loans identified on a random, high risk and targeted basis to measure the quality of the underwriting decision and loan closing process, and specifically assess the accuracy and adequacy of the information and documentation used to underwrite our MI;</w:t>
      </w:r>
    </w:p>
    <w:p>
      <w:pPr>
        <w:spacing w:after="0" w:line="132"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spacing w:after="0" w:line="132"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individually underwriting the significant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spacing w:after="0" w:line="111" w:lineRule="exact"/>
        <w:rPr>
          <w:rFonts w:ascii="Arial" w:cs="Arial" w:eastAsia="Arial" w:hAnsi="Arial"/>
          <w:sz w:val="17"/>
          <w:szCs w:val="17"/>
          <w:color w:val="auto"/>
        </w:rPr>
      </w:pPr>
    </w:p>
    <w:p>
      <w:pPr>
        <w:ind w:left="1140" w:hanging="322"/>
        <w:spacing w:after="0" w:line="308"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deploying Rate GPS, our proprietary risk-based pricing platform, to dynamically consider a granular set of risk attributes in our policy pricing process and assign individualized premium rates based on the relative risk and anticipated performance of each loan we insure;</w:t>
      </w:r>
    </w:p>
    <w:p>
      <w:pPr>
        <w:spacing w:after="0" w:line="92" w:lineRule="exact"/>
        <w:rPr>
          <w:rFonts w:ascii="Arial" w:cs="Arial" w:eastAsia="Arial" w:hAnsi="Arial"/>
          <w:sz w:val="17"/>
          <w:szCs w:val="17"/>
          <w:color w:val="auto"/>
        </w:rPr>
      </w:pPr>
    </w:p>
    <w:p>
      <w:pPr>
        <w:ind w:left="1140" w:right="20" w:hanging="322"/>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utilizing Rate GPS to actively manage the flow of business into our portfolio and target loans with higher quality risk characteristics that typically experience lower volatility and loss across market cycles; and</w:t>
      </w:r>
    </w:p>
    <w:p>
      <w:pPr>
        <w:spacing w:after="0" w:line="116"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securing reinsurance coverage under quota share and excess-of-loss transactions that are structured to absorb losses in periods of economic and/or housing market stress and, in doing so, mitigate the impact of credit volatility on our financial results.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and cyber insurance coverage, maintaining oversight of third-party vendors, establishing IT system redundancy and security and disaster recovery practices, maintaining internal controls and ensuring appropriate segregation of duties.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 and Intellectual Property</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initial development of AXIS, we have continued to upgrade and enhance our systems and technical capabilities, including: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7" w:right="239" w:bottom="1440" w:gutter="0" w:footer="0" w:header="0"/>
        </w:sectPr>
      </w:pPr>
    </w:p>
    <w:bookmarkStart w:id="15" w:name="page16"/>
    <w:bookmarkEnd w:id="15"/>
    <w:p>
      <w:pPr>
        <w:ind w:left="114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deploying technology that enables our customers to transact business faster and easier, whether via a secure internet connection or through a secure system-to-system interface;</w:t>
      </w:r>
    </w:p>
    <w:p>
      <w:pPr>
        <w:spacing w:after="0" w:line="116"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to price and order our MI and in their servicing processes for servicing and maintaining their MI policies;</w:t>
      </w:r>
    </w:p>
    <w:p>
      <w:pPr>
        <w:spacing w:after="0" w:line="116"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advanced document and business process management software that focuses on improving our underwriting productivity and that may also be used to improve our quality assurance and loss management functions;</w:t>
      </w:r>
    </w:p>
    <w:p>
      <w:pPr>
        <w:spacing w:after="0" w:line="116"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our award-winning mobile applications, which enable customers to view and access information through mobile devices, including our premium rate calculators, guideline updates and other resources and information notices; and</w:t>
      </w:r>
    </w:p>
    <w:p>
      <w:pPr>
        <w:spacing w:after="0" w:line="116"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designing, developing and deploying Rate GPS, our risk-based pricing platform, which allows us to dynamically consider a granular set of risk attributes in our policy pricing process and assign individualized rates based on the relative risk and anticipated performance of each loan we insure.</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 and develop technology that enhances our current operating capabilities and supports future growth, while allowing us to realize current efficiencies. We engage contractors to assist with the development and maintenance of certain areas of our IT architecture as a means to manage our technology costs and selectively draw in relevant expertise for particular projects.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75" w:lineRule="exact"/>
        <w:rPr>
          <w:sz w:val="20"/>
          <w:szCs w:val="20"/>
          <w:color w:val="auto"/>
        </w:rPr>
      </w:pPr>
    </w:p>
    <w:p>
      <w:pPr>
        <w:jc w:val="both"/>
        <w:ind w:firstLine="567"/>
        <w:spacing w:after="0" w:line="302" w:lineRule="auto"/>
        <w:rPr>
          <w:sz w:val="20"/>
          <w:szCs w:val="20"/>
          <w:color w:val="auto"/>
        </w:rPr>
      </w:pPr>
      <w:r>
        <w:rPr>
          <w:rFonts w:ascii="Arial" w:cs="Arial" w:eastAsia="Arial" w:hAnsi="Arial"/>
          <w:sz w:val="16"/>
          <w:szCs w:val="16"/>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2019, our investment portfolio was comprised of fixed maturity securities including: U.S. Treasury securities and obligations of U.S. government agencies, municipal debt securities, corporate debt securities, and asset-backed securities. We also held other short-term investments (such as commercial paper).</w:t>
      </w:r>
    </w:p>
    <w:p>
      <w:pPr>
        <w:spacing w:after="0" w:line="100" w:lineRule="exact"/>
        <w:rPr>
          <w:sz w:val="20"/>
          <w:szCs w:val="20"/>
          <w:color w:val="auto"/>
        </w:rPr>
      </w:pPr>
    </w:p>
    <w:p>
      <w:pPr>
        <w:jc w:val="both"/>
        <w:ind w:firstLine="567"/>
        <w:spacing w:after="0" w:line="302" w:lineRule="auto"/>
        <w:rPr>
          <w:sz w:val="20"/>
          <w:szCs w:val="20"/>
          <w:color w:val="auto"/>
        </w:rPr>
      </w:pPr>
      <w:r>
        <w:rPr>
          <w:rFonts w:ascii="Arial" w:cs="Arial" w:eastAsia="Arial" w:hAnsi="Arial"/>
          <w:sz w:val="16"/>
          <w:szCs w:val="16"/>
          <w:color w:val="auto"/>
        </w:rPr>
        <w:t>We have adopted an investment policy that defines, among other things, eligible and ineligible investments, concentration limits for asset types, industry sectors, single issuers, and certain credit ratings, and benchmarks for asset duration. Our investments are rated by one or more nationally recognized statistical rating organizations. We review our investment policies and strategies on a consistent basis, and they are subject to change depending upon regulatory, economic and market conditions and our existing or anticipated financial condition and operating requirements, including our tax position.</w:t>
      </w:r>
    </w:p>
    <w:p>
      <w:pPr>
        <w:spacing w:after="0" w:line="10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engage a third-party investment manager, Wells Capital Management, Inc., to assist with day-to-day management of our portfolio and implementation of our investment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2019, we had 321 full- and part-time employees. None of our employees are party to a collective bargaining agreement. We utilize a third-party professional employer organization to manage our payroll administration and related compliance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principal office is located at 2100 Powell Street, 12th floor, Emeryville, CA 94608. Our main telephone number is (855) 530 - NMIC (6642), and our website address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In addition, a written copy of the Company's Business Conduct Policy, containing our code of ethics that is applicable to all of our directors, officers and employees, is available on our website. Information contained or referenced on our website is not incorporated by reference into, and does not form a part of, this report.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U.S. MORTGAGE INSURANCE REGULATION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13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We believe that a strong, viable private MI market is a critical component of the U.S. housing finance system. We routinely meet with regulatory agencies, including our state insurance regulators and the Federal Housing Finance Agency (FHFA), the GSEs, our customers and other industry participants to promote the role and value of private mortgage insurance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Arial" w:cs="Arial" w:eastAsia="Arial" w:hAnsi="Arial"/>
          <w:sz w:val="22"/>
          <w:szCs w:val="22"/>
          <w:color w:val="auto"/>
          <w:vertAlign w:val="superscript"/>
        </w:rPr>
        <w:t>®</w:t>
      </w:r>
      <w:r>
        <w:rPr>
          <w:rFonts w:ascii="Arial" w:cs="Arial" w:eastAsia="Arial" w:hAnsi="Arial"/>
          <w:sz w:val="16"/>
          <w:szCs w:val="16"/>
          <w:color w:val="auto"/>
        </w:rPr>
        <w:t>), an organization formed to promote the use of private MI as a credit risk mitigant in the U.S. residential mortgage market.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GSE Oversight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GSEs are the principal purchasers of mortgages insured by private mortgage insurers. As a result, the nature of the private MI industry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is driven in large part by the requirements and practices of the GSEs, which include:</w:t>
      </w:r>
    </w:p>
    <w:p>
      <w:pPr>
        <w:spacing w:after="0" w:line="157" w:lineRule="exact"/>
        <w:rPr>
          <w:sz w:val="20"/>
          <w:szCs w:val="20"/>
          <w:color w:val="auto"/>
        </w:rPr>
      </w:pPr>
    </w:p>
    <w:p>
      <w:pPr>
        <w:ind w:left="1140" w:hanging="32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PMIERs, including operational, business and remedial requirements and minimum capital levels applicable to GSE-qualified MI providers;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terms that the GSEs require to be included in MI policies for loans that they purchase, including terms governing rescission relief;</w:t>
      </w:r>
    </w:p>
    <w:p>
      <w:pPr>
        <w:spacing w:after="0" w:line="128" w:lineRule="exact"/>
        <w:rPr>
          <w:rFonts w:ascii="Arial" w:cs="Arial" w:eastAsia="Arial" w:hAnsi="Arial"/>
          <w:sz w:val="17"/>
          <w:szCs w:val="17"/>
          <w:color w:val="auto"/>
        </w:rPr>
      </w:pPr>
    </w:p>
    <w:p>
      <w:pPr>
        <w:ind w:left="1140" w:hanging="32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underwriting standards and loan amount limits that determine what loans are eligible for purchase by the GSEs, which affects the quality of the risk insured by the mortgage insurer and the availability of mortgage loans;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MI coverage, subject to the requirements of the GSEs' charters, when MI is used as the required credit enhancement on high-LTV mortgages;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circumstances in which MI coverage can be canceled before reaching the cancellation thresholds established by law, including under the HOPA;</w:t>
      </w:r>
    </w:p>
    <w:p>
      <w:pPr>
        <w:spacing w:after="0" w:line="62"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mitigation programs established by the GSEs that impact insured mortgages and the circumstances under which servicers must implement such programs; and</w:t>
      </w:r>
    </w:p>
    <w:p>
      <w:pPr>
        <w:spacing w:after="0" w:line="62"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scope of different loan purchase programs, including first time home buyer and affordable lending initiatives, from the GSEs that allow different levels of MI coverage.</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January 2013, the GSEs approved NMIC as a qualified mortgage insurer (as defined in the PMIERs, an </w:t>
      </w:r>
      <w:r>
        <w:rPr>
          <w:rFonts w:ascii="Arial" w:cs="Arial" w:eastAsia="Arial" w:hAnsi="Arial"/>
          <w:sz w:val="16"/>
          <w:szCs w:val="16"/>
          <w:i w:val="1"/>
          <w:iCs w:val="1"/>
          <w:color w:val="auto"/>
        </w:rPr>
        <w:t>approved insurer</w:t>
      </w:r>
      <w:r>
        <w:rPr>
          <w:rFonts w:ascii="Arial" w:cs="Arial" w:eastAsia="Arial" w:hAnsi="Arial"/>
          <w:sz w:val="16"/>
          <w:szCs w:val="16"/>
          <w:color w:val="auto"/>
        </w:rPr>
        <w:t>).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NMIC is subject to ongoing compliance with the PMIERs.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The GSEs have significant discretion under the PMIERs as well as a broad range of consent rights and notice requirements with respect to various actions of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charges.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which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3" w:right="2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8"/>
          <w:szCs w:val="18"/>
          <w:color w:val="auto"/>
        </w:rPr>
        <w:t xml:space="preserve">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RIF, assessed on a loan-by-loan basis and considered against certain risk-based factors derived from tables set out in the PMIERs to gross </w:t>
      </w:r>
      <w:r>
        <w:rPr>
          <w:rFonts w:ascii="Arial" w:cs="Arial" w:eastAsia="Arial" w:hAnsi="Arial"/>
          <w:sz w:val="19"/>
          <w:szCs w:val="19"/>
          <w:color w:val="auto"/>
        </w:rPr>
        <w:t>RIF,</w:t>
      </w:r>
      <w:r>
        <w:rPr>
          <w:rFonts w:ascii="Arial" w:cs="Arial" w:eastAsia="Arial" w:hAnsi="Arial"/>
          <w:sz w:val="18"/>
          <w:szCs w:val="18"/>
          <w:color w:val="auto"/>
        </w:rPr>
        <w:t xml:space="preserve"> which is then adjusted on an aggregate basis for reinsurance transactions approved by the GSEs, such as with respect to our ILN Transactions and QSR Transactions.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w:t>
      </w:r>
      <w:r>
        <w:rPr>
          <w:rFonts w:ascii="Arial" w:cs="Arial" w:eastAsia="Arial" w:hAnsi="Arial"/>
          <w:sz w:val="18"/>
          <w:szCs w:val="18"/>
          <w:color w:val="auto"/>
        </w:rPr>
        <w:t xml:space="preserve"> </w:t>
      </w:r>
      <w:r>
        <w:rPr>
          <w:rFonts w:ascii="Arial" w:cs="Arial" w:eastAsia="Arial" w:hAnsi="Arial"/>
          <w:sz w:val="18"/>
          <w:szCs w:val="18"/>
          <w:i w:val="1"/>
          <w:iCs w:val="1"/>
          <w:color w:val="auto"/>
        </w:rPr>
        <w:t>primary 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September 27, 2018, the GSEs published revised PMIERs that took effect and became applicable to NMIC on March 31, 2019 (the Revised PMIERs). The rules governing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and calculation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remained largely the same under the Revised PMIERs, with a few differences in the elements that may (</w:t>
      </w:r>
      <w:r>
        <w:rPr>
          <w:rFonts w:ascii="Arial" w:cs="Arial" w:eastAsia="Arial" w:hAnsi="Arial"/>
          <w:sz w:val="18"/>
          <w:szCs w:val="18"/>
          <w:i w:val="1"/>
          <w:iCs w:val="1"/>
          <w:color w:val="auto"/>
        </w:rPr>
        <w:t>e.g.</w:t>
      </w:r>
      <w:r>
        <w:rPr>
          <w:rFonts w:ascii="Arial" w:cs="Arial" w:eastAsia="Arial" w:hAnsi="Arial"/>
          <w:sz w:val="18"/>
          <w:szCs w:val="18"/>
          <w:color w:val="auto"/>
        </w:rPr>
        <w:t>, certain premiums receivable) and may not (</w:t>
      </w:r>
      <w:r>
        <w:rPr>
          <w:rFonts w:ascii="Arial" w:cs="Arial" w:eastAsia="Arial" w:hAnsi="Arial"/>
          <w:sz w:val="18"/>
          <w:szCs w:val="18"/>
          <w:i w:val="1"/>
          <w:iCs w:val="1"/>
          <w:color w:val="auto"/>
        </w:rPr>
        <w:t>e.g.</w:t>
      </w:r>
      <w:r>
        <w:rPr>
          <w:rFonts w:ascii="Arial" w:cs="Arial" w:eastAsia="Arial" w:hAnsi="Arial"/>
          <w:sz w:val="18"/>
          <w:szCs w:val="18"/>
          <w:color w:val="auto"/>
        </w:rPr>
        <w:t xml:space="preserve">, funds withheld for the benefit of a </w:t>
      </w:r>
      <w:r>
        <w:rPr>
          <w:rFonts w:ascii="Arial" w:cs="Arial" w:eastAsia="Arial" w:hAnsi="Arial"/>
          <w:sz w:val="18"/>
          <w:szCs w:val="18"/>
          <w:i w:val="1"/>
          <w:iCs w:val="1"/>
          <w:color w:val="auto"/>
        </w:rPr>
        <w:t>reinsurer</w:t>
      </w:r>
      <w:r>
        <w:rPr>
          <w:rFonts w:ascii="Arial" w:cs="Arial" w:eastAsia="Arial" w:hAnsi="Arial"/>
          <w:sz w:val="18"/>
          <w:szCs w:val="18"/>
          <w:color w:val="auto"/>
        </w:rPr>
        <w:t xml:space="preserve">) be included in the calculation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The Revised PMIERs also introduced a comprehensive reinsurance counter-party grading framework, which includes a modest haircut (based on the credit rating of the </w:t>
      </w:r>
      <w:r>
        <w:rPr>
          <w:rFonts w:ascii="Arial" w:cs="Arial" w:eastAsia="Arial" w:hAnsi="Arial"/>
          <w:sz w:val="18"/>
          <w:szCs w:val="18"/>
          <w:i w:val="1"/>
          <w:iCs w:val="1"/>
          <w:color w:val="auto"/>
        </w:rPr>
        <w:t>reinsurer</w:t>
      </w:r>
      <w:r>
        <w:rPr>
          <w:rFonts w:ascii="Arial" w:cs="Arial" w:eastAsia="Arial" w:hAnsi="Arial"/>
          <w:sz w:val="18"/>
          <w:szCs w:val="18"/>
          <w:color w:val="auto"/>
        </w:rPr>
        <w:t xml:space="preserve">) to the capital credit available to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any un-collateralized reinsurance coverage.</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2019 that NMIC was in full compliance with the PMIERs as of December 31, 2018. NMIC also has an ongoing obligation to immediately notify the GSEs in writing upon discovery of a failure to meet one or more of the PMIERs requirements. We continuously monitor NMIC's compliance with the PMIERs.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Mortgage Insurance Regulation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Certificates of Authority</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NMIC holds a certificate of authority, or insurance license, in all 50 states and D.C. As a licensed insurer in these jurisdictions, NMIC is subject to ongoing financial reporting, examination and disclosure requirements relating to its business, operations, management or affiliate arrangements.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Insurance Laws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state insurance regulation of our business relates to:</w:t>
      </w:r>
    </w:p>
    <w:p>
      <w:pPr>
        <w:spacing w:after="0" w:line="171" w:lineRule="exact"/>
        <w:rPr>
          <w:sz w:val="20"/>
          <w:szCs w:val="20"/>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policy forms;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rates;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insurable loans;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and quarterly financial reports prepared in accordance with statutory accounting principles;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determination of loss, unearned premium and contingency reserves;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reinsurance requirements;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an investment portfolio;</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risks and limits on coverage of individual risks which may be insured;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1" w:right="239" w:bottom="1440" w:gutter="0" w:footer="0" w:header="0"/>
        </w:sectPr>
      </w:pPr>
    </w:p>
    <w:bookmarkStart w:id="18" w:name="page19"/>
    <w:bookmarkEnd w:id="18"/>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 dividends;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policy sales practices;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the ultimate controlling parent of an insurance holding company system, NMIH is registered with the Wisconsin OCI, which is NMIC and Re One's primary regulator, and must provide insurance holding company annual audited consolidated financial statements and other information to the Wisconsin OCI on an ongoing basis.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transactions must be filed with the Wisconsin OCI at least 30 days before the transaction is entered into and that these transactions may be disapproved by the Wisconsin OCI within that period.</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Wisconsin law, domestic insurers, such as NMIC, are required to submit and obtain prior Wisconsin OCI approval on all reinsurance agreements with non-affiliate reinsurers. In addition, the Wisconsin OCI requires that reinsurance agreements with non-authorized and non-accredited reinsurers be collateralized through letters of credit and/or trust accounts in order for a domestic insurer to take credit for reinsurance on its statutory balance sheet.</w:t>
      </w:r>
    </w:p>
    <w:p>
      <w:pPr>
        <w:spacing w:after="0" w:line="1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they do not intend to control or direct or influence the management of a domestic insurer. Such disclaimer will become effective unless it is expressly "disapproved" by the Wisconsin OCI within 30 days.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 We understand that this stockholder has filed a disclaimer of control with the Wisconsin OCI in connection therewith, which has not been disapproved.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12-month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134" w:lineRule="exact"/>
        <w:rPr>
          <w:sz w:val="20"/>
          <w:szCs w:val="20"/>
          <w:color w:val="auto"/>
        </w:rPr>
      </w:pPr>
    </w:p>
    <w:p>
      <w:pPr>
        <w:ind w:left="1140" w:right="20" w:hanging="322"/>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income of the insurer for the calendar year preceding the date of the dividend or distribution, minus realized capital gains for that calendar year; or</w:t>
      </w:r>
    </w:p>
    <w:p>
      <w:pPr>
        <w:spacing w:after="0" w:line="62"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Wisconsin OCI may prohibit the payment of ordinary dividends or other payments by our insurance subsidiaries to us if they determine that such payments could be adverse to policyholders. In addition, our insurance subsidiaries may make or pay "extraordinary" stockholder dividends (</w:t>
      </w:r>
      <w:r>
        <w:rPr>
          <w:rFonts w:ascii="Arial" w:cs="Arial" w:eastAsia="Arial" w:hAnsi="Arial"/>
          <w:sz w:val="18"/>
          <w:szCs w:val="18"/>
          <w:i w:val="1"/>
          <w:iCs w:val="1"/>
          <w:color w:val="auto"/>
        </w:rPr>
        <w:t>i.e.</w:t>
      </w:r>
      <w:r>
        <w:rPr>
          <w:rFonts w:ascii="Arial" w:cs="Arial" w:eastAsia="Arial" w:hAnsi="Arial"/>
          <w:sz w:val="18"/>
          <w:szCs w:val="18"/>
          <w:color w:val="auto"/>
        </w:rPr>
        <w:t>, amounts in excess of ordinary dividends) only with the prior approval of the Wisconsin OCI.</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Wisconsin, other states may limit or restrict our insurance subsidiaries' ability to pay stockholder dividends. For example, California and New York prohibit mortgage insurers licensed in such states from declaring dividends except from undivided profits remaining above the aggregate of their paid-in capital, paid-in surplus and contingency reserves. In addition,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7"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Florida requires mortgage insurers to hold capital and surplus not less than the lesser of (i) 10% of its total liabilities, or (ii) $100 million. It is possible that Wisconsin, or other states,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for a calendar quarter exceed the greater of either (i) 35% of net premiums earned in a calendar year or (ii) 70% of the annual amount contributed to the contingency loss reserve.</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applicable Wisconsin law and the laws of 15 other states, a mortgage insurer must maintain a minimum amount of statutory capital relative to its RIF in order for the mortgage insurer to continue to write new business. These are typically referred to as "risk-to-capital (RTC) requirements." While formulations of minimum capital may vary in certain jurisdictions, the most common measure applied allows for a maximum permitted RTC ratio of 25:1. Wisconsin has formula-based limits that generally result in RTC limits slightly higher than the 25:1 ratio.</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compute RTC ratios for each of our insurance subsidiaries, as well as for our combined insurance operations.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 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 insurance regulators also have the authority to make changes to current regulations governing mortgage insurance, including, among other things, capital requirements, underwriting standards, claims practices and market conduct regulation. The National Association of Insurance Commissioners (NAIC) has formed a working group within its Financial Condition (E) Committee, the Mortgage Guaranty Insurance Working Group (the Working Group), to discuss, develop and recommend changes to the solvency and market practices regulation of mortgage insurers, including changes to the Mortgage Guaranty Insurers Model Act (Model Act). Proposed amendments to the Model Act include, among other changes, adoption of a risk-based capital model. We, along with other mortgage insurers, have provided feedback to the Working Group since early 2013, including comments on the risk-based capital approach.</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material financial interest.</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Other U.S. Regulation</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spacing w:after="0" w:line="1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real estate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Housing Finance Reform</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federal government currently plays a dominant role in the U.S. housing finance system through the GSEs and government MIs (</w:t>
      </w:r>
      <w:r>
        <w:rPr>
          <w:rFonts w:ascii="Arial" w:cs="Arial" w:eastAsia="Arial" w:hAnsi="Arial"/>
          <w:sz w:val="17"/>
          <w:szCs w:val="17"/>
          <w:i w:val="1"/>
          <w:iCs w:val="1"/>
          <w:color w:val="auto"/>
        </w:rPr>
        <w:t>i.e.</w:t>
      </w:r>
      <w:r>
        <w:rPr>
          <w:rFonts w:ascii="Arial" w:cs="Arial" w:eastAsia="Arial" w:hAnsi="Arial"/>
          <w:sz w:val="17"/>
          <w:szCs w:val="17"/>
          <w:color w:val="auto"/>
        </w:rPr>
        <w:t>, the FHA, USDA and VA) and Ginnie Mae. There is broad policy consensus toward the need for increasing private capital participation and decreasing government exposure to credit risk in the U.S. housing finance system. However, to date there has been a lack of consensus with regard to the specific changes necessary to return to a larger role for private capital and what size the government's role should be. On September 6, 2008, the FHFA used its authority to place the GSEs into conservatorship. As the GSEs' conservator, the FHFA has the authority to control and direct the GSEs' operations, and the FHFA's policy objectives can result in changes to the GSEs' requirements and practices. 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w:t>
      </w:r>
    </w:p>
    <w:p>
      <w:pPr>
        <w:spacing w:after="0" w:line="1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has recently been increased focus on the possibility of administrative reform that the White House and Treasury Department, in collaboration with the Director of the FHFA, may pursue independent of any legislative action. On September 5, 2019, in response to a Presidential Memorandum issued on March 27, 2019, the Treasury Department released a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during his five-year term which began in April 2019. Between the Director of the FHFA and the Treasury Department, they possess significant capacity to effect administrative GSE reforms.</w:t>
      </w:r>
    </w:p>
    <w:p>
      <w:pPr>
        <w:spacing w:after="0" w:line="1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passage and timing of comprehensive GSE reform or incremental change (whether legislative or administrative in nature) is uncertain, making the actual impact on us and our industry difficult to predict. Any such changes that come to pass could have a significant impact on our business. In addition, while the GSEs remain in conservatorship, the Director of the FHFA may exercise his oversight authority over the GSEs differently than previous Directors and/or have different objectives with regard to the GSEs' operations. Any such changes in how the FHFA engages with and influences the GSEs could have a significant impact on our business.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FHA Reform</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compete with the single-family MI programs of the FHA, which is part of the U.S. Department of Housing and Urban Development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FHA's role in the mortgage insurance industry is significantly dependent upon regulatory developments. Since 2012, there have been several legislative proposals intended to reform the FHA; however, no legislation has been enacted to date. The prospect for future unilateral FHA action on premium rates or the passage of FHA reform legislation in either the House or Senate, and how differences in proposed reforms between the House and Senate might be resolved in any final legislation, remain uncertain.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3"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b w:val="1"/>
          <w:bCs w:val="1"/>
          <w:i w:val="1"/>
          <w:iCs w:val="1"/>
          <w:color w:val="auto"/>
        </w:rPr>
        <w:t>The Dodd-Frank Act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of 2010 (Dodd-Frank Act) amended certain provisions of TILA, RESPA and other statutes that have had a significant impact on our business and the residential mortgage market. The Dodd-Frank Act created the Consumer Financial Protection Bureau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changes from time-to-time, and given the significant independence of the Director of the CFPB in enforcing and administering its authority, it is difficult to predict whether or how the CFPB might seek to implement these laws in the future.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Ability-to-Repay Rule</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January 2014, the CFPB implemented the Dodd-Frank Act Ability to Repay (ATR) mortgage provisions, which govern the obligation of lenders to determine a borrower's ability to pay when originating a mortgage loan covered by the rule. A subset of mortgages within the ATR rule are known as "qualified mortgages" (QMs), which generally are defined as loans without certain risky features, such as negative amortization, points and fees in excess of 3% of the loan amount, borrowers with DTI ratios in excess of 43% and terms exceeding 30 years. QMs under the rule benefit from a statutory presumption of compliance with the ATR rule, thus potentially mitigating the risk of the liability of the creditor and assignees of the loan under TILA. The rule also provides a temporary category of QMs that have more flexible underwriting requirements so long as they satisfy the general product feature requirements of QMs (other than borrower DTI) and so long as they meet the underwriting requirements of the GSEs (the QM Patch). The QM Patch is scheduled to phase out upon the earlier to occur of the end of conservatorship or receivership of the GSEs or January 10, 2021. In July 2019, the CFPB announced their intent to study possible amendments to the ATR/QM rules in anticipation of the planned expiration of the QM Patch on January 10, 2021, or following a short extension. On January 17, 2020, the CFPB announced that the CFPB will propose an amendment to the ATR/QM rule that would move away from DTI, extend the date of expiration of the QM Patch beyond January 10, 2021 and issue by May 2020 a Notice of Proposed Rulemaking seeking comments on proposed amendments to the ATR/QM rule. The expiration of the QM Patch or any action by Congress or the CFPB to modify it could affect the residential mortgage market and demand for private mortgage insurance.</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Dodd-Frank Act also gave statutory authority to HUD, the VA, and the USDA to develop their own definitions of "QM," which they have completed. To the extent lenders find that these agencies' definitions of QM are more favorable to certain segments of their borrowers, they may choose government MI products over private MI products.</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along with other industry participants, have observed that the significant majority of covered loans made after the effective date of the CFPB's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w:t>
      </w:r>
    </w:p>
    <w:p>
      <w:pPr>
        <w:spacing w:after="0" w:line="1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ATR rule may continue to impact the mortgage insurance industry in other ways, including because the ATR rule has given rise to a subset of borrowers who cannot meet the regulatory QM standards, thus restricting their access to mortgage credit and reducing the size of the mortgage market. While Congress is considering certain reforms that may address this restrictiveness, there is no certainty about whether legislation will be enacted or be successful in increasing access to mortgage loans for affected borrowers. The CFPB recently completed its statutorily mandated assessment of the ATR rule's impact and effectiveness in meeting its objectives. It is unclear what, if any, changes the CFPB may implement to address the findings of this assessment, including in connection with its broader review of amendments to the ATR/QM rules in anticipation of the QM Patch planned expiration.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Basel III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Basel Capital Accord, as updated, sets out international benchmarks for assessing banks' capital adequacy requirements, which, among other factors, governs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The effective date for the U.S. Basel III regulations was January 1, 2014, although the majority of its provisions are subject to multi-year phase-in periods to achieve full implementation.</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"Standardized Approach" in the U.S. Basel III capital rules, loans secured by one-to-four-family residential properties (residential mortgage exposures) receive a 50% or 100% risk weight. Generally, first lien residential mortgage exposures that are prudently underwritten, including with respect to regulatory standards for LTV limits, and that are performing according to their original terms receive a 50% risk weight, while all other residential mortgage exposures are assigned a 100% risk weight. The banking regulators clarified in a set of frequently asked questions issued in March 2015 that LTV ratios can account for private MI</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7"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in determining whether a loan is made in accordance with prudent underwriting standards for purposes of receiving a 50% risk weight. A mortgage exposure guaranteed by a government MI will have a risk weight of 20%.</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2014, the Basel Committee on Banking Supervision (Basel Committee) issued a proposal for further revisions to Basel III's Standardized Approach for credit risk. The proposal sets forth proposed adjustments to the risk weights for residential mortgage exposures that take into account LTV and the borrower's ability to service a mortgage as a proxy for a debt service coverage ratio. The proposed LTV ratio did not take into consideration any credit enhancement, including private MI. Comments closed on the 2014 proposal in March 2015, and in December 2015, the Basel Committee released a second proposal that retained the LTV provisions of the initial draft, but not the debt servicing coverage ratios. In December 2017, the Basel Committee finalized its revisions to the Standardized Approach for credit risk, including the adoption of risk weights for residential mortgage exposures that, like the December 2015 proposal, take into account LTV but not debt servicing coverage ratios. The revisions to the international Basel III framework would only take effect in the United States to the extent that they are adopted by the federal banking regulators and incorporated into the U.S. Basel III rules.</w:t>
      </w:r>
    </w:p>
    <w:p>
      <w:pPr>
        <w:spacing w:after="0" w:line="11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the existing U.S. implementation of the Basel III capital framework supports continued use of private MI by portfolio lenders as a risk and capital management tool; however, with the ongoing implementation of Basel III and the continued evolution of the Basel framework, it is difficult to predict the impact, if any, on the MI industry and the ultimate form of any potential future modifications to the regulations by federal banking regulators.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Expected Credit Loss Model</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Instruments-Credit Losses (Topic 326) which will be effective for public business entities in fiscal years beginning after December 15, 2019. This standard changes the accounting for credit losses for certain instruments and applies to financial assets measured at amortized cost, including residential mortgage loans. The new measurement approach based on expected losses, commonly referred to as the current expected credit loss (commonly known as CECL) model will require financial institutions to measure the life-time expected credit losses for financial assets held at the reporting date based on historical experience, current conditions and reasonable and supportable forecasts. This is expected to result in earlier recognition of credit losses as reserves are required to be recorded for lifetime losses at origination. However, public entities subject to the new measurement and disclosure standard will be allowed to consider mitigating factors, such as credit enhancement, when estimating lifetime credit losses. Private mortgage insurance is considered an acceptable form of credit enhancement for such purposes and will provide an offset to a portion of the lifetime loss reserving requirements. Private mortgage insurance is expected to reduce volatility that CECL introduces and offset the impact to pricing and financial statements. We believe the continued use of private MI will benefit financial institutions as they adopt this standard; however, as the accounting change has just become effective, it is difficult to predict what, if any, impact it will have on the private MI industry.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New 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Homeowners Protection Act of 1998</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Loans insured by government MIs are not covered by HOPA. Under HOPA, automatic</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7" w:right="2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8"/>
          <w:szCs w:val="18"/>
          <w:color w:val="auto"/>
        </w:rPr>
        <w:t>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8 of RESPA</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mortgage insurers. The CFPB's interpretation and enforcement of Section 8 of RESPA presents regulatory risk for many providers of "settlement services," including mortgage insurers.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2006, Congress enacted a private mortgage insurance tax deduction on a temporary basis through the end of 2011. Upon expiration in 2011, Congress temporarily extended the deduction for each tax year from 2012 through 2017. Congress recently temporarily extended the deduction through December 31, 2020 and retroactively restored deductibility for the 2018 and 2019 tax years. Elimination of the private mortgage insurance tax deduction could have the effect of reducing demand for private MI products. Congress has periodically considered proposed legislation that would make the private mortgage insurance tax deduction permanent, but to date has not enacted any such legislation. Under the Tax Cuts and Jobs Act (TCJA) enacted in December 2017, Congress increased the standard deduction for individuals and maintained the tax deductibility of second mortgages. The combination of maintaining the deduction for second mortgages and not extending deductibility for private MI under the TCJA could have the effect of reducing demand for private MI products.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 Act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federal Secure and Fair Enforcement for Mortgage Licensing Act (SAFE Act), enacted by Congress in 2008, establishes minimum standards for the licensing and registration of state-licensed mortgage loan originators. The SAFE Act also requires the establishment of a nationwide mortgage licensing system and registry for the residential mortgage industry and its employees. As part of this licensing and registration process, loan originators who are employees of certain lending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mortgage loans. NMIS currently provides loan review services through third-party service providers, which have represented and warranted to NMIS that they comply with SAFE Act requirements in all applicable jurisdictions.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and Information Security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 In addition, many states have enacted privacy and data security laws which impose compliance obligations beyond GLBA, including obligations to protect social security numbers, maintain comprehensive information security programs and provide notification if a security breach results in a reasonable belief that unauthorized persons may have obtained access to consumer non-public personal information. We have adopted certain risk management and security practices designed to facilitate our compliance with these federal and state privacy and information security laws.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b w:val="1"/>
          <w:bCs w:val="1"/>
          <w:i w:val="1"/>
          <w:iCs w:val="1"/>
          <w:color w:val="auto"/>
        </w:rPr>
        <w:t>Fair Credit Reporting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FCRA imposes restrictions on the permissible use of credit report information. The CFPB and FTC each have authority to enforce the FCRA. FCRA has been interpreted by some FTC staff and federal courts to require mortgage insurers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Anti-Discrimination Laws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See "Cautionary Note Regarding Forward-Looking Statements" on page 3 of this report. Our actual results could differ materially and adversely from those anticipated in these forward-looking statements, including any such statements made in Item 7, "Management's Discussion and Analysis of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 Operations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One or more of our competitors may seek to capture increased market share from the government MIs or from other private mortgage insurers by reducing prices,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our target customers, our revenue may be adversely impacted, which could adversely impact our growth and profitability.</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our competitors are subsidiaries of larger and more diversified corporations that may have access to greater amounts of capital and financial resources than we do, or a lower cost of capital, and some have better financial strength ratings than we have. As a result, they may be better positioned to compete in and outside of the traditional MI market, including when the GSEs pursue alternative forms of credit enhancement other than private MI. In particular, in 2018, each GSE began piloting a new credit risk transfer program under which the GSE purchases high-LTV loans (</w:t>
      </w:r>
      <w:r>
        <w:rPr>
          <w:rFonts w:ascii="Arial" w:cs="Arial" w:eastAsia="Arial" w:hAnsi="Arial"/>
          <w:sz w:val="17"/>
          <w:szCs w:val="17"/>
          <w:i w:val="1"/>
          <w:iCs w:val="1"/>
          <w:color w:val="auto"/>
        </w:rPr>
        <w:t>i.e.</w:t>
      </w:r>
      <w:r>
        <w:rPr>
          <w:rFonts w:ascii="Arial" w:cs="Arial" w:eastAsia="Arial" w:hAnsi="Arial"/>
          <w:sz w:val="17"/>
          <w:szCs w:val="17"/>
          <w:color w:val="auto"/>
        </w:rPr>
        <w:t>, LTVs above 80%) without MI and subsequently places mortgage insurance with a captive insurer controlled by one of our competitors, which captive in turn cedes 100% of the risk to a panel of offshore reinsurers. Freddie Mac's program is known as IMAGIN and Fannie Mae's program is known as Enterprise-Paid Mortgage Insurance or EPMI. We believe these programs compete with traditional LPMI products offered by private MI companies, including ours, and they may gain traction in the market if, and to the extent, the pricing for these products is lower than prevailing LPMI rates and features of the GSEs' offerings cause originators and the GSEs to materially modify their historical preference for private MI as credit enhancement on high-LTV loans. In addition, the pricing of the IMAGIN and EPMI programs and competing LPMI products may allow these products to begin to impinge on BPMI market share, or may cause MIs, including NMIC, to reduce BPMI rates to more effectively compete with these products.</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financial strength ratings are important for our customers to maintain confidence in our products and our competitive position. PMIERs require all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except newly-approved insurers, to maintain at least one rating with a rating agency acceptable to the GSEs. A downgrade in NMIC's ratings or ratings outlook, or our failure to maintain a rating acceptable to one or both of the GSEs, could have an adverse effect on our business, including (i) potentially impacting our eligibility as an </w:t>
      </w:r>
      <w:r>
        <w:rPr>
          <w:rFonts w:ascii="Arial" w:cs="Arial" w:eastAsia="Arial" w:hAnsi="Arial"/>
          <w:sz w:val="18"/>
          <w:szCs w:val="18"/>
          <w:i w:val="1"/>
          <w:iCs w:val="1"/>
          <w:color w:val="auto"/>
        </w:rPr>
        <w:t>approved insurer</w:t>
      </w:r>
      <w:r>
        <w:rPr>
          <w:rFonts w:ascii="Arial" w:cs="Arial" w:eastAsia="Arial" w:hAnsi="Arial"/>
          <w:sz w:val="18"/>
          <w:szCs w:val="18"/>
          <w:color w:val="auto"/>
        </w:rPr>
        <w:t>, (ii) increased scrutiny of our financial condition by our customers, resulting in potential reduction in our NIW or (iii) negative impacts to our ability to conduct business in the non-GSE mortgage market, where financial strength ratings may be a more important counter-party consideration for lenders.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NIW volumes could be adversely affected if lenders and investors select alternatives to private MI.</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lenders and investors select alternatives to private MI on high-LTV loans, our business could be adversely affected. These alternatives to private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 include, but are not limited to:</w:t>
      </w:r>
    </w:p>
    <w:p>
      <w:pPr>
        <w:spacing w:after="0" w:line="157" w:lineRule="exact"/>
        <w:rPr>
          <w:sz w:val="20"/>
          <w:szCs w:val="20"/>
          <w:color w:val="auto"/>
        </w:rPr>
      </w:pPr>
    </w:p>
    <w:p>
      <w:pPr>
        <w:ind w:left="1140" w:right="20" w:hanging="322"/>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lenders using government mortgage insurance programs, including those of the FHA, USDA and VA, and state-supported mortgage insurance funds in several states, including Massachusetts and California;</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lenders and other investors holding mortgages in portfolio and self-insuring;</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GSEs and other investors using credit enhancements other than MI (including alternative forms of credit risk transfer such as IMAGIN and EPMI), using other credit enhancements in conjunction with reduced levels of MI coverage, or accepting credit risk without credit enhancement;</w:t>
      </w:r>
    </w:p>
    <w:p>
      <w:pPr>
        <w:spacing w:after="0" w:line="73"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and</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borrowers paying cash or making large down payments versus securing mortgage financing.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these alternatives to private MI could reduce or eliminate the need for our products, could cause us to lose business and/or could limit our ability to attract the business that we would prefer to insure.</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at the direction of the FHFA, the GSEs have expanded their credit and mortgage risk transfer programs. These programs have included the use of structured finance vehicles, obtaining insurance from non-mortgage insurers (</w:t>
      </w:r>
      <w:r>
        <w:rPr>
          <w:rFonts w:ascii="Arial" w:cs="Arial" w:eastAsia="Arial" w:hAnsi="Arial"/>
          <w:sz w:val="18"/>
          <w:szCs w:val="18"/>
          <w:i w:val="1"/>
          <w:iCs w:val="1"/>
          <w:color w:val="auto"/>
        </w:rPr>
        <w:t>e.g.</w:t>
      </w:r>
      <w:r>
        <w:rPr>
          <w:rFonts w:ascii="Arial" w:cs="Arial" w:eastAsia="Arial" w:hAnsi="Arial"/>
          <w:sz w:val="18"/>
          <w:szCs w:val="18"/>
          <w:color w:val="auto"/>
        </w:rPr>
        <w:t>, IMAGIN and EPMI),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Arial" w:cs="Arial" w:eastAsia="Arial" w:hAnsi="Arial"/>
          <w:sz w:val="18"/>
          <w:szCs w:val="18"/>
          <w:i w:val="1"/>
          <w:iCs w:val="1"/>
          <w:color w:val="auto"/>
        </w:rPr>
        <w:t>e.g.</w:t>
      </w:r>
      <w:r>
        <w:rPr>
          <w:rFonts w:ascii="Arial" w:cs="Arial" w:eastAsia="Arial" w:hAnsi="Arial"/>
          <w:sz w:val="18"/>
          <w:szCs w:val="18"/>
          <w:color w:val="auto"/>
        </w:rPr>
        <w:t>, lower costs, reduced counter-party risk due to collateral requirements or more diversified insurance exposures) may create increased competition for private MI on loans traditionally sold to the GSEs with private MI.</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2008 financial crisis, the government MIs, principally the FHA and VA, captured an increasing share of the high-LTV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and therefore, generally have greater financial flexibility in setting their pricing, guidelines and capacity, which could put us at a competitive disadvantage. Although there has been broad policy consensus toward the need for private capital to play a larger role and government credit risk to be reduced in the U.S. housing finance system, it remains difficult to predict whether the combined market share of the government MIs will recede to pre-2008 levels. These agencies may continue to maintain a strong combined market position and could increase their market share in the future.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government-supported mortgage insurance programs to remain significant include:</w:t>
      </w:r>
    </w:p>
    <w:p>
      <w:pPr>
        <w:spacing w:after="0" w:line="171" w:lineRule="exact"/>
        <w:rPr>
          <w:sz w:val="20"/>
          <w:szCs w:val="20"/>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to federal housing policy, including government MIs reducing their premiums or loosening their underwriting guidelines;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premium rates or tightening of underwriting guidelines by private mortgage insurers;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constraints in the private MI industry;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capital requirements imposed on private mortgage insurers by the GSEs or states;</w:t>
      </w:r>
    </w:p>
    <w:p>
      <w:pPr>
        <w:spacing w:after="0" w:line="117"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continuation of increases to or imposition of new GSE loan delivery fees on loans that require MI, which may result in higher borrower costs for MI loans compared to loans insured by government MIs;</w:t>
      </w:r>
    </w:p>
    <w:p>
      <w:pPr>
        <w:spacing w:after="0" w:line="62"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 in the spread between GSE mortgage-backed securities and Ginnie Mae mortgage-backed securities;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in government MIs' loan limits above GSE loan limits;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in GSEs' demand to participate in the high-LTV or first-time homebuyer origination market;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operational ease of using insurance from government MIs compared to private MI.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If the government MIs maintain or increase their share of the mortgage insurance market, our business and industry could be negatively affected.</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continue to attract and retain the most significant mortgage originators as customers, our ability to achieve our business goals could be negatively impacted.</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significant majority of high-LTV mortgages in the U.S. and, therefore, influence the size and pricing of the MI market. We are currently doing business with a majority of these lenders. However, there is no assurance we will receive approvals from each of the remaining lenders to transact MI business with them or that those lenders who have approved us will continue to maintain our business relationship. If we are unable to maintain our approved status with one or more of these mortgage lenders, our business, financial condition and operating results could be adversely impacted.</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cannot be certain that any loss of business from one or more customers would be replaced from other new or existing lender customers. Some lenders may decide to write business only with certain mortgage insurers based on their views with respect to an insurer's pricing, price delivery system,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Policy does not require our customers to do business with us. Loss of business from significant customers, if not offset by additional business from other customers, could have an adverse effect on the amount of new business we are able to write, and consequently, our financial condition and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volume of high-LTV loan originations declines, our NIW volume could decline, which would reduce our 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NIW volume and revenues, in part, depend on the volume of high-LTV loan originations and may be negatively affected if the volume declines.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affect the volume of high-LTV loan originations include, among other things:</w:t>
      </w:r>
    </w:p>
    <w:p>
      <w:pPr>
        <w:spacing w:after="0" w:line="157" w:lineRule="exact"/>
        <w:rPr>
          <w:sz w:val="20"/>
          <w:szCs w:val="20"/>
          <w:color w:val="auto"/>
        </w:rPr>
      </w:pPr>
    </w:p>
    <w:p>
      <w:pPr>
        <w:ind w:left="114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loan interest rates. Higher interest rates may increase the potential housing costs of consumers hoping to purchase homes, which may have the effect of reducing the pool of potential borrowers available to purchase homes;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more restrictive regulatory and capital requirements and lender liquidity issues;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health of the real estate industry and the national economy and conditions in regional and local economies;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 preferences of potential mortgage borrowers and cultural shifts;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heavy refinancing can affect whether refinance loans have LTVs that require MI;</w:t>
      </w:r>
    </w:p>
    <w:p>
      <w:pPr>
        <w:spacing w:after="0" w:line="128" w:lineRule="exact"/>
        <w:rPr>
          <w:rFonts w:ascii="Arial" w:cs="Arial" w:eastAsia="Arial" w:hAnsi="Arial"/>
          <w:sz w:val="17"/>
          <w:szCs w:val="17"/>
          <w:color w:val="auto"/>
        </w:rPr>
      </w:pPr>
    </w:p>
    <w:p>
      <w:pPr>
        <w:ind w:left="1140" w:right="2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deductibility of mortgage interest or other changes in tax policy, including the TCJA of 2017, which may have an effect on the residential housing market;</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housing policy encouraging loans to first-time homebuyers;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GSEs' demand to participate in the high-LTV or first-time homebuyer origination market; and</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the GSEs' guaranty and other fees, credit underwriting guidelines and other business terms affect lenders' willingness to extend credit for high-LTV mortgages.</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decline in the volume of high-LTV loan originations could decrease demand for MI, decrease our NIW and therefore reduce our revenues and have a material adverse effect on our operating results.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Our underwriting and credit risk management policies and practices may not anticipate all risks and/or the magnitude of potential for loss as the result of unforeseen risks.</w:t>
      </w:r>
    </w:p>
    <w:p>
      <w:pPr>
        <w:spacing w:after="0" w:line="1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established underwriting and credit risk management policies and practices that seek to mitigate our exposure to borrower default risk in our insured loan portfolio by anticipating future risks and the magnitude of those risks. Our underwriting and credit risk management guidelines are based on what we believe to be the major factors that influence the performance of mortgage credit, including borrower and loan-level risk characteristics, lender origination practices and macroeconomic variables that influence the housing market. The presence of multiple higher-risk characteristics (</w:t>
      </w:r>
      <w:r>
        <w:rPr>
          <w:rFonts w:ascii="Arial" w:cs="Arial" w:eastAsia="Arial" w:hAnsi="Arial"/>
          <w:sz w:val="16"/>
          <w:szCs w:val="16"/>
          <w:i w:val="1"/>
          <w:iCs w:val="1"/>
          <w:color w:val="auto"/>
        </w:rPr>
        <w:t>i.e.,</w:t>
      </w:r>
      <w:r>
        <w:rPr>
          <w:rFonts w:ascii="Arial" w:cs="Arial" w:eastAsia="Arial" w:hAnsi="Arial"/>
          <w:sz w:val="16"/>
          <w:szCs w:val="16"/>
          <w:color w:val="auto"/>
        </w:rPr>
        <w:t xml:space="preserve"> layered risk) in a loan materially increases the likelihood of a default on such a loan unless, and to the extent, there are other characteristics to mitigate the risk.</w:t>
      </w:r>
    </w:p>
    <w:p>
      <w:pPr>
        <w:spacing w:after="0" w:line="1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frequency and severity of claims we incur is uncertain and depends largely on general economic conditions, including unemployment and interest rates and trends in home prices. To the extent that a risk is unforeseen or is underestimated in terms of frequency and/or severity of loss, our underwriting and credit risk management policies and practices may not be sufficient to mitigate the effects of those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Losses result from events that reduce a borrower's ability or willingness to continue to make mortgage payments, which include borrower-specific factors, such as job loss, illness, death and divorce, and macroeconomic factors, such as rising unemployment, market deterioration, rising interest rates and home price depreciation. Borrowers of high-LTV mortgages often have more difficulty weathering personal financial hardships caused by unforeseen events, because they may not have sufficient personal savings or available credit to structure viable workout solutions. Rising unemployment rates and deterioration in economic conditions for extended periods of time, across the U.S. or in specific regional economies, generally increases the likelihood of borrower defaults. An increase in interest rates typically leads to higher monthly payments for borrowers with existing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If our default and loss projections are materially inaccurate, our actual losses could materially exceed our expectations and adversely affect our financial condition and operating results.</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 on their insured loans may increase the likelihood and severity of our losses, which could have a material adverse effect on our financial condition and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premiums we charge may be insufficient to cover claim payments and our operating costs.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mortgage insurance premiums may not be adequate to cover future claim payments. We set premiums at the time a policy is issued based on our expectations regarding likely performance over the term of the policy. Our premium rates are developed based on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higher than anticipated claims generally will not be able to be offset by premium increases on policies in force or mitigated by our non-renewal or cancellation of insurance coverage. While we believe our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(along with investment earnings) may not be sufficient to cover losses and/or our operating costs. An increase in the number or size of claims, compared to what we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7" w:right="2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anticipate, could adversely affect our operating results or financial condition. We may not be able to achieve the results that we expect, and there can be no assurance that losses will not exceed our total resources.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factors that impact the length of time that our policies remain in force may adversely affect our future revenues and claims experience.</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set premiums at the time our policies are issued based on a broad range of variables, including property, loan, borrower, lender and market (</w:t>
      </w:r>
      <w:r>
        <w:rPr>
          <w:rFonts w:ascii="Arial" w:cs="Arial" w:eastAsia="Arial" w:hAnsi="Arial"/>
          <w:sz w:val="18"/>
          <w:szCs w:val="18"/>
          <w:i w:val="1"/>
          <w:iCs w:val="1"/>
          <w:color w:val="auto"/>
        </w:rPr>
        <w:t>e.g.</w:t>
      </w:r>
      <w:r>
        <w:rPr>
          <w:rFonts w:ascii="Arial" w:cs="Arial" w:eastAsia="Arial" w:hAnsi="Arial"/>
          <w:sz w:val="18"/>
          <w:szCs w:val="18"/>
          <w:color w:val="auto"/>
        </w:rPr>
        <w:t>, tax reform) factors to target through-the-cycle returns that exceed our cost of capital. The premium from a single premium policy is collected up front and generally earned over the estimated life of the policy. In contrast, premiums from a monthly premium policy are received and earned each month over the life of the policy and generally cannot be adjusted after coverage is placed. Each year, most of our premiums will be from insurance that has been written in prior years. As a result, the length of time insurance remains in force, which is also generally referred to as persistency, is a primary determinant of our future revenues and claims paying resources.</w:t>
      </w:r>
    </w:p>
    <w:p>
      <w:pPr>
        <w:spacing w:after="0" w:line="1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lower level of persistency could reduce our future revenues from our monthly-paid premium products, which constituted about 75% of our primary IIF at year-end 2019. Higher than expected persistency rates could negatively impact our future profitability on monthly premium policies if market and economic conditions change significantly from those we expected when we established the premium rates. In addition, a higher than expected persistency rate will decrease the profitability from single premium policies if they will remain in force longer than was estimated when the policies were written.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factors affecting persistency include:</w:t>
      </w:r>
    </w:p>
    <w:p>
      <w:pPr>
        <w:spacing w:after="0" w:line="171" w:lineRule="exact"/>
        <w:rPr>
          <w:sz w:val="20"/>
          <w:szCs w:val="20"/>
          <w:color w:val="auto"/>
        </w:rPr>
      </w:pPr>
    </w:p>
    <w:p>
      <w:pPr>
        <w:ind w:left="1140" w:right="20" w:hanging="322"/>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rates on the IIF, which affects the sensitivity of the IIF to refinancings (</w:t>
      </w:r>
      <w:r>
        <w:rPr>
          <w:rFonts w:ascii="Arial" w:cs="Arial" w:eastAsia="Arial" w:hAnsi="Arial"/>
          <w:sz w:val="18"/>
          <w:szCs w:val="18"/>
          <w:i w:val="1"/>
          <w:iCs w:val="1"/>
          <w:color w:val="auto"/>
        </w:rPr>
        <w:t>i.e.</w:t>
      </w:r>
      <w:r>
        <w:rPr>
          <w:rFonts w:ascii="Arial" w:cs="Arial" w:eastAsia="Arial" w:hAnsi="Arial"/>
          <w:sz w:val="18"/>
          <w:szCs w:val="18"/>
          <w:color w:val="auto"/>
        </w:rPr>
        <w:t>, lower current interest rates make it more attractive for borrowers to refinance and receive a lower interest rate);</w:t>
      </w:r>
    </w:p>
    <w:p>
      <w:pPr>
        <w:spacing w:after="0" w:line="62"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of equity in a home, as homeowners with more equity in their homes can more readily move to a new residence or refinance their existing mortgage;</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rates of home price appreciation or depreciation;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conditions that affect a borrower's decision to pay-off a mortgage earlier than required;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lenders' credit policies, which may make it more difficult for borrowers to refinance their loans;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efforts of lenders to solicit borrower refinancing; and</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cancellation of BPMI mandated by the HOPA, with the time-frames for HOPA required cancellations generally accelerating in a lower interest rate environment relative to a higher interest rate environment, and mortgage insurance cancellation policies of the GSEs and other mortgage investors.</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2019, mortgage interest rates decreased over the course of the year and have remained near historical lows, primarily as a result of changes in monetary policy by the Federal Reserve. We expect the low interest rate environment to drive higher levels of refinancings in the mortgage market, including with respect to loans we insure with interest rates that are higher than the current prevailing rates. We could experience significant turnover in our IIF if the current low-rate environment persists over a prolonged period of time, which could negatively impact our future revenues. We are unsure, however, what the ultimate impact on our revenues will be as insured mortgages are refinanced, because the number of policies we write for replacement mortgages may be more or less than the terminated policies associated with the refinanced mortgages and could be written at lower premium rates.</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1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Policy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perform their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7"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services as expected, we could experience increased claims on loans underwritten by them and our customer relationships could be negatively impacted, which would have an adverse impact on our business, financial condition and operating results.</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Master Policy contains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our Master Policies' rescission relief provisions, we agree that we will not rescind coverage of an insured loan for material misrepresentation (including borrower fraud) or underwriting defects if the conditions for such relief are satisfied as specified in the applicable Master Policy. In addition, after a loan has achieved rescission relief, we have agreed to limitations on our ability to initiate certain investigations of fraud or misrepresentation by parties involved in the origination of an insured loan. Our earliest rescission relief on an insured loan is subject to our successful completion of an independent validation on such loan. The current processes we have in place to validate insured loans may be ineffective in detecting material misrepresentations and/or underwriting defects. After a loan meets the conditions for rescission relief, we are contractually prohibited from exercising our rights of rescission for material underwriting defects and certain misrepresentations (including borrower fraud) made in connection with the origination of the insured loan and placement of our mortgage insurance. In addition, following a loan's attainment of rescission relief, our rights to conduct investigations of potential fraud or misrepresentation are significantly curtailed and the evidentiary standards we must meet to pursue rescission for fraud are more stringent. See Item 1, "</w:t>
      </w:r>
      <w:r>
        <w:rPr>
          <w:rFonts w:ascii="Arial" w:cs="Arial" w:eastAsia="Arial" w:hAnsi="Arial"/>
          <w:sz w:val="16"/>
          <w:szCs w:val="16"/>
          <w:i w:val="1"/>
          <w:iCs w:val="1"/>
          <w:color w:val="auto"/>
        </w:rPr>
        <w:t>Business - Underwriting - Independent Validation and Rescission Relief.</w:t>
      </w:r>
      <w:r>
        <w:rPr>
          <w:rFonts w:ascii="Arial" w:cs="Arial" w:eastAsia="Arial" w:hAnsi="Arial"/>
          <w:sz w:val="16"/>
          <w:szCs w:val="16"/>
          <w:color w:val="auto"/>
        </w:rPr>
        <w:t>" With these provisions in our Master Policies, we may be obligated to pay claims on certain loans with unacceptable risk characteristics or which failed to meet our underwriting guidelines at the time of origination. As a result, we could suffer unexpected losses, which could adversely impact our business, financial condition and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Arial" w:cs="Arial" w:eastAsia="Arial" w:hAnsi="Arial"/>
          <w:sz w:val="17"/>
          <w:szCs w:val="17"/>
          <w:i w:val="1"/>
          <w:iCs w:val="1"/>
          <w:color w:val="auto"/>
        </w:rPr>
        <w:t>i.e.</w:t>
      </w:r>
      <w:r>
        <w:rPr>
          <w:rFonts w:ascii="Arial" w:cs="Arial" w:eastAsia="Arial" w:hAnsi="Arial"/>
          <w:sz w:val="17"/>
          <w:szCs w:val="17"/>
          <w:color w:val="auto"/>
        </w:rPr>
        <w:t>, DTIs greater than 45%). Loans with high LTVs leave the borrower with little, no or negative 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programmatic or loan-by-loan exceptions to our underwriting guidelines, including for certain customer programs. We could incur greater than expected claims incidence and claim severity on insured loans that fall outside of our guidelines, which could negatively impact our revenues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insured loan portfolio grows and matures.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believe, based on our experience and industry data, that claims incidence for mortgage insurance is generally highest in the third through sixth years after loan origination, and then declining. Factors, such as persistency of the book and the condition of the economy, including unemployment and housing prices can affect this pattern. We began writing mortgage insurance coverage in 2013. Although our claims experience to date has been better than expected, we anticipate incurred losses and claims to increase as each book year reaches its anticipated period of highest claim frequency. The actual default rate and the average loss per default that we experience is difficult to predict and is dependent on the specific characteristics of our current in-force book, as well as the profile of business we write in the future. Our default experience and claims incurred are also generally affected by macroeconomic factors. See Item 7, "</w:t>
      </w:r>
      <w:r>
        <w:rPr>
          <w:rFonts w:ascii="Arial" w:cs="Arial" w:eastAsia="Arial" w:hAnsi="Arial"/>
          <w:sz w:val="16"/>
          <w:szCs w:val="16"/>
          <w:i w:val="1"/>
          <w:iCs w:val="1"/>
          <w:color w:val="auto"/>
        </w:rPr>
        <w:t>Management's Discussion and Analysis of Financial Condition and Results of Operations - Insurance Claims and Claim Expenses."</w:t>
      </w:r>
      <w:r>
        <w:rPr>
          <w:rFonts w:ascii="Arial" w:cs="Arial" w:eastAsia="Arial" w:hAnsi="Arial"/>
          <w:sz w:val="16"/>
          <w:szCs w:val="16"/>
          <w:color w:val="auto"/>
        </w:rPr>
        <w:t xml:space="preserve"> Incurred losses and claims may exceed our expectations in the event of general economic weakness or decreases in housing values. An increase in the number or size of claims, compared to what we anticipate, could adversely affect our operating results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claims could unexpectedly increase.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Master Policy requires our insureds and their servicers to timely submit premium and monthly IIF and default reports, use commercially reasonable efforts to limit and mitigate loss when a loan is in default and if loss mitigation efforts are unsuccessful, to pursue foreclosure of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7"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underlying property in accordance with required time lines and practices, which are generally set by the GSEs. If these servicers fail to adhere to such servicing standards and fail to limit and mitigate loss when appropriate, our losses may unexpectedly increase.</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we have delegated the authority to implement certain loss mitigation options on loans we insure (</w:t>
      </w:r>
      <w:r>
        <w:rPr>
          <w:rFonts w:ascii="Arial" w:cs="Arial" w:eastAsia="Arial" w:hAnsi="Arial"/>
          <w:sz w:val="17"/>
          <w:szCs w:val="17"/>
          <w:i w:val="1"/>
          <w:iCs w:val="1"/>
          <w:color w:val="auto"/>
        </w:rPr>
        <w:t>e.g.</w:t>
      </w:r>
      <w:r>
        <w:rPr>
          <w:rFonts w:ascii="Arial" w:cs="Arial" w:eastAsia="Arial" w:hAnsi="Arial"/>
          <w:sz w:val="17"/>
          <w:szCs w:val="17"/>
          <w:color w:val="auto"/>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spacing w:after="0" w:line="1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one or more servicers were to experience adverse effects to its business, such servicers could experience delays in their reporting and premium payment requirements, which could result in our inability to correctly record new loans as they are underwritten, receive and process premium payments on insured loans and/or properly recognize and establish loss reserves on loans when defaults exist or occur but are not reported to us. Significant failures by large servicers or disruptions in the servicing of mortgage loans we insure would adversely impact our business, financial condition and operating results.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establish claims reserves when we are notified that an insured loan is in default for at least 60 days, based on management's estimate of claim rates and claim sizes, which are subject to uncertainties and are based on assumptions about certain estimation parameters that may be volatile. As a result, the actual claim payments we make may materially exceed the amount of our corresponding claims reserves.</w:t>
      </w:r>
    </w:p>
    <w:p>
      <w:pPr>
        <w:spacing w:after="0" w:line="1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Our practice, consistent with generally accepted accounting principles in the U.S. (GAAP) for the MI industry, is to establish loss reserves only for loans that servicers have reported to us as being at least 60 days in default. We also establish "IBNR" reserves for estimated losses incurred on loans that have been in default for at least 60 days that have not yet been reported to us by the servicers. The establishment of loss and IBNR reserves is subject to inherent uncertainty and requires significant judgment by management. We establish loss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losses on loans reported to us as being at least 60 days in default as of the end of each reporting period. We estimate IBNR reserves by analyzing historical lags in default reporting to determine a specific number of IBNR claims in each reporting period. Our estimates of claim rates and claim sizes are strongly influenced by prevailing economic conditions, including current rates or trends in unemployment, housing price appreciation and/or interest rates,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Due to the inherent uncertainty and significant judgment involved in the numerous assumptions required to estimate our losses, our loss estimates may vary widely. Because loss and IBNR reserves are based on such estimates and judgments, there can be no assurance that even in a stable economic environment, actual claims paid by us will not be substantially different than our loss and IBNR reserves for such claims. Our business, operating results and financial condition will be adversely impacted if, and to the extent, our actual losses are greater than our loss and IBNR reserves.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occurrence of natural or man-made disasters or a pandemic could adversely affect our business, financial condition and operating results.</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exposed to various risks arising out of natural disasters, including earthquakes, wildfires, hurricanes, floods and tornadoes and man-made disasters, including acts of terrorism, military actions and pandemics. For example, a disaster event could lead to unexpected changes in persistency rates as policyholders and borrowers who are affected by the disaster may be unable to meet their contractual obligations, such as payment of premiums on our insurance policies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new business and increased claims from those areas, and adverse effects on home prices in those areas, which could result in unexpected loss experience in our business. Disasters or a pandemic also could disrupt public and private infrastructure, including communications and financial services, which could disrupt our normal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7"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business operations. In addition, a disaster or a pandemic could adversely affect the value of the assets in our investment portfolio if the event affects companies' ability to pay us principal or interest on their securities.</w:t>
      </w:r>
    </w:p>
    <w:p>
      <w:pPr>
        <w:spacing w:after="0" w:line="1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insure mortgages for homes in areas that have been impacted by natural disasters, including from hurricanes and wildfires. Following such natural disasters, we and other MIs typically experience an increase in NODs on mortgages secured by homes in the impacted areas that negatively impact incurred losses in the periods in which we received such NODs. Our ultimate claims exposure when we experience these events depends on the number of NODs ultimately received, proximate cause of each default and cure rate of the NOD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 We have observed that loans in default in disaster zones typically cure at a higher rate than non-disaster related loans in default. As such, we historically have established lower reserves for these type of NODs than we otherwise do for similarly situated NODs in non-disaster zones. Due to the inherent uncertainty and significant judgment involved in our assumptions, our loss estimates may turn out to be materially inaccurate and we can provide no assurance that actual claims paid by us, if any, on NODs in disaster zones will not be substantially different than the reserves we establish for such claims.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third-party reinsurance, including the QSR Transactions and the ILN Transactions, to actively manage our risk, ensure compliance with PMIERs, state regulatory and other applicable capital requirements and support the growth of our business. There is a risk that these transactions will not continue to provide the benefits we expected when we entered into them, including as a result of our counter-parties under the QSR Transactions (which are not fully collateralized like the ILN Transactions) not performing their obligations, the GSEs or the Wisconsin OCI not continuing to give us full capital credit as anticipated for the duration of the contracts, or if one or more reinsurers under the QSR Transactions experiences a downgrade or other adverse business event. Any of these events could have negative impacts on the credit for the risk transferred under the reinsurance agreements and, in turn, on our capital needs, PMIERs position and growth potential.</w:t>
      </w:r>
    </w:p>
    <w:p>
      <w:pPr>
        <w:spacing w:after="0" w:line="1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Reinsurance does not relieve us of our direct liability to our insureds to pay claims, even when there are reinsurance recoverables available to us under the QSR Transactions. Accordingly, we bear credit risk with respect to such reinsurers. To mitigate this risk, there are certain contractual protections that establish sources from which we may directly obtain our reinsurance recoverables under the QSR Transactions. The ILN Transactions are fully collateralized with funds deposited into trust accounts to secure the obligations of the reinsurers to NMIC under the respective reinsurance agreement. See Item 8, "</w:t>
      </w:r>
      <w:r>
        <w:rPr>
          <w:rFonts w:ascii="Arial" w:cs="Arial" w:eastAsia="Arial" w:hAnsi="Arial"/>
          <w:sz w:val="17"/>
          <w:szCs w:val="17"/>
          <w:i w:val="1"/>
          <w:iCs w:val="1"/>
          <w:color w:val="auto"/>
        </w:rPr>
        <w:t>Financial Statements and Supplementary Data - Notes to Consolidated Financial Statements - Note 6, Reinsurance</w:t>
      </w:r>
      <w:r>
        <w:rPr>
          <w:rFonts w:ascii="Arial" w:cs="Arial" w:eastAsia="Arial" w:hAnsi="Arial"/>
          <w:sz w:val="17"/>
          <w:szCs w:val="17"/>
          <w:color w:val="auto"/>
        </w:rPr>
        <w:t>," below. To the extent the amounts in the QSR trust accounts are insufficient to cover loss recoveries and other amounts to which we are entitled under the QSR Transactions, we would attempt to recover such amounts directly from the reinsurers. One or more reinsurers may be unable or unwilling to pay reinsurance recoverables owed to us in the future, which could have an adverse effect on our financial condition.</w:t>
      </w:r>
    </w:p>
    <w:p>
      <w:pPr>
        <w:spacing w:after="0" w:line="1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any reinsurer under the QSR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also give us the right to terminate the agreements in certain other circumstances, including, among other reasons, if a reinsurer becomes insolvent, has its license revoked or reinsures its entire liability under the relevant QSR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spacing w:after="0" w:line="1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GSEs and the Wisconsin OCI have the right periodically to review performance under our third party reinsurance transactions, including the reinsurers' financial strength and other factors the GSEs and Wisconsin OCI may believe are important to an evaluation of the transactions, which factors may be unknown to us.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7"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experienced significant growth since we started our mortgage insurance business in 2013. Our future operating 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future operating results also depend on our ability to continue to implement and improve our operational, credit, financial, management and other disclosure and internal risk controls and procedures and our reporting systems and procedures. 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There can be no guarantee that we will not experience flaws in our internal controls and procedures in the future.</w:t>
      </w:r>
    </w:p>
    <w:p>
      <w:pPr>
        <w:spacing w:after="0" w:line="13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operational risk from fraud, malfeasance or error by employees and third-party service providers, and any such fraud, malfeasance or error could materially and adversely affect us.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exposed to many types of operational risk, including the risk of fraud or malfeasance by employees and outsiders, including third-party service providers, clerical record-keeping errors and transactional errors. Our business depends on our employees as well as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Accordingly, we invest significant resources in maintaining and enhancing our technology platform and in establishing and maintaining electronic connectivity with our customers. Our customers may choose to do business only with mortgage insurers with which they are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or otherwise keep pace with the technological demands of customers.</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business depends on our ability to timely and effectively resolve any significant issues that may arise with the operation of our technology platform. If our technology platform fails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may not be able to prevent the unauthorized disclosure or misuse of confidential, personal or proprietary information.</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IT systems process, transmit, store and protect large amounts of personal information of borrowers whose mortgages we insure, in addition to the confidential, proprietary, financial and other information that are critical to our business. Our technology systems and networks, including those functions that we may outsource, are vulnerable to unauthorized access, interruptions or failures due to events that are often beyond our control, including cyber-attacks, natural disasters, theft, terrorist attacks and general technology failures. Our employees and vendors may use portable computers or mobile devices which can be stolen or lost or mis-used, making information accessible through such devices more vulnerable to unauthorized access, including by employee malfeasance. We have adopted information security procedures and controls to safeguard our systems and the information that we process, transmit and store. Despite these efforts, we may not be able to anticipate or implement effective preventive measures against all cyber threats, or detect and contain a breach in a timely manner, including because employees may not follow the controls we have implemented, the techniques used change frequently or are not recognized until launched, and because security attacks can originate from a wide variety of sources and methods. Our employees, customers or other users of our systems are from time-to-time subject to fraudulent inducements by parties attempting to gain access to our data or that of our customers. 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damages, harm our reputation, subject us to regulatory scrutiny and/or expose us to civil litigation. If any of these were to occur, our business, financial condition and operating results could be materially adversely affected. Further, the technology errors and omissions insurance coverage we maintain may be inadequate to cover claims and/or costs associated with incidents that may occur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To date, our investment portfolio has been established at a time of historically low interest rates.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be required or find it advisable to change our investments or investment policies depending upon regulatory, economic and market conditions, or our existing or anticipated financial condition and operating requirements, including the tax position, of our business. Our investment objectives may not be achieved.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offering loan review services.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loan review services for certain of our customers, including on loans for which we are not providing mortgage insurance. Under the terms of our loan review agreements with customers and subject to contractual limitations on liability, we provide these customers with limited indemnity rights if we make a material error in providing such services and the error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Accordingly, we have assumed some credit risk in connection with providing these services. We also face regulatory and litigation risk in providing these services. See "</w:t>
      </w:r>
      <w:r>
        <w:rPr>
          <w:rFonts w:ascii="Arial" w:cs="Arial" w:eastAsia="Arial" w:hAnsi="Arial"/>
          <w:sz w:val="18"/>
          <w:szCs w:val="18"/>
          <w:i w:val="1"/>
          <w:iCs w:val="1"/>
          <w:color w:val="auto"/>
        </w:rPr>
        <w:t>The private MI industry is, and as a participant we are, subject to litigation and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 risk generally</w:t>
      </w:r>
      <w:r>
        <w:rPr>
          <w:rFonts w:ascii="Arial" w:cs="Arial" w:eastAsia="Arial" w:hAnsi="Arial"/>
          <w:sz w:val="18"/>
          <w:szCs w:val="18"/>
          <w:color w:val="auto"/>
        </w:rPr>
        <w:t>,"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Regulation of the Mortgage Insurance Industry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NMIC is a GSE </w:t>
      </w:r>
      <w:r>
        <w:rPr>
          <w:rFonts w:ascii="Arial" w:cs="Arial" w:eastAsia="Arial" w:hAnsi="Arial"/>
          <w:sz w:val="18"/>
          <w:szCs w:val="18"/>
          <w:i w:val="1"/>
          <w:iCs w:val="1"/>
          <w:color w:val="auto"/>
        </w:rPr>
        <w:t>approved insurer</w:t>
      </w:r>
      <w:r>
        <w:rPr>
          <w:rFonts w:ascii="Arial" w:cs="Arial" w:eastAsia="Arial" w:hAnsi="Arial"/>
          <w:sz w:val="18"/>
          <w:szCs w:val="18"/>
          <w:color w:val="auto"/>
        </w:rPr>
        <w:t>, and the significant majority of insurance we write is on loans sold to the GSEs. The GSEs set their own counter-party standards for private mortgage insurers, known as PMIERs.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PMIERs.) As a result, our compliance with the PMIERs is necessary to maintain NMIC's status 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The PMIERs establish operational, business, 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7" w:right="239" w:bottom="1440" w:gutter="0" w:footer="0" w:header="0"/>
        </w:sectPr>
      </w:pPr>
    </w:p>
    <w:bookmarkStart w:id="35" w:name="page36"/>
    <w:bookmarkEnd w:id="35"/>
    <w:p>
      <w:pPr>
        <w:jc w:val="both"/>
        <w:spacing w:after="0" w:line="286" w:lineRule="auto"/>
        <w:rPr>
          <w:sz w:val="20"/>
          <w:szCs w:val="20"/>
          <w:color w:val="auto"/>
        </w:rPr>
      </w:pPr>
      <w:r>
        <w:rPr>
          <w:rFonts w:ascii="Arial" w:cs="Arial" w:eastAsia="Arial" w:hAnsi="Arial"/>
          <w:sz w:val="17"/>
          <w:szCs w:val="17"/>
          <w:color w:val="auto"/>
        </w:rPr>
        <w:t>By April 15th of each year, NMIC must certify it met all PMIERs requirements as of December 31st of the prior year. NMIC also has an ongoing obligation to immediately notify the GSEs in writing upon discovery of its failure to meet one or more of the PMIERs requirements, some of which do not have materiality thresholds. We certified to the GSEs by April 15, 2019 that NMIC was in full compliance with the PMIERs as of December 31, 2018.</w:t>
      </w:r>
    </w:p>
    <w:p>
      <w:pPr>
        <w:spacing w:after="0" w:line="1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There can be no assurance, however, that NMIC will continue to comply with the PMIERs financial requirements. If NMIC were to experience a material reduction to revenues or an unexpected, significant increase in losses, NMIC's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could fall below the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PMIERs provide that the table of factors that determine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will be updated every two years or more frequently to reflect macroeconomic conditions, loan performance or to address other issues the GSEs deem important. In addition, the GSEs may amend or clarify other aspects of the PMIERs at any time. On September 27, 2018, the GSEs published the Revised PMIERs, including updated financial requirements, which took effect and became applicable to NMIC on March 31, 2019, after which NMIC has remained in full compliance. There is no assurance NMIC will remain in compliance or that the GSEs will not make the PMIERs financial requirements more onerous in the future. If any future updates to the PMIERs would require NMIC to materially increase the amount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to support its business writings, the amount of capital NMIC is required to hold will increase, which may have a negative effect on our returns. Any such effect could have a negative impact on our flexibility to meet our business plans and our future operating results.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Compliance with PMIERs requires us to seek the GSEs' prior approval before taking many actions, including implementing new products or services or entering into reinsurance arrangements and inter-company agreements among others. PMIERs' prior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w:t>
      </w:r>
      <w:r>
        <w:rPr>
          <w:rFonts w:ascii="Arial" w:cs="Arial" w:eastAsia="Arial" w:hAnsi="Arial"/>
          <w:sz w:val="17"/>
          <w:szCs w:val="17"/>
          <w:i w:val="1"/>
          <w:iCs w:val="1"/>
          <w:color w:val="auto"/>
        </w:rPr>
        <w:t>approved</w:t>
      </w:r>
      <w:r>
        <w:rPr>
          <w:rFonts w:ascii="Arial" w:cs="Arial" w:eastAsia="Arial" w:hAnsi="Arial"/>
          <w:sz w:val="17"/>
          <w:szCs w:val="17"/>
          <w:color w:val="auto"/>
        </w:rPr>
        <w:t xml:space="preserve"> </w:t>
      </w:r>
      <w:r>
        <w:rPr>
          <w:rFonts w:ascii="Arial" w:cs="Arial" w:eastAsia="Arial" w:hAnsi="Arial"/>
          <w:sz w:val="17"/>
          <w:szCs w:val="17"/>
          <w:i w:val="1"/>
          <w:iCs w:val="1"/>
          <w:color w:val="auto"/>
        </w:rPr>
        <w:t>insurer</w:t>
      </w:r>
      <w:r>
        <w:rPr>
          <w:rFonts w:ascii="Arial" w:cs="Arial" w:eastAsia="Arial" w:hAnsi="Arial"/>
          <w:sz w:val="17"/>
          <w:szCs w:val="17"/>
          <w:color w:val="auto"/>
        </w:rPr>
        <w:t>, and such changes could have a material adverse impact on our financial position and operating results. For example, we and other</w:t>
      </w:r>
      <w:r>
        <w:rPr>
          <w:rFonts w:ascii="Arial" w:cs="Arial" w:eastAsia="Arial" w:hAnsi="Arial"/>
          <w:sz w:val="17"/>
          <w:szCs w:val="17"/>
          <w:i w:val="1"/>
          <w:iCs w:val="1"/>
          <w:color w:val="auto"/>
        </w:rPr>
        <w:t xml:space="preserve"> approved insurers </w:t>
      </w:r>
      <w:r>
        <w:rPr>
          <w:rFonts w:ascii="Arial" w:cs="Arial" w:eastAsia="Arial" w:hAnsi="Arial"/>
          <w:sz w:val="17"/>
          <w:szCs w:val="17"/>
          <w:color w:val="auto"/>
        </w:rPr>
        <w:t xml:space="preserve">were required to draft and implement new master policies to, among other things, include terms that conform to the GSEs' new RRPs. It is possible the GSEs could, in their own discretion, require additional limitations and/or conditions on certain of our activities and practices that are not currently in the PMIERs in order for us to remain an </w:t>
      </w:r>
      <w:r>
        <w:rPr>
          <w:rFonts w:ascii="Arial" w:cs="Arial" w:eastAsia="Arial" w:hAnsi="Arial"/>
          <w:sz w:val="17"/>
          <w:szCs w:val="17"/>
          <w:i w:val="1"/>
          <w:iCs w:val="1"/>
          <w:color w:val="auto"/>
        </w:rPr>
        <w:t>approved insurer</w:t>
      </w:r>
      <w:r>
        <w:rPr>
          <w:rFonts w:ascii="Arial" w:cs="Arial" w:eastAsia="Arial" w:hAnsi="Arial"/>
          <w:sz w:val="17"/>
          <w:szCs w:val="17"/>
          <w:color w:val="auto"/>
        </w:rPr>
        <w:t>. Additional requirements or conditions imposed by the GSEs could limit our operating flexibility and the areas in which we may write new business.</w:t>
      </w:r>
    </w:p>
    <w:p>
      <w:pPr>
        <w:spacing w:after="0" w:line="12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If, in the future, NMIC fails to comply with the PMIERs, including the financial requirements, it may lose its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requirements and practices of the GSEs impact the operating results and financial performance of </w:t>
      </w:r>
      <w:r>
        <w:rPr>
          <w:rFonts w:ascii="Arial" w:cs="Arial" w:eastAsia="Arial" w:hAnsi="Arial"/>
          <w:sz w:val="18"/>
          <w:szCs w:val="18"/>
          <w:i w:val="1"/>
          <w:iCs w:val="1"/>
          <w:color w:val="auto"/>
        </w:rPr>
        <w:t>approved insurers</w:t>
      </w:r>
      <w:r>
        <w:rPr>
          <w:rFonts w:ascii="Arial" w:cs="Arial" w:eastAsia="Arial" w:hAnsi="Arial"/>
          <w:sz w:val="18"/>
          <w:szCs w:val="18"/>
          <w:color w:val="auto"/>
        </w:rPr>
        <w:t>, including NMIC</w:t>
      </w:r>
      <w:r>
        <w:rPr>
          <w:rFonts w:ascii="Arial" w:cs="Arial" w:eastAsia="Arial" w:hAnsi="Arial"/>
          <w:sz w:val="18"/>
          <w:szCs w:val="18"/>
          <w:i w:val="1"/>
          <w:iCs w:val="1"/>
          <w:color w:val="auto"/>
        </w:rPr>
        <w:t>.</w:t>
      </w:r>
      <w:r>
        <w:rPr>
          <w:rFonts w:ascii="Arial" w:cs="Arial" w:eastAsia="Arial" w:hAnsi="Arial"/>
          <w:sz w:val="18"/>
          <w:szCs w:val="18"/>
          <w:color w:val="auto"/>
        </w:rPr>
        <w:t xml:space="preserve"> Changes in the charters or business practices of Freddie Mac or Fannie Mae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6" w:name="page37"/>
    <w:bookmarkEnd w:id="36"/>
    <w:p>
      <w:pPr>
        <w:jc w:val="both"/>
        <w:spacing w:after="0" w:line="270" w:lineRule="auto"/>
        <w:rPr>
          <w:sz w:val="20"/>
          <w:szCs w:val="20"/>
          <w:color w:val="auto"/>
        </w:rPr>
      </w:pPr>
      <w:r>
        <w:rPr>
          <w:rFonts w:ascii="Arial" w:cs="Arial" w:eastAsia="Arial" w:hAnsi="Arial"/>
          <w:sz w:val="17"/>
          <w:szCs w:val="17"/>
          <w:color w:val="auto"/>
        </w:rPr>
        <w:t>compensation to the United States government for any explicit or implicit support it provides to the GSEs. Additionally, the Director of the FHFA has publicly stated his priority for exiting the GSEs from conservatorship during his five-year term which began April 2019. Between the Director of the FHFA and the Treasury Department, they possess significant capacity to effect administrative GSE reforms. If any GSE reform is adopted, whether through legislation or administrative action, it could impact the current role of private mortgage insurance as credit enhancement, including its reduction or elimination, which would have an adverse effect on our revenue, operating results, prospects or financial condition. 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To date, several credit risk transfer products have been created under the program, including IMAGIN and EPMI and others discussed above in "</w:t>
      </w:r>
      <w:r>
        <w:rPr>
          <w:rFonts w:ascii="Arial" w:cs="Arial" w:eastAsia="Arial" w:hAnsi="Arial"/>
          <w:sz w:val="18"/>
          <w:szCs w:val="18"/>
          <w:i w:val="1"/>
          <w:iCs w:val="1"/>
          <w:color w:val="auto"/>
        </w:rPr>
        <w:t>Our NIW volumes</w:t>
      </w:r>
      <w:r>
        <w:rPr>
          <w:rFonts w:ascii="Arial" w:cs="Arial" w:eastAsia="Arial" w:hAnsi="Arial"/>
          <w:sz w:val="18"/>
          <w:szCs w:val="18"/>
          <w:color w:val="auto"/>
        </w:rPr>
        <w:t xml:space="preserve"> </w:t>
      </w:r>
      <w:r>
        <w:rPr>
          <w:rFonts w:ascii="Arial" w:cs="Arial" w:eastAsia="Arial" w:hAnsi="Arial"/>
          <w:sz w:val="18"/>
          <w:szCs w:val="18"/>
          <w:i w:val="1"/>
          <w:iCs w:val="1"/>
          <w:color w:val="auto"/>
        </w:rPr>
        <w:t>could be adversely affected if lenders and investors select alternatives to private MI</w:t>
      </w:r>
      <w:r>
        <w:rPr>
          <w:rFonts w:ascii="Arial" w:cs="Arial" w:eastAsia="Arial" w:hAnsi="Arial"/>
          <w:sz w:val="18"/>
          <w:szCs w:val="18"/>
          <w:b w:val="1"/>
          <w:bCs w:val="1"/>
          <w:i w:val="1"/>
          <w:iCs w:val="1"/>
          <w:color w:val="auto"/>
        </w:rPr>
        <w:t>.</w:t>
      </w:r>
      <w:r>
        <w:rPr>
          <w:rFonts w:ascii="Arial" w:cs="Arial" w:eastAsia="Arial" w:hAnsi="Arial"/>
          <w:sz w:val="18"/>
          <w:szCs w:val="18"/>
          <w:color w:val="auto"/>
        </w:rPr>
        <w:t>" To the extent these credit risk products evolve in a manner that</w:t>
      </w:r>
      <w:r>
        <w:rPr>
          <w:rFonts w:ascii="Arial" w:cs="Arial" w:eastAsia="Arial" w:hAnsi="Arial"/>
          <w:sz w:val="18"/>
          <w:szCs w:val="18"/>
          <w:i w:val="1"/>
          <w:iCs w:val="1"/>
          <w:color w:val="auto"/>
        </w:rPr>
        <w:t xml:space="preserve"> </w:t>
      </w:r>
      <w:r>
        <w:rPr>
          <w:rFonts w:ascii="Arial" w:cs="Arial" w:eastAsia="Arial" w:hAnsi="Arial"/>
          <w:sz w:val="18"/>
          <w:szCs w:val="18"/>
          <w:color w:val="auto"/>
        </w:rPr>
        <w:t>displaces primary MI coverage, the amount of insurance we write may be reduced. It is difficult to predict the impact of alternative credit risk transfer products, if any, that are developed to meet the goals established by the FHFA.</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comprehensive state insurance regulations and capital adequacy requirements, which we must satisfy to continue to operate our MI business.</w:t>
      </w:r>
    </w:p>
    <w:p>
      <w:pPr>
        <w:spacing w:after="0" w:line="1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current pricing and business practices. Further, failure to comply with the applicable regulations could lead to enforcement or disciplinary action, including the imposition of penalties and the revocation of our authorization to operate.</w:t>
      </w:r>
    </w:p>
    <w:p>
      <w:pPr>
        <w:spacing w:after="0" w:line="1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NMIC's principal regulator is the Wisconsin OCI. Under applicable Wisconsin law, as well as that of 15 other states, a mortgage insurer must maintain a minimum amount of statutory capital relative to its RIF in order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Arial" w:cs="Arial" w:eastAsia="Arial" w:hAnsi="Arial"/>
          <w:sz w:val="16"/>
          <w:szCs w:val="16"/>
          <w:i w:val="1"/>
          <w:iCs w:val="1"/>
          <w:color w:val="auto"/>
        </w:rPr>
        <w:t>i.e.</w:t>
      </w:r>
      <w:r>
        <w:rPr>
          <w:rFonts w:ascii="Arial" w:cs="Arial" w:eastAsia="Arial" w:hAnsi="Arial"/>
          <w:sz w:val="16"/>
          <w:szCs w:val="16"/>
          <w:color w:val="auto"/>
        </w:rPr>
        <w:t>, our RIF grows faster than expected) or is less profitable than expected (</w:t>
      </w:r>
      <w:r>
        <w:rPr>
          <w:rFonts w:ascii="Arial" w:cs="Arial" w:eastAsia="Arial" w:hAnsi="Arial"/>
          <w:sz w:val="16"/>
          <w:szCs w:val="16"/>
          <w:i w:val="1"/>
          <w:iCs w:val="1"/>
          <w:color w:val="auto"/>
        </w:rPr>
        <w:t>i.e.</w:t>
      </w:r>
      <w:r>
        <w:rPr>
          <w:rFonts w:ascii="Arial" w:cs="Arial" w:eastAsia="Arial" w:hAnsi="Arial"/>
          <w:sz w:val="16"/>
          <w:szCs w:val="16"/>
          <w:color w:val="auto"/>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raise additional capital. If this were to occur, we can give no assurance that our efforts to obtain additional reinsurance or otherwise reduce our RIF, or to raise capital would be successful, and if such efforts are unsuccessful, we could exceed state-imposed capital requirements. Accordingly, if we fail to meet the capital adequacy requirements in one or more states, we could be required to suspend writing business in some or all of the states in which we do business.</w:t>
      </w:r>
    </w:p>
    <w:p>
      <w:pPr>
        <w:spacing w:after="0" w:line="1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NAIC has formed the Working Group to discuss and recommend changes to the solvency and market practices regulation of mortgage insurers, including changes to the Model Act. Proposed amendments to the Model Act include, among other changes, adoption of a risk-based capital model. We, along with other mortgage insurers, have provided feedback to the Working Group since early 2013, including comments on the risk-based capital approach. The Working Group's discussions are ongoing and the ultimate outcome of these discussions and any potential actions taken by the NAIC cannot be predicted at this time. If the Working Group's final proposal to the NAIC contains more stringent capital requirements, this could ultimately lead to NMIC being obligated to hold more capital for its insured business than we are required to hold under PMIERs, which would reduce our profitability compared to the profitability we expect under the existing capital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private MI industry is, and as a participant we are, subject to litigation and regulatory enforcement risk generally.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regulators and state insurance agencies in the ordinary course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7" w:right="239" w:bottom="1440" w:gutter="0" w:footer="0" w:header="0"/>
        </w:sectPr>
      </w:pPr>
    </w:p>
    <w:bookmarkStart w:id="37" w:name="page38"/>
    <w:bookmarkEnd w:id="37"/>
    <w:p>
      <w:pPr>
        <w:jc w:val="both"/>
        <w:ind w:firstLine="648"/>
        <w:spacing w:after="0" w:line="287" w:lineRule="auto"/>
        <w:rPr>
          <w:sz w:val="20"/>
          <w:szCs w:val="20"/>
          <w:color w:val="auto"/>
        </w:rPr>
      </w:pPr>
      <w:r>
        <w:rPr>
          <w:rFonts w:ascii="Arial" w:cs="Arial" w:eastAsia="Arial" w:hAnsi="Arial"/>
          <w:sz w:val="16"/>
          <w:szCs w:val="16"/>
          <w:color w:val="auto"/>
        </w:rPr>
        <w:t>In the past, mortgage insurers (excluding NMIC)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most recent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New leadership at the CFPB may also have an impact on future CFPB enforcement activity. The CFPB's interpretation and enforcement of Section 8 of RESPA presents regulatory risk for many providers of "settlement services," including mortgage insurers.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time-to-time, we have been involved in certain legal proceedings in the ordinary course of business. To date, we have not recognized a material liability related to any of our legal proceedings. However, the outcome of litigation and other legal and regulatory matters is inherently uncertain, and it is possible that one or more of any such matters in the future could have an unanticipated material adverse effect on our liquidity, financial position and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Basel III may adversely affect the use of MI by certain banks.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2013, U.S. federal banking regulators adopted regulations to implement Basel III. The effective date for the U.S. Basel III regulations was January 1, 2014, although the majority of its provisions are subject to multi-year phase-in periods to achieve full implementation. With the ongoing implementation of U.S. Basel III and the potential continued evolution of the international Basel capital framework, it is difficult to predict the impact, if any, on the MI industry and the ultimate form of any potential future modifications to the regulations by federal banking regulators. If federal regulators revise the U.S. Basel III rules to reduce or eliminate the capital benefit banks receive from insuring high-LTV loans with private MI, or if our customers who are subject to Basel III believe that adverse changes may occur at some time in the future, our current and future business may be adversely affected.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ATR Rules defining a QM further reduce the size of the origination market.</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Dodd-Frank Act authorized the CFPB to issue regulations requiring a loan originator to determine whether, at the time a loan is originated, the consumer has a reasonable ability to repay the loan (ATR). The CFPB's final ATR rule went into effect on January 10, 2014. A subset of mortgages within the ATR rule are known as QMs, which generally are defined as loans without certain risky features, such as negative amortization, points and fees in excess of 3% of the loan amount, borrowers with DTI ratios above 43% and terms exceeding 30 years. QMs under the rule benefit from a statutory presumption of compliance with the ATR rule, thus potentially mitigating the risk of the liability of the creditor and assignees of the loan. The rule also provides for the "QM Patch," so long as loans satisfy the general product feature requirements of QMs (other than borrower DTI) and so long as they meet the underwriting requirements of the GSEs. The QM Patch is scheduled to phase out upon the earlier to occur of the end of conservatorship or receivership of the GSEs or January 10, 2021. In July 2019, the CFPB announced their intent to study possible amendments to the ATR/QM rules in anticipation of the planned expiration of the QM Patch on January 10, 2021 or following a short extension. On January 17, 2020, the CFPB announced that the CFPB will propose an amendment to the ATR/QM rule that would move away from DTI, extend the date of expiration of the QM Patch beyond January 10, 2021 and issue by May 2020 a Notice of Proposed Rulemaking seeking comments on proposed amendments to the ATR/QM rule. The expiration of the QM Patch or any action by Congress or the CFPB to modify it could affect the residential mortgage market and demand for private mortgage insurance.</w:t>
      </w:r>
    </w:p>
    <w:p>
      <w:pPr>
        <w:spacing w:after="0" w:line="1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spacing w:after="0" w:line="1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along with other industry participants, have observed that the significant majority of covered loans made after the effective date of the ATR rule have been QMs. We expect that most lenders will continue to be reluctant to make loans that do not qualify as QMs (either under the rule's specific underwriting guidelines, GSE underwriting guidelines or the HUD definition of 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7" w:right="239" w:bottom="1440" w:gutter="0" w:footer="0" w:header="0"/>
        </w:sectPr>
      </w:pPr>
    </w:p>
    <w:bookmarkStart w:id="38" w:name="page39"/>
    <w:bookmarkEnd w:id="38"/>
    <w:p>
      <w:pPr>
        <w:jc w:val="both"/>
        <w:spacing w:after="0" w:line="272" w:lineRule="auto"/>
        <w:rPr>
          <w:sz w:val="20"/>
          <w:szCs w:val="20"/>
          <w:color w:val="auto"/>
        </w:rPr>
      </w:pPr>
      <w:r>
        <w:rPr>
          <w:rFonts w:ascii="Arial" w:cs="Arial" w:eastAsia="Arial" w:hAnsi="Arial"/>
          <w:sz w:val="17"/>
          <w:szCs w:val="17"/>
          <w:color w:val="auto"/>
        </w:rPr>
        <w:t>QM)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The CFPB recently completed its statutorily mandated assessment of the ATR rule's impact and effectiveness in meeting its objectives. It is unclear what, if any, changes the CFPB may implement to address the findings of this assessment, including in connection with its broader review of amendments to the ATR/QM rules in anticipation of the QM Patch planned expiration. Our business prospects and operating results could be adversely impacted if, and to the extent that, the QM regulations or the CFPB's actions have the impact of further reducing the size of the origination market, including potentially when the QM Patch expires.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relating to the potential discontinuation of LIBOR after 2021 may adversely affect our business, results of operations and financial condition.</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exposure to LIBOR-indexed financial instruments, including our credit instruments and ILN Transactions. As of December 31, 2019, we held approximately $90 million of floating-rate securities in our investment portfolio that yield interest based on an index rate, predominantly LIBOR, plus a margin (the LIBOR-indexed securities). In addition, we believe most ARMs in our IIF are indexed to LIBOR. In 2017, the U.K. Financial Conduct Authority, which regulates LIBOR, announced its intention to stop persuading or compelling the banks that sustain LIBOR to submit rate quotations after 2021. Accordingly, it is uncertain whether LIBOR will continue to be quoted after 2021, or if it does continue to be quoted, whether it will be reliable.</w:t>
      </w:r>
    </w:p>
    <w:p>
      <w:pPr>
        <w:spacing w:after="0" w:line="1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Efforts to identify and transition to a set of alternative U.S. dollar reference rates have been underway, including proposals by the Alternative Reference Rates Committee of the Federal Reserve Board (ARRC). In 2017, the ARRC recommended an alternative reference rate referred to as the Secured Overnight Financing Rate (SOFR) and the Federal Reserve Bank of New York began publishing SOFR in 2018. However, SOFR is calculated based on different criteria than LIBOR. Accordingly, SOFR and LIBOR may diverge, particularly in times of macroeconomic stress. Since the initial publication of SOFR in 2018, daily changes in SOFR have at times been more volatile than daily changes in comparable benchmark or market rates, and SOFR may be subject to direct influence by activities of the Federal Reserve and the Federal Reserve Bank of New York in ways that other rates may not be.</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analyze potential risks associated with the LIBOR transition, including financial, operational, legal and market risks. We have created an enterprise plan focused on this transition, including identifying and monitoring our exposure to LIBOR and monitoring the market adoption of alternative reference rates and industry-standard contractual fall-back provisions.</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of our LIBOR-indexed financial instruments and we believe most of our LIBOR-indexed securities provides for determining an alternative reference rate if LIBOR is discontinued. LIBOR-indexed ARMs typically provide lenders with the option to choose a comparable rate if LIBOR ceases to exist. However, there is considerable uncertainty as to how the financial services industry will address the discontinuance of LIBOR in these financial instruments. Alternative reference rates that replace LIBOR may not yield the same or similar economic results over the lives of these financial instruments. In addition, while the ARRC was created to ensure a successful transition from LIBOR, there can be no assurance that the ARRC will endorse practices that create a smooth transition and minimize value transfers between market participants, or that its endorsed practices will be broadly adopted by market participants. In addition, we cannot anticipate how long it will take to develop the systems and processes necessary to adopt SOFR or other benchmark replacements, which may delay and contribute to uncertainty and volatility surrounding the LIBOR transition.</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a change or transition away from LIBOR as a common reference rate in the financial market could have a range of adverse effects on our business, results of operations and financial condition. In particular any such transition could:</w:t>
      </w:r>
    </w:p>
    <w:p>
      <w:pPr>
        <w:spacing w:after="0" w:line="1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adversely affect the interest rates we pay on our LIBOR-indexed financial instruments;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cause volatility in the yield of our LIBOR-indexed securities and investment income;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prompt additional inquiries or other actions from regulators in respect of our preparation and readiness for the replacement of LIBOR with an alternative reference rate;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 in disputes, litigation or other actions with our counterparties regarding the interpretation and enforceability of certain fall-back language in LIBOR-based instruments and securities we hold;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 the residential mortgage market, including with respect to ARMs, if replacement indices unilaterally chosen by lenders negatively impact borrowers, which could give rise to higher than expected rates of default on such loans and increased litigation.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Our Holding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could affect our ability to satisfy our obligations and potentially require us to raise more capital.</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serves as the holding company for our operating subsidiaries and does not have any significant operations of its own. NMIH's principal source of operating cash is investment income, and could in the future include dividends from NMIC, if available and permitted under law or by state insurance regulators. In addition, NMIH currently receives cash from our insurance subsidiaries, consisting of payments made under our tax and expense-sharing arrangements.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fails to meet the PMIERs financial requirements, such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may not pay dividends without the prior approval of the GSEs.</w:t>
      </w:r>
    </w:p>
    <w:p>
      <w:pPr>
        <w:spacing w:after="0" w:line="1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13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2018 Credit Agreement contains various covenants, restrictions and required financial ratios and tests that limit our operating flexibility. The violation of one or more of these covenants, ratios or tests could have a material adverse effect on our business, financial condition and operating results.</w:t>
      </w:r>
    </w:p>
    <w:p>
      <w:pPr>
        <w:spacing w:after="0" w:line="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2018, NMIH entered into a credit agreement (2018 Credit Agreement), providing for (i) a $150 million five-year senior secured term loan facility (2018 Term Loan) that matures on May 24, 2023; and (ii) an $85 million three-year secured revolving credit facility (2018 Revolving Credit Facility) that matures on May 24, 2021. Proceeds from the 2018 Term Loan were used to repay in full the outstanding amount due under our previous $150 million amended term loan (the 2015 Term Loan) and to pay fees and expenses incurred in connection with the 2018 Credit Agreement. The 2018 Credit Agreement is secured by substantially all of the assets of NMIH, including the capital stock of NMIC and Re One.</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Among other requirements, under both the 2018 Term Loan and the 2018 Revolving Credit Facility, NMIH may not permit our debt to total capitalization ratio to exceed 35% as of the last day of any fiscal quarter. Under the 2018 Revolving Credit Facility, NMIH may not permit (i) the aggregate amount of our unrestricted cash and cash equivalents to be less than $10 million at any time when NMIH does not have an investment-grade credit rating from both Standard &amp; Poor's Rating Service (S&amp;P) and Moody's Investors Service (Moody's), (ii) the statutory capital of NMIC to be less than $414,424,624 as of the last day of any fiscal quarter, or (iii) our consolidated net worth to be, as of the last day of any fiscal quarter, less than the sum of (A) $461,607,905, plus (B) 50% of our cumulative consolidated net income for each fiscal quarter for which such consolidated net income is positive, plus (C) 50% of any increase in our consolidated net worth after March 31, 2018 resulting from certain issuances of equity by or capital contributions to NMIH or our subsidiaries. In addition, under the Revolving Credit Facility, NMIC must remain at all times in compliance with all applicable "financial requirements" imposed pursuant to the PMIERs, subject to any allowed transition period or forbearance thereunder.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3" w:right="2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Further, the 2018 Credit Agreement prohibits, restricts or limits, among other things, NMIH's and its subsidiaries' ability to (i) incur additional indebtedness, (ii) incur liens on their property, (iii) pay dividends or make other distributions, (iv) sell their assets, (v) make certain loans or investments, (vi) merge or consolidate and (vii) enter into transactions with affiliates, in each case subject to certain limitations, exceptions and qualifications as set forth in the 2018 Credit Agreement.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covenants place significant restrictions on the manner in which we may operate our business, and our ability to meet these covenants may be affected by events beyond our control. If we fail to meet any of these covenants, the lenders could declare the outstanding principal amount of the 2018 Term Loan, accrued and unpaid interest and all other amounts owing and payable thereunder to be immediately due and payable, which could have a material adverse effect on our business, financial condition and operating results.</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required to assess our ability to continue as a going concern as part of our preparation of financial statements at each quarter-end. This assessment includes, among other things, our ability to comply with the covenants and requirements under the 2018 Credit Agreement. If in future periods we are not able to demonstrate that we will be in compliance with the financial covenant requirements in the 2018 Credit Agreement for at least 12 months following the date of the financial statements, management could conclude there is substantial doubt about our ability to continue as a going concern, and the audit opinion that we would receive from our independent registered public accounting firm would include an explanatory paragraph regarding our ability to continue as a going concern. Such an opinion would cause us to be in breach of the covenants in the 2018 Credit Agreement.</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NMIH's obligations under the Credit Agreement are guaranteed (Guarantee) by one of its subsidiaries, NMIS (the Guarantor). NMIH's and the Guarantor's obligations under the 2018 Credit Agreement and the Guarantee, respectively, are secured by first-priority liens on substantially all the assets of NMIH and the Guarantor, respectively, subject to certain exceptions. If we fail to make the required payments on the 2018 Term Loan, do not meet the financial covenants or otherwise default on the terms of the 2018 Credit Agreement, the lenders under the 2018 Credit Agreement could declare all of the obligations under the 2018 Credit Agreement to be immediately due and payable. We cannot assure you that our assets would be sufficient to repay such amounts in full if this were to occur, and the lenders could foreclose on the collateral securing the 2018 Credit Agreement and the Guarantee, including, subject to regulatory approval, the stock of NMIC and Re One. In addition, although we currently expect that we will have sufficient assets to repay the outstanding principal of the 2018 Term Loan at maturity; we can give no assurance that our assets at that time will be sufficient to repay such amounts in full or that NMIH will be able to extend or refinance the 2018 Term Loan. Any of these actions could have a material adverse effect on our business, financial condition and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and any future, variable rate indebtedness subjects us to interest rate risk, which could cause our annual debt service obligations to increase significantly.</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indebtedness under the 2018 Credit Agreement is,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substantial level of debt, we may incur more debt, which could exacerbate any or all of the risks described above.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incur substantial additional debt in the future, including up to $85 million in borrowings we may choose to make under the 2018 Revolving Credit Facility. Although our 2018 Credit Agreement limits our ability and the ability of certain of our subsidiaries to incur additional debt, these restrictions are subject to a number of qualifications and exceptions, and, under certain circumstances, we may incur additional debt in compliance with these restrictions. In addition, the 2018 Credit Agreement does not prevent us from incurring certain obligations that do not constitute "indebtedness" as defined therein. To the extent that we incur additional debt or such other obligations, the risks associated with our 2018 Credit Agreement described above, including our possible inability to service our debt or other obligations, would increase.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current issuer credit and debt ratings are below investment grade. Our current credit ratings, or any future negative actions the credit agencies may take, could affect our ability to access the reinsurance, credit and capital markets in the future and could lead to worsened trade terms and adversely affect the cost.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57"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We do not anticipate paying any dividends on our common stock in the near future, and payment of any declared dividends may be delayed.</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not declared or paid dividends in the past, and we do not expect to pay dividends in the near future. We currently intend to retain all of our earnings, if any, to fund our growth. As a result,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which could cause the value of an investment in our common stock to decline.</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27"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including price levels and volume and changes in interest rates;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national, regional and local economic or business conditions;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and changes in, trade, tax, monetary and fiscal policies, including the interest rate policies of the Federal Reserve;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U.S. housing and housing finance policy, including changes to the GSEs and the role of government MIs;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actual or projected financial condition, liquidity, operating results, cash flows and capital levels;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or failure to meet, our publicly disclosed expectations as to our future financial and operating performance;</w:t>
      </w:r>
    </w:p>
    <w:p>
      <w:pPr>
        <w:spacing w:after="0" w:line="63"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valuations, as well as the financial and operating performance and prospects, of similar companies;</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issuances or sales, or anticipated issuances or sales, of our common stock or other securities convertible into or exchangeable or exercisable for our common stock;</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indebtedness we may incur in the future;</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in connection with changes in our stock price, such as changes in the value of the liability reflected on our financial statements associated with outstanding warrants;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failure to establish and maintain effective internal controls over financial reporting;</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 and management;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satisfy the continued listing requirements of the NASDAQ;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comply with the Sarbanes-Oxley Act of 2002.</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2019, we had 68,358,074 shares of our common stock issued and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have filed registration statements on Form S-8 under the Securities Act to register an aggregate of 5.5 million shares of our common stock for issuance under our 2012 Stock Incentive Plan (2012 Plan) and an aggregate of 6 million shares of our common stock for issuance under our Amended and Restated 2014 Omnibus Incentive Plan (2014 Plan, and together with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7" w:right="2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2012 Plan, the Stock Plans). Any shares issued under our Stock Plans, including as a result of the exercise of stock options, would dilute the percentage ownership held by investors who purchase our shares prior to such issuance.</w:t>
      </w:r>
    </w:p>
    <w:p>
      <w:pPr>
        <w:spacing w:after="0" w:line="1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the authority, without action or vote of our stockholders except as required under Nasdaq rules, to issue all or any part of our authorized but unissued shares of common stock, including shares that may be issued to satisfy our obligations under our Stock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issuance of debt or preferred stock, which would rank senior to our Class A common stock upon our liquidation, may adversely affect the market value of our common stock.</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2018 Credit Agreement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116" w:lineRule="exact"/>
        <w:rPr>
          <w:sz w:val="20"/>
          <w:szCs w:val="20"/>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generally can only be called by the chairman of the Board or the president or by resolution of the Board;</w:t>
      </w:r>
    </w:p>
    <w:p>
      <w:pPr>
        <w:spacing w:after="0" w:line="8"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our Board the ability to issue common stock and warrants within the amount of authorized capital;</w:t>
      </w:r>
    </w:p>
    <w:p>
      <w:pPr>
        <w:spacing w:after="0" w:line="63"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19"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alone or together, could delay hostile takeovers and changes of control of the Company or changes in our management. Additionally, cumulative voting in the election of our directors in not allowed.</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7"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by the board of such corporation and authorized at a meeting of stockholders by the affirmative vote of at least two-thirds of the outstanding voting stock of such corporation not owned by the interested stockholder.</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lease approximately 47,000 square feet of office space in Emeryville, California pursuant to an office facility lease that we initially entered into in 2012 (as amended, the Lease). The term of the Lease extends through March 2023. We do not own or lease any other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reasonably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98"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3" w:right="239" w:bottom="1440" w:gutter="0" w:footer="0" w:header="0"/>
        </w:sectPr>
      </w:pPr>
    </w:p>
    <w:bookmarkStart w:id="45" w:name="page46"/>
    <w:bookmarkEnd w:id="45"/>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listed on the NASDAQ under the symbol "NMIH." At February 11, 2019, there were 68,438,109 shares of our Class A common stock outstanding and approximately 13 holders of record. There are no shares of our Class B common stock outstanding. The closing price of our common stock on NASDAQ on February 11, 2019 was $35.57.</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dividends on our common stock have previously been declared or paid, and we do not expect to declare or pay dividends in the near future. For information on our ability to pay dividends, see Item 7, "</w:t>
      </w:r>
      <w:r>
        <w:rPr>
          <w:rFonts w:ascii="Arial" w:cs="Arial" w:eastAsia="Arial" w:hAnsi="Arial"/>
          <w:sz w:val="18"/>
          <w:szCs w:val="18"/>
          <w:i w:val="1"/>
          <w:iCs w:val="1"/>
          <w:color w:val="auto"/>
        </w:rPr>
        <w:t>Management's Discussion and Analysis of Financial Condition and Results of Operations - Holding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Liquidity and Capital Resources</w:t>
      </w:r>
      <w:r>
        <w:rPr>
          <w:rFonts w:ascii="Arial" w:cs="Arial" w:eastAsia="Arial" w:hAnsi="Arial"/>
          <w:sz w:val="18"/>
          <w:szCs w:val="18"/>
          <w:color w:val="auto"/>
        </w:rPr>
        <w:t>" and Item 8, "</w:t>
      </w:r>
      <w:r>
        <w:rPr>
          <w:rFonts w:ascii="Arial" w:cs="Arial" w:eastAsia="Arial" w:hAnsi="Arial"/>
          <w:sz w:val="18"/>
          <w:szCs w:val="18"/>
          <w:i w:val="1"/>
          <w:iCs w:val="1"/>
          <w:color w:val="auto"/>
        </w:rPr>
        <w:t>Financial Statements and Supplementary Data - Notes to Consolidated Financial Statements - Note16, Regulatory Information - Dividend Restrictions.</w:t>
      </w:r>
      <w:r>
        <w:rPr>
          <w:rFonts w:ascii="Arial" w:cs="Arial" w:eastAsia="Arial" w:hAnsi="Arial"/>
          <w:sz w:val="18"/>
          <w:szCs w:val="18"/>
          <w:color w:val="auto"/>
        </w:rPr>
        <w: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shares of our common stock during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graph compares the cumulative total stockholder return on our Class A common stock from December 31, 2014 until December 31, 2019, with the cumulative total stockholder return on the Russell 2000 Index, S&amp;P Small Cap 600 Index and an index of selected mortgage insurance companies (Peer Index).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969000" cy="2607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0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12/30/2014</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12/31/2015</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12/31/2016</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12/31/2017</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12/31/2018</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12/31/2019</w:t>
            </w:r>
          </w:p>
        </w:tc>
      </w:tr>
      <w:tr>
        <w:trPr>
          <w:trHeight w:val="283"/>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NMI Holdings,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138</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Small Cap 600</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Peer Index (ESNT, MTG, RDN)</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the following table should be read in conjunction with the information included in Item 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notes thereto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center"/>
              <w:ind w:left="674"/>
              <w:spacing w:after="0"/>
              <w:rPr>
                <w:sz w:val="20"/>
                <w:szCs w:val="20"/>
                <w:color w:val="auto"/>
              </w:rPr>
            </w:pPr>
            <w:r>
              <w:rPr>
                <w:rFonts w:ascii="Arial" w:cs="Arial" w:eastAsia="Arial" w:hAnsi="Arial"/>
                <w:sz w:val="14"/>
                <w:szCs w:val="14"/>
                <w:b w:val="1"/>
                <w:bCs w:val="1"/>
                <w:color w:val="auto"/>
                <w:w w:val="92"/>
              </w:rPr>
              <w:t>For the years ended December 31,</w:t>
            </w: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4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45"/>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60" w:type="dxa"/>
            <w:vAlign w:val="bottom"/>
            <w:gridSpan w:val="5"/>
          </w:tcPr>
          <w:p>
            <w:pPr>
              <w:jc w:val="center"/>
              <w:ind w:right="72"/>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42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345,015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251,197</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165,740</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110,481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45,506</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13,751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7,246</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w:t>
            </w:r>
          </w:p>
        </w:tc>
        <w:tc>
          <w:tcPr>
            <w:tcW w:w="3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831</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378,771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275,025</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182,743</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123,815</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53,608</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Insurance claims &amp; claim expenses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12,507</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5,452</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5,339</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2,392</w:t>
            </w:r>
          </w:p>
        </w:tc>
        <w:tc>
          <w:tcPr>
            <w:tcW w:w="3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650</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126,621</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116,966</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106,362</w:t>
            </w: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92,731</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80,503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171,957</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107,927</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22,050</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64,001</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(27,793)</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67,573</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65,019</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59,816</w:t>
            </w:r>
          </w:p>
        </w:tc>
        <w:tc>
          <w:tcPr>
            <w:tcW w:w="50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59,071</w:t>
            </w:r>
          </w:p>
        </w:tc>
        <w:tc>
          <w:tcPr>
            <w:tcW w:w="3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58,683</w:t>
            </w:r>
          </w:p>
        </w:tc>
      </w:tr>
      <w:tr>
        <w:trPr>
          <w:trHeight w:val="426"/>
        </w:trPr>
        <w:tc>
          <w:tcPr>
            <w:tcW w:w="4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251"/>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gridSpan w:val="4"/>
          </w:tcPr>
          <w:p>
            <w:pPr>
              <w:jc w:val="center"/>
              <w:ind w:left="394"/>
              <w:spacing w:after="0"/>
              <w:rPr>
                <w:sz w:val="20"/>
                <w:szCs w:val="20"/>
                <w:color w:val="auto"/>
              </w:rPr>
            </w:pPr>
            <w:r>
              <w:rPr>
                <w:rFonts w:ascii="Arial" w:cs="Arial" w:eastAsia="Arial" w:hAnsi="Arial"/>
                <w:sz w:val="14"/>
                <w:szCs w:val="14"/>
                <w:i w:val="1"/>
                <w:iCs w:val="1"/>
                <w:color w:val="auto"/>
                <w:w w:val="94"/>
              </w:rPr>
              <w:t>(In Thousands, except for ratios)</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87"/>
              </w:rPr>
              <w:t>1,140,940</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911,490</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715,875</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8"/>
              </w:rPr>
              <w:t>628,969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559,235</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41,089</w:t>
            </w:r>
          </w:p>
        </w:tc>
        <w:tc>
          <w:tcPr>
            <w:tcW w:w="360" w:type="dxa"/>
            <w:vAlign w:val="bottom"/>
          </w:tcPr>
          <w:p>
            <w:pPr>
              <w:spacing w:after="0"/>
              <w:rPr>
                <w:sz w:val="21"/>
                <w:szCs w:val="21"/>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25,294</w:t>
            </w:r>
          </w:p>
        </w:tc>
        <w:tc>
          <w:tcPr>
            <w:tcW w:w="40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19,196</w:t>
            </w:r>
          </w:p>
        </w:tc>
        <w:tc>
          <w:tcPr>
            <w:tcW w:w="50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47,746</w:t>
            </w:r>
          </w:p>
        </w:tc>
        <w:tc>
          <w:tcPr>
            <w:tcW w:w="3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57,317</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87"/>
              </w:rPr>
              <w:t>1,364,818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2"/>
              </w:rPr>
              <w:t>1,092,043</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894,848</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8"/>
              </w:rPr>
              <w:t>839,897</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662,451</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145,764</w:t>
            </w:r>
          </w:p>
        </w:tc>
        <w:tc>
          <w:tcPr>
            <w:tcW w:w="360" w:type="dxa"/>
            <w:vAlign w:val="bottom"/>
          </w:tcPr>
          <w:p>
            <w:pPr>
              <w:spacing w:after="0"/>
              <w:rPr>
                <w:sz w:val="21"/>
                <w:szCs w:val="21"/>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146,757</w:t>
            </w:r>
          </w:p>
        </w:tc>
        <w:tc>
          <w:tcPr>
            <w:tcW w:w="40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143,882</w:t>
            </w:r>
          </w:p>
        </w:tc>
        <w:tc>
          <w:tcPr>
            <w:tcW w:w="50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w w:val="98"/>
              </w:rPr>
              <w:t>144,353</w:t>
            </w:r>
          </w:p>
        </w:tc>
        <w:tc>
          <w:tcPr>
            <w:tcW w:w="3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143,939</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136,642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158,893</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163,166</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8"/>
              </w:rPr>
              <w:t>152,906</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90,733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Reserve for insurance claims and claim expenses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23,752</w:t>
            </w:r>
          </w:p>
        </w:tc>
        <w:tc>
          <w:tcPr>
            <w:tcW w:w="360" w:type="dxa"/>
            <w:vAlign w:val="bottom"/>
          </w:tcPr>
          <w:p>
            <w:pPr>
              <w:spacing w:after="0"/>
              <w:rPr>
                <w:sz w:val="21"/>
                <w:szCs w:val="21"/>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12,811</w:t>
            </w:r>
          </w:p>
        </w:tc>
        <w:tc>
          <w:tcPr>
            <w:tcW w:w="40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8,761</w:t>
            </w:r>
          </w:p>
        </w:tc>
        <w:tc>
          <w:tcPr>
            <w:tcW w:w="50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3,001</w:t>
            </w:r>
          </w:p>
        </w:tc>
        <w:tc>
          <w:tcPr>
            <w:tcW w:w="3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679</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930,420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701,500</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509,077</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8"/>
              </w:rPr>
              <w:t>475,509</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402,731</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Book value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13.61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10.58</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8.41</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8.04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6.85</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62"/>
        </w:trPr>
        <w:tc>
          <w:tcPr>
            <w:tcW w:w="4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Selected ratios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420" w:type="dxa"/>
            <w:vAlign w:val="bottom"/>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36.7%</w:t>
            </w:r>
          </w:p>
        </w:tc>
        <w:tc>
          <w:tcPr>
            <w:tcW w:w="360" w:type="dxa"/>
            <w:vAlign w:val="bottom"/>
          </w:tcPr>
          <w:p>
            <w:pPr>
              <w:spacing w:after="0"/>
              <w:rPr>
                <w:sz w:val="23"/>
                <w:szCs w:val="23"/>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46.6%</w:t>
            </w:r>
          </w:p>
        </w:tc>
        <w:tc>
          <w:tcPr>
            <w:tcW w:w="40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64.2%</w:t>
            </w:r>
          </w:p>
        </w:tc>
        <w:tc>
          <w:tcPr>
            <w:tcW w:w="5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83.9%</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48.8%</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67.4%</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Risk-to-capital ratio</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15.8:1</w:t>
            </w:r>
          </w:p>
        </w:tc>
        <w:tc>
          <w:tcPr>
            <w:tcW w:w="360" w:type="dxa"/>
            <w:vAlign w:val="bottom"/>
          </w:tcPr>
          <w:p>
            <w:pPr>
              <w:spacing w:after="0"/>
              <w:rPr>
                <w:sz w:val="21"/>
                <w:szCs w:val="21"/>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13.1:1</w:t>
            </w:r>
          </w:p>
        </w:tc>
        <w:tc>
          <w:tcPr>
            <w:tcW w:w="40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13.2:1</w:t>
            </w:r>
          </w:p>
        </w:tc>
        <w:tc>
          <w:tcPr>
            <w:tcW w:w="50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11.6:1</w:t>
            </w:r>
          </w:p>
        </w:tc>
        <w:tc>
          <w:tcPr>
            <w:tcW w:w="3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8.7:1</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62"/>
        </w:trPr>
        <w:tc>
          <w:tcPr>
            <w:tcW w:w="4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64"/>
        </w:trPr>
        <w:tc>
          <w:tcPr>
            <w:tcW w:w="4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256"/>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940" w:type="dxa"/>
            <w:vAlign w:val="bottom"/>
            <w:gridSpan w:val="4"/>
            <w:shd w:val="clear" w:color="auto" w:fill="CCEEFF"/>
          </w:tcPr>
          <w:p>
            <w:pPr>
              <w:jc w:val="center"/>
              <w:ind w:left="394"/>
              <w:spacing w:after="0"/>
              <w:rPr>
                <w:sz w:val="20"/>
                <w:szCs w:val="20"/>
                <w:color w:val="auto"/>
              </w:rPr>
            </w:pPr>
            <w:r>
              <w:rPr>
                <w:rFonts w:ascii="Arial" w:cs="Arial" w:eastAsia="Arial" w:hAnsi="Arial"/>
                <w:sz w:val="14"/>
                <w:szCs w:val="14"/>
                <w:i w:val="1"/>
                <w:iCs w:val="1"/>
                <w:color w:val="auto"/>
                <w:w w:val="95"/>
              </w:rPr>
              <w:t>(In Millions, except for noted below)</w:t>
            </w: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New primary insurance written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45,141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27,295</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21,587</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21,189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12,424</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primary risk written</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11,715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6,909</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5,271</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5,086</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2,932</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Direct primary insurance in force</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94,754</w:t>
            </w:r>
          </w:p>
        </w:tc>
        <w:tc>
          <w:tcPr>
            <w:tcW w:w="360" w:type="dxa"/>
            <w:vAlign w:val="bottom"/>
          </w:tcPr>
          <w:p>
            <w:pPr>
              <w:spacing w:after="0"/>
              <w:rPr>
                <w:sz w:val="21"/>
                <w:szCs w:val="21"/>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68,551</w:t>
            </w:r>
          </w:p>
        </w:tc>
        <w:tc>
          <w:tcPr>
            <w:tcW w:w="40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48,465</w:t>
            </w:r>
          </w:p>
        </w:tc>
        <w:tc>
          <w:tcPr>
            <w:tcW w:w="50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32,168</w:t>
            </w:r>
          </w:p>
        </w:tc>
        <w:tc>
          <w:tcPr>
            <w:tcW w:w="3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14,824</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primary risk in force</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24,173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17,091</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11,843</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7,790</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3,586</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Direct pool risk in force</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1"/>
                <w:szCs w:val="21"/>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21"/>
                <w:szCs w:val="21"/>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93</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Available Assets </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w:t>
            </w:r>
            <w:r>
              <w:rPr>
                <w:rFonts w:ascii="Arial" w:cs="Arial" w:eastAsia="Arial" w:hAnsi="Arial"/>
                <w:sz w:val="18"/>
                <w:szCs w:val="18"/>
                <w:i w:val="1"/>
                <w:iCs w:val="1"/>
                <w:color w:val="auto"/>
              </w:rPr>
              <w:t>($ thousand)</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1,016,387</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733,762</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527,897</w:t>
            </w: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8"/>
              </w:rPr>
              <w:t>453,523</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431,411</w:t>
            </w:r>
          </w:p>
        </w:tc>
      </w:tr>
      <w:tr>
        <w:trPr>
          <w:trHeight w:val="263"/>
        </w:trPr>
        <w:tc>
          <w:tcPr>
            <w:tcW w:w="4420" w:type="dxa"/>
            <w:vAlign w:val="bottom"/>
          </w:tcPr>
          <w:p>
            <w:pPr>
              <w:ind w:left="40"/>
              <w:spacing w:after="0" w:line="263" w:lineRule="exact"/>
              <w:rPr>
                <w:sz w:val="20"/>
                <w:szCs w:val="20"/>
                <w:color w:val="auto"/>
              </w:rPr>
            </w:pPr>
            <w:r>
              <w:rPr>
                <w:rFonts w:ascii="Arial" w:cs="Arial" w:eastAsia="Arial" w:hAnsi="Arial"/>
                <w:sz w:val="18"/>
                <w:szCs w:val="18"/>
                <w:color w:val="auto"/>
              </w:rPr>
              <w:t xml:space="preserve">Net Risk-Based Required Assets </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w:t>
            </w:r>
            <w:r>
              <w:rPr>
                <w:rFonts w:ascii="Arial" w:cs="Arial" w:eastAsia="Arial" w:hAnsi="Arial"/>
                <w:sz w:val="18"/>
                <w:szCs w:val="18"/>
                <w:i w:val="1"/>
                <w:iCs w:val="1"/>
                <w:color w:val="auto"/>
              </w:rPr>
              <w:t>($ thousand)</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773,474</w:t>
            </w:r>
          </w:p>
        </w:tc>
        <w:tc>
          <w:tcPr>
            <w:tcW w:w="360" w:type="dxa"/>
            <w:vAlign w:val="bottom"/>
          </w:tcPr>
          <w:p>
            <w:pPr>
              <w:spacing w:after="0"/>
              <w:rPr>
                <w:sz w:val="22"/>
                <w:szCs w:val="22"/>
                <w:color w:val="auto"/>
              </w:rPr>
            </w:pPr>
          </w:p>
        </w:tc>
        <w:tc>
          <w:tcPr>
            <w:tcW w:w="1040" w:type="dxa"/>
            <w:vAlign w:val="bottom"/>
          </w:tcPr>
          <w:p>
            <w:pPr>
              <w:jc w:val="right"/>
              <w:ind w:right="194"/>
              <w:spacing w:after="0"/>
              <w:rPr>
                <w:sz w:val="20"/>
                <w:szCs w:val="20"/>
                <w:color w:val="auto"/>
              </w:rPr>
            </w:pPr>
            <w:r>
              <w:rPr>
                <w:rFonts w:ascii="Arial" w:cs="Arial" w:eastAsia="Arial" w:hAnsi="Arial"/>
                <w:sz w:val="18"/>
                <w:szCs w:val="18"/>
                <w:color w:val="auto"/>
              </w:rPr>
              <w:t>511,268</w:t>
            </w:r>
          </w:p>
        </w:tc>
        <w:tc>
          <w:tcPr>
            <w:tcW w:w="400" w:type="dxa"/>
            <w:vAlign w:val="bottom"/>
          </w:tcPr>
          <w:p>
            <w:pPr>
              <w:spacing w:after="0"/>
              <w:rPr>
                <w:sz w:val="22"/>
                <w:szCs w:val="22"/>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446,226</w:t>
            </w:r>
          </w:p>
        </w:tc>
        <w:tc>
          <w:tcPr>
            <w:tcW w:w="500" w:type="dxa"/>
            <w:vAlign w:val="bottom"/>
          </w:tcPr>
          <w:p>
            <w:pPr>
              <w:spacing w:after="0"/>
              <w:rPr>
                <w:sz w:val="22"/>
                <w:szCs w:val="22"/>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color w:val="auto"/>
                <w:w w:val="98"/>
              </w:rPr>
              <w:t>366,584</w:t>
            </w:r>
          </w:p>
        </w:tc>
        <w:tc>
          <w:tcPr>
            <w:tcW w:w="38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249,805</w:t>
            </w:r>
          </w:p>
        </w:tc>
      </w:tr>
    </w:tbl>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Prior periods have been reclassified for consistency and presentation purposes.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 expenses by net premiums earned.</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Expense ratio is calculated by dividing other underwriting and operating expenses by net premiums earned.</w:t>
      </w:r>
    </w:p>
    <w:p>
      <w:pPr>
        <w:spacing w:after="0" w:line="9" w:lineRule="exact"/>
        <w:rPr>
          <w:rFonts w:ascii="Arial" w:cs="Arial" w:eastAsia="Arial" w:hAnsi="Arial"/>
          <w:sz w:val="9"/>
          <w:szCs w:val="9"/>
          <w:color w:val="auto"/>
        </w:rPr>
      </w:pPr>
    </w:p>
    <w:p>
      <w:pPr>
        <w:ind w:left="340" w:hanging="332"/>
        <w:spacing w:after="0" w:line="211"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As reported by NMIC under the PMIERs financial requirements, which took effect as of December 31, 2015 and further amended by the GSEs that became applicable to NMIC on March 31, 2019.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5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Item 1A of this report. In addition, investors should review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 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provide private MI through our wholly-owned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2019, we had master policies with 1,476 customers, including national and regional mortgage banks, money center banks, credit unions, community banks, builder-owned mortgage lenders, internet-sourced lenders and other non-bank lenders. As of December 31, 2019, we had $97.3 billion of total IIF, including primary IIF of $94.8 billion, and gross RIF of $24.3 billion, including primary RIF of $24.2 billion. For the year ended December 31, 2019, we generated $45.1 billion of NIW, compared to $27.3 billion and $21.6 billion for the years ended December 31, 2018 and 2017, respectively.</w:t>
      </w:r>
    </w:p>
    <w:p>
      <w:pPr>
        <w:spacing w:after="0" w:line="1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 pricing platform to dynamically evaluate risk and price our policies, and foster a culture of collaboration and excellence that helps us attract and retain experienced industry leaders.</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financial strength and profitability.</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common stock trades on the NASDAQ under the symbol "NMIH." Our headquarters is located in Emeryville, California. As of December 31, 2019, we had 321 full- and part-time employees. Our corporate website is located at </w:t>
      </w:r>
      <w:r>
        <w:rPr>
          <w:rFonts w:ascii="Arial" w:cs="Arial" w:eastAsia="Arial" w:hAnsi="Arial"/>
          <w:sz w:val="18"/>
          <w:szCs w:val="18"/>
          <w:i w:val="1"/>
          <w:iCs w:val="1"/>
          <w:u w:val="single" w:color="auto"/>
          <w:color w:val="0563C1"/>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2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5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dollar of NIW from a customer. During the year ended December 31, 2019, we activated 94 lenders, compared to 121 and 127 for the years ended December 31, 2018 and December 31, 2017, respectively. We also continued to expand our business with existing customers, deepening our existing relationships and capturing what we believe to be an increasing portion of their annual MI volume. At December 31, 2019, we had 1,476 Master Policies and 1,095 active customer relationships, compared to 1,374 and 1,005, respectively, as of December 31, 2018 and 1,267 and 841, respectively, as of December 31, 2017.</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Premiums are generally fixed for the duration of our coverage of the underlying loans. Net premiums written are equal to gross premiums written minus ceded premiums written under our reinsurance arrangements, less premium refunds. As a result, net premiums written are generally influenced by:</w:t>
      </w:r>
    </w:p>
    <w:p>
      <w:pPr>
        <w:spacing w:after="0" w:line="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jc w:val="both"/>
        <w:ind w:left="660" w:right="42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53" w:right="2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December 31, 2019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us and reducing our incurred claims in accordance with the terms of the reinsurance agreement. In addition, reinsurers typically pay ceding commissions as part of quota share transactions, which offset our acquisition and underwriting expenses. Certain quota share agreements include profit commissions that are earned based on loss performance and serve to reduce ceded premiums. Under an excess-of-loss agreement, typically we are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September 1, 2016, NMIC entered into the 2016 QSR Transaction with a syndicate of third-party reinsurers. 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2018, NMIC entered into the 2018 QSR Transaction with a syndicate of third-party reinsurers. Under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NMIC has secured aggregate excess-of-loss reinsurance coverage on defined portfolios of mortgage insurance policies written during discrete periods through a series of mortgage insurance-linked note offerings by the Oaktown Re Vehicles. Under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57" w:right="239" w:bottom="1440" w:gutter="0" w:footer="0" w:header="0"/>
        </w:sectPr>
      </w:pPr>
    </w:p>
    <w:bookmarkStart w:id="50" w:name="page51"/>
    <w:bookmarkEnd w:id="50"/>
    <w:p>
      <w:pPr>
        <w:ind w:right="80"/>
        <w:spacing w:after="0" w:line="342" w:lineRule="auto"/>
        <w:rPr>
          <w:sz w:val="20"/>
          <w:szCs w:val="20"/>
          <w:color w:val="auto"/>
        </w:rPr>
      </w:pPr>
      <w:r>
        <w:rPr>
          <w:rFonts w:ascii="Arial" w:cs="Arial" w:eastAsia="Arial" w:hAnsi="Arial"/>
          <w:sz w:val="16"/>
          <w:szCs w:val="16"/>
          <w:color w:val="auto"/>
        </w:rPr>
        <w:t>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NMIC applies claims paid on covered policies against its first layer aggregate retained loss exposure under each excess-of-loss agreement. The respective reinsurance coverage amounts provided by the Oaktown Re Vehicles decrease from the inception of each agreement over a 10-year period as the underlying insured mortgages are amortized or repaid, and/or the mortgage insurance coverage is canceled.</w:t>
      </w:r>
    </w:p>
    <w:p>
      <w:pPr>
        <w:spacing w:after="0" w:line="1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 amount, and initial and current first layer retained aggregate loss under each of the ILN Transactions.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Initial First Layer</w:t>
            </w:r>
          </w:p>
        </w:tc>
        <w:tc>
          <w:tcPr>
            <w:tcW w:w="140" w:type="dxa"/>
            <w:vAlign w:val="bottom"/>
          </w:tcPr>
          <w:p>
            <w:pPr>
              <w:spacing w:after="0"/>
              <w:rPr>
                <w:sz w:val="14"/>
                <w:szCs w:val="14"/>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Current First</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Inception Date</w:t>
            </w:r>
          </w:p>
        </w:tc>
        <w:tc>
          <w:tcPr>
            <w:tcW w:w="120" w:type="dxa"/>
            <w:vAlign w:val="bottom"/>
            <w:vMerge w:val="restart"/>
          </w:tcPr>
          <w:p>
            <w:pPr>
              <w:spacing w:after="0"/>
              <w:rPr>
                <w:sz w:val="12"/>
                <w:szCs w:val="12"/>
                <w:color w:val="auto"/>
              </w:rPr>
            </w:pPr>
          </w:p>
        </w:tc>
        <w:tc>
          <w:tcPr>
            <w:tcW w:w="21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Covered Production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Reinsurance</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Reinsurance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Layer Retained</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Retained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ILN Transaction</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2, 2017</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1/1/2013 - 12/31/2016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123,330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2018 ILN Transaction</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25, 2018</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264,545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202,396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125,312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124,594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 ILN Transaction</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2019</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326,905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301,396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123,424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123,424</w:t>
            </w:r>
          </w:p>
        </w:tc>
        <w:tc>
          <w:tcPr>
            <w:tcW w:w="0" w:type="dxa"/>
            <w:vAlign w:val="bottom"/>
          </w:tcPr>
          <w:p>
            <w:pPr>
              <w:spacing w:after="0"/>
              <w:rPr>
                <w:sz w:val="1"/>
                <w:szCs w:val="1"/>
                <w:color w:val="auto"/>
              </w:rPr>
            </w:pPr>
          </w:p>
        </w:tc>
      </w:tr>
      <w:tr>
        <w:trPr>
          <w:trHeight w:val="27"/>
        </w:trPr>
        <w:tc>
          <w:tcPr>
            <w:tcW w:w="2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Item 8, "</w:t>
      </w:r>
      <w:r>
        <w:rPr>
          <w:rFonts w:ascii="Arial" w:cs="Arial" w:eastAsia="Arial" w:hAnsi="Arial"/>
          <w:sz w:val="18"/>
          <w:szCs w:val="18"/>
          <w:i w:val="1"/>
          <w:iCs w:val="1"/>
          <w:color w:val="auto"/>
        </w:rPr>
        <w:t>Financial Statements and Supplementary Data - Notes to Consolidated Financial Statements - Note 6,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Primary and pool IIF and NIW</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and for the years ended</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3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3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NIW</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IIF</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NIW</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NIW</w:t>
            </w:r>
          </w:p>
        </w:tc>
      </w:tr>
      <w:tr>
        <w:trPr>
          <w:trHeight w:val="250"/>
        </w:trPr>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77,097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41,357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51,655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33,268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17,560</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Single</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17,657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3,784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16,896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15,197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4,027</w:t>
            </w:r>
          </w:p>
        </w:tc>
      </w:tr>
      <w:tr>
        <w:trPr>
          <w:trHeight w:val="27"/>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94,754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21,587</w:t>
            </w:r>
          </w:p>
        </w:tc>
      </w:tr>
      <w:tr>
        <w:trPr>
          <w:trHeight w:val="176"/>
        </w:trPr>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Pool</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97,324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45,141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71,452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51,698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21,587</w:t>
            </w:r>
          </w:p>
        </w:tc>
      </w:tr>
      <w:tr>
        <w:trPr>
          <w:trHeight w:val="20"/>
        </w:trPr>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primary NIW increased 65% compared to the year ended December 31, 2018, due to growth in our monthly and single premium policy production tied to increased penetration of existing customer accounts and new customer account activations. For the year ended December 31, 2018, primary NIW increased 26% compared to the year ended December 31, 2017, due to growth in our monthly premium policy volume, partially offset by a decrease in our single premium policy production.</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year ended December 31, 2019, monthly premium polices accounted for 92% of our NIW, compared to 88% and 81% for the years ended December 31, 2018 and 2017, respectively. As of December 31, 2019, monthly premium policies accounted for 81% of our primary IIF, compared to 75% at December 31, 2018 and 69% at December 31, 2017. We expect the break-down of monthly premium policies and single premium policies (which we refer to as "mix") in our primary IIF will continue to trend toward an increased monthly mix over time given the composition of our NIW.</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IIF at December 31, 2019 increased 36% compared to December 31, 2018, which in turn increased 38% compared to December 31, 2017, primarily due to the NIW generated between such measurement dates, partially offset by the run-off of our in-force policies. Our persistency rate decreased to 77% at December 31, 2019 from 87% at December 31, 2018 and 86% at December 31, 2017, reflecting the impact of increased refinancing activity during the year ended December 31, 2019 tied to record low interest rates.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7"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For the year ended</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December 31, 2019</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2018</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i w:val="1"/>
                <w:iCs w:val="1"/>
                <w:color w:val="auto"/>
                <w:w w:val="93"/>
              </w:rPr>
              <w:t>(In Thousands)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332,652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256,803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173,672</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345,015</w:t>
            </w:r>
          </w:p>
        </w:tc>
        <w:tc>
          <w:tcPr>
            <w:tcW w:w="300" w:type="dxa"/>
            <w:vAlign w:val="bottom"/>
          </w:tcPr>
          <w:p>
            <w:pPr>
              <w:spacing w:after="0"/>
              <w:rPr>
                <w:sz w:val="21"/>
                <w:szCs w:val="21"/>
                <w:color w:val="auto"/>
              </w:rPr>
            </w:pPr>
          </w:p>
        </w:tc>
        <w:tc>
          <w:tcPr>
            <w:tcW w:w="1520" w:type="dxa"/>
            <w:vAlign w:val="bottom"/>
          </w:tcPr>
          <w:p>
            <w:pPr>
              <w:jc w:val="right"/>
              <w:ind w:right="41"/>
              <w:spacing w:after="0"/>
              <w:rPr>
                <w:sz w:val="20"/>
                <w:szCs w:val="20"/>
                <w:color w:val="auto"/>
              </w:rPr>
            </w:pPr>
            <w:r>
              <w:rPr>
                <w:rFonts w:ascii="Arial" w:cs="Arial" w:eastAsia="Arial" w:hAnsi="Arial"/>
                <w:sz w:val="18"/>
                <w:szCs w:val="18"/>
                <w:color w:val="auto"/>
              </w:rPr>
              <w:t>251,197</w:t>
            </w:r>
          </w:p>
        </w:tc>
        <w:tc>
          <w:tcPr>
            <w:tcW w:w="28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165,740</w:t>
            </w:r>
          </w:p>
        </w:tc>
      </w:tr>
    </w:tbl>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year ended December 31, 2019, net premiums written and earned increased 30% and 37%, respectively, compared to the year ended December 31, 2018. The increases in net premiums written and earned are primarily due to the growth of our IIF and increased monthly policy production, partially offset by increased cessions under the QSR Transactions tied to the growth of our direct premium volume and the inception of the 2018 and 2019 ILN Transactions. Net premiums earned grew at an accelerated pace compared to net premiums written due to the amortization of unearned premiums partially offset by new single premium policy originations, as well as earnings on single premium policy cancellations.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2018, net premiums written and earned increased 48% and 52%, respectively, compared to the year ended December 31, 2017. The increases in net premiums written and earned are due to the growth of our IIF and increased monthly policy production, partially offset by increased cessions under the QSR Transactions and 2018 and 2017 ILN Transactions, and a decrease in earnings from the cancellation of single premium policies.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Pool premiums written and earned for the years ended December 31, 2019, 2018 and 2017, were $3.0 million, $3.4 million and $3.8 million, respectively, before giving effect to the 2016 QSR Transaction, under which all of our written and earned pool premiums have been ceded. A portion of our ceded pool premiums earned are recouped through profit commission under the 2016 QSR Transaction.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As of and for the year ended</w:t>
            </w: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264"/>
        </w:trPr>
        <w:tc>
          <w:tcPr>
            <w:tcW w:w="48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1"/>
              </w:rPr>
              <w:t>December 31, 2018</w:t>
            </w: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4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center"/>
              <w:ind w:right="73"/>
              <w:spacing w:after="0"/>
              <w:rPr>
                <w:sz w:val="20"/>
                <w:szCs w:val="20"/>
                <w:color w:val="auto"/>
              </w:rPr>
            </w:pPr>
            <w:r>
              <w:rPr>
                <w:rFonts w:ascii="Arial" w:cs="Arial" w:eastAsia="Arial" w:hAnsi="Arial"/>
                <w:sz w:val="14"/>
                <w:szCs w:val="14"/>
                <w:i w:val="1"/>
                <w:iCs w:val="1"/>
                <w:color w:val="auto"/>
                <w:w w:val="96"/>
              </w:rPr>
              <w:t>($ Values In Millions)</w:t>
            </w: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56"/>
        </w:trPr>
        <w:tc>
          <w:tcPr>
            <w:tcW w:w="4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New insurance written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45,141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27,295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21,587</w:t>
            </w:r>
          </w:p>
        </w:tc>
      </w:tr>
      <w:tr>
        <w:trPr>
          <w:trHeight w:val="243"/>
        </w:trPr>
        <w:tc>
          <w:tcPr>
            <w:tcW w:w="488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28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New risk written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11,715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53"/>
              <w:spacing w:after="0"/>
              <w:rPr>
                <w:sz w:val="20"/>
                <w:szCs w:val="20"/>
                <w:color w:val="auto"/>
              </w:rPr>
            </w:pPr>
            <w:r>
              <w:rPr>
                <w:rFonts w:ascii="Arial" w:cs="Arial" w:eastAsia="Arial" w:hAnsi="Arial"/>
                <w:sz w:val="18"/>
                <w:szCs w:val="18"/>
                <w:color w:val="auto"/>
              </w:rPr>
              <w:t>6,909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1"/>
              <w:spacing w:after="0"/>
              <w:rPr>
                <w:sz w:val="20"/>
                <w:szCs w:val="20"/>
                <w:color w:val="auto"/>
              </w:rPr>
            </w:pPr>
            <w:r>
              <w:rPr>
                <w:rFonts w:ascii="Arial" w:cs="Arial" w:eastAsia="Arial" w:hAnsi="Arial"/>
                <w:sz w:val="18"/>
                <w:szCs w:val="18"/>
                <w:color w:val="auto"/>
              </w:rPr>
              <w:t>5,271</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Insurance-in-force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94,754</w:t>
            </w:r>
          </w:p>
        </w:tc>
        <w:tc>
          <w:tcPr>
            <w:tcW w:w="22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68,551</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48,465</w:t>
            </w:r>
          </w:p>
        </w:tc>
      </w:tr>
      <w:tr>
        <w:trPr>
          <w:trHeight w:val="243"/>
        </w:trPr>
        <w:tc>
          <w:tcPr>
            <w:tcW w:w="488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28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48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Risk-in-force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24,173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53"/>
              <w:spacing w:after="0"/>
              <w:rPr>
                <w:sz w:val="20"/>
                <w:szCs w:val="20"/>
                <w:color w:val="auto"/>
              </w:rPr>
            </w:pPr>
            <w:r>
              <w:rPr>
                <w:rFonts w:ascii="Arial" w:cs="Arial" w:eastAsia="Arial" w:hAnsi="Arial"/>
                <w:sz w:val="18"/>
                <w:szCs w:val="18"/>
                <w:color w:val="auto"/>
              </w:rPr>
              <w:t>17,091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1"/>
              <w:spacing w:after="0"/>
              <w:rPr>
                <w:sz w:val="20"/>
                <w:szCs w:val="20"/>
                <w:color w:val="auto"/>
              </w:rPr>
            </w:pPr>
            <w:r>
              <w:rPr>
                <w:rFonts w:ascii="Arial" w:cs="Arial" w:eastAsia="Arial" w:hAnsi="Arial"/>
                <w:sz w:val="18"/>
                <w:szCs w:val="18"/>
                <w:color w:val="auto"/>
              </w:rPr>
              <w:t>11,843</w:t>
            </w:r>
          </w:p>
        </w:tc>
      </w:tr>
      <w:tr>
        <w:trPr>
          <w:trHeight w:val="270"/>
        </w:trPr>
        <w:tc>
          <w:tcPr>
            <w:tcW w:w="4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366,039</w:t>
            </w:r>
          </w:p>
        </w:tc>
        <w:tc>
          <w:tcPr>
            <w:tcW w:w="22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280,825</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202,351</w:t>
            </w:r>
          </w:p>
        </w:tc>
      </w:tr>
      <w:tr>
        <w:trPr>
          <w:trHeight w:val="270"/>
        </w:trPr>
        <w:tc>
          <w:tcPr>
            <w:tcW w:w="48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0.259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53"/>
              <w:spacing w:after="0"/>
              <w:rPr>
                <w:sz w:val="20"/>
                <w:szCs w:val="20"/>
                <w:color w:val="auto"/>
              </w:rPr>
            </w:pPr>
            <w:r>
              <w:rPr>
                <w:rFonts w:ascii="Arial" w:cs="Arial" w:eastAsia="Arial" w:hAnsi="Arial"/>
                <w:sz w:val="18"/>
                <w:szCs w:val="18"/>
                <w:color w:val="auto"/>
              </w:rPr>
              <w:t>0.244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1"/>
              <w:spacing w:after="0"/>
              <w:rPr>
                <w:sz w:val="20"/>
                <w:szCs w:val="20"/>
                <w:color w:val="auto"/>
              </w:rPr>
            </w:pPr>
            <w:r>
              <w:rPr>
                <w:rFonts w:ascii="Arial" w:cs="Arial" w:eastAsia="Arial" w:hAnsi="Arial"/>
                <w:sz w:val="18"/>
                <w:szCs w:val="18"/>
                <w:color w:val="auto"/>
              </w:rPr>
              <w:t>0.240</w:t>
            </w:r>
          </w:p>
        </w:tc>
      </w:tr>
      <w:tr>
        <w:trPr>
          <w:trHeight w:val="270"/>
        </w:trPr>
        <w:tc>
          <w:tcPr>
            <w:tcW w:w="4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Coverage percentage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48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23"/>
                <w:szCs w:val="23"/>
                <w:color w:val="auto"/>
              </w:rPr>
            </w:pPr>
          </w:p>
        </w:tc>
        <w:tc>
          <w:tcPr>
            <w:tcW w:w="1980" w:type="dxa"/>
            <w:vAlign w:val="bottom"/>
          </w:tcPr>
          <w:p>
            <w:pPr>
              <w:jc w:val="right"/>
              <w:ind w:right="153"/>
              <w:spacing w:after="0"/>
              <w:rPr>
                <w:sz w:val="20"/>
                <w:szCs w:val="20"/>
                <w:color w:val="auto"/>
              </w:rPr>
            </w:pPr>
            <w:r>
              <w:rPr>
                <w:rFonts w:ascii="Arial" w:cs="Arial" w:eastAsia="Arial" w:hAnsi="Arial"/>
                <w:sz w:val="18"/>
                <w:szCs w:val="18"/>
                <w:color w:val="auto"/>
              </w:rPr>
              <w:t>877</w:t>
            </w:r>
          </w:p>
        </w:tc>
        <w:tc>
          <w:tcPr>
            <w:tcW w:w="360" w:type="dxa"/>
            <w:vAlign w:val="bottom"/>
          </w:tcPr>
          <w:p>
            <w:pPr>
              <w:spacing w:after="0"/>
              <w:rPr>
                <w:sz w:val="23"/>
                <w:szCs w:val="23"/>
                <w:color w:val="auto"/>
              </w:rPr>
            </w:pPr>
          </w:p>
        </w:tc>
        <w:tc>
          <w:tcPr>
            <w:tcW w:w="1820" w:type="dxa"/>
            <w:vAlign w:val="bottom"/>
          </w:tcPr>
          <w:p>
            <w:pPr>
              <w:jc w:val="right"/>
              <w:ind w:right="111"/>
              <w:spacing w:after="0"/>
              <w:rPr>
                <w:sz w:val="20"/>
                <w:szCs w:val="20"/>
                <w:color w:val="auto"/>
              </w:rPr>
            </w:pPr>
            <w:r>
              <w:rPr>
                <w:rFonts w:ascii="Arial" w:cs="Arial" w:eastAsia="Arial" w:hAnsi="Arial"/>
                <w:sz w:val="18"/>
                <w:szCs w:val="18"/>
                <w:color w:val="auto"/>
              </w:rPr>
              <w:t>928</w:t>
            </w:r>
          </w:p>
        </w:tc>
      </w:tr>
      <w:tr>
        <w:trPr>
          <w:trHeight w:val="270"/>
        </w:trPr>
        <w:tc>
          <w:tcPr>
            <w:tcW w:w="4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Percentage of loans in default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70"/>
        </w:trPr>
        <w:tc>
          <w:tcPr>
            <w:tcW w:w="48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Risk-in-force on defaulted loans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53"/>
              <w:spacing w:after="0"/>
              <w:rPr>
                <w:sz w:val="20"/>
                <w:szCs w:val="20"/>
                <w:color w:val="auto"/>
              </w:rPr>
            </w:pPr>
            <w:r>
              <w:rPr>
                <w:rFonts w:ascii="Arial" w:cs="Arial" w:eastAsia="Arial" w:hAnsi="Arial"/>
                <w:sz w:val="18"/>
                <w:szCs w:val="18"/>
                <w:color w:val="auto"/>
              </w:rPr>
              <w:t>48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1"/>
              <w:spacing w:after="0"/>
              <w:rPr>
                <w:sz w:val="20"/>
                <w:szCs w:val="20"/>
                <w:color w:val="auto"/>
              </w:rPr>
            </w:pPr>
            <w:r>
              <w:rPr>
                <w:rFonts w:ascii="Arial" w:cs="Arial" w:eastAsia="Arial" w:hAnsi="Arial"/>
                <w:sz w:val="18"/>
                <w:szCs w:val="18"/>
                <w:color w:val="auto"/>
              </w:rPr>
              <w:t>53</w:t>
            </w:r>
          </w:p>
        </w:tc>
      </w:tr>
      <w:tr>
        <w:trPr>
          <w:trHeight w:val="270"/>
        </w:trPr>
        <w:tc>
          <w:tcPr>
            <w:tcW w:w="4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Earnings from cancellations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1"/>
              <w:spacing w:after="0"/>
              <w:rPr>
                <w:sz w:val="20"/>
                <w:szCs w:val="20"/>
                <w:color w:val="auto"/>
              </w:rPr>
            </w:pPr>
            <w:r>
              <w:rPr>
                <w:rFonts w:ascii="Arial" w:cs="Arial" w:eastAsia="Arial" w:hAnsi="Arial"/>
                <w:sz w:val="18"/>
                <w:szCs w:val="18"/>
                <w:color w:val="auto"/>
              </w:rPr>
              <w:t>15</w:t>
            </w:r>
          </w:p>
        </w:tc>
      </w:tr>
      <w:tr>
        <w:trPr>
          <w:trHeight w:val="27"/>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bl>
    <w:p>
      <w:pPr>
        <w:ind w:left="340" w:hanging="332"/>
        <w:spacing w:after="0" w:line="234"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Reported as of the end of the period.</w:t>
      </w:r>
    </w:p>
    <w:p>
      <w:pPr>
        <w:ind w:left="340" w:hanging="332"/>
        <w:spacing w:after="0" w:line="182" w:lineRule="auto"/>
        <w:tabs>
          <w:tab w:leader="none" w:pos="34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Calculated as end of period RIF divided by end of period IIF.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57" w:right="239" w:bottom="1440" w:gutter="0" w:footer="0" w:header="0"/>
        </w:sectPr>
      </w:pPr>
    </w:p>
    <w:bookmarkStart w:id="52" w:name="page53"/>
    <w:bookmarkEnd w:id="52"/>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Calculated as net premiums earned divided by average primary IIF for the period.</w:t>
      </w:r>
    </w:p>
    <w:p>
      <w:pPr>
        <w:ind w:left="180" w:hanging="172"/>
        <w:spacing w:after="0" w:line="191"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Defined as the percentage of IIF that remains on our books after a given 12-month period.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and for the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IIF,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68,551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48,465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32,168</w:t>
            </w: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NIW</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45,141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21,587</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Cancellations, principal repayments and other reductions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r>
      <w:tr>
        <w:trPr>
          <w:trHeight w:val="257"/>
        </w:trPr>
        <w:tc>
          <w:tcPr>
            <w:tcW w:w="6060" w:type="dxa"/>
            <w:vAlign w:val="bottom"/>
          </w:tcPr>
          <w:p>
            <w:pPr>
              <w:ind w:left="20"/>
              <w:spacing w:after="0"/>
              <w:rPr>
                <w:sz w:val="20"/>
                <w:szCs w:val="20"/>
                <w:color w:val="auto"/>
              </w:rPr>
            </w:pPr>
            <w:r>
              <w:rPr>
                <w:rFonts w:ascii="Arial" w:cs="Arial" w:eastAsia="Arial" w:hAnsi="Arial"/>
                <w:sz w:val="18"/>
                <w:szCs w:val="18"/>
                <w:color w:val="auto"/>
              </w:rPr>
              <w:t>IIF,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94,754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68,551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48,465</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1"/>
              </w:rPr>
              <w:t>As of</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1"/>
              </w:rPr>
              <w:t>December 31, 2018</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780" w:type="dxa"/>
            <w:vAlign w:val="bottom"/>
            <w:tcBorders>
              <w:bottom w:val="single" w:sz="8" w:color="auto"/>
            </w:tcBorders>
          </w:tcPr>
          <w:p>
            <w:pPr>
              <w:spacing w:after="0"/>
              <w:rPr>
                <w:sz w:val="22"/>
                <w:szCs w:val="22"/>
                <w:color w:val="auto"/>
              </w:rPr>
            </w:pPr>
          </w:p>
        </w:tc>
      </w:tr>
      <w:tr>
        <w:trPr>
          <w:trHeight w:val="264"/>
        </w:trPr>
        <w:tc>
          <w:tcPr>
            <w:tcW w:w="26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RIF</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RIF</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RIF</w:t>
            </w:r>
          </w:p>
        </w:tc>
      </w:tr>
      <w:tr>
        <w:trPr>
          <w:trHeight w:val="250"/>
        </w:trPr>
        <w:tc>
          <w:tcPr>
            <w:tcW w:w="2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42,060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19,579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26,310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18,858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20,739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5,059</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11,944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15,400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18,066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4,383</w:t>
            </w:r>
          </w:p>
        </w:tc>
      </w:tr>
      <w:tr>
        <w:trPr>
          <w:trHeight w:val="27"/>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8,256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2,051</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2014 and before</w:t>
            </w:r>
          </w:p>
        </w:tc>
        <w:tc>
          <w:tcPr>
            <w:tcW w:w="3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350</w:t>
            </w:r>
          </w:p>
        </w:tc>
      </w:tr>
      <w:tr>
        <w:trPr>
          <w:trHeight w:val="27"/>
        </w:trPr>
        <w:tc>
          <w:tcPr>
            <w:tcW w:w="2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94,754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24,173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48,465</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11,843</w:t>
            </w:r>
          </w:p>
        </w:tc>
      </w:tr>
      <w:tr>
        <w:trPr>
          <w:trHeight w:val="20"/>
        </w:trPr>
        <w:tc>
          <w:tcPr>
            <w:tcW w:w="2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2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2"/>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 year ended</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64"/>
        </w:trPr>
        <w:tc>
          <w:tcPr>
            <w:tcW w:w="5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December 31, 2018</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ind w:left="44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&gt;= 760</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9,711</w:t>
            </w: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740-759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3,332</w:t>
            </w: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720-739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2,833</w:t>
            </w: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700-719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2,539</w:t>
            </w: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680-699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1,699</w:t>
            </w: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&lt;=679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1,473</w:t>
            </w:r>
          </w:p>
        </w:tc>
      </w:tr>
      <w:tr>
        <w:trPr>
          <w:trHeight w:val="27"/>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27,295</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21,587</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FICO</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746</w:t>
            </w:r>
          </w:p>
        </w:tc>
      </w:tr>
      <w:tr>
        <w:trPr>
          <w:trHeight w:val="20"/>
        </w:trPr>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7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95.01% and above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3,226</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2,458</w:t>
            </w: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90.01% to 95.00%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21,475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16"/>
              <w:spacing w:after="0"/>
              <w:rPr>
                <w:sz w:val="20"/>
                <w:szCs w:val="20"/>
                <w:color w:val="auto"/>
              </w:rPr>
            </w:pPr>
            <w:r>
              <w:rPr>
                <w:rFonts w:ascii="Arial" w:cs="Arial" w:eastAsia="Arial" w:hAnsi="Arial"/>
                <w:sz w:val="18"/>
                <w:szCs w:val="18"/>
                <w:color w:val="auto"/>
              </w:rPr>
              <w:t>12,658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3"/>
              <w:spacing w:after="0"/>
              <w:rPr>
                <w:sz w:val="20"/>
                <w:szCs w:val="20"/>
                <w:color w:val="auto"/>
              </w:rPr>
            </w:pPr>
            <w:r>
              <w:rPr>
                <w:rFonts w:ascii="Arial" w:cs="Arial" w:eastAsia="Arial" w:hAnsi="Arial"/>
                <w:sz w:val="18"/>
                <w:szCs w:val="18"/>
                <w:color w:val="auto"/>
              </w:rPr>
              <w:t>9,512</w:t>
            </w: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85.01% to 90.00%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15,555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8,240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6,242</w:t>
            </w: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85.00% and below</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4,919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16"/>
              <w:spacing w:after="0"/>
              <w:rPr>
                <w:sz w:val="20"/>
                <w:szCs w:val="20"/>
                <w:color w:val="auto"/>
              </w:rPr>
            </w:pPr>
            <w:r>
              <w:rPr>
                <w:rFonts w:ascii="Arial" w:cs="Arial" w:eastAsia="Arial" w:hAnsi="Arial"/>
                <w:sz w:val="18"/>
                <w:szCs w:val="18"/>
                <w:color w:val="auto"/>
              </w:rPr>
              <w:t>3,171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3"/>
              <w:spacing w:after="0"/>
              <w:rPr>
                <w:sz w:val="20"/>
                <w:szCs w:val="20"/>
                <w:color w:val="auto"/>
              </w:rPr>
            </w:pPr>
            <w:r>
              <w:rPr>
                <w:rFonts w:ascii="Arial" w:cs="Arial" w:eastAsia="Arial" w:hAnsi="Arial"/>
                <w:sz w:val="18"/>
                <w:szCs w:val="18"/>
                <w:color w:val="auto"/>
              </w:rPr>
              <w:t>3,375</w:t>
            </w:r>
          </w:p>
        </w:tc>
      </w:tr>
      <w:tr>
        <w:trPr>
          <w:trHeight w:val="27"/>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45,141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27,295</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21,587</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LTV</w:t>
            </w:r>
          </w:p>
        </w:tc>
        <w:tc>
          <w:tcPr>
            <w:tcW w:w="1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73"/>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 year ended</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64"/>
        </w:trPr>
        <w:tc>
          <w:tcPr>
            <w:tcW w:w="5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December 31, 2018</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ind w:left="44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25,210</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18,627</w:t>
            </w:r>
          </w:p>
        </w:tc>
      </w:tr>
      <w:tr>
        <w:trPr>
          <w:trHeight w:val="243"/>
        </w:trPr>
        <w:tc>
          <w:tcPr>
            <w:tcW w:w="5560" w:type="dxa"/>
            <w:vAlign w:val="bottom"/>
          </w:tcPr>
          <w:p>
            <w:pPr>
              <w:ind w:left="260"/>
              <w:spacing w:after="0"/>
              <w:rPr>
                <w:sz w:val="20"/>
                <w:szCs w:val="20"/>
                <w:color w:val="auto"/>
              </w:rPr>
            </w:pPr>
            <w:r>
              <w:rPr>
                <w:rFonts w:ascii="Arial" w:cs="Arial" w:eastAsia="Arial" w:hAnsi="Arial"/>
                <w:sz w:val="18"/>
                <w:szCs w:val="18"/>
                <w:color w:val="auto"/>
              </w:rPr>
              <w:t>Refinance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2,085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2,960</w:t>
            </w:r>
          </w:p>
        </w:tc>
      </w:tr>
      <w:tr>
        <w:trPr>
          <w:trHeight w:val="27"/>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45,141</w:t>
            </w: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27,295</w:t>
            </w:r>
          </w:p>
        </w:tc>
        <w:tc>
          <w:tcPr>
            <w:tcW w:w="4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21,587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Primary IIF by FICO</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center"/>
              <w:ind w:left="115"/>
              <w:spacing w:after="0"/>
              <w:rPr>
                <w:sz w:val="20"/>
                <w:szCs w:val="20"/>
                <w:color w:val="auto"/>
              </w:rPr>
            </w:pPr>
            <w:r>
              <w:rPr>
                <w:rFonts w:ascii="Arial" w:cs="Arial" w:eastAsia="Arial" w:hAnsi="Arial"/>
                <w:sz w:val="14"/>
                <w:szCs w:val="14"/>
                <w:b w:val="1"/>
                <w:bCs w:val="1"/>
                <w:color w:val="auto"/>
                <w:w w:val="91"/>
              </w:rPr>
              <w:t>December 31, 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December 31, 2017</w:t>
            </w:r>
          </w:p>
        </w:tc>
        <w:tc>
          <w:tcPr>
            <w:tcW w:w="540" w:type="dxa"/>
            <w:vAlign w:val="bottom"/>
            <w:tcBorders>
              <w:bottom w:val="single" w:sz="8" w:color="auto"/>
            </w:tcBorders>
          </w:tcPr>
          <w:p>
            <w:pPr>
              <w:spacing w:after="0"/>
              <w:rPr>
                <w:sz w:val="22"/>
                <w:szCs w:val="22"/>
                <w:color w:val="auto"/>
              </w:rPr>
            </w:pPr>
          </w:p>
        </w:tc>
      </w:tr>
      <w:tr>
        <w:trPr>
          <w:trHeight w:val="250"/>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3"/>
          </w:tcPr>
          <w:p>
            <w:pPr>
              <w:ind w:left="360"/>
              <w:spacing w:after="0"/>
              <w:rPr>
                <w:sz w:val="20"/>
                <w:szCs w:val="20"/>
                <w:color w:val="auto"/>
              </w:rPr>
            </w:pPr>
            <w:r>
              <w:rPr>
                <w:rFonts w:ascii="Arial" w:cs="Arial" w:eastAsia="Arial" w:hAnsi="Arial"/>
                <w:sz w:val="14"/>
                <w:szCs w:val="14"/>
                <w:i w:val="1"/>
                <w:iCs w:val="1"/>
                <w:color w:val="auto"/>
                <w:w w:val="96"/>
              </w:rPr>
              <w:t>($ Values In Millions)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&gt;= 760</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44,793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31,870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23,438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740-759</w:t>
            </w:r>
          </w:p>
        </w:tc>
        <w:tc>
          <w:tcPr>
            <w:tcW w:w="3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15,728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11,294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16</w:t>
            </w:r>
          </w:p>
        </w:tc>
      </w:tr>
      <w:tr>
        <w:trPr>
          <w:trHeight w:val="27"/>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720-739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9,338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700-719</w:t>
            </w:r>
          </w:p>
        </w:tc>
        <w:tc>
          <w:tcPr>
            <w:tcW w:w="3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10,284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7,574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5,179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11</w:t>
            </w:r>
          </w:p>
        </w:tc>
      </w:tr>
      <w:tr>
        <w:trPr>
          <w:trHeight w:val="27"/>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680-699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&lt;=679</w:t>
            </w:r>
          </w:p>
        </w:tc>
        <w:tc>
          <w:tcPr>
            <w:tcW w:w="3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3,758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5</w:t>
            </w:r>
          </w:p>
        </w:tc>
      </w:tr>
      <w:tr>
        <w:trPr>
          <w:trHeight w:val="27"/>
        </w:trPr>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94,754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48,465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581"/>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00"/>
          </w:cols>
          <w:pgMar w:left="260" w:top="711"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Primary RIF by FICO</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December 31, 2017</w:t>
            </w:r>
          </w:p>
        </w:tc>
        <w:tc>
          <w:tcPr>
            <w:tcW w:w="540" w:type="dxa"/>
            <w:vAlign w:val="bottom"/>
            <w:tcBorders>
              <w:bottom w:val="single" w:sz="8" w:color="auto"/>
            </w:tcBorders>
          </w:tcPr>
          <w:p>
            <w:pPr>
              <w:spacing w:after="0"/>
              <w:rPr>
                <w:sz w:val="22"/>
                <w:szCs w:val="22"/>
                <w:color w:val="auto"/>
              </w:rPr>
            </w:pPr>
          </w:p>
        </w:tc>
      </w:tr>
      <w:tr>
        <w:trPr>
          <w:trHeight w:val="250"/>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3"/>
          </w:tcPr>
          <w:p>
            <w:pPr>
              <w:ind w:left="360"/>
              <w:spacing w:after="0"/>
              <w:rPr>
                <w:sz w:val="20"/>
                <w:szCs w:val="20"/>
                <w:color w:val="auto"/>
              </w:rPr>
            </w:pPr>
            <w:r>
              <w:rPr>
                <w:rFonts w:ascii="Arial" w:cs="Arial" w:eastAsia="Arial" w:hAnsi="Arial"/>
                <w:sz w:val="14"/>
                <w:szCs w:val="14"/>
                <w:i w:val="1"/>
                <w:iCs w:val="1"/>
                <w:color w:val="auto"/>
                <w:w w:val="96"/>
              </w:rPr>
              <w:t>($ Values In Millions)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&gt;= 760</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11,388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7,955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740-759</w:t>
            </w: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16</w:t>
            </w:r>
          </w:p>
        </w:tc>
      </w:tr>
      <w:tr>
        <w:trPr>
          <w:trHeight w:val="27"/>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720-739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700-719</w:t>
            </w: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11</w:t>
            </w:r>
          </w:p>
        </w:tc>
      </w:tr>
      <w:tr>
        <w:trPr>
          <w:trHeight w:val="27"/>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680-699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&lt;=679</w:t>
            </w: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5</w:t>
            </w:r>
          </w:p>
        </w:tc>
      </w:tr>
      <w:tr>
        <w:trPr>
          <w:trHeight w:val="27"/>
        </w:trPr>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24,173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17,091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11,843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64"/>
        </w:trPr>
        <w:tc>
          <w:tcPr>
            <w:tcW w:w="3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December 31, 2017</w:t>
            </w:r>
          </w:p>
        </w:tc>
        <w:tc>
          <w:tcPr>
            <w:tcW w:w="540" w:type="dxa"/>
            <w:vAlign w:val="bottom"/>
            <w:tcBorders>
              <w:bottom w:val="single" w:sz="8" w:color="auto"/>
            </w:tcBorders>
          </w:tcPr>
          <w:p>
            <w:pPr>
              <w:spacing w:after="0"/>
              <w:rPr>
                <w:sz w:val="22"/>
                <w:szCs w:val="22"/>
                <w:color w:val="auto"/>
              </w:rPr>
            </w:pPr>
          </w:p>
        </w:tc>
      </w:tr>
      <w:tr>
        <w:trPr>
          <w:trHeight w:val="250"/>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3"/>
          </w:tcPr>
          <w:p>
            <w:pPr>
              <w:ind w:left="360"/>
              <w:spacing w:after="0"/>
              <w:rPr>
                <w:sz w:val="20"/>
                <w:szCs w:val="20"/>
                <w:color w:val="auto"/>
              </w:rPr>
            </w:pPr>
            <w:r>
              <w:rPr>
                <w:rFonts w:ascii="Arial" w:cs="Arial" w:eastAsia="Arial" w:hAnsi="Arial"/>
                <w:sz w:val="14"/>
                <w:szCs w:val="14"/>
                <w:i w:val="1"/>
                <w:iCs w:val="1"/>
                <w:color w:val="auto"/>
                <w:w w:val="96"/>
              </w:rPr>
              <w:t>($ Values In Millions)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95.01% and above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6,774</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90.01% to 95.00%</w:t>
            </w: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44,668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31,507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21,763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45</w:t>
            </w:r>
          </w:p>
        </w:tc>
      </w:tr>
      <w:tr>
        <w:trPr>
          <w:trHeight w:val="27"/>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85.01% to 90.00%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30,163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20,668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14,766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85.00% and below</w:t>
            </w: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11,283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9,602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7,990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17</w:t>
            </w:r>
          </w:p>
        </w:tc>
      </w:tr>
      <w:tr>
        <w:trPr>
          <w:trHeight w:val="27"/>
        </w:trPr>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94,754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48,465</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64"/>
        </w:trPr>
        <w:tc>
          <w:tcPr>
            <w:tcW w:w="3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December 31, 2017</w:t>
            </w:r>
          </w:p>
        </w:tc>
        <w:tc>
          <w:tcPr>
            <w:tcW w:w="540" w:type="dxa"/>
            <w:vAlign w:val="bottom"/>
            <w:tcBorders>
              <w:bottom w:val="single" w:sz="8" w:color="auto"/>
            </w:tcBorders>
          </w:tcPr>
          <w:p>
            <w:pPr>
              <w:spacing w:after="0"/>
              <w:rPr>
                <w:sz w:val="22"/>
                <w:szCs w:val="22"/>
                <w:color w:val="auto"/>
              </w:rPr>
            </w:pPr>
          </w:p>
        </w:tc>
      </w:tr>
      <w:tr>
        <w:trPr>
          <w:trHeight w:val="250"/>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3"/>
          </w:tcPr>
          <w:p>
            <w:pPr>
              <w:ind w:left="360"/>
              <w:spacing w:after="0"/>
              <w:rPr>
                <w:sz w:val="20"/>
                <w:szCs w:val="20"/>
                <w:color w:val="auto"/>
              </w:rPr>
            </w:pPr>
            <w:r>
              <w:rPr>
                <w:rFonts w:ascii="Arial" w:cs="Arial" w:eastAsia="Arial" w:hAnsi="Arial"/>
                <w:sz w:val="14"/>
                <w:szCs w:val="14"/>
                <w:i w:val="1"/>
                <w:iCs w:val="1"/>
                <w:color w:val="auto"/>
                <w:w w:val="96"/>
              </w:rPr>
              <w:t>($ Values In Millions)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95.01% and above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90.01% to 95.00%</w:t>
            </w: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13,086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9,185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6,354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53</w:t>
            </w:r>
          </w:p>
        </w:tc>
      </w:tr>
      <w:tr>
        <w:trPr>
          <w:trHeight w:val="27"/>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85.01% to 90.00%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85.00% and below</w:t>
            </w: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8</w:t>
            </w:r>
          </w:p>
        </w:tc>
      </w:tr>
      <w:tr>
        <w:trPr>
          <w:trHeight w:val="27"/>
        </w:trPr>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24,173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17,091</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11,843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 2019</w:t>
            </w:r>
          </w:p>
        </w:tc>
        <w:tc>
          <w:tcPr>
            <w:tcW w:w="18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 2018</w:t>
            </w:r>
          </w:p>
        </w:tc>
        <w:tc>
          <w:tcPr>
            <w:tcW w:w="1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December 31, 2017</w:t>
            </w:r>
          </w:p>
        </w:tc>
      </w:tr>
      <w:tr>
        <w:trPr>
          <w:trHeight w:val="324"/>
        </w:trPr>
        <w:tc>
          <w:tcPr>
            <w:tcW w:w="3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w:t>
            </w:r>
          </w:p>
        </w:tc>
        <w:tc>
          <w:tcPr>
            <w:tcW w:w="3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3860" w:type="dxa"/>
            <w:vAlign w:val="bottom"/>
          </w:tcPr>
          <w:p>
            <w:pPr>
              <w:ind w:left="160"/>
              <w:spacing w:after="0"/>
              <w:rPr>
                <w:sz w:val="20"/>
                <w:szCs w:val="20"/>
                <w:color w:val="auto"/>
              </w:rPr>
            </w:pPr>
            <w:r>
              <w:rPr>
                <w:rFonts w:ascii="Arial" w:cs="Arial" w:eastAsia="Arial" w:hAnsi="Arial"/>
                <w:sz w:val="18"/>
                <w:szCs w:val="18"/>
                <w:color w:val="auto"/>
              </w:rPr>
              <w:t>Adjustable rate mortgages:</w:t>
            </w:r>
          </w:p>
        </w:tc>
        <w:tc>
          <w:tcPr>
            <w:tcW w:w="20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than five years</w:t>
            </w:r>
          </w:p>
        </w:tc>
        <w:tc>
          <w:tcPr>
            <w:tcW w:w="20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tcPr>
          <w:p>
            <w:pPr>
              <w:ind w:left="260"/>
              <w:spacing w:after="0"/>
              <w:rPr>
                <w:sz w:val="20"/>
                <w:szCs w:val="20"/>
                <w:color w:val="auto"/>
              </w:rPr>
            </w:pPr>
            <w:r>
              <w:rPr>
                <w:rFonts w:ascii="Arial" w:cs="Arial" w:eastAsia="Arial" w:hAnsi="Arial"/>
                <w:sz w:val="18"/>
                <w:szCs w:val="18"/>
                <w:color w:val="auto"/>
              </w:rPr>
              <w:t>Five years and longer</w:t>
            </w:r>
          </w:p>
        </w:tc>
        <w:tc>
          <w:tcPr>
            <w:tcW w:w="3780" w:type="dxa"/>
            <w:vAlign w:val="bottom"/>
            <w:gridSpan w:val="2"/>
          </w:tcPr>
          <w:p>
            <w:pPr>
              <w:jc w:val="right"/>
              <w:ind w:right="119"/>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2</w:t>
            </w:r>
          </w:p>
        </w:tc>
      </w:tr>
      <w:tr>
        <w:trPr>
          <w:trHeight w:val="27"/>
        </w:trPr>
        <w:tc>
          <w:tcPr>
            <w:tcW w:w="38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594"/>
        </w:trPr>
        <w:tc>
          <w:tcPr>
            <w:tcW w:w="3860" w:type="dxa"/>
            <w:vAlign w:val="bottom"/>
          </w:tcPr>
          <w:p>
            <w:pPr>
              <w:spacing w:after="0"/>
              <w:rPr>
                <w:sz w:val="24"/>
                <w:szCs w:val="24"/>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00"/>
          </w:cols>
          <w:pgMar w:left="260" w:top="711"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The table below presents selected primary portfolio statistics, by book year, as of December 31, 2019.</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2"/>
              </w:rPr>
              <w:t>As of December 31, 2019</w:t>
            </w: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90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rPr>
              <w:t>% Remaining of</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Policies Ever</w:t>
            </w:r>
          </w:p>
        </w:tc>
        <w:tc>
          <w:tcPr>
            <w:tcW w:w="10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w:t>
            </w:r>
          </w:p>
        </w:tc>
        <w:tc>
          <w:tcPr>
            <w:tcW w:w="126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Incurred Loss</w:t>
            </w:r>
          </w:p>
        </w:tc>
        <w:tc>
          <w:tcPr>
            <w:tcW w:w="11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Cumulative</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 Default</w:t>
            </w:r>
          </w:p>
        </w:tc>
        <w:tc>
          <w:tcPr>
            <w:tcW w:w="0" w:type="dxa"/>
            <w:vAlign w:val="bottom"/>
          </w:tcPr>
          <w:p>
            <w:pPr>
              <w:spacing w:after="0"/>
              <w:rPr>
                <w:sz w:val="1"/>
                <w:szCs w:val="1"/>
                <w:color w:val="auto"/>
              </w:rPr>
            </w:pPr>
          </w:p>
        </w:tc>
      </w:tr>
      <w:tr>
        <w:trPr>
          <w:trHeight w:val="149"/>
        </w:trPr>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Book year</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Insurance</w:t>
            </w: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right"/>
              <w:ind w:right="295"/>
              <w:spacing w:after="0" w:line="149" w:lineRule="exact"/>
              <w:rPr>
                <w:sz w:val="20"/>
                <w:szCs w:val="20"/>
                <w:color w:val="auto"/>
              </w:rPr>
            </w:pPr>
            <w:r>
              <w:rPr>
                <w:rFonts w:ascii="Arial" w:cs="Arial" w:eastAsia="Arial" w:hAnsi="Arial"/>
                <w:sz w:val="14"/>
                <w:szCs w:val="14"/>
                <w:b w:val="1"/>
                <w:bCs w:val="1"/>
                <w:color w:val="auto"/>
              </w:rPr>
              <w:t>Original</w:t>
            </w:r>
          </w:p>
        </w:tc>
        <w:tc>
          <w:tcPr>
            <w:tcW w:w="1000" w:type="dxa"/>
            <w:vAlign w:val="bottom"/>
            <w:gridSpan w:val="2"/>
            <w:vMerge w:val="continue"/>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Loans in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Claims</w:t>
            </w:r>
          </w:p>
        </w:tc>
        <w:tc>
          <w:tcPr>
            <w:tcW w:w="126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rPr>
              <w:t>Ratio (Inception</w:t>
            </w:r>
          </w:p>
        </w:tc>
        <w:tc>
          <w:tcPr>
            <w:tcW w:w="11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Written</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Insurance</w:t>
            </w: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in Force</w:t>
            </w:r>
          </w:p>
        </w:tc>
        <w:tc>
          <w:tcPr>
            <w:tcW w:w="10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9"/>
              </w:rPr>
              <w:t>Force</w:t>
            </w: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Default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w:t>
            </w: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xml:space="preserve">to Date) </w:t>
            </w:r>
            <w:r>
              <w:rPr>
                <w:rFonts w:ascii="Arial" w:cs="Arial" w:eastAsia="Arial" w:hAnsi="Arial"/>
                <w:sz w:val="8"/>
                <w:szCs w:val="8"/>
                <w:b w:val="1"/>
                <w:bCs w:val="1"/>
                <w:color w:val="auto"/>
              </w:rPr>
              <w:t>(1)</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60" w:type="dxa"/>
            <w:vAlign w:val="bottom"/>
            <w:gridSpan w:val="5"/>
          </w:tcPr>
          <w:p>
            <w:pPr>
              <w:jc w:val="center"/>
              <w:ind w:left="616"/>
              <w:spacing w:after="0"/>
              <w:rPr>
                <w:sz w:val="20"/>
                <w:szCs w:val="20"/>
                <w:color w:val="auto"/>
              </w:rPr>
            </w:pPr>
            <w:r>
              <w:rPr>
                <w:rFonts w:ascii="Arial" w:cs="Arial" w:eastAsia="Arial" w:hAnsi="Arial"/>
                <w:sz w:val="14"/>
                <w:szCs w:val="14"/>
                <w:i w:val="1"/>
                <w:iCs w:val="1"/>
                <w:color w:val="auto"/>
                <w:w w:val="95"/>
              </w:rPr>
              <w:t>($ Values in Millions)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2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818</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24%</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4.2%</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5,370</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25,459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2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11,944</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56%</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83,626</w:t>
            </w:r>
          </w:p>
        </w:tc>
        <w:tc>
          <w:tcPr>
            <w:tcW w:w="1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51,347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87</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14,961</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69%</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85,897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64,041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82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19,579</w:t>
            </w: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72%</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104,043</w:t>
            </w:r>
          </w:p>
        </w:tc>
        <w:tc>
          <w:tcPr>
            <w:tcW w:w="10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80,456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68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45,141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42,060</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93%</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148,423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140,207</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131,240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94,754</w:t>
            </w:r>
          </w:p>
        </w:tc>
        <w:tc>
          <w:tcPr>
            <w:tcW w:w="12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489,978</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366,039</w:t>
            </w: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282</w:t>
            </w: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20" w:hanging="488"/>
        <w:spacing w:after="0" w:line="234" w:lineRule="auto"/>
        <w:tabs>
          <w:tab w:leader="none" w:pos="82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Calculated as total claims incurred (paid and reserved) divided by cumulative premiums earned, net of reinsurance.</w:t>
      </w:r>
    </w:p>
    <w:p>
      <w:pPr>
        <w:ind w:left="820" w:hanging="488"/>
        <w:spacing w:after="0" w:line="187" w:lineRule="auto"/>
        <w:tabs>
          <w:tab w:leader="none" w:pos="82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Calculated as the sum of the number of claims paid ever to date and number of loans in default divided by policies ever in force.</w:t>
      </w:r>
    </w:p>
    <w:p>
      <w:pPr>
        <w:ind w:left="820" w:hanging="488"/>
        <w:spacing w:after="0" w:line="182" w:lineRule="auto"/>
        <w:tabs>
          <w:tab w:leader="none" w:pos="82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Calculated as the number of loans in default divided by number of policies in force.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December 31, 2019 our RIF continues, although declining, to be relatively more concentrated in California, primarily as a result of the size of the California mortgage market relative to the rest of the country and the location and timing of our acquisition of new customers. The distribution of our primary RIF as of December 31, 2019 is not necessarily representative of the geographic distribution we expect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 as of December 31, 2019</w:t>
            </w: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As of</w:t>
            </w: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4"/>
        </w:trPr>
        <w:tc>
          <w:tcPr>
            <w:tcW w:w="5460" w:type="dxa"/>
            <w:vAlign w:val="bottom"/>
          </w:tcPr>
          <w:p>
            <w:pPr>
              <w:spacing w:after="0"/>
              <w:rPr>
                <w:sz w:val="22"/>
                <w:szCs w:val="22"/>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2019</w:t>
            </w: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2018</w:t>
            </w: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5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Texas</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Virginia</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Illinois</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Michigan</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1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Maryland</w:t>
            </w:r>
          </w:p>
        </w:tc>
        <w:tc>
          <w:tcPr>
            <w:tcW w:w="186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8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80" w:type="dxa"/>
            <w:vAlign w:val="bottom"/>
          </w:tcPr>
          <w:p>
            <w:pPr>
              <w:jc w:val="right"/>
              <w:ind w:right="1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54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Insurance claims and claim expenses represent estimated future payments on newly defaulted insured loans and any change in our claim estimates for previously existing defaults. Claims and claims expenses are generally affected by a variety of factors, including:</w:t>
      </w:r>
    </w:p>
    <w:p>
      <w:pPr>
        <w:spacing w:after="0" w:line="116" w:lineRule="exact"/>
        <w:rPr>
          <w:sz w:val="20"/>
          <w:szCs w:val="20"/>
          <w:color w:val="auto"/>
        </w:rPr>
      </w:pPr>
    </w:p>
    <w:p>
      <w:pPr>
        <w:jc w:val="both"/>
        <w:ind w:left="1140" w:hanging="322"/>
        <w:spacing w:after="0" w:line="264"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macroeconomic factors, including unemployment rates, which affect the likelihood that borrowers may default on their loans, and rising interest rates, which tend to increase persistency, thereby extending the average life of our insured portfolio and increasing expected future claims;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57" w:right="239" w:bottom="1440" w:gutter="0" w:footer="0" w:header="0"/>
        </w:sectPr>
      </w:pPr>
    </w:p>
    <w:bookmarkStart w:id="56" w:name="page57"/>
    <w:bookmarkEnd w:id="56"/>
    <w:p>
      <w:pPr>
        <w:ind w:left="1140" w:right="20" w:hanging="322"/>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housing values, as such changes may affect loss mitigation opportunities on loans in default, as well as borrowers' behaviors and willingness to default if the values of their homes are below or perceived to be below their mortgage balances;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borrowers' FICO scores, with lower FICO scores tending to have higher probabilities of claims;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borrowers' DTI ratios, with higher DTI ratios tending to have higher probabilities of claims;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LTV ratios, with higher average LTV ratios tending to increase claims;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claims;</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percentage of coverage on insured loans, with higher percentages of insurance coverage tending to result in higher incurred claim amounts than lower percentages of insurance coverage;</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borrower, property-type and loan level risk characteristics, such as cash-out refinancings, second homes or investment properties;</w:t>
      </w:r>
    </w:p>
    <w:p>
      <w:pPr>
        <w:spacing w:after="0" w:line="128" w:lineRule="exact"/>
        <w:rPr>
          <w:rFonts w:ascii="Arial" w:cs="Arial" w:eastAsia="Arial" w:hAnsi="Arial"/>
          <w:sz w:val="17"/>
          <w:szCs w:val="17"/>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year.</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Reserves for claims and allocated claim expenses are established for reported mortgage loan defaults, which we refer to as case reserves, when we are notified that a borrower has missed two or more mortgage payments (</w:t>
      </w:r>
      <w:r>
        <w:rPr>
          <w:rFonts w:ascii="Arial" w:cs="Arial" w:eastAsia="Arial" w:hAnsi="Arial"/>
          <w:sz w:val="17"/>
          <w:szCs w:val="17"/>
          <w:i w:val="1"/>
          <w:iCs w:val="1"/>
          <w:color w:val="auto"/>
        </w:rPr>
        <w:t>i.e.</w:t>
      </w:r>
      <w:r>
        <w:rPr>
          <w:rFonts w:ascii="Arial" w:cs="Arial" w:eastAsia="Arial" w:hAnsi="Arial"/>
          <w:sz w:val="17"/>
          <w:szCs w:val="17"/>
          <w:color w:val="auto"/>
        </w:rPr>
        <w:t>, an NOD). We also make estimates of IBNR defaults, which are defaults that have been incurred but have not been reported by loan servicers, based on historical reporting trends, and establish IBNR reserves for those defaults. We also establish reserves for unallocated claim expenses not associated with a specific claim. Claim expenses consist of the estimated cost of the claim administration process, including legal and other fees as well as other general expenses of administering the claim settlement process.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claims under the ILN Transactions unless losses exceed the respective retained coverage layers. Reserves are not established for future claims on insured loans which are not currently in default.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our experience and industry data, we believe that claims incidence for mortgage insurance is generally highest in the third through sixth years after loan origination. As of December 31, 2019, approximately 81% of our primary IIF related to business written since January 1, 2017. Although the claims experience on our IIF to date has been modest, we expect incurred claims to increase as a greater amount of our existing insured portfolio reaches its anticipated period of highest claim frequency.</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future macroeconomic factors such as housing prices, interest rates, unemployment rates and other events, such as natural disasters. To date, our claims experience is developing at a slower pace than historical trends indicate, as a result of high quality underwriting, a strong macroeconomic environment and a favorable housing market. For additional discussion of our reserves, see Item 8, "</w:t>
      </w:r>
      <w:r>
        <w:rPr>
          <w:rFonts w:ascii="Arial" w:cs="Arial" w:eastAsia="Arial" w:hAnsi="Arial"/>
          <w:sz w:val="18"/>
          <w:szCs w:val="18"/>
          <w:i w:val="1"/>
          <w:iCs w:val="1"/>
          <w:color w:val="auto"/>
        </w:rPr>
        <w:t>Financial Statements and Supplementary Data - Notes to Consolidated Financial Statements - Note 7, Reserves for Insurance Claims and Claim</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insure mortgages for homes in areas that are impacted by natural disasters. We do not provide coverage for property or casualty claims related to physical damage of a home underpinning an insured mortgage. Our ultimate claims exposure for loans in areas impacted by natural disasters will depend on the number of NODs received, proximate cause of each default, cure rate of the NOD population, and potential repair cost curtailment for appropriate claims on damaged properties as permitted under our Master Policies.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57" w:right="2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58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5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3"/>
              </w:rPr>
              <w:t>(In Thousands)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70"/>
        </w:trPr>
        <w:tc>
          <w:tcPr>
            <w:tcW w:w="58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6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net of reinsurance recoverables</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318"/>
        </w:trPr>
        <w:tc>
          <w:tcPr>
            <w:tcW w:w="58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claims incurred:</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260"/>
              <w:spacing w:after="0"/>
              <w:rPr>
                <w:sz w:val="20"/>
                <w:szCs w:val="20"/>
                <w:color w:val="auto"/>
              </w:rPr>
            </w:pPr>
            <w:r>
              <w:rPr>
                <w:rFonts w:ascii="Arial" w:cs="Arial" w:eastAsia="Arial" w:hAnsi="Arial"/>
                <w:sz w:val="18"/>
                <w:szCs w:val="18"/>
                <w:color w:val="auto"/>
              </w:rPr>
              <w:t>Claims and claim expenses incurred:</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8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6,140</w:t>
            </w:r>
          </w:p>
        </w:tc>
      </w:tr>
      <w:tr>
        <w:trPr>
          <w:trHeight w:val="270"/>
        </w:trPr>
        <w:tc>
          <w:tcPr>
            <w:tcW w:w="5880" w:type="dxa"/>
            <w:vAlign w:val="bottom"/>
            <w:tcBorders>
              <w:bottom w:val="single" w:sz="8" w:color="CCEEFF"/>
            </w:tcBorders>
          </w:tcPr>
          <w:p>
            <w:pPr>
              <w:ind w:left="48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6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and claim expenses incurred</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5,339</w:t>
            </w:r>
          </w:p>
        </w:tc>
      </w:tr>
      <w:tr>
        <w:trPr>
          <w:trHeight w:val="318"/>
        </w:trPr>
        <w:tc>
          <w:tcPr>
            <w:tcW w:w="58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claims paid:</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260"/>
              <w:spacing w:after="0"/>
              <w:rPr>
                <w:sz w:val="20"/>
                <w:szCs w:val="20"/>
                <w:color w:val="auto"/>
              </w:rPr>
            </w:pPr>
            <w:r>
              <w:rPr>
                <w:rFonts w:ascii="Arial" w:cs="Arial" w:eastAsia="Arial" w:hAnsi="Arial"/>
                <w:sz w:val="18"/>
                <w:szCs w:val="18"/>
                <w:color w:val="auto"/>
              </w:rPr>
              <w:t>Claims and claim expenses paid:</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8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5880" w:type="dxa"/>
            <w:vAlign w:val="bottom"/>
          </w:tcPr>
          <w:p>
            <w:pPr>
              <w:ind w:left="48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8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1,157</w:t>
            </w:r>
          </w:p>
        </w:tc>
      </w:tr>
      <w:tr>
        <w:trPr>
          <w:trHeight w:val="270"/>
        </w:trPr>
        <w:tc>
          <w:tcPr>
            <w:tcW w:w="5880" w:type="dxa"/>
            <w:vAlign w:val="bottom"/>
            <w:shd w:val="clear" w:color="auto" w:fill="CCEEFF"/>
          </w:tcPr>
          <w:p>
            <w:pPr>
              <w:ind w:left="480"/>
              <w:spacing w:after="0" w:line="270" w:lineRule="exact"/>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Total claims and claim expenses paid</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w:t>
            </w:r>
          </w:p>
        </w:tc>
      </w:tr>
      <w:tr>
        <w:trPr>
          <w:trHeight w:val="27"/>
        </w:trPr>
        <w:tc>
          <w:tcPr>
            <w:tcW w:w="5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18"/>
        </w:trPr>
        <w:tc>
          <w:tcPr>
            <w:tcW w:w="58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Reserve at end of period, net of reinsurance recoverables</w:t>
            </w:r>
          </w:p>
        </w:tc>
        <w:tc>
          <w:tcPr>
            <w:tcW w:w="1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9,810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6,859</w:t>
            </w: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1,902</w:t>
            </w:r>
          </w:p>
        </w:tc>
      </w:tr>
      <w:tr>
        <w:trPr>
          <w:trHeight w:val="257"/>
        </w:trPr>
        <w:tc>
          <w:tcPr>
            <w:tcW w:w="58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23,752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8,761</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20" w:hanging="332"/>
        <w:spacing w:after="0" w:line="250" w:lineRule="auto"/>
        <w:tabs>
          <w:tab w:leader="none" w:pos="340" w:val="left"/>
        </w:tabs>
        <w:numPr>
          <w:ilvl w:val="0"/>
          <w:numId w:val="27"/>
        </w:numPr>
        <w:rPr>
          <w:rFonts w:ascii="Arial" w:cs="Arial" w:eastAsia="Arial" w:hAnsi="Arial"/>
          <w:sz w:val="9"/>
          <w:szCs w:val="9"/>
          <w:color w:val="auto"/>
        </w:rPr>
      </w:pPr>
      <w:r>
        <w:rPr>
          <w:rFonts w:ascii="Arial" w:cs="Arial" w:eastAsia="Arial" w:hAnsi="Arial"/>
          <w:sz w:val="14"/>
          <w:szCs w:val="14"/>
          <w:color w:val="auto"/>
        </w:rPr>
        <w:t>Related to ceded losses recoverable under the QSR Transactions, included in "Other assets" on the consolidated balance sheets. See Item 8, "</w:t>
      </w:r>
      <w:r>
        <w:rPr>
          <w:rFonts w:ascii="Arial" w:cs="Arial" w:eastAsia="Arial" w:hAnsi="Arial"/>
          <w:sz w:val="14"/>
          <w:szCs w:val="14"/>
          <w:i w:val="1"/>
          <w:iCs w:val="1"/>
          <w:color w:val="auto"/>
        </w:rPr>
        <w:t>Financial Statements and Supplementary Data -</w:t>
      </w:r>
      <w:r>
        <w:rPr>
          <w:rFonts w:ascii="Arial" w:cs="Arial" w:eastAsia="Arial" w:hAnsi="Arial"/>
          <w:sz w:val="14"/>
          <w:szCs w:val="14"/>
          <w:color w:val="auto"/>
        </w:rPr>
        <w:t xml:space="preserve"> </w:t>
      </w:r>
      <w:r>
        <w:rPr>
          <w:rFonts w:ascii="Arial" w:cs="Arial" w:eastAsia="Arial" w:hAnsi="Arial"/>
          <w:sz w:val="14"/>
          <w:szCs w:val="14"/>
          <w:i w:val="1"/>
          <w:iCs w:val="1"/>
          <w:color w:val="auto"/>
        </w:rPr>
        <w:t>Notes to Consolidated Financial Statements - Note 6, Reinsurance</w:t>
      </w:r>
      <w:r>
        <w:rPr>
          <w:rFonts w:ascii="Arial" w:cs="Arial" w:eastAsia="Arial" w:hAnsi="Arial"/>
          <w:sz w:val="14"/>
          <w:szCs w:val="14"/>
          <w:color w:val="auto"/>
        </w:rPr>
        <w:t>," for additional information.</w:t>
      </w:r>
    </w:p>
    <w:p>
      <w:pPr>
        <w:ind w:left="340" w:hanging="332"/>
        <w:spacing w:after="0" w:line="241" w:lineRule="auto"/>
        <w:tabs>
          <w:tab w:leader="none" w:pos="340" w:val="left"/>
        </w:tabs>
        <w:numPr>
          <w:ilvl w:val="0"/>
          <w:numId w:val="27"/>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340" w:hanging="332"/>
        <w:spacing w:after="0"/>
        <w:tabs>
          <w:tab w:leader="none" w:pos="340" w:val="left"/>
        </w:tabs>
        <w:numPr>
          <w:ilvl w:val="0"/>
          <w:numId w:val="27"/>
        </w:numPr>
        <w:rPr>
          <w:rFonts w:ascii="Arial" w:cs="Arial" w:eastAsia="Arial" w:hAnsi="Arial"/>
          <w:sz w:val="8"/>
          <w:szCs w:val="8"/>
          <w:color w:val="auto"/>
        </w:rPr>
      </w:pPr>
      <w:r>
        <w:rPr>
          <w:rFonts w:ascii="Arial" w:cs="Arial" w:eastAsia="Arial" w:hAnsi="Arial"/>
          <w:sz w:val="13"/>
          <w:szCs w:val="13"/>
          <w:color w:val="auto"/>
        </w:rPr>
        <w:t>Related to insured loans with defaults occurring in prior years, which have been continuously in default before the start of the current year. Amounts are presented net of reinsurance.</w:t>
      </w:r>
    </w:p>
    <w:p>
      <w:pPr>
        <w:spacing w:after="0" w:line="12" w:lineRule="exact"/>
        <w:rPr>
          <w:rFonts w:ascii="Arial" w:cs="Arial" w:eastAsia="Arial" w:hAnsi="Arial"/>
          <w:sz w:val="8"/>
          <w:szCs w:val="8"/>
          <w:color w:val="auto"/>
        </w:rPr>
      </w:pPr>
    </w:p>
    <w:p>
      <w:pPr>
        <w:ind w:left="340" w:hanging="332"/>
        <w:spacing w:after="0" w:line="255" w:lineRule="auto"/>
        <w:tabs>
          <w:tab w:leader="none" w:pos="340" w:val="left"/>
        </w:tabs>
        <w:numPr>
          <w:ilvl w:val="0"/>
          <w:numId w:val="27"/>
        </w:numPr>
        <w:rPr>
          <w:rFonts w:ascii="Arial" w:cs="Arial" w:eastAsia="Arial" w:hAnsi="Arial"/>
          <w:sz w:val="9"/>
          <w:szCs w:val="9"/>
          <w:color w:val="auto"/>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Item 8, "</w:t>
      </w:r>
      <w:r>
        <w:rPr>
          <w:rFonts w:ascii="Arial" w:cs="Arial" w:eastAsia="Arial" w:hAnsi="Arial"/>
          <w:sz w:val="14"/>
          <w:szCs w:val="14"/>
          <w:i w:val="1"/>
          <w:iCs w:val="1"/>
          <w:color w:val="auto"/>
        </w:rPr>
        <w:t>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 and Supplementary Data - Notes to Consolidated Financial Statements - Note 6, Reinsurance</w:t>
      </w:r>
      <w:r>
        <w:rPr>
          <w:rFonts w:ascii="Arial" w:cs="Arial" w:eastAsia="Arial" w:hAnsi="Arial"/>
          <w:sz w:val="14"/>
          <w:szCs w:val="14"/>
          <w:color w:val="auto"/>
        </w:rPr>
        <w:t>," for additional information.</w:t>
      </w:r>
    </w:p>
    <w:p>
      <w:pPr>
        <w:spacing w:after="0" w:line="1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NODs for current and prior years, including IBNR reserves and is presented net of reinsurance.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 development trends. We may increase or decrease our original estimates as we gather additional information about individual defaults and claims and continue to observe and analyze loss development trends in our portfolio. Gross reserves of $5.2 million related to prior year defaults remained as of December 31, 2019.</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57"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For the year ended</w:t>
            </w:r>
          </w:p>
        </w:tc>
        <w:tc>
          <w:tcPr>
            <w:tcW w:w="158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2019</w:t>
            </w:r>
          </w:p>
        </w:tc>
        <w:tc>
          <w:tcPr>
            <w:tcW w:w="1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2018</w:t>
            </w:r>
          </w:p>
        </w:tc>
        <w:tc>
          <w:tcPr>
            <w:tcW w:w="1580" w:type="dxa"/>
            <w:vAlign w:val="bottom"/>
          </w:tcPr>
          <w:p>
            <w:pPr>
              <w:jc w:val="right"/>
              <w:ind w:right="113"/>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1,262</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6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denied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1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928</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The increase in the ending default inventory at December 31, 2019 compared to December 31, 2018, primarily relates to an increase in new defaults tied to the growth in the number of policies in force and the aging of our earlier book years. Our total policies in force were 366,039 and 280,825 for the years ended December 31, 2019 and 2018, respectively. The increase in new defaults was partially offset by cure activity on our beginning NOD population. The ratio of cures to new defaults decreased during the year ended December 31, 2019 compared to the year ended December 31, 2018 due to the elevated level of defaults on insured loans in areas declared by FEMA to be individual disaster zones following Hurricanes Harvey and Irma, and the California wildfires in 2017, and the subsequent curing of the majority of such defaults in 2018.</w:t>
      </w:r>
    </w:p>
    <w:p>
      <w:pPr>
        <w:spacing w:after="0" w:line="10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decrease in the ending default inventory at December 31, 2018 compared to December 31, 2017, primarily relates to cure activity on defaults on insured loans in areas declared by FEMA to be individual assistance disaster zones following Hurricanes Harvey and Irma, and the California wildfires in 2017, and to a lesser extent, cure activity on our non-disaster related NOD population. The impact of this cure activity was partially offset by an increase in new defaults tied to the growth in the number of policies in force, the aging of our earlier book years and, to a more limited extent, default experience in areas declared by FEMA to be individual assistance disaster zones following disasters that we determined to be focal events in 2018.</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our claims paid, before giving effect to claims ceded under the QSR Transactions, for the periods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For the year ended</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6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2019</w:t>
            </w: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6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center"/>
              <w:ind w:right="58"/>
              <w:spacing w:after="0"/>
              <w:rPr>
                <w:sz w:val="20"/>
                <w:szCs w:val="20"/>
                <w:color w:val="auto"/>
              </w:rPr>
            </w:pPr>
            <w:r>
              <w:rPr>
                <w:rFonts w:ascii="Arial" w:cs="Arial" w:eastAsia="Arial" w:hAnsi="Arial"/>
                <w:sz w:val="14"/>
                <w:szCs w:val="14"/>
                <w:i w:val="1"/>
                <w:iCs w:val="1"/>
                <w:color w:val="auto"/>
                <w:w w:val="91"/>
              </w:rPr>
              <w:t>($ Values In Thousands)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6"/>
        </w:trPr>
        <w:tc>
          <w:tcPr>
            <w:tcW w:w="624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Total amount paid for claims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5,030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8"/>
              <w:spacing w:after="0"/>
              <w:rPr>
                <w:sz w:val="20"/>
                <w:szCs w:val="20"/>
                <w:color w:val="auto"/>
              </w:rPr>
            </w:pPr>
            <w:r>
              <w:rPr>
                <w:rFonts w:ascii="Arial" w:cs="Arial" w:eastAsia="Arial" w:hAnsi="Arial"/>
                <w:sz w:val="18"/>
                <w:szCs w:val="18"/>
                <w:color w:val="auto"/>
              </w:rPr>
              <w:t>3,164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1,266</w:t>
            </w:r>
          </w:p>
        </w:tc>
      </w:tr>
      <w:tr>
        <w:trPr>
          <w:trHeight w:val="27"/>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amount paid per claim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w:t>
            </w:r>
          </w:p>
        </w:tc>
      </w:tr>
      <w:tr>
        <w:trPr>
          <w:trHeight w:val="317"/>
        </w:trPr>
        <w:tc>
          <w:tcPr>
            <w:tcW w:w="6240" w:type="dxa"/>
            <w:vAlign w:val="bottom"/>
          </w:tcPr>
          <w:p>
            <w:pPr>
              <w:ind w:left="40"/>
              <w:spacing w:after="0"/>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(2)</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w:t>
            </w:r>
          </w:p>
        </w:tc>
      </w:tr>
    </w:tbl>
    <w:p>
      <w:pPr>
        <w:ind w:left="340" w:right="200" w:hanging="332"/>
        <w:spacing w:after="0" w:line="241" w:lineRule="auto"/>
        <w:tabs>
          <w:tab w:leader="none" w:pos="340" w:val="left"/>
        </w:tabs>
        <w:numPr>
          <w:ilvl w:val="0"/>
          <w:numId w:val="28"/>
        </w:numPr>
        <w:rPr>
          <w:rFonts w:ascii="Arial" w:cs="Arial" w:eastAsia="Arial" w:hAnsi="Arial"/>
          <w:sz w:val="9"/>
          <w:szCs w:val="9"/>
          <w:color w:val="auto"/>
        </w:rPr>
      </w:pPr>
      <w:r>
        <w:rPr>
          <w:rFonts w:ascii="Arial" w:cs="Arial" w:eastAsia="Arial" w:hAnsi="Arial"/>
          <w:sz w:val="14"/>
          <w:szCs w:val="14"/>
          <w:color w:val="auto"/>
        </w:rPr>
        <w:t>Count includes 19 and 8 settled without payment for the years ended December 31, 2019 and 2018, respectively. There were no claims settled without payment for the year ended December 31, 2017.</w:t>
      </w:r>
    </w:p>
    <w:p>
      <w:pPr>
        <w:ind w:left="340" w:right="100" w:hanging="332"/>
        <w:spacing w:after="0" w:line="255" w:lineRule="auto"/>
        <w:tabs>
          <w:tab w:leader="none" w:pos="340" w:val="left"/>
        </w:tabs>
        <w:numPr>
          <w:ilvl w:val="0"/>
          <w:numId w:val="28"/>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13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the number of claims paid for the year ended December 31, 2019, compared to the years ended December 31, 2018 and 2017, was due to an increase in our default inventory and the continued growth and seasoning of our insured portfolio.</w:t>
      </w:r>
    </w:p>
    <w:p>
      <w:pPr>
        <w:spacing w:after="0" w:line="11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claims severity for the year ended December 31, 2019 was 74%, compared to 72% and 86% for the years ended December 31, 2018 and 2017, respectively. Claims severity in each period benefited from home price appreciation. Increasing values of the homes underlying the loans we insure generally causes a decline in the severity of claims that we pay. Over time, we expect the severity of claims paid to be between 85% and 95% of the coverage amount.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57" w:right="239" w:bottom="1440" w:gutter="0" w:footer="0" w:header="0"/>
        </w:sectPr>
      </w:pPr>
    </w:p>
    <w:bookmarkStart w:id="59" w:name="page60"/>
    <w:bookmarkEnd w:id="59"/>
    <w:p>
      <w:pPr>
        <w:ind w:right="20" w:firstLine="648"/>
        <w:spacing w:after="0" w:line="277" w:lineRule="auto"/>
        <w:rPr>
          <w:sz w:val="20"/>
          <w:szCs w:val="20"/>
          <w:color w:val="auto"/>
        </w:rPr>
      </w:pPr>
      <w:r>
        <w:rPr>
          <w:rFonts w:ascii="Arial" w:cs="Arial" w:eastAsia="Arial" w:hAnsi="Arial"/>
          <w:sz w:val="18"/>
          <w:szCs w:val="18"/>
          <w:color w:val="auto"/>
        </w:rPr>
        <w:t>The following table provides detail on our average reserve per default, before giving effect to reserves ceded under the QSR Transactions, as of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44"/>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1"/>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82"/>
        </w:trPr>
        <w:tc>
          <w:tcPr>
            <w:tcW w:w="6400" w:type="dxa"/>
            <w:vAlign w:val="bottom"/>
          </w:tcPr>
          <w:p>
            <w:pPr>
              <w:ind w:left="40"/>
              <w:spacing w:after="0" w:line="282"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IBNR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9"/>
        </w:numPr>
        <w:rPr>
          <w:rFonts w:ascii="Arial" w:cs="Arial" w:eastAsia="Arial" w:hAnsi="Arial"/>
          <w:sz w:val="9"/>
          <w:szCs w:val="9"/>
          <w:color w:val="auto"/>
        </w:rPr>
      </w:pPr>
      <w:r>
        <w:rPr>
          <w:rFonts w:ascii="Arial" w:cs="Arial" w:eastAsia="Arial" w:hAnsi="Arial"/>
          <w:sz w:val="14"/>
          <w:szCs w:val="14"/>
          <w:color w:val="auto"/>
        </w:rPr>
        <w:t>Amount includes claims adjustment expenses.</w:t>
      </w:r>
    </w:p>
    <w:p>
      <w:pPr>
        <w:spacing w:after="0" w:line="1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average reserve per default at December 31, 2019 increased from December 31, 2018, primarily due to the aging of our NOD population from non-disaster zones, and to a lesser extent, cure activity on defaults outstanding at December 31, 2018 for loans in areas impacted by natural disasters.</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average reserve per default at December 31, 2018 increased from December 31, 2017, primarily due to cure activity on defaults in areas impacted by natural disasters in 2017. We established lower reserves for these NODs than we otherwise do for similarly situated NODs in non-disaster zones based on our expectation for increased cure activity. As this default population declined, the average reserve per remaining default increased.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An increase in refinancing volume may limit the seasonal effect of home purchase patterns on mortgage insurance NIW.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NMIC is subject to ongoing compliance with the PMIERs established by each of the GSEs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current vs. delinquent), LTV ratio and other risk features. In general, higher quality loans carry lower asset charges.</w:t>
      </w:r>
    </w:p>
    <w:p>
      <w:pPr>
        <w:spacing w:after="0" w:line="13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RIF, assessed on a loan-by-loan basis and considered against certain risk-based factors derived from tables set out in the PMIERs</w:t>
      </w:r>
      <w:r>
        <w:rPr>
          <w:rFonts w:ascii="Arial" w:cs="Arial" w:eastAsia="Arial" w:hAnsi="Arial"/>
          <w:sz w:val="19"/>
          <w:szCs w:val="19"/>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then adjusted on an aggregate basis for reinsurance transactions approved by the GSEs, such as with respect to our ILN Transactions and QSR Transactions. The </w:t>
      </w:r>
      <w:r>
        <w:rPr>
          <w:rFonts w:ascii="Arial" w:cs="Arial" w:eastAsia="Arial" w:hAnsi="Arial"/>
          <w:sz w:val="18"/>
          <w:szCs w:val="18"/>
          <w:i w:val="1"/>
          <w:iCs w:val="1"/>
          <w:color w:val="auto"/>
        </w:rPr>
        <w:t>aggregate gross 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 adjusted RIF</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pool insurance considers both factors in the PMIERs tables and the </w:t>
      </w:r>
      <w:r>
        <w:rPr>
          <w:rFonts w:ascii="Arial" w:cs="Arial" w:eastAsia="Arial" w:hAnsi="Arial"/>
          <w:sz w:val="18"/>
          <w:szCs w:val="18"/>
          <w:i w:val="1"/>
          <w:iCs w:val="1"/>
          <w:color w:val="auto"/>
        </w:rPr>
        <w:t>net remaining stop loss</w:t>
      </w:r>
      <w:r>
        <w:rPr>
          <w:rFonts w:ascii="Arial" w:cs="Arial" w:eastAsia="Arial" w:hAnsi="Arial"/>
          <w:sz w:val="18"/>
          <w:szCs w:val="18"/>
          <w:color w:val="auto"/>
        </w:rPr>
        <w:t xml:space="preserve"> for each pool insurance policy.</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2019 that NMIC was in full compliance with the PMIERs as of December 31, 2018. NMIC also has an ongoing obligation to immediately notify the GSEs in writing upon discovery of a failure to meet one or more of the PMIERs requirements. We continuously monitor NMIC's compliance with the PMIERs.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57" w:right="239" w:bottom="1440" w:gutter="0" w:footer="0" w:header="0"/>
        </w:sectPr>
      </w:pPr>
    </w:p>
    <w:bookmarkStart w:id="60" w:name="page61"/>
    <w:bookmarkEnd w:id="60"/>
    <w:p>
      <w:pPr>
        <w:jc w:val="both"/>
        <w:ind w:firstLine="648"/>
        <w:spacing w:after="0" w:line="264" w:lineRule="auto"/>
        <w:rPr>
          <w:sz w:val="20"/>
          <w:szCs w:val="20"/>
          <w:color w:val="auto"/>
        </w:rPr>
      </w:pPr>
      <w:r>
        <w:rPr>
          <w:rFonts w:ascii="Arial" w:cs="Arial" w:eastAsia="Arial" w:hAnsi="Arial"/>
          <w:sz w:val="18"/>
          <w:szCs w:val="18"/>
          <w:color w:val="auto"/>
        </w:rPr>
        <w:t xml:space="preserve">On September 27, 2018, the GSEs published the Revised PMIERs that took effect and became applicable to NMIC on March 31, 2019. 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 as calculated under the applicable PMIERs requirement.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8"/>
              </w:rPr>
              <w:t>December 31, 2019</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3"/>
              </w:rPr>
              <w:t>December 31, 2018</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6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3"/>
          </w:tcPr>
          <w:p>
            <w:pPr>
              <w:jc w:val="right"/>
              <w:ind w:right="699"/>
              <w:spacing w:after="0"/>
              <w:rPr>
                <w:sz w:val="20"/>
                <w:szCs w:val="20"/>
                <w:color w:val="auto"/>
              </w:rPr>
            </w:pPr>
            <w:r>
              <w:rPr>
                <w:rFonts w:ascii="Arial" w:cs="Arial" w:eastAsia="Arial" w:hAnsi="Arial"/>
                <w:sz w:val="14"/>
                <w:szCs w:val="14"/>
                <w:i w:val="1"/>
                <w:iCs w:val="1"/>
                <w:color w:val="auto"/>
              </w:rPr>
              <w:t>($ values in thousands)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2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Available Assets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8"/>
                <w:szCs w:val="18"/>
                <w:color w:val="auto"/>
              </w:rPr>
              <w:t>1,016,387</w:t>
            </w:r>
          </w:p>
        </w:tc>
        <w:tc>
          <w:tcPr>
            <w:tcW w:w="2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733,762</w:t>
            </w:r>
          </w:p>
        </w:tc>
        <w:tc>
          <w:tcPr>
            <w:tcW w:w="2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527,897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Risk-Based Required Asset Amount</w:t>
            </w:r>
          </w:p>
        </w:tc>
        <w:tc>
          <w:tcPr>
            <w:tcW w:w="200" w:type="dxa"/>
            <w:vAlign w:val="bottom"/>
          </w:tcPr>
          <w:p>
            <w:pPr>
              <w:spacing w:after="0"/>
              <w:rPr>
                <w:sz w:val="21"/>
                <w:szCs w:val="21"/>
                <w:color w:val="auto"/>
              </w:rPr>
            </w:pPr>
          </w:p>
        </w:tc>
        <w:tc>
          <w:tcPr>
            <w:tcW w:w="1560" w:type="dxa"/>
            <w:vAlign w:val="bottom"/>
          </w:tcPr>
          <w:p>
            <w:pPr>
              <w:jc w:val="right"/>
              <w:ind w:right="59"/>
              <w:spacing w:after="0"/>
              <w:rPr>
                <w:sz w:val="20"/>
                <w:szCs w:val="20"/>
                <w:color w:val="auto"/>
              </w:rPr>
            </w:pPr>
            <w:r>
              <w:rPr>
                <w:rFonts w:ascii="Arial" w:cs="Arial" w:eastAsia="Arial" w:hAnsi="Arial"/>
                <w:sz w:val="18"/>
                <w:szCs w:val="18"/>
                <w:color w:val="auto"/>
              </w:rPr>
              <w:t>773,474</w:t>
            </w:r>
          </w:p>
        </w:tc>
        <w:tc>
          <w:tcPr>
            <w:tcW w:w="26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511,268</w:t>
            </w:r>
          </w:p>
        </w:tc>
        <w:tc>
          <w:tcPr>
            <w:tcW w:w="2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446,226</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$1.0 billion at December 31, 2019, compared to $734 million at December 31, 2018 and $528 million at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sequential increase 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at each measurement date was primarily driven by our positive cash flow from operations in the intervening periods.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further increased in 2019 as a result of the adoption of the Revised PMIERs guidance effective March 31, 2019 and in 2018 as the result of a $70 million capital contribution from NMIH to NMIC.</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sequential increase in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at each measurement date was due to the growth of our gross RIF, partially offset by the increased cession of risk under our third-party reinsurance agreements.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further increased in 2019 as a result of the termination of our engagement with and the recapture of previously ceded primary RIF from one reinsurer under the 2016 QSR Transaction.</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LIBOR Transition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2017, the U.K. Financial Conduct Authority announced that it intends to stop persuading or compelling banks to submit LIBOR rates after 2021, which is expected to render these widely used reference rates unavailable or unreliable. We have exposure to LIBOR-based financial instruments, such as LIBOR-based securities held in our investment portfolio. The 2018 Term Loan and Revolving Credit Facility as well as premiums paid on our ILN Transactions are also LIBOR-based. The Company is in process of reviewing its LIBOR-based contracts that extend beyond 2021 and transition to a set of alternative reference rates. We will continue to monitor, assess and plan for the phase out of LIBOR; however, we currently do not know the impact it will have to the Company or its financial results.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Cybersecurity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rely on technology to engage with customers, access borrower information and deliver our products and services. We have established and implemented security measures, controls and procedures to safeguard our IT systems, and prevent and detect unauthorized access to such systems or any data processed and/or stored therein. We periodically engage third parties to evaluate and test the adequacy of such security measures, controls and procedures. In addition, we have a business continuity plan that is designed to allow us to continue to operate in the midst of certain disruptive events, including disruptions to our IT systems, and we have an incident response plan that is designed to address information security incidents, including any breaches of our IT systems. Despite these safeguards, disruptions to and breaches of our IT systems are possible and may negatively impact our business.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 cybersecurity errors and omissions insurance policy to limit our exposure to loss in the event of an incident. This policy provides coverage for (i) claims related to, among other things, unauthorized network or computer access, unintentional disclosure or misuse of personally identifiable information in our possession, and unintentional failure to disclose a breach, and (ii) certain costs related to privacy notification, crisis management, cyber extortion, data recovery, business interruption and reputational harm.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GSE-imposed asset requirements, NMIC is subject to state regulatory minimum capital requirements based on its RIF. Under applicable law in Wisconsin and 15 other states, mortgage insurers must maintain minimum amounts of statutory capital relative to RIF to continue to write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 The NAIC's Working Group was formed to discuss, develop and recommend changes to the solvency and market practices regulation of mortgage insurers, including changes to the Model Act. Proposed amendments to the Model Act include, among other changes, adoption of a risk-based capital model. Following adoption by the NAIC, some or all of the 16 states that currently have minimum statutory capital requirements,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5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and potentially others that do not, are expected to enact a portion or all of the revised Model Act, including the loan-level capital model.</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of December 31, 2019, NMIC's performing primary RIF, net of reinsurance, was approximately $15.4 billion. NMIC ceded 100% of its pool RIF pursuant to the 2016 QSR Transaction. Based on NMIC's total statutory capital of $945 million (including contingency reserves) as of December 31, 2019, NMIC's RTC ratio was 16.3:1. Re One had total statutory capital of $36 million as of December 31, 2019 and a RTC ratio of 1.3:1. We continuously monitor our compliance with state capital requirements.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2019, Moody's upgraded its financial strength rating of NMIC from "Baa3" to "Baa2" and upgraded its rating of NMIH's $150 million senior secured 2018 Term Loan and 2018 Revolving Credit Facility from "Ba3" to "Ba2". The outlook for Moody's ratings is stable. In June 2019, S&amp;P upgraded its financial strength and long-term counter-party credit ratings of NMIC from "BBB-" to "BBB" and upgraded its long-term counter-party credit rating of NMIH from "BB-" to "BB". The outlook for S&amp;P's ratings is positive.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information technology capabilities. See Item 1, "</w:t>
      </w:r>
      <w:r>
        <w:rPr>
          <w:rFonts w:ascii="Arial" w:cs="Arial" w:eastAsia="Arial" w:hAnsi="Arial"/>
          <w:sz w:val="18"/>
          <w:szCs w:val="18"/>
          <w:i w:val="1"/>
          <w:iCs w:val="1"/>
          <w:color w:val="auto"/>
        </w:rPr>
        <w:t>Business - Overview of Residential Mortgage Finance and the Role of the Private MI Industry</w:t>
      </w:r>
      <w:r>
        <w:rPr>
          <w:rFonts w:ascii="Arial" w:cs="Arial" w:eastAsia="Arial" w:hAnsi="Arial"/>
          <w:sz w:val="18"/>
          <w:szCs w:val="18"/>
          <w:color w:val="auto"/>
        </w:rPr>
        <w:t xml:space="preserve"> </w:t>
      </w:r>
      <w:r>
        <w:rPr>
          <w:rFonts w:ascii="Arial" w:cs="Arial" w:eastAsia="Arial" w:hAnsi="Arial"/>
          <w:sz w:val="18"/>
          <w:szCs w:val="18"/>
          <w:i w:val="1"/>
          <w:iCs w:val="1"/>
          <w:color w:val="auto"/>
        </w:rPr>
        <w:t>in the Current Operating Environment - Competition,</w:t>
      </w:r>
      <w:r>
        <w:rPr>
          <w:rFonts w:ascii="Arial" w:cs="Arial" w:eastAsia="Arial" w:hAnsi="Arial"/>
          <w:sz w:val="18"/>
          <w:szCs w:val="18"/>
          <w:color w:val="auto"/>
        </w:rPr>
        <w:t>" above. We expect the private MI market to remain competitive, with pressure for industry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to maintain or grow their market share.</w:t>
      </w:r>
    </w:p>
    <w:p>
      <w:pPr>
        <w:spacing w:after="0" w:line="13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GSE demand, premium rates and other charges, loan eligibility requirements, cancelability, loan size limits and the relative ease of use of private MI products compared to government MI alternatives.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5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3"/>
        </w:trPr>
        <w:tc>
          <w:tcPr>
            <w:tcW w:w="59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2017</w:t>
            </w:r>
          </w:p>
        </w:tc>
      </w:tr>
      <w:tr>
        <w:trPr>
          <w:trHeight w:val="251"/>
        </w:trPr>
        <w:tc>
          <w:tcPr>
            <w:tcW w:w="5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780" w:type="dxa"/>
            <w:vAlign w:val="bottom"/>
            <w:gridSpan w:val="7"/>
          </w:tcPr>
          <w:p>
            <w:pPr>
              <w:jc w:val="right"/>
              <w:ind w:right="150"/>
              <w:spacing w:after="0"/>
              <w:rPr>
                <w:sz w:val="20"/>
                <w:szCs w:val="20"/>
                <w:color w:val="auto"/>
              </w:rPr>
            </w:pPr>
            <w:r>
              <w:rPr>
                <w:rFonts w:ascii="Arial" w:cs="Arial" w:eastAsia="Arial" w:hAnsi="Arial"/>
                <w:sz w:val="14"/>
                <w:szCs w:val="14"/>
                <w:i w:val="1"/>
                <w:iCs w:val="1"/>
                <w:color w:val="auto"/>
              </w:rPr>
              <w:t>($ in thousands, except for per share data)</w:t>
            </w:r>
          </w:p>
        </w:tc>
        <w:tc>
          <w:tcPr>
            <w:tcW w:w="1280" w:type="dxa"/>
            <w:vAlign w:val="bottom"/>
          </w:tcPr>
          <w:p>
            <w:pPr>
              <w:spacing w:after="0"/>
              <w:rPr>
                <w:sz w:val="21"/>
                <w:szCs w:val="21"/>
                <w:color w:val="auto"/>
              </w:rPr>
            </w:pPr>
          </w:p>
        </w:tc>
      </w:tr>
      <w:tr>
        <w:trPr>
          <w:trHeight w:val="256"/>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345,015</w:t>
            </w:r>
          </w:p>
        </w:tc>
        <w:tc>
          <w:tcPr>
            <w:tcW w:w="5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251,197</w:t>
            </w:r>
          </w:p>
        </w:tc>
        <w:tc>
          <w:tcPr>
            <w:tcW w:w="6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165,740</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30,856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23,538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16,273</w:t>
            </w:r>
          </w:p>
        </w:tc>
      </w:tr>
      <w:tr>
        <w:trPr>
          <w:trHeight w:val="27"/>
        </w:trPr>
        <w:tc>
          <w:tcPr>
            <w:tcW w:w="5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2,855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522</w:t>
            </w:r>
          </w:p>
        </w:tc>
      </w:tr>
      <w:tr>
        <w:trPr>
          <w:trHeight w:val="27"/>
        </w:trPr>
        <w:tc>
          <w:tcPr>
            <w:tcW w:w="59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378,771</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275,025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182,743</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Expenses</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12,507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5,339</w:t>
            </w:r>
          </w:p>
        </w:tc>
      </w:tr>
      <w:tr>
        <w:trPr>
          <w:trHeight w:val="270"/>
        </w:trPr>
        <w:tc>
          <w:tcPr>
            <w:tcW w:w="5900" w:type="dxa"/>
            <w:vAlign w:val="bottom"/>
          </w:tcPr>
          <w:p>
            <w:pPr>
              <w:ind w:left="280"/>
              <w:spacing w:after="0" w:line="270" w:lineRule="exact"/>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5"/>
                <w:szCs w:val="25"/>
                <w:color w:val="auto"/>
                <w:vertAlign w:val="superscript"/>
              </w:rPr>
              <w:t>(1)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126,621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116,966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106,362</w:t>
            </w:r>
          </w:p>
        </w:tc>
      </w:tr>
      <w:tr>
        <w:trPr>
          <w:trHeight w:val="270"/>
        </w:trPr>
        <w:tc>
          <w:tcPr>
            <w:tcW w:w="59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Service expenses</w:t>
            </w:r>
            <w:r>
              <w:rPr>
                <w:rFonts w:ascii="Arial" w:cs="Arial" w:eastAsia="Arial" w:hAnsi="Arial"/>
                <w:sz w:val="25"/>
                <w:szCs w:val="25"/>
                <w:color w:val="auto"/>
                <w:vertAlign w:val="superscript"/>
              </w:rPr>
              <w:t>(1)</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2,248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617</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12,085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14,979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13,528</w:t>
            </w:r>
          </w:p>
        </w:tc>
      </w:tr>
      <w:tr>
        <w:trPr>
          <w:trHeight w:val="27"/>
        </w:trPr>
        <w:tc>
          <w:tcPr>
            <w:tcW w:w="5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8,657</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4,105</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162,118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139,064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129,951</w:t>
            </w:r>
          </w:p>
        </w:tc>
      </w:tr>
      <w:tr>
        <w:trPr>
          <w:trHeight w:val="27"/>
        </w:trPr>
        <w:tc>
          <w:tcPr>
            <w:tcW w:w="59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5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216,653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135,961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52,792</w:t>
            </w:r>
          </w:p>
        </w:tc>
      </w:tr>
      <w:tr>
        <w:trPr>
          <w:trHeight w:val="27"/>
        </w:trPr>
        <w:tc>
          <w:tcPr>
            <w:tcW w:w="5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44,696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28,034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30,742</w:t>
            </w:r>
          </w:p>
        </w:tc>
      </w:tr>
      <w:tr>
        <w:trPr>
          <w:trHeight w:val="297"/>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171,957</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107,927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22,050</w:t>
            </w:r>
          </w:p>
        </w:tc>
      </w:tr>
      <w:tr>
        <w:trPr>
          <w:trHeight w:val="203"/>
        </w:trPr>
        <w:tc>
          <w:tcPr>
            <w:tcW w:w="5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Earnings per share - Basic</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2.54</w:t>
            </w:r>
          </w:p>
        </w:tc>
        <w:tc>
          <w:tcPr>
            <w:tcW w:w="56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1.66</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0.37</w:t>
            </w:r>
          </w:p>
        </w:tc>
      </w:tr>
      <w:tr>
        <w:trPr>
          <w:trHeight w:val="27"/>
        </w:trPr>
        <w:tc>
          <w:tcPr>
            <w:tcW w:w="5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2.47</w:t>
            </w:r>
          </w:p>
        </w:tc>
        <w:tc>
          <w:tcPr>
            <w:tcW w:w="5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1.60</w:t>
            </w:r>
          </w:p>
        </w:tc>
        <w:tc>
          <w:tcPr>
            <w:tcW w:w="6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0.35</w:t>
            </w:r>
          </w:p>
        </w:tc>
      </w:tr>
      <w:tr>
        <w:trPr>
          <w:trHeight w:val="189"/>
        </w:trPr>
        <w:tc>
          <w:tcPr>
            <w:tcW w:w="5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5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(2)</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(3)</w:t>
            </w:r>
          </w:p>
        </w:tc>
        <w:tc>
          <w:tcPr>
            <w:tcW w:w="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507"/>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8"/>
                <w:szCs w:val="8"/>
                <w:b w:val="1"/>
                <w:bCs w:val="1"/>
                <w:color w:val="auto"/>
              </w:rPr>
              <w:t>(4)</w:t>
            </w: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income before tax</w:t>
            </w:r>
          </w:p>
        </w:tc>
        <w:tc>
          <w:tcPr>
            <w:tcW w:w="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227,618</w:t>
            </w:r>
          </w:p>
        </w:tc>
        <w:tc>
          <w:tcPr>
            <w:tcW w:w="5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142,195</w:t>
            </w:r>
          </w:p>
        </w:tc>
        <w:tc>
          <w:tcPr>
            <w:tcW w:w="60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Adjusted net income</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182,437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113,256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41,267</w:t>
            </w:r>
          </w:p>
        </w:tc>
      </w:tr>
      <w:tr>
        <w:trPr>
          <w:trHeight w:val="27"/>
        </w:trPr>
        <w:tc>
          <w:tcPr>
            <w:tcW w:w="5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diluted EPS</w:t>
            </w: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r>
      <w:tr>
        <w:trPr>
          <w:trHeight w:val="27"/>
        </w:trPr>
        <w:tc>
          <w:tcPr>
            <w:tcW w:w="5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Certain "Underwriting and operating expenses" have been reclassified as "Service expenses" in prior periods.</w:t>
      </w:r>
    </w:p>
    <w:p>
      <w:pPr>
        <w:ind w:left="340" w:hanging="332"/>
        <w:spacing w:after="0" w:line="187" w:lineRule="auto"/>
        <w:tabs>
          <w:tab w:leader="none" w:pos="34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Loss ratio is calculated by dividing the provision for insurance claims and claim expenses by net premiums earned.</w:t>
      </w:r>
    </w:p>
    <w:p>
      <w:pPr>
        <w:ind w:left="340" w:hanging="332"/>
        <w:spacing w:after="0" w:line="187" w:lineRule="auto"/>
        <w:tabs>
          <w:tab w:leader="none" w:pos="34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Expense ratio is calculated by dividing other underwriting and operating expenses by net premiums earned.</w:t>
      </w:r>
    </w:p>
    <w:p>
      <w:pPr>
        <w:ind w:left="340" w:hanging="332"/>
        <w:spacing w:after="0" w:line="182" w:lineRule="auto"/>
        <w:tabs>
          <w:tab w:leader="none" w:pos="34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See "</w:t>
      </w:r>
      <w:r>
        <w:rPr>
          <w:rFonts w:ascii="Arial" w:cs="Arial" w:eastAsia="Arial" w:hAnsi="Arial"/>
          <w:sz w:val="16"/>
          <w:szCs w:val="16"/>
          <w:i w:val="1"/>
          <w:iCs w:val="1"/>
          <w:color w:val="auto"/>
        </w:rPr>
        <w:t>Explanation and Reconciliation of Our Use of Non-GAAP Financial Measures,</w:t>
      </w:r>
      <w:r>
        <w:rPr>
          <w:rFonts w:ascii="Arial" w:cs="Arial" w:eastAsia="Arial" w:hAnsi="Arial"/>
          <w:sz w:val="16"/>
          <w:szCs w:val="16"/>
          <w:color w:val="auto"/>
        </w:rPr>
        <w:t>" below.</w:t>
      </w:r>
    </w:p>
    <w:p>
      <w:pPr>
        <w:spacing w:after="0" w:line="140" w:lineRule="exact"/>
        <w:rPr>
          <w:rFonts w:ascii="Arial" w:cs="Arial" w:eastAsia="Arial" w:hAnsi="Arial"/>
          <w:sz w:val="22"/>
          <w:szCs w:val="22"/>
          <w:color w:val="auto"/>
          <w:vertAlign w:val="superscript"/>
        </w:rPr>
      </w:pPr>
    </w:p>
    <w:p>
      <w:pPr>
        <w:ind w:left="340"/>
        <w:spacing w:after="0"/>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premiums earned were $345.0 million, $251.2 million and $165.7 million for the years ended December 31, 2019, 2018 and 2017, respectively. Net premiums earned increased $93.8 million in 2019, primarily due to the growth of our IIF, a rise in monthly policy production and higher single premium policy cancellations, partially offset by incremental cessions under the QSR Transactions tied to the growth of our direct premium volume and the inception of the 2018 and 2019 ILN Transactions. Net premiums earned increased $85.5 million in 2018, primarily due to the growth of our IIF and increased monthly policy production, partially offset by a decrease in earnings from cancellations and increases in cessions under the QSR Transactions and inception of the 2017 and 2018 ILN Transactions.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investment income was $30.9 million, $23.5 million and $16.3 million for the years ended December 31, 2019, 2018 and 2017, respectively. The increase in each year was driven by an increase in the size of and improved book yield on our total investment portfolio.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53" w:right="239" w:bottom="1440" w:gutter="0" w:footer="0" w:header="0"/>
        </w:sectPr>
      </w:pPr>
    </w:p>
    <w:bookmarkStart w:id="63" w:name="page64"/>
    <w:bookmarkEnd w:id="63"/>
    <w:p>
      <w:pPr>
        <w:jc w:val="both"/>
        <w:ind w:firstLine="648"/>
        <w:spacing w:after="0" w:line="302" w:lineRule="auto"/>
        <w:rPr>
          <w:sz w:val="20"/>
          <w:szCs w:val="20"/>
          <w:color w:val="auto"/>
        </w:rPr>
      </w:pPr>
      <w:r>
        <w:rPr>
          <w:rFonts w:ascii="Arial" w:cs="Arial" w:eastAsia="Arial" w:hAnsi="Arial"/>
          <w:sz w:val="16"/>
          <w:szCs w:val="16"/>
          <w:color w:val="auto"/>
        </w:rPr>
        <w:t>Other revenues were $2.9 million, $0.2 million and $0.5 million for the years ended December 31, 2019, 2018 and 2017, respectively. Other revenues represent underwriting fee revenue from our subsidiary, NMIS, which provides outsourced loan review services to mortgage loan originators. The growth in other revenues for the year ended December 31, 2019 relates to an increase in NMIS' outsourced loan review volume. Amounts recognized in other revenues generally correspond with amounts incurred as service expenses for outsourced loan review activities in the same periods.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Insurance claims and claim expenses were $12.5 million, $5.5 million and $5.3 million for the years ended December 31, 2019, 2018 and 2017, respectively. Insurance claims and claim expenses increased $7.1 million for the year ended December 31, 2019, primarily due to an increase in new defaults tied to the growth in the number of policies in force and the aging of our earlier book years, and an increase in our average reserve per default from non-disaster zones, partially offset by cure activity on the beginning NOD population. Insurance claims and claim expenses increased $0.2 million in 2018, primarily due to an increase in our average reserve per default tied to the aging of our NOD population and composition of our default inventory between loans in disaster and non-disaster impacted areas, largely offset by a reduction in the total number of NODs and related release of prior year reserves on cured defaults.</w:t>
      </w:r>
    </w:p>
    <w:p>
      <w:pPr>
        <w:spacing w:after="0" w:line="2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Underwriting and operating expenses were $126.6 million, $117.0 million and $106.4 million for the years ended December 31, 2018 and 2017, respectively. The sequential increase in underwriting and operating expenses in 2018 and 2019 was driven by increases in certain employee compensation and technology costs to support the growth of our business, and an increase in variable expenses, such as premium taxes, tied to the growth in our NIW and IIF, partially offset by increased ceding commissions under the QSR Transactions. Costs incurred in connection with the ILN Transactions are included in underwriting and operating expenses and were $2.4 million, $2.7 million and $4.0 million in 2019, 2018 and 2017, respectively.</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Service expenses were $2.2 million, $0.3 million and $0.6 million for the years ended December 31, 2019, 2018 and 2017. Service expenses represent net third-party costs incurred by NMIS in connection with the services it provides. The growth in service expenses for the year ended December 31, 2019 relates to an increase in NMIS' outsourced loan review volume. Amounts incurred as service expenses generally correspond with amounts recognized in other revenues in the same periods.</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Interest expense was $12.1 million, $15.0 million and $13.5 million for the years ended December 31, 2019, 2018 and 2017, respectively. Interest expense in 2018 included $2.2 million of costs related to the extinguishment of the 2015 Term Loan and issuance of the 2018 Term Loan completed in May 2018. Interest expense in 2018 and 2019 benefited from a lower interest spread payable on borrowings under the 2018 Term Loan as compared to the 2015 Term Loan, partially offset by commitment fees recognized in interest expense for the 2018 Revolving Credit Facility. See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 - Notes to Consolidated Financial Statements - Note 5, Debt.</w:t>
      </w:r>
      <w:r>
        <w:rPr>
          <w:rFonts w:ascii="Arial" w:cs="Arial" w:eastAsia="Arial" w:hAnsi="Arial"/>
          <w:sz w:val="17"/>
          <w:szCs w:val="17"/>
          <w:color w:val="auto"/>
        </w:rPr>
        <w:t>"</w:t>
      </w:r>
    </w:p>
    <w:p>
      <w:pPr>
        <w:spacing w:after="0" w:line="1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Income tax expense was $44.7 million, $28.0 million and $30.7 million for the years ended December 31, 2019, 2018 and 2017. Income tax expense increased from 2018 to 2019 primarily due to the growth in our pre-tax income. As a U.S. taxpayer, we were subject to a U.S. federal corporate income tax rate of 21% in 2018 and 2019, and 35% for all prior years through 2017. Income tax expense for the year ended December 31, 2017 also reflects a $13.6 million one-time non-cash charge related to the re-measurement of net deferred tax assets in connection with the enactment of the TCJA. For further information regarding income taxes and their impact on our results of operations and financial position, see Item 8, "</w:t>
      </w:r>
      <w:r>
        <w:rPr>
          <w:rFonts w:ascii="Arial" w:cs="Arial" w:eastAsia="Arial" w:hAnsi="Arial"/>
          <w:sz w:val="17"/>
          <w:szCs w:val="17"/>
          <w:i w:val="1"/>
          <w:iCs w:val="1"/>
          <w:color w:val="auto"/>
        </w:rPr>
        <w:t>Financial Statements and Supplementary</w:t>
      </w:r>
      <w:r>
        <w:rPr>
          <w:rFonts w:ascii="Arial" w:cs="Arial" w:eastAsia="Arial" w:hAnsi="Arial"/>
          <w:sz w:val="17"/>
          <w:szCs w:val="17"/>
          <w:color w:val="auto"/>
        </w:rPr>
        <w:t xml:space="preserve"> </w:t>
      </w:r>
      <w:r>
        <w:rPr>
          <w:rFonts w:ascii="Arial" w:cs="Arial" w:eastAsia="Arial" w:hAnsi="Arial"/>
          <w:sz w:val="17"/>
          <w:szCs w:val="17"/>
          <w:i w:val="1"/>
          <w:iCs w:val="1"/>
          <w:color w:val="auto"/>
        </w:rPr>
        <w:t>Data - Notes to Consolidated Financial Statements - Note 11, Income Taxes.</w:t>
      </w:r>
      <w:r>
        <w:rPr>
          <w:rFonts w:ascii="Arial" w:cs="Arial" w:eastAsia="Arial" w:hAnsi="Arial"/>
          <w:sz w:val="17"/>
          <w:szCs w:val="17"/>
          <w:color w:val="auto"/>
        </w:rPr>
        <w: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income was $172.0 million, $107.9 million and $22.1 million for the years ended December 31, 2019, 2018 and 2017, respectively. Adjusted net income was $182.4 million, $113.3 million and $41.3 million, for the same periods, respectively. The sequential increases in net income and adjusted net income in 2018 and 2019 were driven by growth in total revenues, partially offset by increases in total expenses.</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Diluted earnings per share (EPS) was $2.47, $1.60 and $0.35 for the years ended December 31, 2019, 2018 and 2017, respectively. Adjusted diluted EPS was $2.62, $1.67 and $0.63 for the same periods, respectively. The sequential increases in diluted EPS and adjusted diluted EPS in 2018 and 2019 were driven by growth in net income and adjusted net income, respectively, partially offset by increases in weighted average diluted shares outstanding.</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57" w:right="239" w:bottom="1440" w:gutter="0" w:footer="0" w:header="0"/>
        </w:sectPr>
      </w:pPr>
    </w:p>
    <w:bookmarkStart w:id="64" w:name="page65"/>
    <w:bookmarkEnd w:id="64"/>
    <w:p>
      <w:pPr>
        <w:jc w:val="both"/>
        <w:ind w:firstLine="648"/>
        <w:spacing w:after="0" w:line="277" w:lineRule="auto"/>
        <w:rPr>
          <w:sz w:val="20"/>
          <w:szCs w:val="20"/>
          <w:color w:val="auto"/>
        </w:rPr>
      </w:pPr>
      <w:r>
        <w:rPr>
          <w:rFonts w:ascii="Arial" w:cs="Arial" w:eastAsia="Arial" w:hAnsi="Arial"/>
          <w:sz w:val="18"/>
          <w:szCs w:val="18"/>
          <w:color w:val="auto"/>
        </w:rPr>
        <w:t>The non-GAAP financial measures adjusted income before tax, adjusted net income and adjusted diluted EPS are presented to enhance the comparability of financial results between 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Financial Measure Reconciliations</w:t>
            </w:r>
          </w:p>
        </w:tc>
        <w:tc>
          <w:tcPr>
            <w:tcW w:w="3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22"/>
                <w:szCs w:val="22"/>
                <w:color w:val="auto"/>
              </w:rPr>
            </w:pPr>
          </w:p>
        </w:tc>
      </w:tr>
      <w:tr>
        <w:trPr>
          <w:trHeight w:val="270"/>
        </w:trPr>
        <w:tc>
          <w:tcPr>
            <w:tcW w:w="69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As reported</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216,653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52,792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44,696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30,742</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r>
      <w:tr>
        <w:trPr>
          <w:trHeight w:val="284"/>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realized investment gains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change in fair value warrant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Capital market transaction costs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4,816</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income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61,505</w:t>
            </w:r>
          </w:p>
        </w:tc>
      </w:tr>
      <w:tr>
        <w:trPr>
          <w:trHeight w:val="284"/>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tax expense adjustments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(13,554)</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41,267</w:t>
            </w:r>
          </w:p>
        </w:tc>
      </w:tr>
      <w:tr>
        <w:trPr>
          <w:trHeight w:val="284"/>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62,186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Adjusted diluted effect of non-vested shares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3,449</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weighted average diluted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65,635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Adjusted diluted EPS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0.63</w:t>
            </w:r>
          </w:p>
        </w:tc>
      </w:tr>
      <w:tr>
        <w:trPr>
          <w:trHeight w:val="351"/>
        </w:trPr>
        <w:tc>
          <w:tcPr>
            <w:tcW w:w="6980" w:type="dxa"/>
            <w:vAlign w:val="bottom"/>
          </w:tcPr>
          <w:p>
            <w:pPr>
              <w:spacing w:after="0"/>
              <w:rPr>
                <w:sz w:val="20"/>
                <w:szCs w:val="20"/>
                <w:color w:val="auto"/>
              </w:rPr>
            </w:pPr>
            <w:r>
              <w:rPr>
                <w:rFonts w:ascii="Arial" w:cs="Arial" w:eastAsia="Arial" w:hAnsi="Arial"/>
                <w:sz w:val="18"/>
                <w:szCs w:val="18"/>
                <w:b w:val="1"/>
                <w:bCs w:val="1"/>
                <w:color w:val="auto"/>
              </w:rPr>
              <w:t>Explanation and Reconciliation of Our Use of Non-GAAP Financial Measures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the use of the non-GAAP measures of adjusted income before tax, adjusted net income and adjusted diluted EPS enhance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Adjusted income before tax </w:t>
      </w:r>
      <w:r>
        <w:rPr>
          <w:rFonts w:ascii="Arial" w:cs="Arial" w:eastAsia="Arial" w:hAnsi="Arial"/>
          <w:sz w:val="18"/>
          <w:szCs w:val="18"/>
          <w:color w:val="auto"/>
        </w:rPr>
        <w:t>is defined as GAAP income before tax, excluding the pre-tax effects of the gain or loss related to the change in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warrant liability, periodic costs incurred in connection with capital markets transactions, net realized gains or losses from our investment portfolio, and discrete, non-recurring and non-operating items in the periods in which such items are incurred.</w:t>
      </w:r>
    </w:p>
    <w:p>
      <w:pPr>
        <w:spacing w:after="0" w:line="12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defined as GAAP net income, excluding the after-tax effects of the gain or loss related to the change in fair value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liability, periodic costs incurred in connection with capital markets transactions, net realized gains or losses from our investment portfolio, and discrete, non-recurring and non-operating items in the periods in which such items are incurred. Adjustments to components of pre-tax income are tax effected using the applicable federal statutory tax rate for the respective periods.</w:t>
      </w:r>
    </w:p>
    <w:p>
      <w:pPr>
        <w:spacing w:after="0" w:line="12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Adjusted diluted EPS </w:t>
      </w:r>
      <w:r>
        <w:rPr>
          <w:rFonts w:ascii="Arial" w:cs="Arial" w:eastAsia="Arial" w:hAnsi="Arial"/>
          <w:sz w:val="17"/>
          <w:szCs w:val="17"/>
          <w:color w:val="auto"/>
        </w:rPr>
        <w:t>is defined as adjusted net income divided by adjusted weighted average diluted shares outstanding. Adjusted weighted</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57" w:right="239" w:bottom="1440" w:gutter="0" w:footer="0" w:header="0"/>
        </w:sectPr>
      </w:pPr>
    </w:p>
    <w:bookmarkStart w:id="65" w:name="page66"/>
    <w:bookmarkEnd w:id="65"/>
    <w:p>
      <w:pPr>
        <w:jc w:val="both"/>
        <w:ind w:left="660" w:hanging="328"/>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Outstanding warrants at the end of each reporting period are revalued, and any change in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8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Capital markets transaction costs. </w:t>
      </w:r>
      <w:r>
        <w:rPr>
          <w:rFonts w:ascii="Arial" w:cs="Arial" w:eastAsia="Arial" w:hAnsi="Arial"/>
          <w:sz w:val="18"/>
          <w:szCs w:val="18"/>
          <w:color w:val="auto"/>
        </w:rPr>
        <w:t>Capital markets transaction costs result from activities that are undertaken to improve our debt profile or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Net realized investment gains and losses</w:t>
      </w:r>
      <w:r>
        <w:rPr>
          <w:rFonts w:ascii="Arial" w:cs="Arial" w:eastAsia="Arial" w:hAnsi="Arial"/>
          <w:sz w:val="18"/>
          <w:szCs w:val="18"/>
          <w:color w:val="auto"/>
        </w:rPr>
        <w:t>. The recognition of the net realized investment gains or losses can vary significantly across periods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is highly discretionary and is influenced by factors such as market opportunities, tax and capital profile, and overall market cycles that do not reflect our current period operating results.</w:t>
      </w:r>
    </w:p>
    <w:p>
      <w:pPr>
        <w:spacing w:after="0" w:line="7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Infrequent or unusual non-operating items</w:t>
      </w:r>
      <w:r>
        <w:rPr>
          <w:rFonts w:ascii="Arial" w:cs="Arial" w:eastAsia="Arial" w:hAnsi="Arial"/>
          <w:sz w:val="18"/>
          <w:szCs w:val="18"/>
          <w:color w:val="auto"/>
        </w:rPr>
        <w:t>. Items that are the result of unforeseen or uncommon events, which occur separately from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and are not expected to recur in the future. Identification and exclusion of these items provides clarity about the impact special or rare occurrences may have on our current financial performance.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non-recurring in nature, are not part of our primary operating activities and do not reflect our current period operating results.</w:t>
      </w:r>
    </w:p>
    <w:p>
      <w:pPr>
        <w:spacing w:after="0" w:line="306"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6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80" w:type="dxa"/>
            <w:vAlign w:val="bottom"/>
            <w:gridSpan w:val="4"/>
          </w:tcPr>
          <w:p>
            <w:pPr>
              <w:jc w:val="right"/>
              <w:ind w:right="137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investment portfolio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1,140,940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911,490</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41,089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25,294</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36,007</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Deferred policy acquisition costs, net</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59,972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46,840</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Software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24,765</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Prepaid reinsurance premiums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15,488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30,370</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17,277</w:t>
            </w:r>
          </w:p>
        </w:tc>
      </w:tr>
      <w:tr>
        <w:trPr>
          <w:trHeight w:val="297"/>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1,364,818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1,092,043</w:t>
            </w:r>
          </w:p>
        </w:tc>
      </w:tr>
      <w:tr>
        <w:trPr>
          <w:trHeight w:val="237"/>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145,764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146,757</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Unearned premiums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136,642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158,893</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31,141</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Reserve for insurance claims and claim expenses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23,752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12,811</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Reinsurance funds withheld</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27,114</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7,296</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liability,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2,740</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3,791</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434,398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390,543</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930,420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701,500</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1,364,818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2019, we had $1.2 billion in cash and investments, including $54.7 million held by NMIH. The increase in cash and investments from December 31, 2018 relates to cash generated from operations.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Premiums receivable was $46.1 million as of December 31, 2019, compared to $36.0 million as of December 31, 2018. The increase was primarily driven by the increase in our monthly premium policies in force, where premiums are generally paid one month in arrears.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57" w:right="239" w:bottom="1440" w:gutter="0" w:footer="0" w:header="0"/>
        </w:sectPr>
      </w:pPr>
    </w:p>
    <w:bookmarkStart w:id="66" w:name="page67"/>
    <w:bookmarkEnd w:id="66"/>
    <w:p>
      <w:pPr>
        <w:jc w:val="both"/>
        <w:ind w:firstLine="648"/>
        <w:spacing w:after="0" w:line="286" w:lineRule="auto"/>
        <w:rPr>
          <w:sz w:val="20"/>
          <w:szCs w:val="20"/>
          <w:color w:val="auto"/>
        </w:rPr>
      </w:pPr>
      <w:r>
        <w:rPr>
          <w:rFonts w:ascii="Arial" w:cs="Arial" w:eastAsia="Arial" w:hAnsi="Arial"/>
          <w:sz w:val="17"/>
          <w:szCs w:val="17"/>
          <w:color w:val="auto"/>
        </w:rPr>
        <w:t>Net deferred policy acquisition costs (DAC) were $60.0 million as of December 31, 2019, compared to $46.8 million as of December 31, 2018. The increase was primarily driven by growth in the number of policies written during the year ended December 31, 2019 and the deferral of certain costs associated with the origination of those policies, partially offset by the amortization of previously deferred acquisition costs.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Prepaid reinsurance premiums were $15.5 million as of December 31, 2019, compared to $30.4 million as of December 31, 2018. Prepaid reinsurance premiums, which represent the unearned premiums on single premium policies ceded under the 2016 QSR Transaction, decreased due to the termination of our engagement with one reinsurer under the 2016 QSR Transaction and the continued amortization of previously ceded unearned premiums.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Other assets increased from $17.3 million as of December 31, 2018 to $35.1 million as of December 31, 2019. Other assets as of December 31, 2019 includes $7.6 million of tax and loss bonds and $6.4 million of operating lease right-of-use (ROU) assets, which we recognized following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See Item 8, "</w:t>
      </w:r>
      <w:r>
        <w:rPr>
          <w:rFonts w:ascii="Arial" w:cs="Arial" w:eastAsia="Arial" w:hAnsi="Arial"/>
          <w:sz w:val="18"/>
          <w:szCs w:val="18"/>
          <w:i w:val="1"/>
          <w:iCs w:val="1"/>
          <w:color w:val="auto"/>
        </w:rPr>
        <w:t>Financial Statements and Supplementary Data - Notes to Consolidated Financial Statements - Note 11,</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and "</w:t>
      </w:r>
      <w:r>
        <w:rPr>
          <w:rFonts w:ascii="Arial" w:cs="Arial" w:eastAsia="Arial" w:hAnsi="Arial"/>
          <w:sz w:val="18"/>
          <w:szCs w:val="18"/>
          <w:i w:val="1"/>
          <w:iCs w:val="1"/>
          <w:color w:val="auto"/>
        </w:rPr>
        <w:t>Financial Statements and Supplementary Data - Notes to Consolidated Financial Statements - Note 14, Commitments and Contingencies.</w:t>
      </w:r>
      <w:r>
        <w:rPr>
          <w:rFonts w:ascii="Arial" w:cs="Arial" w:eastAsia="Arial" w:hAnsi="Arial"/>
          <w:sz w:val="18"/>
          <w:szCs w:val="18"/>
          <w:color w:val="auto"/>
        </w:rPr>
        <w:t>"</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Unearned premiums decreased from $158.9 million as of December 31, 2018 to $136.6 million as of December 31, 2019, primarily due to the amortization of existing unearned premiums through earnings in accordance with the expiration of risk on related single premium policies and the cancellation of other single premium policies, partially offset by single premium policy originations in 2019.</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Accounts payable and accrued expenses increased from $31.1 million as of December 31, 2018 to $39.9 million as of December 31, 2019, primarily due to unsettled payments from the purchase of certain securities and an increase in reinsurance premiums payable and payroll accruals.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Reserve for insurance claims and claim expenses increased from $12.8 million as of December 31, 2018 to $23.8 million as of December 31, 2019, primarily due to an increase in NODs tied to the growth in the number of policies in force and the aging of our earlier book years and an increase in our average reserve per default tied to the aging of our NOD population from non-disaster zones and composition of our default inventory between loans in disaster and non-disaster impacted areas, partially offset by the release of prior year reserves tied to NOD cures and ongoing analysis of recent loss development trends. See "</w:t>
      </w:r>
      <w:r>
        <w:rPr>
          <w:rFonts w:ascii="Arial" w:cs="Arial" w:eastAsia="Arial" w:hAnsi="Arial"/>
          <w:sz w:val="18"/>
          <w:szCs w:val="18"/>
          <w:i w:val="1"/>
          <w:iCs w:val="1"/>
          <w:color w:val="auto"/>
        </w:rPr>
        <w:t>Insurance Claims and Claim Expenses</w:t>
      </w:r>
      <w:r>
        <w:rPr>
          <w:rFonts w:ascii="Arial" w:cs="Arial" w:eastAsia="Arial" w:hAnsi="Arial"/>
          <w:sz w:val="18"/>
          <w:szCs w:val="18"/>
          <w:color w:val="auto"/>
        </w:rPr>
        <w:t>" above for further details.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Reinsurance funds withheld was $14.3 million as of December 31, 2019, representing the net of our ceded reinsurance premiums written, less our profit and ceding commission receivables related to the 2016 QSR Transaction. The decrease in reinsurance funds withheld of $12.8 million from December 31, 2018, relates to the termination of our engagement with one reinsurer under the 2016 QSR Transaction and the continued decline in ceded premiums written on single premium policies, due to the end of the reinsurance coverage period for new business under the 2016 QSR Transaction at December 31, 2017. See, Item 8, "</w:t>
      </w:r>
      <w:r>
        <w:rPr>
          <w:rFonts w:ascii="Arial" w:cs="Arial" w:eastAsia="Arial" w:hAnsi="Arial"/>
          <w:sz w:val="16"/>
          <w:szCs w:val="16"/>
          <w:i w:val="1"/>
          <w:iCs w:val="1"/>
          <w:color w:val="auto"/>
        </w:rPr>
        <w:t>Financial Statements and Supplementary Data - Notes to Consolidated Financial Statements - Note 6, Reinsurance</w:t>
      </w:r>
      <w:r>
        <w:rPr>
          <w:rFonts w:ascii="Arial" w:cs="Arial" w:eastAsia="Arial" w:hAnsi="Arial"/>
          <w:sz w:val="16"/>
          <w:szCs w:val="16"/>
          <w:color w:val="auto"/>
        </w:rPr>
        <w:t>."</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Warrant liability increased from $7.3 million at December 31, 2018 to $7.6 million at December 31, 2019, primarily due to an increase in our stock price, partially offset by the reclassification of a portion of the warrant liability to additional paid-in capital following the exercise of warrants during the year. For further information regarding the valuation of our warrant liability and its impact on our results of operations and financial position, see Item 8, "</w:t>
      </w:r>
      <w:r>
        <w:rPr>
          <w:rFonts w:ascii="Arial" w:cs="Arial" w:eastAsia="Arial" w:hAnsi="Arial"/>
          <w:sz w:val="17"/>
          <w:szCs w:val="17"/>
          <w:i w:val="1"/>
          <w:iCs w:val="1"/>
          <w:color w:val="auto"/>
        </w:rPr>
        <w:t>Financial Statements and Supplementary Data - Notes to Consolidated Financial Statements - Note 4, Fair Value of Financial Instruments.</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deferred tax liability increased from $2.7 million at December 31, 2018 to $56.4 million at December 31, 2019, primarily due to an increase in the claimed deductibility of our statutory contingency reserve and the change in unrealized gains recorded in other comprehensive income. Our ability to claim a contingency reserve deduction in prior periods was not required as we were able to reduce our taxable income with the utilization of our net operating loss carry forward. During the year ended December 31, 2018, we utilized the entire remaining balance of our non-limited net operating loss carry forward and began to claim a deduction on our statutory contingency reserve. For further information regarding income taxes and their impact on our results of operations and financial position, see Item 8, "</w:t>
      </w:r>
      <w:r>
        <w:rPr>
          <w:rFonts w:ascii="Arial" w:cs="Arial" w:eastAsia="Arial" w:hAnsi="Arial"/>
          <w:sz w:val="18"/>
          <w:szCs w:val="18"/>
          <w:i w:val="1"/>
          <w:iCs w:val="1"/>
          <w:color w:val="auto"/>
        </w:rPr>
        <w:t>Financial Statements and Supplementary Data - Notes to Consolidated Financial Statements - Note 11,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Other liabilities as of December 31, 2019 include $7.4 million of operating lease liabilities, which we recognized following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See Item 8, "</w:t>
      </w:r>
      <w:r>
        <w:rPr>
          <w:rFonts w:ascii="Arial" w:cs="Arial" w:eastAsia="Arial" w:hAnsi="Arial"/>
          <w:sz w:val="18"/>
          <w:szCs w:val="18"/>
          <w:i w:val="1"/>
          <w:iCs w:val="1"/>
          <w:color w:val="auto"/>
        </w:rPr>
        <w:t>Financial Statements and Supplementary Data - Notes to Consolidated Financial Statements - Note 14,</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38"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71"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98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292"/>
              <w:spacing w:after="0"/>
              <w:rPr>
                <w:sz w:val="20"/>
                <w:szCs w:val="20"/>
                <w:color w:val="auto"/>
              </w:rPr>
            </w:pPr>
            <w:r>
              <w:rPr>
                <w:rFonts w:ascii="Arial" w:cs="Arial" w:eastAsia="Arial" w:hAnsi="Arial"/>
                <w:sz w:val="14"/>
                <w:szCs w:val="14"/>
                <w:b w:val="1"/>
                <w:bCs w:val="1"/>
                <w:color w:val="auto"/>
                <w:w w:val="92"/>
              </w:rPr>
              <w:t>For the years ended December 31,</w:t>
            </w:r>
          </w:p>
        </w:tc>
        <w:tc>
          <w:tcPr>
            <w:tcW w:w="1360" w:type="dxa"/>
            <w:vAlign w:val="bottom"/>
            <w:tcBorders>
              <w:bottom w:val="single" w:sz="8" w:color="auto"/>
            </w:tcBorders>
          </w:tcPr>
          <w:p>
            <w:pPr>
              <w:spacing w:after="0"/>
              <w:rPr>
                <w:sz w:val="16"/>
                <w:szCs w:val="16"/>
                <w:color w:val="auto"/>
              </w:rPr>
            </w:pPr>
          </w:p>
        </w:tc>
      </w:tr>
      <w:tr>
        <w:trPr>
          <w:trHeight w:val="263"/>
        </w:trPr>
        <w:tc>
          <w:tcPr>
            <w:tcW w:w="49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r>
      <w:tr>
        <w:trPr>
          <w:trHeight w:val="251"/>
        </w:trPr>
        <w:tc>
          <w:tcPr>
            <w:tcW w:w="498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3"/>
              </w:rPr>
              <w:t>(In Thousands)</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060" w:type="dxa"/>
            <w:vAlign w:val="bottom"/>
            <w:tcBorders>
              <w:bottom w:val="single" w:sz="8" w:color="CCEEFF"/>
            </w:tcBorders>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208,150</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145,861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67,763</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3"/>
              </w:rPr>
              <w:t>(194,355)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(220,650)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(93,072)</w:t>
            </w:r>
          </w:p>
        </w:tc>
      </w:tr>
      <w:tr>
        <w:trPr>
          <w:trHeight w:val="27"/>
        </w:trPr>
        <w:tc>
          <w:tcPr>
            <w:tcW w:w="4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80,887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(3,241)</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Borders>
              <w:top w:val="single" w:sz="8" w:color="auto"/>
              <w:bottom w:val="single" w:sz="8" w:color="auto"/>
            </w:tcBorders>
          </w:tcPr>
          <w:p>
            <w:pPr>
              <w:jc w:val="right"/>
              <w:ind w:right="858"/>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(28,550)</w:t>
            </w:r>
          </w:p>
        </w:tc>
      </w:tr>
      <w:tr>
        <w:trPr>
          <w:trHeight w:val="20"/>
        </w:trPr>
        <w:tc>
          <w:tcPr>
            <w:tcW w:w="4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$208.2 million for the year ended December 31, 2019, compared to $145.9 million for the year ended December 31, 2018 and $67.8 million for the year ended December 31, 2017. The increases in cash generated from operating activities in both periods were primarily driven by growth in premiums written and investment income, partially offset by increased operating expenses and growth in claims paid tied to the growth and aging of our insured portfolio. The increase in cash generated from operating activities for the year ended December 31, 2019 was further offset by the purchase of tax and loss bonds.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investing activities for the periods presented reflects the purchase of fixed and short-term maturities with cash provided by operating and financing activities, and the reinvestment of coupon payments, maturities and sale proceeds within our investment portfolio. Cash used in investing activities for the year ended December 31, 2018 further reflects the investment of net cash proceeds raised in a common stock offering we completed in March 2018.</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Cash provided by financing activities was $2.0 million and $80.9 million for the years ended December 31, 2019 and December 31, 2018, respectively. Cash provided by financing activities for the year ended December 31, 2019 primarily relates to proceeds from the issuance of common stock generated in connection with the exercise of employee stock options. Cash provided by financing activities for the year ended December 31, 2018 reflects $79.2 million of net cash proceeds raised in a common stock offering we completed in March 2018. Cash used in financing activities was $3.2 million for the year ended December 31, 2017 and primarily relates to taxes paid on the net share settlement of equity awards for certain employees.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payment of principal and interest related to the 2018 Term Loan and 2018 Revolving Credit Facility; (iv) tax payments to the Internal Revenue Service;</w:t>
      </w:r>
    </w:p>
    <w:p>
      <w:pPr>
        <w:spacing w:after="0" w:line="32" w:lineRule="exact"/>
        <w:rPr>
          <w:rFonts w:ascii="Arial" w:cs="Arial" w:eastAsia="Arial" w:hAnsi="Arial"/>
          <w:sz w:val="16"/>
          <w:szCs w:val="16"/>
          <w:color w:val="auto"/>
        </w:rPr>
      </w:pPr>
    </w:p>
    <w:p>
      <w:pPr>
        <w:jc w:val="both"/>
        <w:ind w:right="20" w:firstLine="8"/>
        <w:spacing w:after="0" w:line="255" w:lineRule="auto"/>
        <w:tabs>
          <w:tab w:leader="none" w:pos="2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3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NMIH had $54.7 million of cash and investments. NMIH's principal source of net cash is investment income. NMIH also has access to $85 million of undrawn revolving credit capacity under the 2018 Revolving Credit Facility and $16.1 million of aggregate ordinary course dividend capacity from NMIC and Re One.</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With the Wisconsin OCI's approval, NMIH began allocating the interest expense on the 2015 Term Loan to NMIC in the first quarter of 2017, consistent with the benefits NMIC received when NMIH contributed the loan proceeds to NMIC. NMIH received similar approval from the Wisconsin OCI to allocate interest expense to NMIC on the 2018 Term Loan and 2018 Revolving Credit Facility. Such approvals may be changed or revoked at any time.</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6"/>
          <w:szCs w:val="16"/>
          <w:i w:val="1"/>
          <w:iCs w:val="1"/>
          <w:color w:val="auto"/>
        </w:rPr>
        <w:t>i.e.</w:t>
      </w:r>
      <w:r>
        <w:rPr>
          <w:rFonts w:ascii="Arial" w:cs="Arial" w:eastAsia="Arial" w:hAnsi="Arial"/>
          <w:sz w:val="16"/>
          <w:szCs w:val="16"/>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NMIC and Re One have never paid dividends to NMIH. NMIC and Re One have the capacity to pay aggregate ordinary dividends of $16.1 million to NMIH during the 12-month period ending December 31, 2020.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57" w:right="239" w:bottom="1440" w:gutter="0" w:footer="0" w:header="0"/>
        </w:sectPr>
      </w:pPr>
    </w:p>
    <w:bookmarkStart w:id="68" w:name="page69"/>
    <w:bookmarkEnd w:id="68"/>
    <w:p>
      <w:pPr>
        <w:jc w:val="both"/>
        <w:ind w:firstLine="648"/>
        <w:spacing w:after="0" w:line="264"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that fail to meet the PMIERs financial requirements are not permitted to pay dividends without prior approval from the GSEs.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8"/>
          <w:szCs w:val="18"/>
          <w:i w:val="1"/>
          <w:iCs w:val="1"/>
          <w:color w:val="auto"/>
        </w:rPr>
        <w:t>minimum required asset</w:t>
      </w:r>
      <w:r>
        <w:rPr>
          <w:rFonts w:ascii="Arial" w:cs="Arial" w:eastAsia="Arial" w:hAnsi="Arial"/>
          <w:sz w:val="18"/>
          <w:szCs w:val="18"/>
          <w:color w:val="auto"/>
        </w:rPr>
        <w:t xml:space="preserve"> thresholds under the PMIERs and minimum state capital requirements. NMIH may require liquidity to fund the capital needs of its insurance subsidiaries.</w:t>
      </w:r>
    </w:p>
    <w:p>
      <w:pPr>
        <w:spacing w:after="0" w:line="1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2018, NMIH entered into the 2018 Credit Agreement covering the 2018 Term Loan and 2018 Revolving Credit Facility. The 2018 Term Loan bears interest at the Eurodollar Rate, as defined in the 2018 Credit Agreement and subject to a 1.00% floor, plus an annual margin rate of 4.75%, payable monthly based on our current interest period election. Borrowings under the 2018 Revolving Credit Facility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The 2018 Revolving Credit Facility also requires a quarterly commitment fee on the average daily undrawn amount ranging from 0.30% to 0.60%, based on the applicable corporate credit rating at the time.</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certain covenants under the 2018 Term Loan and 2018 Revolving Credit Facility. Under the 2018 Term Loan (and as defined in the 2018 Credit Agreement), we are subject a maximum debt-to-total capitalization ratio of 35%. Under the 2018 Revolving Credit Facility (and as defined in the 2018 Credit Agreement), we are subject to a maximum debt-to-total capitalization ratio of 35%, a minimum liquidity requirement, compliance with the PMIERs financial requirements (subject to any GSE-approved waivers), and minimum consolidated net worth and statutory capital requirements. We were in compliance with all covenants as of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portfolio is entirely comprised of fixed maturity investments. As of December 31, 2019, the fair value of our investment portfolio was $1.1 billion. We also had an additional $41.1 million of cash and equivalents as of December 31, 2019. Pre-tax book yield on the investment portfolio for the year ended December 31, 2019 was 3.0%. The book yield is calculated as period-to-date net investment income divided by average amortized cost of the investment portfolio. Yield on the investment portfolio is likely to change over time based on movements in interest rates, credit spreads,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248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4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4240" w:type="dxa"/>
            <w:vAlign w:val="bottom"/>
            <w:gridSpan w:val="2"/>
          </w:tcPr>
          <w:p>
            <w:pPr>
              <w:jc w:val="right"/>
              <w:ind w:right="9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42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4240" w:type="dxa"/>
            <w:vAlign w:val="bottom"/>
            <w:gridSpan w:val="2"/>
          </w:tcPr>
          <w:p>
            <w:pPr>
              <w:jc w:val="right"/>
              <w:ind w:right="9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U.S. treasury securities and obligations of U.S. government agencies</w:t>
            </w:r>
          </w:p>
        </w:tc>
        <w:tc>
          <w:tcPr>
            <w:tcW w:w="24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1890"/>
              <w:spacing w:after="0"/>
              <w:rPr>
                <w:sz w:val="20"/>
                <w:szCs w:val="20"/>
                <w:color w:val="auto"/>
              </w:rPr>
            </w:pPr>
            <w:r>
              <w:rPr>
                <w:rFonts w:ascii="Arial" w:cs="Arial" w:eastAsia="Arial" w:hAnsi="Arial"/>
                <w:sz w:val="18"/>
                <w:szCs w:val="18"/>
                <w:color w:val="auto"/>
              </w:rPr>
              <w:t>69</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4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8"/>
                <w:szCs w:val="8"/>
                <w:b w:val="1"/>
                <w:bCs w:val="1"/>
                <w:color w:val="auto"/>
              </w:rPr>
              <w:t>(1)</w:t>
            </w:r>
          </w:p>
        </w:tc>
        <w:tc>
          <w:tcPr>
            <w:tcW w:w="190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 2019</w:t>
            </w:r>
          </w:p>
        </w:tc>
        <w:tc>
          <w:tcPr>
            <w:tcW w:w="178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74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(2)</w:t>
            </w: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0"/>
        </w:trPr>
        <w:tc>
          <w:tcPr>
            <w:tcW w:w="774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(2)</w:t>
            </w:r>
          </w:p>
        </w:tc>
        <w:tc>
          <w:tcPr>
            <w:tcW w:w="1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r>
      <w:tr>
        <w:trPr>
          <w:trHeight w:val="270"/>
        </w:trPr>
        <w:tc>
          <w:tcPr>
            <w:tcW w:w="7740" w:type="dxa"/>
            <w:vAlign w:val="bottom"/>
          </w:tcPr>
          <w:p>
            <w:pPr>
              <w:ind w:left="40"/>
              <w:spacing w:after="0" w:line="270" w:lineRule="exact"/>
              <w:rPr>
                <w:sz w:val="20"/>
                <w:szCs w:val="20"/>
                <w:color w:val="auto"/>
              </w:rPr>
            </w:pPr>
            <w:r>
              <w:rPr>
                <w:rFonts w:ascii="Arial" w:cs="Arial" w:eastAsia="Arial" w:hAnsi="Arial"/>
                <w:sz w:val="18"/>
                <w:szCs w:val="18"/>
                <w:color w:val="auto"/>
              </w:rPr>
              <w:t>BBB</w:t>
            </w:r>
            <w:r>
              <w:rPr>
                <w:rFonts w:ascii="Arial" w:cs="Arial" w:eastAsia="Arial" w:hAnsi="Arial"/>
                <w:sz w:val="25"/>
                <w:szCs w:val="25"/>
                <w:color w:val="auto"/>
                <w:vertAlign w:val="superscript"/>
              </w:rPr>
              <w:t>(2)</w:t>
            </w: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780" w:type="dxa"/>
            <w:vAlign w:val="bottom"/>
          </w:tcPr>
          <w:p>
            <w:pPr>
              <w:jc w:val="right"/>
              <w:ind w:right="93"/>
              <w:spacing w:after="0"/>
              <w:rPr>
                <w:sz w:val="20"/>
                <w:szCs w:val="20"/>
                <w:color w:val="auto"/>
              </w:rPr>
            </w:pPr>
            <w:r>
              <w:rPr>
                <w:rFonts w:ascii="Arial" w:cs="Arial" w:eastAsia="Arial" w:hAnsi="Arial"/>
                <w:sz w:val="18"/>
                <w:szCs w:val="18"/>
                <w:color w:val="auto"/>
              </w:rPr>
              <w:t>18</w:t>
            </w:r>
          </w:p>
        </w:tc>
      </w:tr>
      <w:tr>
        <w:trPr>
          <w:trHeight w:val="270"/>
        </w:trPr>
        <w:tc>
          <w:tcPr>
            <w:tcW w:w="774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BB</w:t>
            </w:r>
            <w:r>
              <w:rPr>
                <w:rFonts w:ascii="Arial" w:cs="Arial" w:eastAsia="Arial" w:hAnsi="Arial"/>
                <w:sz w:val="12"/>
                <w:szCs w:val="12"/>
                <w:color w:val="auto"/>
              </w:rPr>
              <w:t xml:space="preserve"> (3)</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340" w:hanging="332"/>
        <w:spacing w:after="0" w:line="234" w:lineRule="auto"/>
        <w:tabs>
          <w:tab w:leader="none" w:pos="34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Excluding certain operating cash accounts.</w:t>
      </w:r>
    </w:p>
    <w:p>
      <w:pPr>
        <w:ind w:left="340" w:hanging="332"/>
        <w:spacing w:after="0" w:line="187" w:lineRule="auto"/>
        <w:tabs>
          <w:tab w:leader="none" w:pos="34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Includes +/– ratings.</w:t>
      </w:r>
    </w:p>
    <w:p>
      <w:pPr>
        <w:ind w:left="340" w:hanging="332"/>
        <w:spacing w:after="0" w:line="182" w:lineRule="auto"/>
        <w:tabs>
          <w:tab w:leader="none" w:pos="34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We held one security with a BB rating at December 31, 2018, which is not identifiable in the table due to rounding.</w:t>
      </w:r>
    </w:p>
    <w:p>
      <w:pPr>
        <w:spacing w:after="0" w:line="1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are rated by one or more nationally recognized statistical rating organizations. If two or more ratings are available, we assign the middle rating for classification purposes, otherwise we assign the lowest rating.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2018 and 2017, we held no other-than-temporarily impaired securities. For the years ended December 31, 2019 and 2017, we recognized $0.4 million and $0.1 million of OTTI losses in earnings, respectively. For the year ended December 31, 2018 we did not recognize any OTTI losses. There were no credit losses recognized in earnings for which a portion of an OTTI loss was recognized in accumulated other comprehensive income (AOCI) (loss) for any period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 U.S. taxpayer and are subject to a statutory U.S. federal corporate income tax rate of 21%. Our holding company files a consolidated U.S. federal and various state income tax returns on behalf of itself and its subsidiaries. Prior to the enactment of the TCJA on December 22, 2017, we were subject to a statutory U.S. federal corporate income tax rate of 35% for all prior years through December 31, 2017.</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effective income tax rate on pre-tax income was 20.6% for each of the years ended December 31, 2019 and 2018, and 58.2% for the year ended December 31, 2017. The differences between our statutory tax rates and our effective tax rates for the years ended December 31, 2019 and 2018 were primarily due to tax benefits from excess share-based compensation for vested restricted stock units (RSUs) and exercised stock options. The difference between our statutory tax rate and our effective tax rate for the year ended December 31, 2017 was primarily due to a tax expense of $13.6 million associated with the enactment of the TCJA, partially offset by a tax benefit from excess share-based compensation for vested RSUs and exercised stock options.</w:t>
      </w:r>
    </w:p>
    <w:p>
      <w:pPr>
        <w:spacing w:after="0" w:line="1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December 31, 2019, we had federal net operating loss carryforwards of $2.3 million, which expire in varying amounts in 2030 and 2031, and state net operating loss carryforwards of $126.8 million, which expire in varying amounts from 2031 to 2039. Our ability to utilize our remaining federal net operating loss carryforwards is restricted by Section 382 of the Internal Revenue Code (IRC), which imposes annual limitations if there is an "ownership change." As a result of the acquisition of our insurance subsidiaries in 2012, $7.3 million of federal NOLs were subject to annual limitations of $0.8 million through 2016, and $0.3 million thereafter. Our federal net operating loss carryforwards balance is a result of this limitation.</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Section 832(e) of the IRC, and only to the extent we acquire tax and loss bonds in an amount equal to the tax benefit derived from the claimed deduction. As of December 31, 2019, we held $7.6 million of tax and loss bonds, which are reported as prepaid federal income tax and grouped in "Other assets" in our condensed consolidated balance sheet.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a valuation allowance against the state net operating losses generated by NMIH as NMIH operates at a loss, and we do not expect to utilize such net deferred tax assets in the future. We continue to evaluate the realizability of our state net deferred tax asset position, and our examination of results through December 31, 2019 and review of future expectations support the continued application of a valuation allowance against such state net deferred tax assets.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7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no material off-balance sheet arrangements as of December 31, 2019. In connection with the ILN Transactions, we have certain future contractual commitments to the Oaktown Re Vehicles (special purpose variable interest entities (VIEs) that are not consolidated in our financial results). See Item 8, "</w:t>
      </w:r>
      <w:r>
        <w:rPr>
          <w:rFonts w:ascii="Arial" w:cs="Arial" w:eastAsia="Arial" w:hAnsi="Arial"/>
          <w:sz w:val="18"/>
          <w:szCs w:val="18"/>
          <w:i w:val="1"/>
          <w:iCs w:val="1"/>
          <w:color w:val="auto"/>
        </w:rPr>
        <w:t>Financial Statements and Supplementary Data - Notes to Consolidated Financial Statements - Note 2, Summary of Accounting Principles -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December 31, 2019 are summarized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Less than 1 year</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1-3 years</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3-5 years</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11,485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22,384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147,181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9"/>
              </w:rPr>
              <w:t>Other long-term liabilities reflected on the registrant's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balance sheet under GAAP</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20,331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28,449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147,643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right="2620" w:firstLine="8"/>
        <w:spacing w:after="0" w:line="269" w:lineRule="auto"/>
        <w:tabs>
          <w:tab w:leader="none" w:pos="127" w:val="left"/>
        </w:tabs>
        <w:numPr>
          <w:ilvl w:val="0"/>
          <w:numId w:val="35"/>
        </w:numPr>
        <w:rPr>
          <w:rFonts w:ascii="Arial" w:cs="Arial" w:eastAsia="Arial" w:hAnsi="Arial"/>
          <w:sz w:val="8"/>
          <w:szCs w:val="8"/>
          <w:color w:val="auto"/>
        </w:rPr>
      </w:pPr>
      <w:r>
        <w:rPr>
          <w:rFonts w:ascii="Arial" w:cs="Arial" w:eastAsia="Arial" w:hAnsi="Arial"/>
          <w:sz w:val="13"/>
          <w:szCs w:val="13"/>
          <w:color w:val="auto"/>
        </w:rPr>
        <w:t>Long-term debt relates to our 2018 Credit Agreement and includes future interest payments on the 2018 Term Loan using the minimum interest rate in effect at December 31, 2019 and future undrawn commitment fees on the 2018 Revolving Credit Facility at the rate in effect at December 31, 2019.</w:t>
      </w:r>
    </w:p>
    <w:p>
      <w:pPr>
        <w:spacing w:after="0" w:line="1" w:lineRule="exact"/>
        <w:rPr>
          <w:rFonts w:ascii="Arial" w:cs="Arial" w:eastAsia="Arial" w:hAnsi="Arial"/>
          <w:sz w:val="8"/>
          <w:szCs w:val="8"/>
          <w:color w:val="auto"/>
        </w:rPr>
      </w:pPr>
    </w:p>
    <w:p>
      <w:pPr>
        <w:ind w:left="140" w:hanging="132"/>
        <w:spacing w:after="0"/>
        <w:tabs>
          <w:tab w:leader="none" w:pos="140" w:val="left"/>
        </w:tabs>
        <w:numPr>
          <w:ilvl w:val="0"/>
          <w:numId w:val="35"/>
        </w:numPr>
        <w:rPr>
          <w:rFonts w:ascii="Arial" w:cs="Arial" w:eastAsia="Arial" w:hAnsi="Arial"/>
          <w:sz w:val="9"/>
          <w:szCs w:val="9"/>
          <w:color w:val="auto"/>
        </w:rPr>
      </w:pPr>
      <w:r>
        <w:rPr>
          <w:rFonts w:ascii="Arial" w:cs="Arial" w:eastAsia="Arial" w:hAnsi="Arial"/>
          <w:sz w:val="14"/>
          <w:szCs w:val="14"/>
          <w:color w:val="auto"/>
        </w:rPr>
        <w:t>Amounts represent undiscounted lease payments.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conformity with GAAP. In preparing our consolidated financial statements, management has made estimates and assumptions, and applied judgments that affect the reported amounts of assets and liabilities at the date of the financial statements and the reported amounts of revenues and expenses during the reporting periods. As a result, actual results could differ materially from those estimates. A summary of the accounting policies that management believes are critical to the preparation of our consolidated financial statements is set forth below.</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as coverage is effective. Annual premiums are initially deferred and earned on a straight-line basis over the year of coverage. Upon cancellation of a policy, all remaining non-refundable deferred and unearned premium is immediately earned, and any refundable deferred premium is returned to the policyholder and recorded as a reduction to written premium and the unearned premium reserve in the period paid.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written on pool transactions are earned over the period that coverage is provided.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 for Claims and Claim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establish reserves for claims based on our best estimate of ultimate claim costs for defaulted loans using the general principles contained in ASC 944,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(ASC 944). We establish case reserves when we are notified that a loan has been in default for at least 60 days (</w:t>
      </w:r>
      <w:r>
        <w:rPr>
          <w:rFonts w:ascii="Arial" w:cs="Arial" w:eastAsia="Arial" w:hAnsi="Arial"/>
          <w:sz w:val="18"/>
          <w:szCs w:val="18"/>
          <w:i w:val="1"/>
          <w:iCs w:val="1"/>
          <w:color w:val="auto"/>
        </w:rPr>
        <w:t>i.e</w:t>
      </w:r>
      <w:r>
        <w:rPr>
          <w:rFonts w:ascii="Arial" w:cs="Arial" w:eastAsia="Arial" w:hAnsi="Arial"/>
          <w:sz w:val="18"/>
          <w:szCs w:val="18"/>
          <w:color w:val="auto"/>
        </w:rPr>
        <w:t>., a default) and IBNR reserves based on an estimate of defaults which have been incurred but have not yet been reported to us by loan servicers. We also establish reserves for claim expenses, which represent the estimated cost of the claim administration process, including legal, other third-party fees and other general expenses of administering the claim settlement process. Claim expense reserves are either allocated (</w:t>
      </w:r>
      <w:r>
        <w:rPr>
          <w:rFonts w:ascii="Arial" w:cs="Arial" w:eastAsia="Arial" w:hAnsi="Arial"/>
          <w:sz w:val="18"/>
          <w:szCs w:val="18"/>
          <w:i w:val="1"/>
          <w:iCs w:val="1"/>
          <w:color w:val="auto"/>
        </w:rPr>
        <w:t>i.e.</w:t>
      </w:r>
      <w:r>
        <w:rPr>
          <w:rFonts w:ascii="Arial" w:cs="Arial" w:eastAsia="Arial" w:hAnsi="Arial"/>
          <w:sz w:val="18"/>
          <w:szCs w:val="18"/>
          <w:color w:val="auto"/>
        </w:rPr>
        <w:t>, associated with a specific claim) or unallocated (</w:t>
      </w:r>
      <w:r>
        <w:rPr>
          <w:rFonts w:ascii="Arial" w:cs="Arial" w:eastAsia="Arial" w:hAnsi="Arial"/>
          <w:sz w:val="18"/>
          <w:szCs w:val="18"/>
          <w:i w:val="1"/>
          <w:iCs w:val="1"/>
          <w:color w:val="auto"/>
        </w:rPr>
        <w:t>i.e.</w:t>
      </w:r>
      <w:r>
        <w:rPr>
          <w:rFonts w:ascii="Arial" w:cs="Arial" w:eastAsia="Arial" w:hAnsi="Arial"/>
          <w:sz w:val="18"/>
          <w:szCs w:val="18"/>
          <w:color w:val="auto"/>
        </w:rPr>
        <w:t>, not associated with a specific claim).</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the claim payment expected to be paid on each such loan in default, which is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53" w:right="239" w:bottom="1440" w:gutter="0" w:footer="0" w:header="0"/>
        </w:sectPr>
      </w:pPr>
    </w:p>
    <w:bookmarkStart w:id="71" w:name="page72"/>
    <w:bookmarkEnd w:id="71"/>
    <w:p>
      <w:pPr>
        <w:jc w:val="both"/>
        <w:spacing w:after="0" w:line="312" w:lineRule="auto"/>
        <w:rPr>
          <w:sz w:val="20"/>
          <w:szCs w:val="20"/>
          <w:color w:val="auto"/>
        </w:rPr>
      </w:pPr>
      <w:r>
        <w:rPr>
          <w:rFonts w:ascii="Arial" w:cs="Arial" w:eastAsia="Arial" w:hAnsi="Arial"/>
          <w:sz w:val="16"/>
          <w:szCs w:val="16"/>
          <w:color w:val="auto"/>
        </w:rPr>
        <w:t>referred to as claim severity. Claim frequency and severity estimates are established based on historical observed experience regarding certain loan factors, such as age of the default, size of the loan and LTV ratios, and are strongly influenced by prevailing economic conditions, such as mortgage rates, trends in unemployment and house price appreciation. We conduct an annual actuarial review to evaluate, and, if necessary, update these assumptions.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designated our investment portfolio as available-for-sale and report it at fair value. The related unrealized gains and losses, after considering the related tax expense or benefit, are recognized as a component of AOCI (loss) in shareholders' equity. Net realized investment gains and losses are reported in income based on specific identification of securities sold or other than temporarily impaired, and are reclassified out of AOCI (loss).</w:t>
      </w:r>
    </w:p>
    <w:p>
      <w:pPr>
        <w:spacing w:after="0" w:line="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 - Notes to Consolidated Financial Statements - Note 4, Fair Value of Financial Instruments</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evaluate our investments each quarter to determine whether declines in fair value below amortized cost are considered other-than-temporary in accordance with applicable guidance. Under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26" w:lineRule="exact"/>
        <w:rPr>
          <w:sz w:val="20"/>
          <w:szCs w:val="20"/>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severity and duration of the decline in fair value;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on this evaluation, we record OTTI adjustments on securities with declines in fair value below their amortized cost, if it is more likely than not that we will sell the securities prior to recovery of their amortized cost or if the present value of the discounted cash flows we expect to collect on the securities through recovery under a "most likely" scenario is less than their amortized cost. If our intent is to sell securities and their fair value is below amortized cost, the securities are classified as other-than-temporarily impaired and the full amount of the impairment is recognized as a loss in earnings. Otherwise, losses on other-than-temporarily impaired securities are bifurcated between credit-related losses and losses related to other factors (</w:t>
      </w:r>
      <w:r>
        <w:rPr>
          <w:rFonts w:ascii="Arial" w:cs="Arial" w:eastAsia="Arial" w:hAnsi="Arial"/>
          <w:sz w:val="16"/>
          <w:szCs w:val="16"/>
          <w:i w:val="1"/>
          <w:iCs w:val="1"/>
          <w:color w:val="auto"/>
        </w:rPr>
        <w:t>e.g.</w:t>
      </w:r>
      <w:r>
        <w:rPr>
          <w:rFonts w:ascii="Arial" w:cs="Arial" w:eastAsia="Arial" w:hAnsi="Arial"/>
          <w:sz w:val="16"/>
          <w:szCs w:val="16"/>
          <w:color w:val="auto"/>
        </w:rPr>
        <w:t>, interest rate fluctuations), with credit-related losses recognized in earnings and losses related to other factors recognized in AOCI (loss), net of taxes.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directly associated with the successful acquisition of mortgage insurance policies, consisting of certain selling expenses and other policy issuance and underwriting expenses, are initially deferred and reported as DAC. DAC is subsequently amortized to expense in proportion to estimated gross profits over the estimated life of the associated policies and is reviewed periodically to determine that the aggregate balance does not exceed recoverable amounts.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 Deficiency Reserves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consider whether a premium deficiency exists and premium deficiency reserve is required each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The premium deficiency assessment requires the use of significant judgment and estimates to determine the present value of future premiums, and expected claim costs and expenses. The present value of future premiums relies on, among other things, assumptions about persistency and repayment patterns on the underlying insured loans. The present value of expected claim costs and expenses relies on assumptions about the severity of claims, claim rates on current defaults and expected defaults in future periods. Assumptions used in the premium deficiency calculation can be affected by changes in the macroeconomic environment, including the rate of house price appreciation and prevailing interest rates. Relatively small changes in estimated claim rates or estimated claim amounts could have a significant impact on our premium</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57" w:right="239" w:bottom="1440" w:gutter="0" w:footer="0" w:header="0"/>
        </w:sectPr>
      </w:pPr>
    </w:p>
    <w:bookmarkStart w:id="72" w:name="page73"/>
    <w:bookmarkEnd w:id="72"/>
    <w:p>
      <w:pPr>
        <w:jc w:val="both"/>
        <w:spacing w:after="0" w:line="264" w:lineRule="auto"/>
        <w:rPr>
          <w:sz w:val="20"/>
          <w:szCs w:val="20"/>
          <w:color w:val="auto"/>
        </w:rPr>
      </w:pPr>
      <w:r>
        <w:rPr>
          <w:rFonts w:ascii="Arial" w:cs="Arial" w:eastAsia="Arial" w:hAnsi="Arial"/>
          <w:sz w:val="18"/>
          <w:szCs w:val="18"/>
          <w:color w:val="auto"/>
        </w:rPr>
        <w:t>deficiency analysis. If we determine it is necessary and appropriate to establish a premium deficiency reserve, and actual premium patterns and claims experience differ from the assumptions used to establish the reserve, the difference between the actual results and our estimates would affect future period earnings.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557"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03" w:lineRule="exact"/>
        <w:rPr>
          <w:sz w:val="20"/>
          <w:szCs w:val="20"/>
          <w:color w:val="auto"/>
        </w:rPr>
      </w:pPr>
    </w:p>
    <w:p>
      <w:pPr>
        <w:jc w:val="both"/>
        <w:ind w:left="1140" w:hanging="322"/>
        <w:spacing w:after="0" w:line="255"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85"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62" w:lineRule="exact"/>
        <w:rPr>
          <w:rFonts w:ascii="Arial" w:cs="Arial" w:eastAsia="Arial" w:hAnsi="Arial"/>
          <w:sz w:val="18"/>
          <w:szCs w:val="18"/>
          <w:i w:val="1"/>
          <w:iCs w:val="1"/>
          <w:color w:val="auto"/>
        </w:rPr>
      </w:pPr>
    </w:p>
    <w:p>
      <w:pPr>
        <w:ind w:left="1140" w:hanging="322"/>
        <w:spacing w:after="0" w:line="342"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15" w:lineRule="exact"/>
        <w:rPr>
          <w:rFonts w:ascii="Arial" w:cs="Arial" w:eastAsia="Arial" w:hAnsi="Arial"/>
          <w:sz w:val="16"/>
          <w:szCs w:val="16"/>
          <w:color w:val="auto"/>
        </w:rPr>
      </w:pPr>
    </w:p>
    <w:p>
      <w:pPr>
        <w:ind w:left="1140" w:right="20" w:hanging="322"/>
        <w:spacing w:after="0" w:line="342"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total portfolio may be greatly affected by the change in value of just one asset or a group of highly correlated assets.</w:t>
      </w:r>
    </w:p>
    <w:p>
      <w:pPr>
        <w:spacing w:after="0" w:line="15" w:lineRule="exact"/>
        <w:rPr>
          <w:rFonts w:ascii="Arial" w:cs="Arial" w:eastAsia="Arial" w:hAnsi="Arial"/>
          <w:sz w:val="16"/>
          <w:szCs w:val="16"/>
          <w:color w:val="auto"/>
        </w:rPr>
      </w:pPr>
    </w:p>
    <w:p>
      <w:pPr>
        <w:ind w:left="1140" w:hanging="322"/>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December 31, 2019 and 2018 was $1,141 million and $911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2019, the duration of our fixed income portfolio, including cash and cash equivalents, was 3.56 years, which means that an instantaneous parallel shift (movement up or down) in the yield curve of 100 basis points would result in a change of 3.56% in fair value of our fixed income portfolio. Excluding cash, our fixed income portfolio duration was 3.59 years, which means that an instantaneous parallel shift (movement up or down) in the yield curve of 100 basis points would result in a change of 3.59% in fair value of our fixed income portfolio.</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market risk related to our 2018 Term Loan and the ILN Transactions. As discussed in Item 8,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5, Debt,</w:t>
      </w:r>
      <w:r>
        <w:rPr>
          <w:rFonts w:ascii="Arial" w:cs="Arial" w:eastAsia="Arial" w:hAnsi="Arial"/>
          <w:sz w:val="18"/>
          <w:szCs w:val="18"/>
          <w:color w:val="auto"/>
        </w:rPr>
        <w:t>" the 2018 Term Loan bears interest at a variable rate and, as a result, increases in market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would generally result in increased interest expense on our outstanding principal.</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53"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2019 and 2018</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Consolidated Statements of Operations and Comprehensive Income for each of the years in the three-year period ended December 31, 2019</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Changes in Shareholders' Equity for each of the years in the three-year period ended December 31, 2019</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80</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in the three-year period ended December 31, 2019</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82</w:t>
              </w:r>
            </w:hyperlink>
          </w:p>
        </w:tc>
      </w:tr>
      <w:tr>
        <w:trPr>
          <w:trHeight w:val="696"/>
        </w:trPr>
        <w:tc>
          <w:tcPr>
            <w:tcW w:w="11220" w:type="dxa"/>
            <w:vAlign w:val="bottom"/>
          </w:tcPr>
          <w:p>
            <w:pPr>
              <w:ind w:left="5620"/>
              <w:spacing w:after="0"/>
              <w:rPr>
                <w:sz w:val="20"/>
                <w:szCs w:val="20"/>
                <w:color w:val="auto"/>
              </w:rPr>
            </w:pPr>
            <w:r>
              <w:rPr>
                <w:rFonts w:ascii="Arial" w:cs="Arial" w:eastAsia="Arial" w:hAnsi="Arial"/>
                <w:sz w:val="18"/>
                <w:szCs w:val="18"/>
                <w:color w:val="auto"/>
              </w:rPr>
              <w:t>75</w:t>
            </w: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Emeryville, CA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audited the accompanying consolidated balance sheets of NMI Holdings, Inc. (the "Company") and subsidiaries as of December 31, 2019 and 2018, the related consolidated statements of operations and comprehensive income, changes in shareholders' equity, and cash flows for each of the three years in the period ended December 31, 2019, and the related notes and financial statement schedules included in the accompanying index (collectively referred to as the "consolidated financial statements"). In our opinion, the consolidated financial statements present fairly, in all material respects, the financial position of the Company and subsidiaries at December 31, 2019 and 2018, and the results of their operations and their cash flows for each of the three years in the period ended December 31, 2019, in conformity with accounting principles generally accepted in the United States of America.</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(2013) issued by the Committee of Sponsoring Organizations of the Treadway Commission ("COSO") and our report dated February 13,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this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Insurance Claims and Claims Expense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described in Notes 2 and 7 to the consolidated financial statements, the Company recorded $23.8 million of reserve for insurance claims and claims expense at December 31, 2019. The establishment of insurance claims and claims expense reserve is subject to inherent uncertainty and requires significant judgment by management. The reserve is established by estimating: (i) claim severity which is the amount of the claim payment expected to be paid on each loan in default, and (ii) claim frequency which is the number of loans in default expected to result in a claim payment. The claim frequency is determined based on historical observed experience regarding certain loan factors and is also strongly influenced by prevailing economic conditions.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7" w:right="239" w:bottom="1440" w:gutter="0" w:footer="0" w:header="0"/>
        </w:sectPr>
      </w:pPr>
    </w:p>
    <w:bookmarkStart w:id="76" w:name="page77"/>
    <w:bookmarkEnd w:id="76"/>
    <w:p>
      <w:pPr>
        <w:jc w:val="both"/>
        <w:spacing w:after="0" w:line="312" w:lineRule="auto"/>
        <w:rPr>
          <w:sz w:val="20"/>
          <w:szCs w:val="20"/>
          <w:color w:val="auto"/>
        </w:rPr>
      </w:pPr>
      <w:r>
        <w:rPr>
          <w:rFonts w:ascii="Arial" w:cs="Arial" w:eastAsia="Arial" w:hAnsi="Arial"/>
          <w:sz w:val="16"/>
          <w:szCs w:val="16"/>
          <w:color w:val="auto"/>
        </w:rPr>
        <w:t>We identified the Company’s estimation of the reserve for insurance claims and claims expense as a critical audit matter. The principal consideration for our determination is the high degree of subjectivity in estimating claim frequency and claim severity. Auditing these elements involved especially challenging auditor judgment due to the nature and extent of audit effort required to address these matters, including the extent of specialized skill or knowledge needed.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Testing the completeness and accuracy of the underlying loans and claims data used in management’s actuarial reserve calculations which supported claim frequency and claim severity estimates.</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Utilizing personnel with specialized knowledge and skill in actuarial methods to assist in: (i) evaluating the appropriateness of the methodology and the assumptions used by management’s actuary, including assessment of the reasonableness of changes in assumptions and inputs used in developing claim frequency and claim severity, which included comparing to third party evidence of current economic conditions and evaluating the current and historical loan factors, and (ii) performing a retrospective review of the prior year reserve estimate against historical figures and economic trends.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2018</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Fixed maturities, available-for-sale, at fair value (amortized cost of $1,113,779 and $924,987 as of</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2019 and December 31, 2018,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1,140,940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911,490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0"/>
              </w:rPr>
              <w:t>Cash and cash equivalents (including restricted cash of $2,662 and $1,414 as of December 31, 2019 and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2018, respectively)</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41,089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25,294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36,007</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5,694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59,972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46,840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21,171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4,708</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1,364,818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145,764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146,757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premiums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158,893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39,904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31,141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Reinsurance funds withheld</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27,114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56,360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2,740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shd w:val="clear" w:color="auto" w:fill="CCEEFF"/>
          </w:tcPr>
          <w:p>
            <w:pPr>
              <w:ind w:left="280"/>
              <w:spacing w:after="0" w:line="270" w:lineRule="exact"/>
              <w:rPr>
                <w:sz w:val="20"/>
                <w:szCs w:val="20"/>
                <w:color w:val="auto"/>
              </w:rPr>
            </w:pPr>
            <w:r>
              <w:rPr>
                <w:rFonts w:ascii="Arial" w:cs="Arial" w:eastAsia="Arial" w:hAnsi="Arial"/>
                <w:sz w:val="17"/>
                <w:szCs w:val="17"/>
                <w:color w:val="auto"/>
              </w:rPr>
              <w:t xml:space="preserve">Other liabilities </w:t>
            </w:r>
            <w:r>
              <w:rPr>
                <w:rFonts w:ascii="Arial" w:cs="Arial" w:eastAsia="Arial" w:hAnsi="Arial"/>
                <w:sz w:val="28"/>
                <w:szCs w:val="28"/>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3,791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434,398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390,543</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(see Note 14)</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8"/>
              </w:rPr>
              <w:t>Common stock - class A shares, $0.01 par value; 68,358,074 and 66,318,849 shares issued and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8"/>
              </w:rPr>
              <w:t>outstanding as of December 31, 2019 and December 31, 2018, respectively (250,000,000 shares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authorized)</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663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682,181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 net of tax</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(14,832)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205,445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930,420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701,500</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1,364,818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1,092,043</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ectPr>
          <w:pgSz w:w="11900" w:h="16838" w:orient="portrait"/>
          <w:cols w:equalWidth="0" w:num="1">
            <w:col w:w="11420"/>
          </w:cols>
          <w:pgMar w:left="240" w:top="125" w:right="239" w:bottom="1440" w:gutter="0" w:footer="0" w:header="0"/>
        </w:sectPr>
      </w:pPr>
    </w:p>
    <w:p>
      <w:pPr>
        <w:ind w:left="340" w:hanging="332"/>
        <w:spacing w:after="0"/>
        <w:tabs>
          <w:tab w:leader="none" w:pos="34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"Deferred Ceding Commissions" have been reclassified as "Other liabilities" in prior periods.</w:t>
      </w:r>
    </w:p>
    <w:p>
      <w:pPr>
        <w:spacing w:after="0" w:line="200" w:lineRule="exact"/>
        <w:rPr>
          <w:rFonts w:ascii="Arial" w:cs="Arial" w:eastAsia="Arial" w:hAnsi="Arial"/>
          <w:sz w:val="18"/>
          <w:szCs w:val="18"/>
          <w:color w:val="auto"/>
          <w:vertAlign w:val="superscript"/>
        </w:rPr>
      </w:pPr>
    </w:p>
    <w:p>
      <w:pPr>
        <w:spacing w:after="0" w:line="264"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ectPr>
          <w:pgSz w:w="11900" w:h="16838" w:orient="portrait"/>
          <w:cols w:equalWidth="0" w:num="2">
            <w:col w:w="6380" w:space="580"/>
            <w:col w:w="4460"/>
          </w:cols>
          <w:pgMar w:left="240" w:top="125"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4"/>
                <w:szCs w:val="14"/>
                <w:b w:val="1"/>
                <w:bCs w:val="1"/>
                <w:color w:val="auto"/>
                <w:w w:val="92"/>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100" w:type="dxa"/>
            <w:vAlign w:val="bottom"/>
            <w:gridSpan w:val="7"/>
          </w:tcPr>
          <w:p>
            <w:pPr>
              <w:jc w:val="center"/>
              <w:ind w:left="151"/>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12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premiums earned</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345,015</w:t>
            </w:r>
          </w:p>
        </w:tc>
        <w:tc>
          <w:tcPr>
            <w:tcW w:w="6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251,197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165,740</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realized investment gains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378,771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275,025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182,743</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Insurance claims and claim expenses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5,339</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126,621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116,966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106,362</w:t>
            </w: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Service expenses</w:t>
            </w:r>
            <w:r>
              <w:rPr>
                <w:rFonts w:ascii="Arial" w:cs="Arial" w:eastAsia="Arial" w:hAnsi="Arial"/>
                <w:sz w:val="25"/>
                <w:szCs w:val="25"/>
                <w:color w:val="auto"/>
                <w:vertAlign w:val="superscript"/>
              </w:rPr>
              <w:t>(1)</w:t>
            </w:r>
          </w:p>
        </w:tc>
        <w:tc>
          <w:tcPr>
            <w:tcW w:w="10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617</w:t>
            </w: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4,105</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162,118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139,064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129,951</w:t>
            </w:r>
          </w:p>
        </w:tc>
      </w:tr>
      <w:tr>
        <w:trPr>
          <w:trHeight w:val="318"/>
        </w:trPr>
        <w:tc>
          <w:tcPr>
            <w:tcW w:w="60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216,653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52,792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28,034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30,742</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171,957</w:t>
            </w:r>
          </w:p>
        </w:tc>
        <w:tc>
          <w:tcPr>
            <w:tcW w:w="6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107,927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6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0.37</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r>
      <w:tr>
        <w:trPr>
          <w:trHeight w:val="324"/>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65,019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59,816</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62,186</w:t>
            </w:r>
          </w:p>
        </w:tc>
      </w:tr>
      <w:tr>
        <w:trPr>
          <w:trHeight w:val="324"/>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171,957</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Unrealized gains (losses) in accumulated other comprehensive income, net of</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tax expense (benefit) of $8,548, ($3,285) and $1,234 for each of the years in</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three-year period ended December 31, 2019, respectively</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2,559</w:t>
            </w: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w w:val="93"/>
              </w:rPr>
              <w:t>Reclassification adjustment for realized (gains) losses included in net income,</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6060" w:type="dxa"/>
            <w:vAlign w:val="bottom"/>
          </w:tcPr>
          <w:p>
            <w:pPr>
              <w:ind w:left="280"/>
              <w:spacing w:after="0"/>
              <w:rPr>
                <w:sz w:val="20"/>
                <w:szCs w:val="20"/>
                <w:color w:val="auto"/>
              </w:rPr>
            </w:pPr>
            <w:r>
              <w:rPr>
                <w:rFonts w:ascii="Arial" w:cs="Arial" w:eastAsia="Arial" w:hAnsi="Arial"/>
                <w:sz w:val="18"/>
                <w:szCs w:val="18"/>
                <w:color w:val="auto"/>
                <w:w w:val="94"/>
              </w:rPr>
              <w:t>net of tax expense (benefit) of $9, ($27), and $73 for each of the years in the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three-years ended December 31, 2019, respectively</w:t>
            </w:r>
          </w:p>
        </w:tc>
        <w:tc>
          <w:tcPr>
            <w:tcW w:w="10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204,077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95,672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24,478</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340" w:hanging="332"/>
        <w:spacing w:after="0" w:line="237" w:lineRule="auto"/>
        <w:tabs>
          <w:tab w:leader="none" w:pos="34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Certain "Underwriting and operating expenses" have been reclassified as "Service expenses" in prior periods.</w:t>
      </w:r>
    </w:p>
    <w:p>
      <w:pPr>
        <w:spacing w:after="0" w:line="49" w:lineRule="exact"/>
        <w:rPr>
          <w:sz w:val="20"/>
          <w:szCs w:val="20"/>
          <w:color w:val="auto"/>
        </w:rPr>
      </w:pPr>
    </w:p>
    <w:p>
      <w:pPr>
        <w:ind w:left="696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1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Common Stock - Class 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32"/>
              <w:spacing w:after="0" w:line="12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200" w:type="dxa"/>
            <w:vAlign w:val="bottom"/>
            <w:vMerge w:val="restart"/>
          </w:tcPr>
          <w:p>
            <w:pPr>
              <w:jc w:val="center"/>
              <w:ind w:right="71"/>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00" w:type="dxa"/>
            <w:vAlign w:val="bottom"/>
            <w:vMerge w:val="restart"/>
          </w:tcPr>
          <w:p>
            <w:pPr>
              <w:jc w:val="center"/>
              <w:ind w:right="71"/>
              <w:spacing w:after="0" w:line="126" w:lineRule="exact"/>
              <w:rPr>
                <w:sz w:val="20"/>
                <w:szCs w:val="20"/>
                <w:color w:val="auto"/>
              </w:rPr>
            </w:pPr>
            <w:r>
              <w:rPr>
                <w:rFonts w:ascii="Arial" w:cs="Arial" w:eastAsia="Arial" w:hAnsi="Arial"/>
                <w:sz w:val="14"/>
                <w:szCs w:val="14"/>
                <w:b w:val="1"/>
                <w:bCs w:val="1"/>
                <w:color w:val="auto"/>
                <w:w w:val="92"/>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12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center"/>
              <w:ind w:right="11"/>
              <w:spacing w:after="0"/>
              <w:rPr>
                <w:sz w:val="20"/>
                <w:szCs w:val="20"/>
                <w:color w:val="auto"/>
              </w:rPr>
            </w:pPr>
            <w:r>
              <w:rPr>
                <w:rFonts w:ascii="Arial" w:cs="Arial" w:eastAsia="Arial" w:hAnsi="Arial"/>
                <w:sz w:val="14"/>
                <w:szCs w:val="14"/>
                <w:i w:val="1"/>
                <w:iCs w:val="1"/>
                <w:color w:val="auto"/>
                <w:w w:val="91"/>
              </w:rPr>
              <w:t>(In Thousands)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59,145</w:t>
            </w:r>
          </w:p>
        </w:tc>
        <w:tc>
          <w:tcPr>
            <w:tcW w:w="92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576,927</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475,509</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Common stock: class A shares issued related to</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exercises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of tax expense of $1,307</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December 31, 2017</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60,518</w:t>
            </w:r>
          </w:p>
        </w:tc>
        <w:tc>
          <w:tcPr>
            <w:tcW w:w="92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605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585,488</w:t>
            </w: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Cumulative effect of change in accounting</w:t>
            </w:r>
          </w:p>
        </w:tc>
        <w:tc>
          <w:tcPr>
            <w:tcW w:w="1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principle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6"/>
              </w:rPr>
              <w:t>Common stock: class A shares issued related to</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public offering</w:t>
            </w:r>
          </w:p>
        </w:tc>
        <w:tc>
          <w:tcPr>
            <w:tcW w:w="1220" w:type="dxa"/>
            <w:vAlign w:val="bottom"/>
          </w:tcPr>
          <w:p>
            <w:pPr>
              <w:jc w:val="right"/>
              <w:spacing w:after="0"/>
              <w:rPr>
                <w:sz w:val="20"/>
                <w:szCs w:val="20"/>
                <w:color w:val="auto"/>
              </w:rPr>
            </w:pPr>
            <w:r>
              <w:rPr>
                <w:rFonts w:ascii="Arial" w:cs="Arial" w:eastAsia="Arial" w:hAnsi="Arial"/>
                <w:sz w:val="18"/>
                <w:szCs w:val="18"/>
                <w:color w:val="auto"/>
              </w:rPr>
              <w:t>4,255</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79,122</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Common stock: class A shares issued related to</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exercises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1,893</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1,455</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3,121</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of tax benefit of $3,258</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(12,255)</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107,927</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107,927</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December 31, 2018</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66,319</w:t>
            </w:r>
          </w:p>
        </w:tc>
        <w:tc>
          <w:tcPr>
            <w:tcW w:w="92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663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682,181</w:t>
            </w: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33,488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Cumulative effect of change in accounting</w:t>
            </w:r>
          </w:p>
        </w:tc>
        <w:tc>
          <w:tcPr>
            <w:tcW w:w="1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principle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6"/>
              </w:rPr>
              <w:t>Common stock: class A shares issued related to</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warrant exercises</w:t>
            </w: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8,309</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13,031</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expense of $8,539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32,120</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32,120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171,957</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171,957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68,358</w:t>
            </w:r>
          </w:p>
        </w:tc>
        <w:tc>
          <w:tcPr>
            <w:tcW w:w="92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684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707,003</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205,445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930,420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340" w:right="2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2017, we issued 32,368 common shares with a par value of $0.01 in connection with the exercise of warrants, which is not identifiable in this schedule due to rounding.</w:t>
      </w:r>
    </w:p>
    <w:p>
      <w:pPr>
        <w:spacing w:after="0" w:line="6" w:lineRule="exact"/>
        <w:rPr>
          <w:sz w:val="20"/>
          <w:szCs w:val="20"/>
          <w:color w:val="auto"/>
        </w:rPr>
      </w:pPr>
    </w:p>
    <w:p>
      <w:pPr>
        <w:ind w:left="696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1"/>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r>
      <w:tr>
        <w:trPr>
          <w:trHeight w:val="237"/>
        </w:trPr>
        <w:tc>
          <w:tcPr>
            <w:tcW w:w="744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3"/>
              </w:rPr>
              <w:t>(In Thousands)</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171,957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107,927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22,050</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gains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Loss from change in fair value of warrant liability</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8,657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1,397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4,105</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7,811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6,663</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1,519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1,599</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1,473</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45,082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25,927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31,102</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9,484</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(11,451)</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(791)</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(13,132)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(7,816)</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(1,547)</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10,260</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5,760</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Reinsurance balances,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(274)</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6,064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(2,486)</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208,150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145,861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67,763</w:t>
            </w: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Purchase of short-term investments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(230,362)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(257,916)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(131,196)</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fixed-maturity investments, 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(356,337)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(219,079)</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Proceeds from maturity of short-term investments</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244,921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221,685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170,278</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9"/>
              </w:rPr>
              <w:t>Proceeds from redemptions, maturities and sale of fixed-maturity investments, 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179,978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95,435</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Software and equipment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(8,510)</w:t>
            </w: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(220,650)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(93,072)</w:t>
            </w:r>
          </w:p>
        </w:tc>
      </w:tr>
      <w:tr>
        <w:trPr>
          <w:trHeight w:val="233"/>
        </w:trPr>
        <w:tc>
          <w:tcPr>
            <w:tcW w:w="744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public offering, net of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79,165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21,748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12,857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7,103</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warrant exercises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(18,248)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(8,582)</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senior note,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149,250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Repayments of term loan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(147,375)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of debt issuance/modification costs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80,887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(3,241)</w:t>
            </w: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15,795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6,098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(28,550)</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25,294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47,746</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41,089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25,294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19,196</w:t>
            </w:r>
          </w:p>
        </w:tc>
      </w:tr>
      <w:tr>
        <w:trPr>
          <w:trHeight w:val="163"/>
        </w:trPr>
        <w:tc>
          <w:tcPr>
            <w:tcW w:w="7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paid</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13,355</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Income taxes (refunded) paid</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1,220</w:t>
            </w:r>
          </w:p>
        </w:tc>
      </w:tr>
    </w:tbl>
    <w:p>
      <w:pPr>
        <w:spacing w:after="0" w:line="33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the District of Columbia (D.C.) In August 2015, NMIH capitalized a wholly-owned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accompanying consolidated financial statements include the results of NMIH and its wholly-owned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previously reported financial information have been made to conform to our current period presentation.</w:t>
      </w:r>
    </w:p>
    <w:p>
      <w:pPr>
        <w:spacing w:after="0" w:line="120" w:lineRule="exact"/>
        <w:rPr>
          <w:sz w:val="20"/>
          <w:szCs w:val="20"/>
          <w:color w:val="auto"/>
        </w:rPr>
      </w:pPr>
    </w:p>
    <w:p>
      <w:pPr>
        <w:ind w:left="660" w:right="8540" w:hanging="652"/>
        <w:spacing w:after="0" w:line="466" w:lineRule="auto"/>
        <w:tabs>
          <w:tab w:leader="none" w:pos="192"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Accounting Principles </w:t>
      </w:r>
      <w:r>
        <w:rPr>
          <w:rFonts w:ascii="Arial" w:cs="Arial" w:eastAsia="Arial" w:hAnsi="Arial"/>
          <w:sz w:val="17"/>
          <w:szCs w:val="17"/>
          <w:i w:val="1"/>
          <w:iCs w:val="1"/>
          <w:color w:val="auto"/>
        </w:rPr>
        <w:t>Use of Estimates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Premium Revenue Recognition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deferred premium is returned to the policyholder and recorded as a reduction to written premium and unearned premium reserve in the period paid.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written on pool transactions are earned over the period that coverage is provided.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ended December 31, 2019, no customer accounted for more than 10% of our consolidated revenues. At December 31, 2019, approximately 12% of our total risk-in-force (RIF) was concentrated in California.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Reserves for Insurance Claims and Claim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establish reserves for claims based on our best estimate of ultimate claim costs for defaulted loans using the general principles contained in ASC 944,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(ASC 944). We establish case reserves when we are notified that a loan has been in default for at least 60 days (</w:t>
      </w:r>
      <w:r>
        <w:rPr>
          <w:rFonts w:ascii="Arial" w:cs="Arial" w:eastAsia="Arial" w:hAnsi="Arial"/>
          <w:sz w:val="18"/>
          <w:szCs w:val="18"/>
          <w:i w:val="1"/>
          <w:iCs w:val="1"/>
          <w:color w:val="auto"/>
        </w:rPr>
        <w:t>i.e</w:t>
      </w:r>
      <w:r>
        <w:rPr>
          <w:rFonts w:ascii="Arial" w:cs="Arial" w:eastAsia="Arial" w:hAnsi="Arial"/>
          <w:sz w:val="18"/>
          <w:szCs w:val="18"/>
          <w:color w:val="auto"/>
        </w:rPr>
        <w:t>., a default) and "IBNR" reserves based on an estimate of defaults which have been incurred but have not yet been reported to us by loan servicers. We also establish reserves for claim expenses, which represent the estimated cost of the claim administration process, including legal, other third-party fees, and other general expenses of administering the claim settlement process. Claim expense reserves are either allocated (</w:t>
      </w:r>
      <w:r>
        <w:rPr>
          <w:rFonts w:ascii="Arial" w:cs="Arial" w:eastAsia="Arial" w:hAnsi="Arial"/>
          <w:sz w:val="18"/>
          <w:szCs w:val="18"/>
          <w:i w:val="1"/>
          <w:iCs w:val="1"/>
          <w:color w:val="auto"/>
        </w:rPr>
        <w:t>i.e.</w:t>
      </w:r>
      <w:r>
        <w:rPr>
          <w:rFonts w:ascii="Arial" w:cs="Arial" w:eastAsia="Arial" w:hAnsi="Arial"/>
          <w:sz w:val="18"/>
          <w:szCs w:val="18"/>
          <w:color w:val="auto"/>
        </w:rPr>
        <w:t>, associated with a specific claim) or unallocated (</w:t>
      </w:r>
      <w:r>
        <w:rPr>
          <w:rFonts w:ascii="Arial" w:cs="Arial" w:eastAsia="Arial" w:hAnsi="Arial"/>
          <w:sz w:val="18"/>
          <w:szCs w:val="18"/>
          <w:i w:val="1"/>
          <w:iCs w:val="1"/>
          <w:color w:val="auto"/>
        </w:rPr>
        <w:t>i.e.</w:t>
      </w:r>
      <w:r>
        <w:rPr>
          <w:rFonts w:ascii="Arial" w:cs="Arial" w:eastAsia="Arial" w:hAnsi="Arial"/>
          <w:sz w:val="18"/>
          <w:szCs w:val="18"/>
          <w:color w:val="auto"/>
        </w:rPr>
        <w:t>, not associated with a specific claim).</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the claim payment expected to be paid on each such loan in default, which is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referred to as claim severity. Claim frequency and severity estimates are established based on historical observed experience regarding certain loan factors, such as age of the default, size of the loan and loan-to-value (LTV) ratios, and are strongly influenced by prevailing economic conditions, such as mortgage rates, trends in unemployment and house price appreciation. We conduct an annual actuarial review to evaluate and, if necessary, update these assumptions.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after considering the related tax expense or benefit, are recognized as a component of accumulated other comprehensive income (AOCI) (loss) in shareholders' equity. Net realized investment gains and losses are reported in income based on specific identification of securities sold or other-than-temporarily impaired, and are reclassified out of AOCI (loss).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Arial" w:cs="Arial" w:eastAsia="Arial" w:hAnsi="Arial"/>
          <w:sz w:val="18"/>
          <w:szCs w:val="18"/>
          <w:i w:val="1"/>
          <w:iCs w:val="1"/>
          <w:color w:val="auto"/>
        </w:rPr>
        <w:t>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further discussion.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maturities are recognized on a prospective basis through yield adjustments.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evaluate our investments each quarter to determine whether declines in fair value below amortized cost are considered other-than-temporary in accordance with applicable guidance. Under the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80" w:lineRule="exact"/>
        <w:rPr>
          <w:sz w:val="20"/>
          <w:szCs w:val="20"/>
          <w:color w:val="auto"/>
        </w:rPr>
      </w:pPr>
    </w:p>
    <w:p>
      <w:pPr>
        <w:ind w:left="1140" w:hanging="322"/>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severity and duration of the decline in fair value;</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on this evaluation, we record OTTI adjustments on securities with declines in fair value below their amortized cost, if it is more likely than not that we will sell the securities prior to recovery of their amortized cost or if the present value of the discounted cash flows we expect to collect on the securities through recovery under a "most likely" scenario is less than their amortized cost. If our intent is to sell securities and their fair value is below amortized cost, the securities are classified as other-than-temporarily impaired and the full amount of the impairment is recognized as a loss in earnings. Otherwise, losses on other-than-temporarily impaired securities are bifurcated between credit-related losses and losses related to other factors (</w:t>
      </w:r>
      <w:r>
        <w:rPr>
          <w:rFonts w:ascii="Arial" w:cs="Arial" w:eastAsia="Arial" w:hAnsi="Arial"/>
          <w:sz w:val="16"/>
          <w:szCs w:val="16"/>
          <w:i w:val="1"/>
          <w:iCs w:val="1"/>
          <w:color w:val="auto"/>
        </w:rPr>
        <w:t>e.g.</w:t>
      </w:r>
      <w:r>
        <w:rPr>
          <w:rFonts w:ascii="Arial" w:cs="Arial" w:eastAsia="Arial" w:hAnsi="Arial"/>
          <w:sz w:val="16"/>
          <w:szCs w:val="16"/>
          <w:color w:val="auto"/>
        </w:rPr>
        <w:t>, interest rate fluctuations), with credit-related losses recognized in earnings and losses related to other factors recognized in AOCI (loss), net of taxes.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consider items such as commercial paper with original maturities of 90 days or less to be short-term investments.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 (DAC)</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estimated life of the associated policies. We estimate the rate of amortization to reflect actual experience and any changes to persistency or loss development. Total amortization of DAC for the years ended December 31, 2019, 2018 and 2017, net of a portion of ceding commission related to the quota share reinsurance transactions (see </w:t>
      </w:r>
      <w:r>
        <w:rPr>
          <w:rFonts w:ascii="Arial" w:cs="Arial" w:eastAsia="Arial" w:hAnsi="Arial"/>
          <w:sz w:val="16"/>
          <w:szCs w:val="16"/>
          <w:color w:val="auto"/>
        </w:rPr>
        <w:t>"</w:t>
      </w:r>
      <w:r>
        <w:rPr>
          <w:rFonts w:ascii="Arial" w:cs="Arial" w:eastAsia="Arial" w:hAnsi="Arial"/>
          <w:sz w:val="18"/>
          <w:szCs w:val="18"/>
          <w:i w:val="1"/>
          <w:iCs w:val="1"/>
          <w:color w:val="auto"/>
        </w:rPr>
        <w:t>Reinsurance</w:t>
      </w:r>
      <w:r>
        <w:rPr>
          <w:rFonts w:ascii="Arial" w:cs="Arial" w:eastAsia="Arial" w:hAnsi="Arial"/>
          <w:sz w:val="18"/>
          <w:szCs w:val="18"/>
          <w:color w:val="auto"/>
        </w:rPr>
        <w:t>", below</w:t>
      </w:r>
      <w:r>
        <w:rPr>
          <w:rFonts w:ascii="Arial" w:cs="Arial" w:eastAsia="Arial" w:hAnsi="Arial"/>
          <w:sz w:val="16"/>
          <w:szCs w:val="16"/>
          <w:i w:val="1"/>
          <w:iCs w:val="1"/>
          <w:color w:val="auto"/>
        </w:rPr>
        <w:t>)</w:t>
      </w:r>
      <w:r>
        <w:rPr>
          <w:rFonts w:ascii="Arial" w:cs="Arial" w:eastAsia="Arial" w:hAnsi="Arial"/>
          <w:sz w:val="18"/>
          <w:szCs w:val="18"/>
          <w:color w:val="auto"/>
        </w:rPr>
        <w:t>, was $8.4 million, $8.1 million and $5.8 million,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We have determined that no premium deficiency reserves were necessary for any of the years in the three-year period ended December 31, 2019.</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premiums, claims and claim expenses that are ceded to reinsurers on a consistent basis with that which we use to account for the original policies we issue and pursuant to the terms of our reinsurance contracts. We account for premiums ceded or otherwise paid to reinsurers as a reduction to premium revenue.</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NMIC entered into quota share reinsurance treaties effective September 1, 2016 (the 2016 QSR Transaction) and January 1, 2018 (the 2018 QSR Transaction), which we refer to collectively as the QSR Transactions. We earn profit and ceding commissions in connection with the QSR Transactions (see Note 6, "</w:t>
      </w:r>
      <w:r>
        <w:rPr>
          <w:rFonts w:ascii="Arial" w:cs="Arial" w:eastAsia="Arial" w:hAnsi="Arial"/>
          <w:sz w:val="17"/>
          <w:szCs w:val="17"/>
          <w:i w:val="1"/>
          <w:iCs w:val="1"/>
          <w:color w:val="auto"/>
        </w:rPr>
        <w:t>Reinsurance</w:t>
      </w:r>
      <w:r>
        <w:rPr>
          <w:rFonts w:ascii="Arial" w:cs="Arial" w:eastAsia="Arial" w:hAnsi="Arial"/>
          <w:sz w:val="17"/>
          <w:szCs w:val="17"/>
          <w:color w:val="auto"/>
        </w:rPr>
        <w:t>"). Profit commissions represent a percentage of the profits recognized by reinsurers that are returned to us, based on the level of claims and claim expenses that we cede. We recognize any profit commissions we earn as an increase to premium revenue. Ceding commissions are calculated as a percentage of ceded written premiums under the 2016 QSR Transaction and as a percentage of ceded earned premiums under the 2018 QSR Transaction, and are intended to cover our costs of acquiring and servicing direct policies. We recognize any ceding commissions we earn in a manner consistent with our recognition of earnings on the underlying insurance policies, over the terms of the policies reinsured. We account for ceding commissions earned as a reduction to underwriting and operating expenses.</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QSR Transactions, we cede a portion of claims and claim expense reserves to our reinsurers, and account for such ceded reserves as reinsurance recoverables in "Other Assets" on the consolidated balance sheets and as reductions to claims expenses on the consolidated statements of operations. We remain directly liable for all claims payments if we are unable to collect from any reinsurer.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account for warrants to purchase our common shares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and ASC 815-40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Our outstanding warrants may be settled through either (i) physical settlement method, or (ii)</w:t>
      </w:r>
      <w:r>
        <w:rPr>
          <w:rFonts w:ascii="Arial" w:cs="Arial" w:eastAsia="Arial" w:hAnsi="Arial"/>
          <w:sz w:val="17"/>
          <w:szCs w:val="17"/>
          <w:i w:val="1"/>
          <w:iCs w:val="1"/>
          <w:color w:val="auto"/>
        </w:rPr>
        <w:t xml:space="preserve"> </w:t>
      </w:r>
      <w:r>
        <w:rPr>
          <w:rFonts w:ascii="Arial" w:cs="Arial" w:eastAsia="Arial" w:hAnsi="Arial"/>
          <w:sz w:val="17"/>
          <w:szCs w:val="17"/>
          <w:color w:val="auto"/>
        </w:rPr>
        <w:t>cashless exercise, where the number of shares issued upon exercise of the warrants is reduced to cover the cost of the exercise in lieu of the holder remitting a cash payment for the exercise price. The warrants expire and are not exercisable after the 10th anniversary of the date issued. The number of warrants and exercise price are subject to anti-dilution provisions whereby the number of warrants may be increased and their exercise price may be adjusted downward under certain circumstances. The anti-dilutive adjustments may be in excess of any dilution incurred by the warrant holders, and may be triggered by events that are not dilutive. As a result, the warrants are classified as a liability. We revalue the warrants at the end of each reporting period, and any change in fair value is reported in the statements of operations in the period in which the change occurred. We calculated the fair value of the warrants using a Black-Scholes option-pricing model in combination with a binomial model.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account for stock compensation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which addresses accounting for share-based awards and recognition of compensation expense, measured using grant date fair value, over the requisite service or performance period of the award. Share-based compensation includes restricted stock units (RSUs) and stock option grants under our Stock Plans. We calculate the fair value of stock option grants using a Black-Scholes option pricing model, which takes into account various subjective assumptions. Key assumptions used in the model include the expected volatility of our stock price, dividend yield and the risk-free interest rate, as well as the expected option term, giving consideration to the contractual terms of any award. RSU grants may contain a service condition, or performance and service conditions. RSU grants are valued at our stock</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 on the date of grant less the present value of anticipated dividends. We account for stock option and RSU forfeitures as they occur.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 (EPS)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Basic earnings (loss) per share is based on the weighted-average number of common shares outstanding. Diluted earnings (loss) per share is based on the weighted-average number of common shares outstanding and common share equivalents that would be issuable upon the vesting of existing service based and certain performance and service based RSUs, and exercise of vested and unvested stock options and outstanding warrants.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consider items such as certificates of deposit and money market funds with original maturities of 90 days or less to be cash equivalents.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Equipment</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For further detail, see Note 12, "</w:t>
      </w:r>
      <w:r>
        <w:rPr>
          <w:rFonts w:ascii="Arial" w:cs="Arial" w:eastAsia="Arial" w:hAnsi="Arial"/>
          <w:sz w:val="16"/>
          <w:szCs w:val="16"/>
          <w:i w:val="1"/>
          <w:iCs w:val="1"/>
          <w:color w:val="auto"/>
        </w:rPr>
        <w:t>Software and Equipment.</w:t>
      </w:r>
      <w:r>
        <w:rPr>
          <w:rFonts w:ascii="Arial" w:cs="Arial" w:eastAsia="Arial" w:hAnsi="Arial"/>
          <w:sz w:val="16"/>
          <w:szCs w:val="16"/>
          <w:color w:val="auto"/>
        </w:rPr>
        <w: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 Goodwill and Intangible Assets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Goodwill represents the excess of the purchase price over the estimated fair value of net assets acquired from a business combination.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test goodwill for impairment during the third quarter each year, or more frequently if we believe indicators of impairment exist. We have not identified any impairments of goodwill through December 31, 2019.</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intangible assets consist of state licenses and Fannie Mae and Freddie Mac (collectively, the GSEs) applications which have indefinite lives. We test indefinite-lived intangible assets for impairment during the fourth quarter of each year or more frequently if we believe indicators of impairment exist. We have not identified any impairments of indefinite-lived intangible assets through December 31, 2019.</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Premiums receivable consist of premiums due on our mortgage insurance policies. If a mortgage insurance premium is unpaid for more than 120 days, the receivable is written off against earned premium and the related insurance policy is canceled. Premiums receivable may be written off prior to 120 days in the ordinary course of business for reasons including, but not limited to, the modification or refinancing of underlying insured loans. We have established a reserve for premium write-offs based on historical experience; such reserve was deemed to be immaterial for the years ended December 31, 2019 and December 31, 2018.</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NMIC is a party to reinsurance agreements with three special purpose reinsurance entities - Oaktown Re Ltd., Oaktown Re II Ltd. and Oaktown Re</w:t>
      </w:r>
    </w:p>
    <w:p>
      <w:pPr>
        <w:spacing w:after="0" w:line="46" w:lineRule="exact"/>
        <w:rPr>
          <w:sz w:val="20"/>
          <w:szCs w:val="20"/>
          <w:color w:val="auto"/>
        </w:rPr>
      </w:pPr>
    </w:p>
    <w:p>
      <w:pPr>
        <w:jc w:val="both"/>
        <w:ind w:firstLine="8"/>
        <w:spacing w:after="0" w:line="268" w:lineRule="auto"/>
        <w:tabs>
          <w:tab w:leader="none" w:pos="2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Ltd. - respectively dated May 2, 2017, July 25, 2018 and July 30, 2019. At inception of the respective reinsurance agreements, we determined that Oaktown Re Ltd., Oaktown Re II, Ltd. and Oaktown Re III, Ltd, were variable interest entities (VIEs), as defined under GAAP Accounting Standards Codification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7"/>
          <w:szCs w:val="17"/>
          <w:i w:val="1"/>
          <w:iCs w:val="1"/>
          <w:color w:val="auto"/>
        </w:rPr>
        <w:t>i.e.,</w:t>
      </w:r>
      <w:r>
        <w:rPr>
          <w:rFonts w:ascii="Arial" w:cs="Arial" w:eastAsia="Arial" w:hAnsi="Arial"/>
          <w:sz w:val="17"/>
          <w:szCs w:val="17"/>
          <w:color w:val="auto"/>
        </w:rPr>
        <w:t xml:space="preserve">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w:t>
      </w:r>
      <w:r>
        <w:rPr>
          <w:rFonts w:ascii="Arial" w:cs="Arial" w:eastAsia="Arial" w:hAnsi="Arial"/>
          <w:sz w:val="18"/>
          <w:szCs w:val="18"/>
          <w:i w:val="1"/>
          <w:iCs w:val="1"/>
          <w:color w:val="auto"/>
        </w:rPr>
        <w:t>Reinsurance</w:t>
      </w:r>
      <w:r>
        <w:rPr>
          <w:rFonts w:ascii="Arial" w:cs="Arial" w:eastAsia="Arial" w:hAnsi="Arial"/>
          <w:sz w:val="18"/>
          <w:szCs w:val="18"/>
          <w:color w:val="auto"/>
        </w:rPr>
        <w:t>" for further discussion of the reinsurance arrangements.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We adopted this ASU on January 1, 2019 using the modified-retrospective method and applied it prospectively as of the effective date, without adjusting comparative periods presented as permitted by ASU 2018-11,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w:t>
      </w:r>
      <w:r>
        <w:rPr>
          <w:rFonts w:ascii="Arial" w:cs="Arial" w:eastAsia="Arial" w:hAnsi="Arial"/>
          <w:sz w:val="18"/>
          <w:szCs w:val="18"/>
          <w:i w:val="1"/>
          <w:iCs w:val="1"/>
          <w:color w:val="auto"/>
        </w:rPr>
        <w:t>Targeted Improvements</w:t>
      </w:r>
      <w:r>
        <w:rPr>
          <w:rFonts w:ascii="Arial" w:cs="Arial" w:eastAsia="Arial" w:hAnsi="Arial"/>
          <w:sz w:val="18"/>
          <w:szCs w:val="18"/>
          <w:color w:val="auto"/>
        </w:rPr>
        <w:t>. Adoption of this new standard increased our assets and liabilities by $7.6 million in connection with the recognition of right-of-use (ROU) assets and lease liabilities, primarily related to the operating lease on our corporate headquarters. Adoption of this standard did not impact our consolidated statements of operations or cash flows. 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related to our leases.</w:t>
      </w:r>
    </w:p>
    <w:p>
      <w:pPr>
        <w:spacing w:after="0" w:line="138"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We adopted this ASU on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 2019. Adoption of this standard had no impact on our consolidated financial statements.</w:t>
      </w:r>
    </w:p>
    <w:p>
      <w:pPr>
        <w:spacing w:after="0" w:line="141" w:lineRule="exact"/>
        <w:rPr>
          <w:sz w:val="20"/>
          <w:szCs w:val="20"/>
          <w:color w:val="auto"/>
        </w:rPr>
      </w:pPr>
    </w:p>
    <w:p>
      <w:pPr>
        <w:jc w:val="both"/>
        <w:ind w:firstLine="702"/>
        <w:spacing w:after="0" w:line="312"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This update expands the scope of Topic 718 to include share-based payments made to non-employees in connection with the acquisition of goods and services. We adopted this ASU on January 1, 2019. Adoption of this standard had no impact on our financial results as we have not made any share-based grants to non-employees as defined in ASC 718-10-20.</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and subsequently issued amendments to the initial guidance: ASU 2019-04, </w:t>
      </w:r>
      <w:r>
        <w:rPr>
          <w:rFonts w:ascii="Arial" w:cs="Arial" w:eastAsia="Arial" w:hAnsi="Arial"/>
          <w:sz w:val="17"/>
          <w:szCs w:val="17"/>
          <w:i w:val="1"/>
          <w:iCs w:val="1"/>
          <w:color w:val="auto"/>
        </w:rPr>
        <w:t>Codification Improvements to Topic 326, Financial Instruments-Credit Losses, Topic 815, Derivatives and Hedging,</w:t>
      </w:r>
      <w:r>
        <w:rPr>
          <w:rFonts w:ascii="Arial" w:cs="Arial" w:eastAsia="Arial" w:hAnsi="Arial"/>
          <w:sz w:val="17"/>
          <w:szCs w:val="17"/>
          <w:color w:val="auto"/>
        </w:rPr>
        <w:t xml:space="preserve"> and </w:t>
      </w:r>
      <w:r>
        <w:rPr>
          <w:rFonts w:ascii="Arial" w:cs="Arial" w:eastAsia="Arial" w:hAnsi="Arial"/>
          <w:sz w:val="17"/>
          <w:szCs w:val="17"/>
          <w:i w:val="1"/>
          <w:iCs w:val="1"/>
          <w:color w:val="auto"/>
        </w:rPr>
        <w:t>Topic 825,</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ASU 2019-05,</w:t>
      </w:r>
      <w:r>
        <w:rPr>
          <w:rFonts w:ascii="Arial" w:cs="Arial" w:eastAsia="Arial" w:hAnsi="Arial"/>
          <w:sz w:val="17"/>
          <w:szCs w:val="17"/>
          <w:i w:val="1"/>
          <w:iCs w:val="1"/>
          <w:color w:val="auto"/>
        </w:rPr>
        <w:t xml:space="preserve"> Financial Instruments-Credit Losses: Targeted Transition Relief, </w:t>
      </w:r>
      <w:r>
        <w:rPr>
          <w:rFonts w:ascii="Arial" w:cs="Arial" w:eastAsia="Arial" w:hAnsi="Arial"/>
          <w:sz w:val="17"/>
          <w:szCs w:val="17"/>
          <w:color w:val="auto"/>
        </w:rPr>
        <w:t>and ASU 2019-11,</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These updates will require companies to measure and establish reserves for lifetime expected credit losses on</w:t>
      </w:r>
      <w:r>
        <w:rPr>
          <w:rFonts w:ascii="Arial" w:cs="Arial" w:eastAsia="Arial" w:hAnsi="Arial"/>
          <w:sz w:val="17"/>
          <w:szCs w:val="17"/>
          <w:i w:val="1"/>
          <w:iCs w:val="1"/>
          <w:color w:val="auto"/>
        </w:rPr>
        <w:t xml:space="preserve"> </w:t>
      </w:r>
      <w:r>
        <w:rPr>
          <w:rFonts w:ascii="Arial" w:cs="Arial" w:eastAsia="Arial" w:hAnsi="Arial"/>
          <w:sz w:val="17"/>
          <w:szCs w:val="17"/>
          <w:color w:val="auto"/>
        </w:rPr>
        <w:t>many financial assets held at a given reporting date. Under the guidance, the methodology for measuring lifetime credit losses will generally shift from an incurred loss model, whereby losses are only recognized once probable and estimable, to a current expected credit loss (CECL) model, whereby losses are recognized upfront based on a future economic forecast. Credit losses relating to available-for-sale fixed maturity securities will be recorded through an allowance for credit losses, rather than a write-down of the asset as is currently required, with the amount of the allowance limited to the amount by which fair value is less than amortized cost. The length of time an available-for sale fixed maturity security has been held in an unrealized loss position will no longer impact its credit loss determination. We adopted these updates on January 1, 2020. Adoption of the updated standards did not have a material impact on our consolidated financial statements, and had no impact on our accounting for insurance claims and claim expenses as these items are not in scope of the guidance.</w:t>
      </w:r>
    </w:p>
    <w:p>
      <w:pPr>
        <w:spacing w:after="0" w:line="126"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 xml:space="preserve">In August 2018, the FASB issued ASU 2018-12, </w:t>
      </w:r>
      <w:r>
        <w:rPr>
          <w:rFonts w:ascii="Arial" w:cs="Arial" w:eastAsia="Arial" w:hAnsi="Arial"/>
          <w:sz w:val="18"/>
          <w:szCs w:val="18"/>
          <w:i w:val="1"/>
          <w:iCs w:val="1"/>
          <w:color w:val="auto"/>
        </w:rPr>
        <w:t>Targeted Improvements to the Accounting for Long-Duration Contracts</w:t>
      </w:r>
      <w:r>
        <w:rPr>
          <w:rFonts w:ascii="Arial" w:cs="Arial" w:eastAsia="Arial" w:hAnsi="Arial"/>
          <w:sz w:val="18"/>
          <w:szCs w:val="18"/>
          <w:color w:val="auto"/>
        </w:rPr>
        <w:t>. This update provides guidance to the existing recognition, measurement, presentation and disclosure requirements for long-duration contracts issued by an insurance entity. The FASB subsequently issued ASU 2019-19 in November 2019 and amended the effective date for this standard. The standard will now take effect for public business entities for fiscal years, and interim periods within those fiscal years, beginning after December 15, 2021. We are currently evaluating the impact the adoption of this ASU will have, if any, on our consolidated financial statements.</w:t>
      </w:r>
    </w:p>
    <w:p>
      <w:pPr>
        <w:spacing w:after="0" w:line="148"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This update modifies the fair value measurement disclosure requirements of ASC 820. We adopted this ASU on January 1, 2020 and determined it did not have a material impact on our consolidated financial statements.</w:t>
      </w:r>
    </w:p>
    <w:p>
      <w:pPr>
        <w:spacing w:after="0" w:line="141" w:lineRule="exact"/>
        <w:rPr>
          <w:sz w:val="20"/>
          <w:szCs w:val="20"/>
          <w:color w:val="auto"/>
        </w:rPr>
      </w:pPr>
    </w:p>
    <w:p>
      <w:pPr>
        <w:jc w:val="both"/>
        <w:ind w:firstLine="702"/>
        <w:spacing w:after="0" w:line="302"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(Subtopic 350-40).This update applies to cloud computing arrangements structured as service contracts, and provides companies with guidance on the criteria for capitalizing implementation, set-up and other up-front costs incurred in association with these arrangements. We adopted this ASU on January 1, 2020 and applied it on a prospective basis for eligible costs incurred after the effective date. The adoption of this ASU did not have a material impact on our consolidated financial statements.</w:t>
      </w:r>
    </w:p>
    <w:p>
      <w:pPr>
        <w:spacing w:after="0" w:line="114" w:lineRule="exact"/>
        <w:rPr>
          <w:sz w:val="20"/>
          <w:szCs w:val="20"/>
          <w:color w:val="auto"/>
        </w:rPr>
      </w:pPr>
    </w:p>
    <w:p>
      <w:pPr>
        <w:jc w:val="both"/>
        <w:ind w:left="120" w:firstLine="594"/>
        <w:spacing w:after="0" w:line="264" w:lineRule="auto"/>
        <w:rPr>
          <w:sz w:val="20"/>
          <w:szCs w:val="20"/>
          <w:color w:val="auto"/>
        </w:rPr>
      </w:pPr>
      <w:r>
        <w:rPr>
          <w:rFonts w:ascii="Arial" w:cs="Arial" w:eastAsia="Arial" w:hAnsi="Arial"/>
          <w:sz w:val="18"/>
          <w:szCs w:val="18"/>
          <w:color w:val="auto"/>
        </w:rPr>
        <w:t xml:space="preserve">In November 2019, the FASB issued ASU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This update eliminates certain exceptions for recognizing deferred taxes for investments, performing intra-period allocations and calculating income taxes in interim periods. The ASU also includes guidance to reduce complexity in certain income tax areas, including recognizing deferred taxes for tax</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goodwill and allocating taxes to members of a consolidated group. The standard will take effect for public business entities for fiscal years, and interim periods within those fiscal years, beginning after December 15, 2020. We are currently evaluating the impact the adoption of this ASU will have, if any,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earnings based on specific identification of securities sold or other-than-temporarily impaired.</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189,530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190,216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661,719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684,881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170,153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1,069,605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28,481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1,096,668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44,174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44,272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1,113,779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28,579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92,014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554,079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171,990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866,254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852,650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58,733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58,840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924,987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did not own any mortgage-backed securities in our asset-backed securities portfolio at December 31, 2019 or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breakdown of the fair value of our corporate debt securities by issuer industry group as of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2019</w:t>
            </w:r>
          </w:p>
        </w:tc>
        <w:tc>
          <w:tcPr>
            <w:tcW w:w="176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Consumer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Utilities</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7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7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2019 and 2018, approximately $5.5 million and $5.3 million, respectively,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amortized cost and fair values of available-for-sale securities as of December 31, 2019 and 2018,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138,776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139,113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406,986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417,208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380,737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394,180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17,127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170,153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1,113,779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4"/>
                <w:szCs w:val="2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76,087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76,104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352,282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347,701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310,633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171,990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924,987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Arial" w:cs="Arial" w:eastAsia="Arial" w:hAnsi="Arial"/>
                <w:sz w:val="18"/>
                <w:szCs w:val="18"/>
                <w:color w:val="auto"/>
              </w:rPr>
              <w:t>88</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2019, the investment portfolio had gross unrealized losses of $1.4 million, of which $0.1 million had been in an unrealized loss position for a period of 12 months or greater. We did not consider these securities to be other-than-temporarily impaired as of December 31, 2019. We based our conclusion that these investments were not other-than-temporarily impaired as of December 31, 2019 on the following facts: (i) the unrealized losses were primarily caused by interest rate movements and market fluctuations in credit spreads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w w:val="95"/>
              </w:rPr>
              <w:t>12 Months or Greater</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89"/>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gridSpan w:val="2"/>
          </w:tcPr>
          <w:p>
            <w:pPr>
              <w:jc w:val="center"/>
              <w:ind w:left="14"/>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5"/>
          </w:tcPr>
          <w:p>
            <w:pPr>
              <w:jc w:val="right"/>
              <w:ind w:right="210"/>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U.S. Treasury securities and</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12,001</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92,844</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999</w:t>
            </w:r>
          </w:p>
        </w:tc>
        <w:tc>
          <w:tcPr>
            <w:tcW w:w="40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93,843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54,457</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19,236</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2,988</w:t>
            </w:r>
          </w:p>
        </w:tc>
        <w:tc>
          <w:tcPr>
            <w:tcW w:w="40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22,224</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27,963</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182,525</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w w:val="95"/>
              </w:rPr>
              <w:t>12 Months or Greater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89"/>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gridSpan w:val="2"/>
          </w:tcPr>
          <w:p>
            <w:pPr>
              <w:jc w:val="center"/>
              <w:ind w:left="14"/>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5"/>
          </w:tcPr>
          <w:p>
            <w:pPr>
              <w:jc w:val="right"/>
              <w:ind w:right="210"/>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U.S. Treasury securities and</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41,817</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41,817</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58,658</w:t>
            </w:r>
          </w:p>
        </w:tc>
        <w:tc>
          <w:tcPr>
            <w:tcW w:w="40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(952)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66,067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2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226,477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221,675</w:t>
            </w: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448,152</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36,017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33,988</w:t>
            </w:r>
          </w:p>
        </w:tc>
        <w:tc>
          <w:tcPr>
            <w:tcW w:w="40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(321)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70,005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356,138</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(10,385)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626,041</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320" w:type="dxa"/>
            <w:vAlign w:val="bottom"/>
            <w:gridSpan w:val="2"/>
          </w:tcPr>
          <w:p>
            <w:pPr>
              <w:ind w:left="660"/>
              <w:spacing w:after="0"/>
              <w:rPr>
                <w:sz w:val="20"/>
                <w:szCs w:val="20"/>
                <w:color w:val="auto"/>
              </w:rPr>
            </w:pPr>
            <w:r>
              <w:rPr>
                <w:rFonts w:ascii="Arial" w:cs="Arial" w:eastAsia="Arial" w:hAnsi="Arial"/>
                <w:sz w:val="18"/>
                <w:szCs w:val="18"/>
                <w:i w:val="1"/>
                <w:iCs w:val="1"/>
                <w:color w:val="auto"/>
                <w:w w:val="88"/>
              </w:rPr>
              <w:t>Net Investment Income</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0" w:type="dxa"/>
            <w:vAlign w:val="bottom"/>
            <w:gridSpan w:val="10"/>
          </w:tcPr>
          <w:p>
            <w:pPr>
              <w:ind w:left="660"/>
              <w:spacing w:after="0"/>
              <w:rPr>
                <w:sz w:val="20"/>
                <w:szCs w:val="20"/>
                <w:color w:val="auto"/>
              </w:rPr>
            </w:pPr>
            <w:r>
              <w:rPr>
                <w:rFonts w:ascii="Arial" w:cs="Arial" w:eastAsia="Arial" w:hAnsi="Arial"/>
                <w:sz w:val="18"/>
                <w:szCs w:val="18"/>
                <w:color w:val="auto"/>
                <w:w w:val="97"/>
              </w:rPr>
              <w:t>The following table presents the components of net investment income: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center"/>
              <w:ind w:right="448"/>
              <w:spacing w:after="0"/>
              <w:rPr>
                <w:sz w:val="20"/>
                <w:szCs w:val="20"/>
                <w:color w:val="auto"/>
              </w:rPr>
            </w:pPr>
            <w:r>
              <w:rPr>
                <w:rFonts w:ascii="Arial" w:cs="Arial" w:eastAsia="Arial" w:hAnsi="Arial"/>
                <w:sz w:val="14"/>
                <w:szCs w:val="14"/>
                <w:b w:val="1"/>
                <w:bCs w:val="1"/>
                <w:color w:val="auto"/>
                <w:w w:val="92"/>
              </w:rPr>
              <w:t>For the year ended December 31,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center"/>
              <w:ind w:right="4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center"/>
              <w:ind w:right="44"/>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31,332</w:t>
            </w:r>
          </w:p>
        </w:tc>
        <w:tc>
          <w:tcPr>
            <w:tcW w:w="64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840" w:type="dxa"/>
            <w:vAlign w:val="bottom"/>
            <w:tcBorders>
              <w:bottom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6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8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realized investment gains: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74"/>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r>
      <w:tr>
        <w:trPr>
          <w:trHeight w:val="20"/>
        </w:trPr>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2019, 2018 and 2017, we held no other-than-temporarily impaired securities. For the years ended December 31, 2019 and 2017, we recognized $0.4 million and $0.1 million of OTTI losses in earnings, respectively. For the year ended December 31, 2018 we did not recognize any OTTI losses. There were no credit losses recognized in earnings for which a portion of an OTTI loss was recognized in AOCI (loss) for any period presented.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0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79"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48,929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190,216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190,216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684,881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684,881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172,642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85,361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85,361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134,290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1,047,739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1,182,029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7,641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91,257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171,325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84,134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130,964</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805,820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936,784</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3, of the fair value hierarchy during the years ended December 31, 2019 or 2018.</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134"/>
              <w:spacing w:after="0"/>
              <w:rPr>
                <w:sz w:val="20"/>
                <w:szCs w:val="20"/>
                <w:color w:val="auto"/>
              </w:rPr>
            </w:pPr>
            <w:r>
              <w:rPr>
                <w:rFonts w:ascii="Arial" w:cs="Arial" w:eastAsia="Arial" w:hAnsi="Arial"/>
                <w:sz w:val="14"/>
                <w:szCs w:val="14"/>
                <w:b w:val="1"/>
                <w:bCs w:val="1"/>
                <w:color w:val="auto"/>
                <w:w w:val="92"/>
              </w:rPr>
              <w:t>For the 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264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1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17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(8,312)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Balance, December 31</w:t>
            </w:r>
          </w:p>
        </w:tc>
        <w:tc>
          <w:tcPr>
            <w:tcW w:w="17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20" w:type="dxa"/>
            <w:vAlign w:val="bottom"/>
            <w:vMerge w:val="restart"/>
          </w:tcPr>
          <w:p>
            <w:pPr>
              <w:jc w:val="right"/>
              <w:ind w:right="856"/>
              <w:spacing w:after="0"/>
              <w:rPr>
                <w:sz w:val="20"/>
                <w:szCs w:val="20"/>
                <w:color w:val="auto"/>
              </w:rPr>
            </w:pPr>
            <w:r>
              <w:rPr>
                <w:rFonts w:ascii="Arial" w:cs="Arial" w:eastAsia="Arial" w:hAnsi="Arial"/>
                <w:sz w:val="18"/>
                <w:szCs w:val="18"/>
                <w:color w:val="auto"/>
              </w:rPr>
              <w:t>91</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0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8"/>
              </w:rPr>
              <w:t>As of December 31,</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5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2"/>
                <w:szCs w:val="22"/>
                <w:color w:val="auto"/>
              </w:rPr>
            </w:pPr>
          </w:p>
        </w:tc>
        <w:tc>
          <w:tcPr>
            <w:tcW w:w="1620" w:type="dxa"/>
            <w:vAlign w:val="bottom"/>
          </w:tcPr>
          <w:p>
            <w:pPr>
              <w:jc w:val="right"/>
              <w:ind w:right="715"/>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2"/>
                <w:szCs w:val="22"/>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2017</w:t>
            </w: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33.18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17.85</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17.00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1"/>
                <w:szCs w:val="21"/>
                <w:color w:val="auto"/>
              </w:rPr>
            </w:pP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2.46 - 2.47%</w:t>
            </w: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5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2.31 years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2.58 - 3.31 years</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3.07 years</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260" w:type="dxa"/>
            <w:vAlign w:val="bottom"/>
          </w:tcPr>
          <w:p>
            <w:pPr>
              <w:spacing w:after="0"/>
              <w:rPr>
                <w:sz w:val="21"/>
                <w:szCs w:val="21"/>
                <w:color w:val="auto"/>
              </w:rPr>
            </w:pP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41.1 - 42.5%</w:t>
            </w: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5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changes in fair value of the warrant liability for the years ended December 31, 2019, 2018, and 2017 are primarily attributable to changes in the price of our common stock and exercises of outstanding warrants during the respective periods, with additional impact related to changes in other Black-Scholes model inputs.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2019, our 2018 Term Loan was carried at a cost of $145.8 million, net of debt issuance costs of $2.0 million, and had a fair value of $147.8 million as assessed under our Level 2 hierarchy. At December 31, 2018, our 2018 Term Loan was carried at a cost of $146.8 million, net of debt issuance costs of $2.5 million, and had a fair value of $146.3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May 24, 2018, we entered into a credit agreement (2018 Credit Agreement), which provides for (i) a $150 million 5-year senior secured term loan facility (2018 Term Loan) that matures on May 24, 2023; and (ii) a $85 million three-year secured revolving credit facility (2018 Revolving Credit Facility) that matures on May 24, 2021. Proceeds from the 2018 Term Loan were used to repay in full the outstanding amount due under our $150 million amended term loan (2015 Term Loan) due on November 10, 2019, and to pay fees and expenses incurred in connection with the 2018 Credit Agreement.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Term Loan</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2018 Term Loan bears interest at the LIBOR, as defined in the 2018 Credit Agreement and subject to a 1.00% floor, plus an annual margin rate of 4.75%, representing an all-in rate of 6.55% as of December 31, 2019, payable monthly based on our current interest period election. Quarterly principal payments of $0.4 million are also required. As of December 31, 2019, the outstanding principal balance of the 2018 Term Loan was $147.8 million.</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for the 2018 Term Loan includes interest and the amortization of issuance costs, an original issue discount and capitalized modification costs related to the 2015 Term Loan. For the year ended December 31, 2019, we recorded $11.2 million of interest expense. Remaining unamortized issuance costs and original issue discount were $2.0 million as of December 31, 2019 and are being amortized to interest expense using the effective interest method over the contractual life of the 2018 Term Loan.</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subject to certain covenants under the 2018 Term Loan (as defined in the 2018 Credit Agreement), including (but not limited to) a maximum debt-to-total capitalization ratio (as defined in the 2018 Credit Agreement) of 35% under the 2018 Term Loan. We were in compliance with all covenants as of December 31, 2019.</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due under the 2018 Term Loan as of December 31, 2019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5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jc w:val="right"/>
              <w:ind w:right="694"/>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2021</w:t>
            </w:r>
          </w:p>
        </w:tc>
        <w:tc>
          <w:tcPr>
            <w:tcW w:w="5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2023</w:t>
            </w:r>
          </w:p>
        </w:tc>
        <w:tc>
          <w:tcPr>
            <w:tcW w:w="5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143,250</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147,750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jc w:val="right"/>
              <w:ind w:right="3010"/>
              <w:spacing w:after="0"/>
              <w:rPr>
                <w:sz w:val="20"/>
                <w:szCs w:val="20"/>
                <w:color w:val="auto"/>
              </w:rPr>
            </w:pPr>
            <w:r>
              <w:rPr>
                <w:rFonts w:ascii="Arial" w:cs="Arial" w:eastAsia="Arial" w:hAnsi="Arial"/>
                <w:sz w:val="18"/>
                <w:szCs w:val="18"/>
                <w:color w:val="auto"/>
              </w:rPr>
              <w:t>92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5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Borrowings under the 2018 Revolving Credit Facility may be used for general corporate purposes and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As of December 31, 2019, no borrowings had been made under the 2018 Revolving Credit Facility.</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required to pay a quarterly commitment fee on the average daily undrawn amount of the 2018 Revolving Credit Facility, which ranges from 0.30% to 0.60%, based on the applicable corporate credit rating at the time. As of December 31, 2019, the applicable commitment fee was 0.40%. For the year ended December 31, 2019, we recorded $0.4 million of commitment fees in interest expense.</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incurred issuance costs of $1.5 million in connection with the establishment of the 2018 Revolving Credit Facility, which were deferred and recorded within "Other assets." These costs are being amortized through interest expense over the three-year life of the 2018 Revolving Credit Facility on a straight line basis. For the year ended December 31, 2019, we recognized $0.5 million of interest expense from the amortization of deferred issuance costs. At December 31, 2019, remaining deferred issuance costs were $0.7 million, net of accumulated amortization.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certain covenants under the 2018 Revolving Credit Facility, including (but not limited to) the following: a maximum debt-to-total capitalization ratio of 35%, a minimum liquidity requirement, compliance with the private mortgage insurer eligibility requirements (PMIERs) financial requirements (subject to any GSE-approved waivers), and minimum consolidated net worth and statutory capital requirements (respectively, as defined therein). We were in compliance with all covenants as of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enter into third-party reinsurance transactions to actively manage our risk, ensure compliance with PMIERs, state regulatory and other applicable capital requirements, and support the growth of our business. The GSEs and the Wisconsin Office of the Commissioner of Insurance (Wisconsin OCI) have approved all such transactions (subject to certain conditions and ongoing review, including levels of approved capital credit).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Net premiums written</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287,791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202,586</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(28,914)</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written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332,652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256,803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173,672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292,064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192,326</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(26,586)</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345,015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251,197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165,740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entered into excess-of-loss reinsurance agreements with Oaktown Re Ltd., Oaktown Re II Ltd. and Oaktown Re III Ltd. (special purpose reinsurance entities collectively referred to as the Oaktown Re Vehicles) effective May 2, 2017, July 25, 2018 and July 30, 2019, respectively. Each agreement provides NMIC with aggregate excess-of-loss reinsurance coverage on a defined portfolio of mortgage insurance policies written during a discrete period.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respective reinsurance coverage amounts provided by the Oaktown Re Vehicles decrease from the inception of each agreement over a 10 year period as the underlying insured mortgages are amortized or repaid, and/or the mortgage insurance coverage is canceled. The respective outstanding reinsurance coverage amounts stop amortizing if certain credit enhancement or delinquency thresholds, as defined in each agreement, are triggered.</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makes risk premium payments to the Oaktown Re Vehicles for the applicable outstanding reinsurance coverage amount and pays an additional amount for anticipated operating expenses (capped at $300 thousand per year to Oaktown Re Ltd. and $250 thousand per year to Oaktown Re II, Ltd. and Oaktown Re III, Ltd.). NMIC ceded aggregate premiums to the Oaktown Re Vehicles of $14.6 million, $9.6 million and $5.0 million during the years ended December 31, 2019, 2018 and 2017, respectively.</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NMIC applies claims paid on covered policies against its first layer aggregate retained loss exposure under each excess-of-loss agreement. NMIC did not cede any incurred losses on covered policies to the Oaktown Re Vehicles during the years ended December 31, 2019, 2018 or 2017, as the aggregate first layer risk retention was not exhausted for each applicable agreement during such periods.</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10 years from the inception date of each reinsurance agreement. We refer to NMIC's reinsurance agreements with and the insurance-linked note issuances by Oaktown Re Ltd., Oaktown Re II, Ltd. and Oaktown Re III, Ltd. individually as the 2017 ILN Transaction, 2018 ILN Transaction and 2019 ILN Transaction, and collectively as the ILN Transactions.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inception date, covered production period, initial and current reinsurance coverage amount, and initial and current first layer retained aggregate loss under each of the ILN Transactions.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Initial</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Initial First Layer</w:t>
            </w:r>
          </w:p>
        </w:tc>
        <w:tc>
          <w:tcPr>
            <w:tcW w:w="120" w:type="dxa"/>
            <w:vAlign w:val="bottom"/>
          </w:tcPr>
          <w:p>
            <w:pPr>
              <w:spacing w:after="0"/>
              <w:rPr>
                <w:sz w:val="14"/>
                <w:szCs w:val="14"/>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w w:val="99"/>
              </w:rPr>
              <w:t>Current First</w:t>
            </w:r>
          </w:p>
        </w:tc>
        <w:tc>
          <w:tcPr>
            <w:tcW w:w="0" w:type="dxa"/>
            <w:vAlign w:val="bottom"/>
          </w:tcPr>
          <w:p>
            <w:pPr>
              <w:spacing w:after="0"/>
              <w:rPr>
                <w:sz w:val="1"/>
                <w:szCs w:val="1"/>
                <w:color w:val="auto"/>
              </w:rPr>
            </w:pPr>
          </w:p>
        </w:tc>
      </w:tr>
      <w:tr>
        <w:trPr>
          <w:trHeight w:val="149"/>
        </w:trPr>
        <w:tc>
          <w:tcPr>
            <w:tcW w:w="20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 values in thousands)</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Inception Date</w:t>
            </w:r>
          </w:p>
        </w:tc>
        <w:tc>
          <w:tcPr>
            <w:tcW w:w="120" w:type="dxa"/>
            <w:vAlign w:val="bottom"/>
            <w:vMerge w:val="restart"/>
          </w:tcPr>
          <w:p>
            <w:pPr>
              <w:spacing w:after="0"/>
              <w:rPr>
                <w:sz w:val="12"/>
                <w:szCs w:val="12"/>
                <w:color w:val="auto"/>
              </w:rPr>
            </w:pPr>
          </w:p>
        </w:tc>
        <w:tc>
          <w:tcPr>
            <w:tcW w:w="22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Covered Production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Reinsurance</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Reinsurance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Layer Retained</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Coverage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0"/>
              </w:rPr>
              <w:t>Coverage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Retained 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ILN Transaction</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2, 2017</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1/1/2013 - 12/31/2016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123,330</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2018 ILN Transaction</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25, 2018</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1/1/2017 - 5/31/2018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264,545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202,396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125,312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124,594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 ILN Transaction</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30, 2019</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6/1/2018 - 6/30/2019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326,905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301,396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123,424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123,424</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2018 ILN Transaction and the 2019 ILN Transaction, we are required to maintain a certain level of restricted funds in premium deposit accounts with Bank of New York Mellon until the respective notes have been redeemed in full. "Cash and cash equivalents" on our condensed consolidated balance sheet includes restricted amounts of $2.7 million as of December 31, 2019. We are not required to deposit additional funds into the premium deposit accounts in the future and the restricted balances required under these transactions will decrease over time as the outstanding principal balances of the respective insurance-linked notes decline.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Under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8"/>
          <w:szCs w:val="18"/>
          <w:color w:val="212529"/>
        </w:rPr>
        <w:t>The 2016 QSR Transaction is scheduled to terminate on</w:t>
      </w:r>
      <w:r>
        <w:rPr>
          <w:rFonts w:ascii="Arial" w:cs="Arial" w:eastAsia="Arial" w:hAnsi="Arial"/>
          <w:sz w:val="18"/>
          <w:szCs w:val="18"/>
          <w:color w:val="auto"/>
        </w:rPr>
        <w:t xml:space="preserve"> </w:t>
      </w:r>
      <w:r>
        <w:rPr>
          <w:rFonts w:ascii="Arial" w:cs="Arial" w:eastAsia="Arial" w:hAnsi="Arial"/>
          <w:sz w:val="18"/>
          <w:szCs w:val="18"/>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reassuming the related risk.</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reassuming the related risk.</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may terminate either or both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9"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For the year ended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58"/>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December 31, 2019</w:t>
            </w:r>
          </w:p>
        </w:tc>
        <w:tc>
          <w:tcPr>
            <w:tcW w:w="260" w:type="dxa"/>
            <w:vAlign w:val="bottom"/>
          </w:tcPr>
          <w:p>
            <w:pPr>
              <w:spacing w:after="0"/>
              <w:rPr>
                <w:sz w:val="22"/>
                <w:szCs w:val="22"/>
                <w:color w:val="auto"/>
              </w:rPr>
            </w:pPr>
          </w:p>
        </w:tc>
        <w:tc>
          <w:tcPr>
            <w:tcW w:w="15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22"/>
                <w:szCs w:val="22"/>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2017</w:t>
            </w:r>
          </w:p>
        </w:tc>
      </w:tr>
      <w:tr>
        <w:trPr>
          <w:trHeight w:val="276"/>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center"/>
              <w:ind w:right="157"/>
              <w:spacing w:after="0"/>
              <w:rPr>
                <w:sz w:val="20"/>
                <w:szCs w:val="20"/>
                <w:color w:val="auto"/>
              </w:rPr>
            </w:pPr>
            <w:r>
              <w:rPr>
                <w:rFonts w:ascii="Arial" w:cs="Arial" w:eastAsia="Arial" w:hAnsi="Arial"/>
                <w:sz w:val="14"/>
                <w:szCs w:val="14"/>
                <w:i w:val="1"/>
                <w:iCs w:val="1"/>
                <w:color w:val="auto"/>
                <w:w w:val="93"/>
              </w:rPr>
              <w:t>(In Thousands)</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5,137,249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4,292,450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2,983,353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Ceded premiums earned</w:t>
            </w:r>
          </w:p>
        </w:tc>
        <w:tc>
          <w:tcPr>
            <w:tcW w:w="2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(89,211)</w:t>
            </w:r>
          </w:p>
        </w:tc>
        <w:tc>
          <w:tcPr>
            <w:tcW w:w="26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(74,068)</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(49,619)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claims and claim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3,465</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1,763</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200" w:type="dxa"/>
            <w:vAlign w:val="bottom"/>
          </w:tcPr>
          <w:p>
            <w:pPr>
              <w:spacing w:after="0"/>
              <w:rPr>
                <w:sz w:val="21"/>
                <w:szCs w:val="21"/>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17,652</w:t>
            </w:r>
          </w:p>
        </w:tc>
        <w:tc>
          <w:tcPr>
            <w:tcW w:w="260" w:type="dxa"/>
            <w:vAlign w:val="bottom"/>
          </w:tcPr>
          <w:p>
            <w:pPr>
              <w:spacing w:after="0"/>
              <w:rPr>
                <w:sz w:val="21"/>
                <w:szCs w:val="21"/>
                <w:color w:val="auto"/>
              </w:rPr>
            </w:pPr>
          </w:p>
        </w:tc>
        <w:tc>
          <w:tcPr>
            <w:tcW w:w="1560" w:type="dxa"/>
            <w:vAlign w:val="bottom"/>
          </w:tcPr>
          <w:p>
            <w:pPr>
              <w:jc w:val="right"/>
              <w:ind w:right="77"/>
              <w:spacing w:after="0"/>
              <w:rPr>
                <w:sz w:val="20"/>
                <w:szCs w:val="20"/>
                <w:color w:val="auto"/>
              </w:rPr>
            </w:pPr>
            <w:r>
              <w:rPr>
                <w:rFonts w:ascii="Arial" w:cs="Arial" w:eastAsia="Arial" w:hAnsi="Arial"/>
                <w:sz w:val="18"/>
                <w:szCs w:val="18"/>
                <w:color w:val="auto"/>
              </w:rPr>
              <w:t>14,585</w:t>
            </w:r>
          </w:p>
        </w:tc>
        <w:tc>
          <w:tcPr>
            <w:tcW w:w="2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9,806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commission</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50,513</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42,846</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28,084</w:t>
            </w:r>
          </w:p>
        </w:tc>
      </w:tr>
      <w:tr>
        <w:trPr>
          <w:trHeight w:val="27"/>
        </w:trPr>
        <w:tc>
          <w:tcPr>
            <w:tcW w:w="6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 Transaction and 2018 QSR Transaction generally remain below 60% and 61%, respectively, as measured annually. Ceded claims and claim expenses under each of the QSR Transactions reduce the respective profit commission received by NMIC on a dollar-for-dollar basis.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PMIERs funding requirements for risk ceded to non-affiliates. The reinsurance recoverable on loss reserves related to our 2016 QSR Transaction was $2.8 million as of December 31, 2019.</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our 2018 QSR Transaction was $2.1 million as of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Reserves for Insurance Claims and Claim Expenses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"IBNR" reserves. We also establish claim expense reserves, which represent the estimated cost of the claim administration process, including legal and other fees, as well as other general expenses of administering the claims settlement process. As of December 31, 2019, we had reserves for insurance claims and claim expenses of $23.8 million for 1,448 primary loans in default. During the year ended December 31, 2019, we paid 152 claims totaling $5.0 million, including 142 claims covered under the QSR Transactions representing $1.0 million of ceded claims and claim expenses.</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December 31, 2019, 46 loans in the pool were past due by 60 days or more. These 46 loans represented approximately $3.0 million of RIF. Due to the size of the remaining deductible, the low level of notices of defaults (NODs) reported on loans in the pool through December 31, 2019 and the expected severity (all loans in the pool have LTV ratios under 80%), we did not establish any case or IBNR reserves for pool risk at December 31, 2019. In connection with the settlement of pool claims, we applied $0.8 million to the pool deductible through December 31, 2019. At December 31, 2019, the remaining pool deductible was $9.5 million. We have not paid any pool claims to date. 100% of our pool RIF is reinsured under the 2016 QSR Transaction.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318"/>
        </w:trPr>
        <w:tc>
          <w:tcPr>
            <w:tcW w:w="6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6,140</w:t>
            </w:r>
          </w:p>
        </w:tc>
      </w:tr>
      <w:tr>
        <w:trPr>
          <w:trHeight w:val="270"/>
        </w:trPr>
        <w:tc>
          <w:tcPr>
            <w:tcW w:w="606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incurred</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5,339</w:t>
            </w:r>
          </w:p>
        </w:tc>
      </w:tr>
      <w:tr>
        <w:trPr>
          <w:trHeight w:val="318"/>
        </w:trPr>
        <w:tc>
          <w:tcPr>
            <w:tcW w:w="6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70"/>
        </w:trPr>
        <w:tc>
          <w:tcPr>
            <w:tcW w:w="606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1,157</w:t>
            </w: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Reinsurance terminations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claims and claim expenses paid</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20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9,810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6,859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1,902</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23,752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8,761</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hanging="332"/>
        <w:spacing w:after="0" w:line="215"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Related to ceded losses recoverable under the QSR Transactions, included in "Other assets" on the Consolidated Balance Sheets. See Note 6, "</w:t>
      </w:r>
      <w:r>
        <w:rPr>
          <w:rFonts w:ascii="Arial" w:cs="Arial" w:eastAsia="Arial" w:hAnsi="Arial"/>
          <w:sz w:val="16"/>
          <w:szCs w:val="16"/>
          <w:i w:val="1"/>
          <w:iCs w:val="1"/>
          <w:color w:val="auto"/>
        </w:rPr>
        <w:t>Reinsurance</w:t>
      </w:r>
      <w:r>
        <w:rPr>
          <w:rFonts w:ascii="Arial" w:cs="Arial" w:eastAsia="Arial" w:hAnsi="Arial"/>
          <w:sz w:val="16"/>
          <w:szCs w:val="16"/>
          <w:color w:val="auto"/>
        </w:rPr>
        <w:t>" for additional information.</w:t>
      </w:r>
    </w:p>
    <w:p>
      <w:pPr>
        <w:ind w:left="340" w:right="20" w:hanging="332"/>
        <w:spacing w:after="0" w:line="207"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w:t>
      </w:r>
    </w:p>
    <w:p>
      <w:pPr>
        <w:spacing w:after="0" w:line="1" w:lineRule="exact"/>
        <w:rPr>
          <w:rFonts w:ascii="Arial" w:cs="Arial" w:eastAsia="Arial" w:hAnsi="Arial"/>
          <w:sz w:val="22"/>
          <w:szCs w:val="22"/>
          <w:color w:val="auto"/>
          <w:vertAlign w:val="superscript"/>
        </w:rPr>
      </w:pPr>
    </w:p>
    <w:p>
      <w:pPr>
        <w:ind w:left="340" w:right="20" w:hanging="332"/>
        <w:spacing w:after="0" w:line="207"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Related to insured loans with defaults occurring in prior years, which have been continuously in default before the start of the current year. Amounts are presented net of reinsurance.</w:t>
      </w:r>
    </w:p>
    <w:p>
      <w:pPr>
        <w:spacing w:after="0" w:line="1" w:lineRule="exact"/>
        <w:rPr>
          <w:rFonts w:ascii="Arial" w:cs="Arial" w:eastAsia="Arial" w:hAnsi="Arial"/>
          <w:sz w:val="22"/>
          <w:szCs w:val="22"/>
          <w:color w:val="auto"/>
          <w:vertAlign w:val="superscript"/>
        </w:rPr>
      </w:pPr>
    </w:p>
    <w:p>
      <w:pPr>
        <w:ind w:left="340" w:hanging="332"/>
        <w:spacing w:after="0" w:line="209"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Represents the settlement of reinsurance recoverables in conjunction with the termination of one reinsurer under the 2016 QSR Transaction on a cut-off basis. See Note 6, "</w:t>
      </w:r>
      <w:r>
        <w:rPr>
          <w:rFonts w:ascii="Arial" w:cs="Arial" w:eastAsia="Arial" w:hAnsi="Arial"/>
          <w:sz w:val="16"/>
          <w:szCs w:val="16"/>
          <w:i w:val="1"/>
          <w:iCs w:val="1"/>
          <w:color w:val="auto"/>
        </w:rPr>
        <w:t>Reinsurance</w:t>
      </w:r>
      <w:r>
        <w:rPr>
          <w:rFonts w:ascii="Arial" w:cs="Arial" w:eastAsia="Arial" w:hAnsi="Arial"/>
          <w:sz w:val="16"/>
          <w:szCs w:val="16"/>
          <w:color w:val="auto"/>
        </w:rPr>
        <w:t>" for additional information.</w:t>
      </w:r>
    </w:p>
    <w:p>
      <w:pPr>
        <w:spacing w:after="0" w:line="1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"claims incurred" section of the table above shows claims and claim expenses incurred on NODs for current and prior years, including IBNR reserves and is presented net of reinsurance. The amount of claims incurred relating to current year NODs represents the estimated amount of claims and claim expenses to be ultimately paid on such loans in default. We recognized $2.2 million, $2.4 million, and $0.8 million of favorable prior year development during the years ended December 31, 2019, 2018 and 2017,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$5.2 million related to prior year defaults remained as of December 31, 2019.</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claim development data, by accident year and a reconciliation to the reserve for insurance claims and claim expenses.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gridSpan w:val="9"/>
          </w:tcPr>
          <w:p>
            <w:pPr>
              <w:jc w:val="right"/>
              <w:ind w:right="453"/>
              <w:spacing w:after="0"/>
              <w:rPr>
                <w:sz w:val="20"/>
                <w:szCs w:val="20"/>
                <w:color w:val="auto"/>
              </w:rPr>
            </w:pPr>
            <w:r>
              <w:rPr>
                <w:rFonts w:ascii="Arial" w:cs="Arial" w:eastAsia="Arial" w:hAnsi="Arial"/>
                <w:sz w:val="14"/>
                <w:szCs w:val="14"/>
                <w:b w:val="1"/>
                <w:bCs w:val="1"/>
                <w:color w:val="auto"/>
                <w:w w:val="96"/>
              </w:rPr>
              <w:t xml:space="preserve">Cumulative Incurred Claims and Allocated Claims Adjustment Expenses, net of Reinsurance </w:t>
            </w:r>
            <w:r>
              <w:rPr>
                <w:rFonts w:ascii="Arial" w:cs="Arial" w:eastAsia="Arial" w:hAnsi="Arial"/>
                <w:sz w:val="8"/>
                <w:szCs w:val="8"/>
                <w:b w:val="1"/>
                <w:bCs w:val="1"/>
                <w:color w:val="auto"/>
                <w:w w:val="96"/>
              </w:rPr>
              <w:t>(1)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9"/>
        </w:trPr>
        <w:tc>
          <w:tcPr>
            <w:tcW w:w="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Accident</w:t>
            </w:r>
          </w:p>
        </w:tc>
        <w:tc>
          <w:tcPr>
            <w:tcW w:w="260" w:type="dxa"/>
            <w:vAlign w:val="bottom"/>
          </w:tcPr>
          <w:p>
            <w:pPr>
              <w:spacing w:after="0"/>
              <w:rPr>
                <w:sz w:val="12"/>
                <w:szCs w:val="12"/>
                <w:color w:val="auto"/>
              </w:rPr>
            </w:pPr>
          </w:p>
        </w:tc>
        <w:tc>
          <w:tcPr>
            <w:tcW w:w="82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140" w:type="dxa"/>
            <w:vAlign w:val="bottom"/>
            <w:vMerge w:val="restart"/>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14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2"/>
                <w:szCs w:val="12"/>
                <w:color w:val="auto"/>
              </w:rPr>
            </w:pPr>
          </w:p>
        </w:tc>
        <w:tc>
          <w:tcPr>
            <w:tcW w:w="8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8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of IBNR</w:t>
            </w:r>
          </w:p>
        </w:tc>
        <w:tc>
          <w:tcPr>
            <w:tcW w:w="11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 xml:space="preserve">NODs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8"/>
              </w:rPr>
              <w:t>Year</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i w:val="1"/>
                <w:iCs w:val="1"/>
                <w:color w:val="auto"/>
                <w:w w:val="95"/>
              </w:rPr>
              <w:t>($ Values In Thousands)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6"/>
                <w:szCs w:val="16"/>
                <w:color w:val="auto"/>
                <w:w w:val="95"/>
              </w:rPr>
              <w:t>2013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gridSpan w:val="3"/>
          </w:tcPr>
          <w:p>
            <w:pPr>
              <w:jc w:val="right"/>
              <w:ind w:right="188"/>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Arial" w:cs="Arial" w:eastAsia="Arial" w:hAnsi="Arial"/>
                <w:sz w:val="18"/>
                <w:szCs w:val="18"/>
                <w:color w:val="auto"/>
              </w:rPr>
              <w:t>83</w:t>
            </w:r>
          </w:p>
        </w:tc>
        <w:tc>
          <w:tcPr>
            <w:tcW w:w="1140" w:type="dxa"/>
            <w:vAlign w:val="bottom"/>
          </w:tcPr>
          <w:p>
            <w:pPr>
              <w:jc w:val="right"/>
              <w:ind w:right="374"/>
              <w:spacing w:after="0"/>
              <w:rPr>
                <w:sz w:val="20"/>
                <w:szCs w:val="20"/>
                <w:color w:val="auto"/>
              </w:rPr>
            </w:pPr>
            <w:r>
              <w:rPr>
                <w:rFonts w:ascii="Arial" w:cs="Arial" w:eastAsia="Arial" w:hAnsi="Arial"/>
                <w:sz w:val="18"/>
                <w:szCs w:val="18"/>
                <w:color w:val="auto"/>
              </w:rPr>
              <w:t>34</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6"/>
                <w:szCs w:val="16"/>
                <w:color w:val="auto"/>
                <w:w w:val="95"/>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699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764</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20" w:type="dxa"/>
            <w:vAlign w:val="bottom"/>
            <w:gridSpan w:val="3"/>
          </w:tcPr>
          <w:p>
            <w:pPr>
              <w:jc w:val="right"/>
              <w:ind w:right="188"/>
              <w:spacing w:after="0"/>
              <w:rPr>
                <w:sz w:val="20"/>
                <w:szCs w:val="20"/>
                <w:color w:val="auto"/>
              </w:rPr>
            </w:pPr>
            <w:r>
              <w:rPr>
                <w:rFonts w:ascii="Arial" w:cs="Arial" w:eastAsia="Arial" w:hAnsi="Arial"/>
                <w:sz w:val="16"/>
                <w:szCs w:val="16"/>
                <w:color w:val="auto"/>
                <w:w w:val="95"/>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2,394</w:t>
            </w:r>
          </w:p>
        </w:tc>
        <w:tc>
          <w:tcPr>
            <w:tcW w:w="38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1,568</w:t>
            </w:r>
          </w:p>
        </w:tc>
        <w:tc>
          <w:tcPr>
            <w:tcW w:w="380" w:type="dxa"/>
            <w:vAlign w:val="bottom"/>
          </w:tcPr>
          <w:p>
            <w:pPr>
              <w:spacing w:after="0"/>
              <w:rPr>
                <w:sz w:val="21"/>
                <w:szCs w:val="21"/>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1,790</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1,934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6"/>
                <w:szCs w:val="16"/>
                <w:color w:val="auto"/>
                <w:w w:val="95"/>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6,028</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3,475</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20" w:type="dxa"/>
            <w:vAlign w:val="bottom"/>
            <w:gridSpan w:val="3"/>
          </w:tcPr>
          <w:p>
            <w:pPr>
              <w:jc w:val="right"/>
              <w:ind w:right="188"/>
              <w:spacing w:after="0"/>
              <w:rPr>
                <w:sz w:val="20"/>
                <w:szCs w:val="20"/>
                <w:color w:val="auto"/>
              </w:rPr>
            </w:pPr>
            <w:r>
              <w:rPr>
                <w:rFonts w:ascii="Arial" w:cs="Arial" w:eastAsia="Arial" w:hAnsi="Arial"/>
                <w:sz w:val="16"/>
                <w:szCs w:val="16"/>
                <w:color w:val="auto"/>
                <w:w w:val="95"/>
              </w:rPr>
              <w:t>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7,779</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5,271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6"/>
                <w:szCs w:val="16"/>
                <w:color w:val="auto"/>
                <w:w w:val="95"/>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14,391</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26,064</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Amounts include case and IBNR reserves.</w:t>
      </w:r>
    </w:p>
    <w:p>
      <w:pPr>
        <w:ind w:left="340" w:hanging="332"/>
        <w:spacing w:after="0" w:line="182"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The number of NODs outstanding as of December 31, 2019 is the total number of loans in default over 60 days.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80" w:type="dxa"/>
            <w:vAlign w:val="bottom"/>
            <w:tcBorders>
              <w:bottom w:val="single" w:sz="8" w:color="auto"/>
            </w:tcBorders>
            <w:gridSpan w:val="7"/>
          </w:tcPr>
          <w:p>
            <w:pPr>
              <w:jc w:val="right"/>
              <w:ind w:right="830"/>
              <w:spacing w:after="0"/>
              <w:rPr>
                <w:sz w:val="20"/>
                <w:szCs w:val="20"/>
                <w:color w:val="auto"/>
              </w:rPr>
            </w:pPr>
            <w:r>
              <w:rPr>
                <w:rFonts w:ascii="Arial" w:cs="Arial" w:eastAsia="Arial" w:hAnsi="Arial"/>
                <w:sz w:val="14"/>
                <w:szCs w:val="14"/>
                <w:b w:val="1"/>
                <w:bCs w:val="1"/>
                <w:color w:val="auto"/>
              </w:rPr>
              <w:t>Cumulative Paid Claims and Claims Adjustment Expenses, net of Reinsurance</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210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w w:val="89"/>
              </w:rPr>
              <w:t>Accident Year</w:t>
            </w:r>
          </w:p>
        </w:tc>
        <w:tc>
          <w:tcPr>
            <w:tcW w:w="720" w:type="dxa"/>
            <w:vAlign w:val="bottom"/>
          </w:tcPr>
          <w:p>
            <w:pPr>
              <w:jc w:val="right"/>
              <w:ind w:right="319"/>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Pr>
          <w:p>
            <w:pPr>
              <w:spacing w:after="0"/>
              <w:rPr>
                <w:sz w:val="19"/>
                <w:szCs w:val="19"/>
                <w:color w:val="auto"/>
              </w:rPr>
            </w:pPr>
          </w:p>
        </w:tc>
        <w:tc>
          <w:tcPr>
            <w:tcW w:w="1140" w:type="dxa"/>
            <w:vAlign w:val="bottom"/>
          </w:tcPr>
          <w:p>
            <w:pPr>
              <w:jc w:val="right"/>
              <w:ind w:right="621"/>
              <w:spacing w:after="0"/>
              <w:rPr>
                <w:sz w:val="20"/>
                <w:szCs w:val="20"/>
                <w:color w:val="auto"/>
              </w:rPr>
            </w:pPr>
            <w:r>
              <w:rPr>
                <w:rFonts w:ascii="Arial" w:cs="Arial" w:eastAsia="Arial" w:hAnsi="Arial"/>
                <w:sz w:val="14"/>
                <w:szCs w:val="14"/>
                <w:b w:val="1"/>
                <w:bCs w:val="1"/>
                <w:color w:val="auto"/>
              </w:rPr>
              <w:t>2014</w:t>
            </w:r>
          </w:p>
        </w:tc>
        <w:tc>
          <w:tcPr>
            <w:tcW w:w="1340" w:type="dxa"/>
            <w:vAlign w:val="bottom"/>
          </w:tcPr>
          <w:p>
            <w:pPr>
              <w:jc w:val="right"/>
              <w:ind w:right="717"/>
              <w:spacing w:after="0"/>
              <w:rPr>
                <w:sz w:val="20"/>
                <w:szCs w:val="20"/>
                <w:color w:val="auto"/>
              </w:rPr>
            </w:pPr>
            <w:r>
              <w:rPr>
                <w:rFonts w:ascii="Arial" w:cs="Arial" w:eastAsia="Arial" w:hAnsi="Arial"/>
                <w:sz w:val="14"/>
                <w:szCs w:val="14"/>
                <w:b w:val="1"/>
                <w:bCs w:val="1"/>
                <w:color w:val="auto"/>
              </w:rPr>
              <w:t>2015</w:t>
            </w:r>
          </w:p>
        </w:tc>
        <w:tc>
          <w:tcPr>
            <w:tcW w:w="1140" w:type="dxa"/>
            <w:vAlign w:val="bottom"/>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9"/>
                <w:szCs w:val="19"/>
                <w:color w:val="auto"/>
              </w:rPr>
            </w:pPr>
          </w:p>
        </w:tc>
        <w:tc>
          <w:tcPr>
            <w:tcW w:w="9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9"/>
                <w:szCs w:val="19"/>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80" w:type="dxa"/>
            <w:vAlign w:val="bottom"/>
            <w:gridSpan w:val="2"/>
          </w:tcPr>
          <w:p>
            <w:pPr>
              <w:jc w:val="right"/>
              <w:ind w:right="1057"/>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2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6"/>
                <w:szCs w:val="16"/>
                <w:color w:val="auto"/>
              </w:rPr>
              <w:t>2014</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7"/>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94"/>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ind w:right="530"/>
              <w:spacing w:after="0"/>
              <w:rPr>
                <w:sz w:val="20"/>
                <w:szCs w:val="20"/>
                <w:color w:val="auto"/>
              </w:rPr>
            </w:pPr>
            <w:r>
              <w:rPr>
                <w:rFonts w:ascii="Arial" w:cs="Arial" w:eastAsia="Arial" w:hAnsi="Arial"/>
                <w:sz w:val="18"/>
                <w:szCs w:val="18"/>
                <w:color w:val="auto"/>
              </w:rPr>
              <w:t>4</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8"/>
                <w:szCs w:val="18"/>
                <w:color w:val="auto"/>
              </w:rPr>
              <w:t>50</w:t>
            </w:r>
          </w:p>
        </w:tc>
        <w:tc>
          <w:tcPr>
            <w:tcW w:w="114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246</w:t>
            </w:r>
          </w:p>
        </w:tc>
        <w:tc>
          <w:tcPr>
            <w:tcW w:w="138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684</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720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6"/>
                <w:szCs w:val="16"/>
                <w:color w:val="auto"/>
              </w:rPr>
              <w:t>2016</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40" w:type="dxa"/>
            <w:vAlign w:val="bottom"/>
          </w:tcPr>
          <w:p>
            <w:pPr>
              <w:jc w:val="right"/>
              <w:ind w:right="394"/>
              <w:spacing w:after="0"/>
              <w:rPr>
                <w:sz w:val="20"/>
                <w:szCs w:val="20"/>
                <w:color w:val="auto"/>
              </w:rPr>
            </w:pPr>
            <w:r>
              <w:rPr>
                <w:rFonts w:ascii="Arial" w:cs="Arial" w:eastAsia="Arial" w:hAnsi="Arial"/>
                <w:sz w:val="18"/>
                <w:szCs w:val="18"/>
                <w:color w:val="auto"/>
              </w:rPr>
              <w:t>171</w:t>
            </w:r>
          </w:p>
        </w:tc>
        <w:tc>
          <w:tcPr>
            <w:tcW w:w="1380" w:type="dxa"/>
            <w:vAlign w:val="bottom"/>
            <w:gridSpan w:val="2"/>
          </w:tcPr>
          <w:p>
            <w:pPr>
              <w:jc w:val="right"/>
              <w:ind w:right="530"/>
              <w:spacing w:after="0"/>
              <w:rPr>
                <w:sz w:val="20"/>
                <w:szCs w:val="20"/>
                <w:color w:val="auto"/>
              </w:rPr>
            </w:pPr>
            <w:r>
              <w:rPr>
                <w:rFonts w:ascii="Arial" w:cs="Arial" w:eastAsia="Arial" w:hAnsi="Arial"/>
                <w:sz w:val="18"/>
                <w:szCs w:val="18"/>
                <w:color w:val="auto"/>
              </w:rPr>
              <w:t>890</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1,596</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27</w:t>
            </w:r>
          </w:p>
        </w:tc>
        <w:tc>
          <w:tcPr>
            <w:tcW w:w="9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1,655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6"/>
                <w:szCs w:val="16"/>
                <w:color w:val="auto"/>
              </w:rPr>
              <w:t>2018</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8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700" w:type="dxa"/>
            <w:vAlign w:val="bottom"/>
            <w:gridSpan w:val="7"/>
          </w:tcPr>
          <w:p>
            <w:pPr>
              <w:spacing w:after="0"/>
              <w:rPr>
                <w:sz w:val="2"/>
                <w:szCs w:val="2"/>
                <w:color w:val="auto"/>
              </w:rPr>
            </w:pPr>
          </w:p>
        </w:tc>
        <w:tc>
          <w:tcPr>
            <w:tcW w:w="17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9"/>
        </w:trPr>
        <w:tc>
          <w:tcPr>
            <w:tcW w:w="90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gridSpan w:val="12"/>
          </w:tcPr>
          <w:p>
            <w:pPr>
              <w:jc w:val="right"/>
              <w:ind w:right="310"/>
              <w:spacing w:after="0"/>
              <w:rPr>
                <w:sz w:val="20"/>
                <w:szCs w:val="20"/>
                <w:color w:val="auto"/>
              </w:rPr>
            </w:pPr>
            <w:r>
              <w:rPr>
                <w:rFonts w:ascii="Arial" w:cs="Arial" w:eastAsia="Arial" w:hAnsi="Arial"/>
                <w:sz w:val="14"/>
                <w:szCs w:val="14"/>
                <w:b w:val="1"/>
                <w:bCs w:val="1"/>
                <w:color w:val="auto"/>
                <w:w w:val="99"/>
              </w:rPr>
              <w:t>Reconciliation of Disclosure of Incurred and Paid Claims Development to the Liability for Unpaid Claims and Claim Adjustment Expenses</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jc w:val="right"/>
              <w:ind w:right="337"/>
              <w:spacing w:after="0"/>
              <w:rPr>
                <w:sz w:val="20"/>
                <w:szCs w:val="20"/>
                <w:color w:val="auto"/>
              </w:rPr>
            </w:pPr>
            <w:r>
              <w:rPr>
                <w:rFonts w:ascii="Arial" w:cs="Arial" w:eastAsia="Arial" w:hAnsi="Arial"/>
                <w:sz w:val="14"/>
                <w:szCs w:val="14"/>
                <w:i w:val="1"/>
                <w:iCs w:val="1"/>
                <w:color w:val="auto"/>
                <w:w w:val="95"/>
              </w:rPr>
              <w:t>(In Thousands)</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20" w:type="dxa"/>
            <w:vAlign w:val="bottom"/>
            <w:gridSpan w:val="3"/>
          </w:tcPr>
          <w:p>
            <w:pPr>
              <w:jc w:val="right"/>
              <w:ind w:right="691"/>
              <w:spacing w:after="0"/>
              <w:rPr>
                <w:sz w:val="20"/>
                <w:szCs w:val="20"/>
                <w:color w:val="auto"/>
              </w:rPr>
            </w:pPr>
            <w:r>
              <w:rPr>
                <w:rFonts w:ascii="Arial" w:cs="Arial" w:eastAsia="Arial" w:hAnsi="Arial"/>
                <w:sz w:val="14"/>
                <w:szCs w:val="14"/>
                <w:b w:val="1"/>
                <w:bCs w:val="1"/>
                <w:color w:val="auto"/>
                <w:w w:val="92"/>
              </w:rPr>
              <w:t>As of December 31, 2019</w:t>
            </w:r>
          </w:p>
        </w:tc>
        <w:tc>
          <w:tcPr>
            <w:tcW w:w="0" w:type="dxa"/>
            <w:vAlign w:val="bottom"/>
          </w:tcPr>
          <w:p>
            <w:pPr>
              <w:spacing w:after="0"/>
              <w:rPr>
                <w:sz w:val="1"/>
                <w:szCs w:val="1"/>
                <w:color w:val="auto"/>
              </w:rPr>
            </w:pPr>
          </w:p>
        </w:tc>
      </w:tr>
      <w:tr>
        <w:trPr>
          <w:trHeight w:val="249"/>
        </w:trPr>
        <w:tc>
          <w:tcPr>
            <w:tcW w:w="7720" w:type="dxa"/>
            <w:vAlign w:val="bottom"/>
            <w:gridSpan w:val="9"/>
            <w:shd w:val="clear" w:color="auto" w:fill="CCEEFF"/>
          </w:tcPr>
          <w:p>
            <w:pPr>
              <w:ind w:left="40"/>
              <w:spacing w:after="0"/>
              <w:rPr>
                <w:sz w:val="20"/>
                <w:szCs w:val="20"/>
                <w:color w:val="auto"/>
              </w:rPr>
            </w:pPr>
            <w:r>
              <w:rPr>
                <w:rFonts w:ascii="Arial" w:cs="Arial" w:eastAsia="Arial" w:hAnsi="Arial"/>
                <w:sz w:val="18"/>
                <w:szCs w:val="18"/>
                <w:color w:val="auto"/>
              </w:rPr>
              <w:t>Cumulative Incurred Claims and Allocated Claims Adjustment Expenses, net of Reinsurance</w:t>
            </w:r>
          </w:p>
        </w:tc>
        <w:tc>
          <w:tcPr>
            <w:tcW w:w="1380" w:type="dxa"/>
            <w:vAlign w:val="bottom"/>
            <w:gridSpan w:val="2"/>
            <w:vMerge w:val="restart"/>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23"/>
        </w:trPr>
        <w:tc>
          <w:tcPr>
            <w:tcW w:w="9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vMerge w:val="continue"/>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gridSpan w:val="8"/>
          </w:tcPr>
          <w:p>
            <w:pPr>
              <w:ind w:left="40"/>
              <w:spacing w:after="0"/>
              <w:rPr>
                <w:sz w:val="20"/>
                <w:szCs w:val="20"/>
                <w:color w:val="auto"/>
              </w:rPr>
            </w:pPr>
            <w:r>
              <w:rPr>
                <w:rFonts w:ascii="Arial" w:cs="Arial" w:eastAsia="Arial" w:hAnsi="Arial"/>
                <w:sz w:val="18"/>
                <w:szCs w:val="18"/>
                <w:color w:val="auto"/>
              </w:rPr>
              <w:t>Cumulative Paid Claims and Claims Adjustment Expenses, net of Reinsurance</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gridSpan w:val="2"/>
          </w:tcPr>
          <w:p>
            <w:pPr>
              <w:spacing w:after="0"/>
              <w:rPr>
                <w:sz w:val="2"/>
                <w:szCs w:val="2"/>
                <w:color w:val="auto"/>
              </w:rPr>
            </w:pPr>
          </w:p>
        </w:tc>
        <w:tc>
          <w:tcPr>
            <w:tcW w:w="4820" w:type="dxa"/>
            <w:vAlign w:val="bottom"/>
            <w:tcBorders>
              <w:bottom w:val="single" w:sz="8" w:color="CCEEFF"/>
            </w:tcBorders>
            <w:gridSpan w:val="6"/>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1"/>
              </w:rPr>
              <w:t>Liabilities for unpaid claims and allocated claims adjustment expenses, net of reinsurance</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18,455</w:t>
            </w:r>
          </w:p>
        </w:tc>
        <w:tc>
          <w:tcPr>
            <w:tcW w:w="0" w:type="dxa"/>
            <w:vAlign w:val="bottom"/>
          </w:tcPr>
          <w:p>
            <w:pPr>
              <w:spacing w:after="0"/>
              <w:rPr>
                <w:sz w:val="1"/>
                <w:szCs w:val="1"/>
                <w:color w:val="auto"/>
              </w:rPr>
            </w:pPr>
          </w:p>
        </w:tc>
      </w:tr>
      <w:tr>
        <w:trPr>
          <w:trHeight w:val="243"/>
        </w:trPr>
        <w:tc>
          <w:tcPr>
            <w:tcW w:w="3720" w:type="dxa"/>
            <w:vAlign w:val="bottom"/>
            <w:gridSpan w:val="5"/>
          </w:tcPr>
          <w:p>
            <w:pPr>
              <w:ind w:left="40"/>
              <w:spacing w:after="0"/>
              <w:rPr>
                <w:sz w:val="20"/>
                <w:szCs w:val="20"/>
                <w:color w:val="auto"/>
              </w:rPr>
            </w:pPr>
            <w:r>
              <w:rPr>
                <w:rFonts w:ascii="Arial" w:cs="Arial" w:eastAsia="Arial" w:hAnsi="Arial"/>
                <w:sz w:val="18"/>
                <w:szCs w:val="18"/>
                <w:color w:val="auto"/>
              </w:rPr>
              <w:t>Reinsurance recoverable on unpaid claims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7"/>
        </w:trPr>
        <w:tc>
          <w:tcPr>
            <w:tcW w:w="17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0"/>
              </w:rPr>
              <w:t>Unallocated claims adjustment expenses</w:t>
            </w:r>
          </w:p>
        </w:tc>
        <w:tc>
          <w:tcPr>
            <w:tcW w:w="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57"/>
        </w:trPr>
        <w:tc>
          <w:tcPr>
            <w:tcW w:w="5240" w:type="dxa"/>
            <w:vAlign w:val="bottom"/>
            <w:gridSpan w:val="7"/>
          </w:tcPr>
          <w:p>
            <w:pPr>
              <w:ind w:left="40"/>
              <w:spacing w:after="0"/>
              <w:rPr>
                <w:sz w:val="20"/>
                <w:szCs w:val="20"/>
                <w:color w:val="auto"/>
              </w:rPr>
            </w:pPr>
            <w:r>
              <w:rPr>
                <w:rFonts w:ascii="Arial" w:cs="Arial" w:eastAsia="Arial" w:hAnsi="Arial"/>
                <w:sz w:val="18"/>
                <w:szCs w:val="18"/>
                <w:color w:val="auto"/>
                <w:w w:val="94"/>
              </w:rPr>
              <w:t>Total gross liability for unpaid claims and claim adjustment expenses</w:t>
            </w:r>
          </w:p>
        </w:tc>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23,752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on average, the percentage of claims and allocated claims adjustment expenses paid over the years after a claim is incurred.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87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8"/>
              </w:rPr>
              <w:t>Average annual percentage payout of incurred claims and allocated claims adjustment expenses by age, net of reinsurance</w:t>
            </w:r>
          </w:p>
        </w:tc>
      </w:tr>
      <w:tr>
        <w:trPr>
          <w:trHeight w:val="264"/>
        </w:trPr>
        <w:tc>
          <w:tcPr>
            <w:tcW w:w="26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Year 3</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Year 4</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Year 5</w:t>
            </w: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Year 6</w:t>
            </w: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Claims duration disclosure</w:t>
            </w:r>
          </w:p>
        </w:tc>
        <w:tc>
          <w:tcPr>
            <w:tcW w:w="14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38%</w:t>
            </w:r>
          </w:p>
        </w:tc>
        <w:tc>
          <w:tcPr>
            <w:tcW w:w="14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91%</w:t>
            </w:r>
          </w:p>
        </w:tc>
        <w:tc>
          <w:tcPr>
            <w:tcW w:w="14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96%</w:t>
            </w:r>
          </w:p>
        </w:tc>
        <w:tc>
          <w:tcPr>
            <w:tcW w:w="146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95%</w:t>
            </w:r>
          </w:p>
        </w:tc>
        <w:tc>
          <w:tcPr>
            <w:tcW w:w="1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100%</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 based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EPS of common stock.</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2"/>
              </w:rPr>
              <w:t>For the year ended December 31,</w:t>
            </w:r>
          </w:p>
        </w:tc>
        <w:tc>
          <w:tcPr>
            <w:tcW w:w="12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100" w:type="dxa"/>
            <w:vAlign w:val="bottom"/>
            <w:gridSpan w:val="7"/>
          </w:tcPr>
          <w:p>
            <w:pPr>
              <w:jc w:val="center"/>
              <w:ind w:left="151"/>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12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171,957</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67,573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65,019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59,816</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171,957</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from change in fair value of warrant liability</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171,957</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r>
      <w:tr>
        <w:trPr>
          <w:trHeight w:val="297"/>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effect of issuable shares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2,370</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62,186</w:t>
            </w:r>
          </w:p>
        </w:tc>
      </w:tr>
      <w:tr>
        <w:trPr>
          <w:trHeight w:val="297"/>
        </w:trPr>
        <w:tc>
          <w:tcPr>
            <w:tcW w:w="60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shares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r>
      <w:tr>
        <w:trPr>
          <w:trHeight w:val="27"/>
        </w:trPr>
        <w:tc>
          <w:tcPr>
            <w:tcW w:w="60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issued 992 thousand warrants in connection with a private placement of our common stock in April 2012. Each warrant gives the holder thereof the right to purchase one share of common stock at an exercise price equal to $10.00. The warrants were issued with an aggregate fair value of $5.1 million.</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2019, 448 thousand warrants were exercised resulting in the issuance of 289 thousand shares of common stock. Upon exercise, we reclassified approximately $8.3 million of warrant fair value from warrant liability to additional paid-in capital, of which $4.1 million related to changes in fair value during the twelve months ended December 31, 2019.</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2018, 151 thousand warrants were exercised resulting in the issuance of 91 thousand shares of common stock. Upon exercise, we reclassified approximately $1.6 million of warrant fair value from warrant liability to additional paid-in capital, of which $0.4 million related to changes in fair value during the twelve months ended December 31, 2018. During the year ended December 31, 2017, 55 thousand warrants were exercised resulting in the issuance of 32 thousand shares of common stock.</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Share-based compensation includes stock options and RSUs granted under our 2012 Stock Incentive Plan (2012 Plan) and our Amended and Restated 2014 Omnibus Incentive Plan (2014 Plan, and together with the 2012 Plan, the Stock Plans).</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2012 Plan was approved by the Board on April 16, 2012 and authorized 5.5 million shares of common stock to be reserved for issuance, with limits of 3.85 million shares available for stock option issuance and 1.65 million shares available for RSU issuance. Options granted under the 2012 Plan are non-qualified stock options and may be granted to employees, directors and other key persons. The exercise price per share for options covered by the 2012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is granted. The vesting period of the stock option grants is also established by the Board at the time of grant and is generally a three-year period. Upon the exercise of stock options, we issue shares from the authorized, unissued share reserve.</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These shares may be either authorized but unissued shares or treasury shares.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2019, 2018 and 2017, we incurred $13.0 million, $12.6 million and $9.5 million, respectively, of expenses related to awards granted under our Stock Plans. We recognized related income tax benefits of $2.7 million, $2.6 million and $2.0 million for the years ended December 31, 2019, 2018 and 2017, respectively.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option activity during the years ended December 31, 2019, 2018 and 2017,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2019</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7"/>
              </w:rPr>
              <w:t>Weighted Average Grant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Date Fair Value 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i w:val="1"/>
                <w:iCs w:val="1"/>
                <w:color w:val="auto"/>
                <w:w w:val="93"/>
              </w:rPr>
              <w:t>(Shares 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2018</w:t>
            </w:r>
          </w:p>
        </w:tc>
        <w:tc>
          <w:tcPr>
            <w:tcW w:w="33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3320" w:type="dxa"/>
            <w:vAlign w:val="bottom"/>
            <w:gridSpan w:val="5"/>
          </w:tcPr>
          <w:p>
            <w:pPr>
              <w:jc w:val="right"/>
              <w:ind w:right="2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34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Options outstanding at December 31, 2019</w:t>
            </w:r>
          </w:p>
        </w:tc>
        <w:tc>
          <w:tcPr>
            <w:tcW w:w="1700" w:type="dxa"/>
            <w:vAlign w:val="bottom"/>
            <w:gridSpan w:val="2"/>
          </w:tcPr>
          <w:p>
            <w:pPr>
              <w:spacing w:after="0"/>
              <w:rPr>
                <w:sz w:val="20"/>
                <w:szCs w:val="20"/>
                <w:color w:val="auto"/>
              </w:rPr>
            </w:pPr>
          </w:p>
        </w:tc>
        <w:tc>
          <w:tcPr>
            <w:tcW w:w="16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1,928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13.04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2018</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18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24"/>
                <w:szCs w:val="24"/>
                <w:color w:val="auto"/>
              </w:rPr>
            </w:pPr>
          </w:p>
        </w:tc>
        <w:tc>
          <w:tcPr>
            <w:tcW w:w="180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Weighted Average Exercise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9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Date Fair Value per Share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4"/>
                <w:szCs w:val="14"/>
                <w:i w:val="1"/>
                <w:iCs w:val="1"/>
                <w:color w:val="auto"/>
                <w:w w:val="90"/>
              </w:rPr>
              <w:t>(Shares in Thousands)</w:t>
            </w: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2017</w:t>
            </w:r>
          </w:p>
        </w:tc>
        <w:tc>
          <w:tcPr>
            <w:tcW w:w="318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3180" w:type="dxa"/>
            <w:vAlign w:val="bottom"/>
            <w:gridSpan w:val="3"/>
          </w:tcPr>
          <w:p>
            <w:pPr>
              <w:jc w:val="right"/>
              <w:ind w:right="16"/>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3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Options outstanding at December 31, 2018</w:t>
            </w:r>
          </w:p>
        </w:tc>
        <w:tc>
          <w:tcPr>
            <w:tcW w:w="1360" w:type="dxa"/>
            <w:vAlign w:val="bottom"/>
          </w:tcPr>
          <w:p>
            <w:pPr>
              <w:spacing w:after="0"/>
              <w:rPr>
                <w:sz w:val="22"/>
                <w:szCs w:val="22"/>
                <w:color w:val="auto"/>
              </w:rPr>
            </w:pPr>
          </w:p>
        </w:tc>
        <w:tc>
          <w:tcPr>
            <w:tcW w:w="182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Weighted Average Grant</w:t>
            </w:r>
          </w:p>
        </w:tc>
        <w:tc>
          <w:tcPr>
            <w:tcW w:w="200" w:type="dxa"/>
            <w:vAlign w:val="bottom"/>
          </w:tcPr>
          <w:p>
            <w:pPr>
              <w:spacing w:after="0"/>
              <w:rPr>
                <w:sz w:val="14"/>
                <w:szCs w:val="14"/>
                <w:color w:val="auto"/>
              </w:rPr>
            </w:pPr>
          </w:p>
        </w:tc>
        <w:tc>
          <w:tcPr>
            <w:tcW w:w="150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Date Fair Value per Share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2016</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Options outstanding at December 31, 2017</w:t>
            </w:r>
          </w:p>
        </w:tc>
        <w:tc>
          <w:tcPr>
            <w:tcW w:w="1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there were approximately 1.3 million fully vested and exercisable options. There were 1.1 million exercises during the year with an aggregate intrinsic value of $19.4 million. The weighted average exercise price for the fully vested and exercisable options was $11.22. The remaining weighted average contractual life of fully vested and exercisable options as of December 31, 2019 was 4.79 years. The aggregate grant date intrinsic value of fully vested and exercisable options was $29.0 million as of December 31, 2019.</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there was $1.1 million of total unrecognized compensation cost related to non-vested stock options. The weighted-average period over which total remaining compensation costs related to non-vested stock options will be recognized is 1.31 years.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the years ended December 31, 2019, 2018, and 2017 were calculated using the Black-Scholes valuation model based on the following assumptions.</w:t>
      </w:r>
    </w:p>
    <w:p>
      <w:pPr>
        <w:spacing w:after="0" w:line="284"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23495</wp:posOffset>
            </wp:positionV>
            <wp:extent cx="3704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1134"/>
              <w:spacing w:after="0"/>
              <w:rPr>
                <w:sz w:val="20"/>
                <w:szCs w:val="20"/>
                <w:color w:val="auto"/>
              </w:rPr>
            </w:pPr>
            <w:r>
              <w:rPr>
                <w:rFonts w:ascii="Arial" w:cs="Arial" w:eastAsia="Arial" w:hAnsi="Arial"/>
                <w:sz w:val="14"/>
                <w:szCs w:val="14"/>
                <w:b w:val="1"/>
                <w:bCs w:val="1"/>
                <w:color w:val="auto"/>
              </w:rPr>
              <w:t>2018</w:t>
            </w:r>
          </w:p>
        </w:tc>
        <w:tc>
          <w:tcPr>
            <w:tcW w:w="15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11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1"/>
              </w:rPr>
              <w:t>6 years</w:t>
            </w:r>
          </w:p>
        </w:tc>
        <w:tc>
          <w:tcPr>
            <w:tcW w:w="198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rPr>
              <w:t>6 years</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 years</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Risk free interest rate</w:t>
            </w: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2.57%</w:t>
            </w:r>
          </w:p>
        </w:tc>
        <w:tc>
          <w:tcPr>
            <w:tcW w:w="1980" w:type="dxa"/>
            <w:vAlign w:val="bottom"/>
          </w:tcPr>
          <w:p>
            <w:pPr>
              <w:jc w:val="right"/>
              <w:ind w:right="534"/>
              <w:spacing w:after="0"/>
              <w:rPr>
                <w:sz w:val="20"/>
                <w:szCs w:val="20"/>
                <w:color w:val="auto"/>
              </w:rPr>
            </w:pPr>
            <w:r>
              <w:rPr>
                <w:rFonts w:ascii="Arial" w:cs="Arial" w:eastAsia="Arial" w:hAnsi="Arial"/>
                <w:sz w:val="18"/>
                <w:szCs w:val="18"/>
                <w:color w:val="auto"/>
              </w:rPr>
              <w:t>2.66-2.89%</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2.04-2.08%</w:t>
            </w:r>
          </w:p>
        </w:tc>
      </w:tr>
      <w:tr>
        <w:trPr>
          <w:trHeight w:val="27"/>
        </w:trPr>
        <w:tc>
          <w:tcPr>
            <w:tcW w:w="5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36.8%</w:t>
            </w:r>
          </w:p>
        </w:tc>
        <w:tc>
          <w:tcPr>
            <w:tcW w:w="1980" w:type="dxa"/>
            <w:vAlign w:val="bottom"/>
          </w:tcPr>
          <w:p>
            <w:pPr>
              <w:jc w:val="right"/>
              <w:ind w:right="534"/>
              <w:spacing w:after="0"/>
              <w:rPr>
                <w:sz w:val="20"/>
                <w:szCs w:val="20"/>
                <w:color w:val="auto"/>
              </w:rPr>
            </w:pPr>
            <w:r>
              <w:rPr>
                <w:rFonts w:ascii="Arial" w:cs="Arial" w:eastAsia="Arial" w:hAnsi="Arial"/>
                <w:sz w:val="18"/>
                <w:szCs w:val="18"/>
                <w:color w:val="auto"/>
              </w:rPr>
              <w:t>30.1-30.6%</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30.5-32.7%</w:t>
            </w:r>
          </w:p>
        </w:tc>
      </w:tr>
    </w:tbl>
    <w:p>
      <w:pPr>
        <w:spacing w:after="0" w:line="3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We use the simplified method outlined in SEC Staff Accounting Bulletin No. 107 to estimate expected life for options granted during the period as sufficient historical exercise data is not available and the options meet the requirements set out in the Bulletin. Options granted have a maximum term of 10 years.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is the U.S. Treasury rate on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our stock price at the valuation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Expected price volatility - </w:t>
      </w:r>
      <w:r>
        <w:rPr>
          <w:rFonts w:ascii="Arial" w:cs="Arial" w:eastAsia="Arial" w:hAnsi="Arial"/>
          <w:sz w:val="18"/>
          <w:szCs w:val="18"/>
          <w:color w:val="auto"/>
        </w:rPr>
        <w:t>is a measure of the amount by which a price has fluctuated or is expected to fluctuate.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during the years ended December 31, 2019, 2018 and 2017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2019</w:t>
            </w:r>
          </w:p>
        </w:tc>
        <w:tc>
          <w:tcPr>
            <w:tcW w:w="3100" w:type="dxa"/>
            <w:vAlign w:val="bottom"/>
          </w:tcPr>
          <w:p>
            <w:pPr>
              <w:spacing w:after="0"/>
              <w:rPr>
                <w:sz w:val="14"/>
                <w:szCs w:val="14"/>
                <w:color w:val="auto"/>
              </w:rPr>
            </w:pP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3100" w:type="dxa"/>
            <w:vAlign w:val="bottom"/>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2018</w:t>
            </w:r>
          </w:p>
        </w:tc>
        <w:tc>
          <w:tcPr>
            <w:tcW w:w="4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4820" w:type="dxa"/>
            <w:vAlign w:val="bottom"/>
            <w:gridSpan w:val="2"/>
          </w:tcPr>
          <w:p>
            <w:pPr>
              <w:jc w:val="right"/>
              <w:ind w:right="48"/>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4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2019</w:t>
            </w:r>
          </w:p>
        </w:tc>
        <w:tc>
          <w:tcPr>
            <w:tcW w:w="4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480"/>
        </w:trPr>
        <w:tc>
          <w:tcPr>
            <w:tcW w:w="4800" w:type="dxa"/>
            <w:vAlign w:val="bottom"/>
          </w:tcPr>
          <w:p>
            <w:pPr>
              <w:spacing w:after="0"/>
              <w:rPr>
                <w:sz w:val="24"/>
                <w:szCs w:val="24"/>
                <w:color w:val="auto"/>
              </w:rPr>
            </w:pPr>
          </w:p>
        </w:tc>
        <w:tc>
          <w:tcPr>
            <w:tcW w:w="3100" w:type="dxa"/>
            <w:vAlign w:val="bottom"/>
          </w:tcPr>
          <w:p>
            <w:pPr>
              <w:jc w:val="right"/>
              <w:ind w:right="1970"/>
              <w:spacing w:after="0"/>
              <w:rPr>
                <w:sz w:val="20"/>
                <w:szCs w:val="20"/>
                <w:color w:val="auto"/>
              </w:rPr>
            </w:pPr>
            <w:r>
              <w:rPr>
                <w:rFonts w:ascii="Arial" w:cs="Arial" w:eastAsia="Arial" w:hAnsi="Arial"/>
                <w:sz w:val="18"/>
                <w:szCs w:val="18"/>
                <w:color w:val="auto"/>
              </w:rPr>
              <w:t>101</w:t>
            </w:r>
          </w:p>
        </w:tc>
        <w:tc>
          <w:tcPr>
            <w:tcW w:w="1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2018</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2017</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2018</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335"/>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1720" w:type="dxa"/>
            <w:vAlign w:val="bottom"/>
            <w:tcBorders>
              <w:top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24"/>
                <w:szCs w:val="24"/>
                <w:color w:val="auto"/>
              </w:rPr>
            </w:pP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2017</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2019, we had 1.2 million shares of granted and non-vested RSUs, consisting of 1.0 million shares that are subject to service condition vesting requirements and 0.2 million shares that are subject to performance and service condition vesting requirements. The total fair value of RSUs vested during the year ended December 31, 2019 was $9.4 million. The remaining weighted average contractual life of non-vested RSUs was 1.37 years. As of December 31, 2019, there was $7.2 million of total unrecognized compensation costs related to non-vested RSUs, compared to $7.8 million as of December 31, 2018. The weighted-average period over which total remaining compensation costs related to non-vested RSUs will be recognized is 1.40 years.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Non-vested RSUs subject to service condition vesting requirements vest over a service period ranging from one to five years. Non-vested RSUs subject to performance and service condition vesting requirements are scheduled to vest in 2020, with the number of shares eligible to vest based on the achievement of a return on equity goal. The fair value of non-vested RSUs is measured as the closing price of our common stock on the date of grant less the present value of anticipated dividends to be paid during the service period.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401(k) Savings Plan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offer our employees a 401(k) Savings Plan (401(k) Plan) that qualifies as a deferred salary arrangement under Section 401(k) of the Internal Revenue Code (IRC). Under the 401(k) Plan, we match up to 100% of eligible employees' pre-tax contributions up to 5% of eligible compensation. During the years ended December 31, 2019, 2018 and 2017, we incurred approximately $2.5 million, $1.6 million and $1.5 million of expense related to our matching 401(k) Plan contributions,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 U.S. taxpayer and are subject to a statutory U.S. federal corporate income tax rate of 21%. NMIH files a consolidated U.S. federal and various state income tax returns on behalf of itself and its subsidiaries. Prior to the enactment of the Tax Cuts and Jobs Act (TCJA) on December 22, 2017, we were subject to a statutory U.S. federal corporate income tax rate of 35% for all prior years through December 31, 2017.</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income tax expense consists of the following components: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174"/>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6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45,082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26,357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29,964</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44,696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28,034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30,742</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year ended December 31, 2019, we had income tax expense of $44.7 million, including amounts related to a current state income tax benefit and changes to our federal and state net deferred tax liability.</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year ended December 31, 2018, we had income tax expense of $28.0 million, including amounts related to federal and state income taxes and changes to our net deferred tax liability.</w:t>
      </w:r>
    </w:p>
    <w:p>
      <w:pPr>
        <w:spacing w:after="0" w:line="11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the year ended December 31, 2017, we had income tax expense of $30.7 million, including a one-time non-cash charge of $13.6 million primarily due to the re-measurement of our deferred tax assets and liabilities in connection with the enactment of the TCJA on December 22, 2017.</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reconciliation between the federal statutory income tax rate and our effective income tax rate:</w:t>
      </w:r>
    </w:p>
    <w:p>
      <w:pPr>
        <w:spacing w:after="0" w:line="28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23495</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0"/>
        </w:trPr>
        <w:tc>
          <w:tcPr>
            <w:tcW w:w="7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Federal statutory income tax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80" w:type="dxa"/>
            <w:vAlign w:val="bottom"/>
            <w:gridSpan w:val="2"/>
          </w:tcPr>
          <w:p>
            <w:pPr>
              <w:ind w:left="80"/>
              <w:spacing w:after="0"/>
              <w:rPr>
                <w:sz w:val="20"/>
                <w:szCs w:val="20"/>
                <w:color w:val="auto"/>
              </w:rPr>
            </w:pPr>
            <w:r>
              <w:rPr>
                <w:rFonts w:ascii="Arial" w:cs="Arial" w:eastAsia="Arial" w:hAnsi="Arial"/>
                <w:sz w:val="18"/>
                <w:szCs w:val="18"/>
                <w:color w:val="auto"/>
              </w:rPr>
              <w:t>State provision</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0.6</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Share-based and other compensation</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w:t>
            </w:r>
          </w:p>
        </w:tc>
      </w:tr>
      <w:tr>
        <w:trPr>
          <w:trHeight w:val="243"/>
        </w:trPr>
        <w:tc>
          <w:tcPr>
            <w:tcW w:w="7480" w:type="dxa"/>
            <w:vAlign w:val="bottom"/>
            <w:gridSpan w:val="2"/>
          </w:tcPr>
          <w:p>
            <w:pPr>
              <w:ind w:left="80"/>
              <w:spacing w:after="0"/>
              <w:rPr>
                <w:sz w:val="20"/>
                <w:szCs w:val="20"/>
                <w:color w:val="auto"/>
              </w:rPr>
            </w:pPr>
            <w:r>
              <w:rPr>
                <w:rFonts w:ascii="Arial" w:cs="Arial" w:eastAsia="Arial" w:hAnsi="Arial"/>
                <w:sz w:val="18"/>
                <w:szCs w:val="18"/>
                <w:color w:val="auto"/>
              </w:rPr>
              <w:t>Warrant gain/loss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1.8</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Re-measurement from change in federal statutory rate</w:t>
            </w:r>
          </w:p>
        </w:tc>
        <w:tc>
          <w:tcPr>
            <w:tcW w:w="1680" w:type="dxa"/>
            <w:vAlign w:val="bottom"/>
            <w:tcBorders>
              <w:bottom w:val="single" w:sz="8" w:color="CCEEFF"/>
            </w:tcBorders>
            <w:gridSpan w:val="3"/>
            <w:shd w:val="clear" w:color="auto" w:fill="CCEEFF"/>
          </w:tcPr>
          <w:p>
            <w:pPr>
              <w:jc w:val="right"/>
              <w:ind w:right="124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25.7</w:t>
            </w:r>
          </w:p>
        </w:tc>
      </w:tr>
      <w:tr>
        <w:trPr>
          <w:trHeight w:val="270"/>
        </w:trPr>
        <w:tc>
          <w:tcPr>
            <w:tcW w:w="6500" w:type="dxa"/>
            <w:vAlign w:val="bottom"/>
            <w:tcBorders>
              <w:bottom w:val="single" w:sz="8" w:color="CCEEFF"/>
            </w:tcBorders>
          </w:tcPr>
          <w:p>
            <w:pPr>
              <w:ind w:left="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(0.2)</w:t>
            </w:r>
          </w:p>
        </w:tc>
      </w:tr>
      <w:tr>
        <w:trPr>
          <w:trHeight w:val="257"/>
        </w:trPr>
        <w:tc>
          <w:tcPr>
            <w:tcW w:w="7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Effective income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20.6 %</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20.6 %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line="237" w:lineRule="auto"/>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Prior periods have been reclassified for consistency and presentation purposes.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our net deferred tax asset are summarized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02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1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operating loss carry forwards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6,896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Unearned premium reserve</w:t>
            </w:r>
          </w:p>
        </w:tc>
        <w:tc>
          <w:tcPr>
            <w:tcW w:w="10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5,568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start-up costs</w:t>
            </w:r>
          </w:p>
        </w:tc>
        <w:tc>
          <w:tcPr>
            <w:tcW w:w="10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727</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ceding commissions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Unrealized loss on investments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2,923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gross deferred tax asset</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26,927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29,585</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asset</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19,070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21,449</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Contingency reserve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(47,730)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(8,149)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acquisition costs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(12,902)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Unrealized gain on investments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deferred tax liability</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(75,430)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(24,189)</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(liability)</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(56,360)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mortgage guaranty insurance company, we are eligible to claim a tax deduction for our statutory contingency reserve balance, subject to certain limitations outlined under IRC Section 832(e), to the extent we acquire tax and loss bonds in an amount equal to the tax benefit derived from the claimed deduction, which is our intent. As a result, we had no current federal income tax provision for the year ended December 31, 2019. During the year ended December 31, 2019, we had net purchases of $7.6 million of tax and loss bonds, and as of December 31, 2019, we held $7.6 million of tax and loss bonds in "Other assets" in our condensed consolidated balance sheet.</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(Topic 220). This update permits the reclassification of the disproportionate income tax effects, commonly referred to as "stranded tax," that result from the TCJA on items within AOCI to retained earnings. We adopted this update effective January 1, 2018, resulting in a $0.3 million reduction to retained earnings as of January 1, 2018. The remaining $4.2 million of stranded tax that remains in AOCI relates to our available-for-sale fixed income holdings.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2019, we had a federal net operating loss carryforward of $2.3 million which expires in varying amounts in 2030 and 2031, and state net operating loss carryforward of $126.8 million which expire in varying amounts from 2031 to 2039. Section 382 of the IRC imposes annual limitations on a corporation's ability to utilize its net operating loss carryforwards if it experiences an "ownership change." As a result of the acquisition of our insurance subsidiaries in 2012, $7.3 million of federal net operating losses were subject to annual limitations of $0.8 million through 2016, and $0.3 million, thereafter, through 2028. Our federal net operating loss carryforward arises from this limitation and the constraint on our ability to utilize the net operating loss carryforward in full during the current period.</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2019 and 2018, we recorded valuation allowances of $7.9 million and $8.1 million, respectively against state net deferred tax assets that may not be realized in future periods. The valuation allowances for both years primarily relate to state net operating losses generated by NMIH, as NMIH operates at a loss and currently only generates revenue from its investment portfolio.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and 2018, we had no reserves for unrecognized tax benefits, and had taken no material uncertain tax positions that would have required recognition and measurement.</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file income tax returns with the U.S. federal government and various state jurisdictions that are subject to potential examination by tax authorities. We are not currently under examination by federal or state jurisdictions. Our U.S. federal income tax returns for 2016 and subsequent years and state income tax returns for 2015 and subsequent years remain open by statute.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Software and Equipment</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Software and equipment consist largely of capitalized software developed to support our mortgage insurance operations. Software and equipment, net of accumulated amortization and depreciation, as of December 31, 2019 and 2018,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7,035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58,956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48,976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 and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26,096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24,765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Capitalized costs for software, equipment, and leasehold improvements during the year ended December 31, 2019, 2018 and 2017, were $10.6 million, $9.8 million, and $9.1 million, respectively. Amortization and depreciation expense for software, equipment, and leasehold improvements for the years ended December 31, 2019, 2018, and 2017 were $9.3 million, $7.8 million, and $6.7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Intangible Assets and Goodwill</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and goodwill consist of identifiable intangible assets and goodwill purchased in connection with the acquisition of our insurance subsidiaries. Intangible assets and goodwill as of both December 31, 2019 and 2018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Expected Lives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licenses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GSE applications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and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test goodwill and intangible assets for impairment in the third and fourth quarter, respectively, of every year, or more frequently if we believe indicators of impairment exist. No impairments of indefinite-lived intangibles or goodwill were identified during the years ended December 31, 2019, 2018 and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PMIERs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NMIC is subject to ongoing compliance with the PMIERs established by each of the GSEs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current vs. delinquent), LTV and other risk features. In general, higher quality loans carry lower charges.</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net RIF, assessed on a loan-by-loan basis and considered against</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certain risk-based factors derived from tables set out in the PMIERs to gross </w:t>
      </w:r>
      <w:r>
        <w:rPr>
          <w:rFonts w:ascii="Arial" w:cs="Arial" w:eastAsia="Arial" w:hAnsi="Arial"/>
          <w:sz w:val="18"/>
          <w:szCs w:val="18"/>
          <w:color w:val="auto"/>
        </w:rPr>
        <w:t>RIF,</w:t>
      </w:r>
      <w:r>
        <w:rPr>
          <w:rFonts w:ascii="Arial" w:cs="Arial" w:eastAsia="Arial" w:hAnsi="Arial"/>
          <w:sz w:val="17"/>
          <w:szCs w:val="17"/>
          <w:color w:val="auto"/>
        </w:rPr>
        <w:t xml:space="preserve"> which is then adjusted on an aggregate basis for reinsurance transactions approved by the GSEs, such as with respect to our ILN Transactions and QSR Transactions. The </w:t>
      </w:r>
      <w:r>
        <w:rPr>
          <w:rFonts w:ascii="Arial" w:cs="Arial" w:eastAsia="Arial" w:hAnsi="Arial"/>
          <w:sz w:val="17"/>
          <w:szCs w:val="17"/>
          <w:i w:val="1"/>
          <w:iCs w:val="1"/>
          <w:color w:val="auto"/>
        </w:rPr>
        <w:t>aggregate gross risk-based required asset amount</w:t>
      </w:r>
      <w:r>
        <w:rPr>
          <w:rFonts w:ascii="Arial" w:cs="Arial" w:eastAsia="Arial" w:hAnsi="Arial"/>
          <w:sz w:val="17"/>
          <w:szCs w:val="17"/>
          <w:color w:val="auto"/>
        </w:rPr>
        <w:t xml:space="preserve"> for performing, primary insurance is subject to a floor of 5.6% of </w:t>
      </w:r>
      <w:r>
        <w:rPr>
          <w:rFonts w:ascii="Arial" w:cs="Arial" w:eastAsia="Arial" w:hAnsi="Arial"/>
          <w:sz w:val="17"/>
          <w:szCs w:val="17"/>
          <w:i w:val="1"/>
          <w:iCs w:val="1"/>
          <w:color w:val="auto"/>
        </w:rPr>
        <w:t>performing, primary adjusted RIF</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for pool insurance considers both factors in the PMIERs tables and the </w:t>
      </w:r>
      <w:r>
        <w:rPr>
          <w:rFonts w:ascii="Arial" w:cs="Arial" w:eastAsia="Arial" w:hAnsi="Arial"/>
          <w:sz w:val="17"/>
          <w:szCs w:val="17"/>
          <w:i w:val="1"/>
          <w:iCs w:val="1"/>
          <w:color w:val="auto"/>
        </w:rPr>
        <w:t>net remaining stop loss</w:t>
      </w:r>
      <w:r>
        <w:rPr>
          <w:rFonts w:ascii="Arial" w:cs="Arial" w:eastAsia="Arial" w:hAnsi="Arial"/>
          <w:sz w:val="17"/>
          <w:szCs w:val="17"/>
          <w:color w:val="auto"/>
        </w:rPr>
        <w:t xml:space="preserve"> for each pool insurance policy.</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2019, that NMIC was in full compliance with the PMIERs as of December 31, 2018.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two operating lease agreements related to our corporate headquarters and a data center facility for which we recognized operating ROU assets and lease liabilities of $6.4 million and $7.4 million in "Other assets" and "Other liabilities," respectively, on our condensed consolidated balance sheet as of December 31, 2019. As of December 31, 2019, we did not have any finance leases.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recognize ROU assets and lease liabilities in connection with the adoption of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ROU assets and lease liabilities are established based on the estimated present value of lease payments over the relevant lease term. We estimate a discount rate for each lease based on our estimated incremental borrowing rate at the commencement date of the relevant lease.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ROU assets obtained in exchange for new operating lease liabilities for the year ended December 31, 2019 were $8.1 million. The following table provides a summary of our ROU asset and lease liability assumptions as of December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ind w:left="40"/>
              <w:spacing w:after="0"/>
              <w:rPr>
                <w:sz w:val="20"/>
                <w:szCs w:val="20"/>
                <w:color w:val="auto"/>
              </w:rPr>
            </w:pPr>
            <w:r>
              <w:rPr>
                <w:rFonts w:ascii="Arial" w:cs="Arial" w:eastAsia="Arial" w:hAnsi="Arial"/>
                <w:sz w:val="18"/>
                <w:szCs w:val="18"/>
                <w:color w:val="auto"/>
              </w:rPr>
              <w:t>Weighted-average remaining lease term</w:t>
            </w:r>
          </w:p>
        </w:tc>
        <w:tc>
          <w:tcPr>
            <w:tcW w:w="4620" w:type="dxa"/>
            <w:vAlign w:val="bottom"/>
          </w:tcPr>
          <w:p>
            <w:pPr>
              <w:jc w:val="right"/>
              <w:ind w:right="110"/>
              <w:spacing w:after="0"/>
              <w:rPr>
                <w:sz w:val="20"/>
                <w:szCs w:val="20"/>
                <w:color w:val="auto"/>
              </w:rPr>
            </w:pPr>
            <w:r>
              <w:rPr>
                <w:rFonts w:ascii="Arial" w:cs="Arial" w:eastAsia="Arial" w:hAnsi="Arial"/>
                <w:sz w:val="18"/>
                <w:szCs w:val="18"/>
                <w:color w:val="auto"/>
              </w:rPr>
              <w:t>3.2 years</w:t>
            </w:r>
          </w:p>
        </w:tc>
      </w:tr>
      <w:tr>
        <w:trPr>
          <w:trHeight w:val="27"/>
        </w:trPr>
        <w:tc>
          <w:tcPr>
            <w:tcW w:w="668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668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paid on our operating lease liabilities for the year ended December 31, 2019 was $2.5 million. Lease expenses recognized on our operating lease liabilities for the year ended December 31, 2019 were $2.2 million.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payments due under our existing operating leases as of December 31, 2019 are as follows: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Pr>
          <w:p>
            <w:pPr>
              <w:spacing w:after="0"/>
              <w:rPr>
                <w:sz w:val="16"/>
                <w:szCs w:val="16"/>
                <w:color w:val="auto"/>
              </w:rPr>
            </w:pPr>
          </w:p>
        </w:tc>
        <w:tc>
          <w:tcPr>
            <w:tcW w:w="2520" w:type="dxa"/>
            <w:vAlign w:val="bottom"/>
          </w:tcPr>
          <w:p>
            <w:pPr>
              <w:jc w:val="right"/>
              <w:ind w:right="1052"/>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120" w:type="dxa"/>
            <w:vAlign w:val="bottom"/>
            <w:tcBorders>
              <w:bottom w:val="single" w:sz="8" w:color="CCEEFF"/>
            </w:tcBorders>
            <w:shd w:val="clear" w:color="auto" w:fill="CCEEFF"/>
          </w:tcPr>
          <w:p>
            <w:pPr>
              <w:jc w:val="right"/>
              <w:ind w:right="7392"/>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2,537</w:t>
            </w:r>
          </w:p>
        </w:tc>
      </w:tr>
      <w:tr>
        <w:trPr>
          <w:trHeight w:val="243"/>
        </w:trPr>
        <w:tc>
          <w:tcPr>
            <w:tcW w:w="8120" w:type="dxa"/>
            <w:vAlign w:val="bottom"/>
          </w:tcPr>
          <w:p>
            <w:pPr>
              <w:jc w:val="right"/>
              <w:ind w:right="7392"/>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21"/>
                <w:szCs w:val="21"/>
                <w:color w:val="auto"/>
              </w:rPr>
            </w:pP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2,609</w:t>
            </w:r>
          </w:p>
        </w:tc>
      </w:tr>
      <w:tr>
        <w:trPr>
          <w:trHeight w:val="27"/>
        </w:trPr>
        <w:tc>
          <w:tcPr>
            <w:tcW w:w="8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jc w:val="right"/>
              <w:ind w:right="7392"/>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2,574</w:t>
            </w:r>
          </w:p>
        </w:tc>
      </w:tr>
      <w:tr>
        <w:trPr>
          <w:trHeight w:val="243"/>
        </w:trPr>
        <w:tc>
          <w:tcPr>
            <w:tcW w:w="8120" w:type="dxa"/>
            <w:vAlign w:val="bottom"/>
          </w:tcPr>
          <w:p>
            <w:pPr>
              <w:jc w:val="right"/>
              <w:ind w:right="7392"/>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21"/>
                <w:szCs w:val="21"/>
                <w:color w:val="auto"/>
              </w:rPr>
            </w:pP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462</w:t>
            </w:r>
          </w:p>
        </w:tc>
      </w:tr>
      <w:tr>
        <w:trPr>
          <w:trHeight w:val="27"/>
        </w:trPr>
        <w:tc>
          <w:tcPr>
            <w:tcW w:w="8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undiscounted lease payments</w:t>
            </w:r>
          </w:p>
        </w:tc>
        <w:tc>
          <w:tcPr>
            <w:tcW w:w="6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effects of discounting</w:t>
            </w:r>
          </w:p>
        </w:tc>
        <w:tc>
          <w:tcPr>
            <w:tcW w:w="62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7"/>
        </w:trPr>
        <w:tc>
          <w:tcPr>
            <w:tcW w:w="8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payments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7,402</w:t>
            </w:r>
          </w:p>
        </w:tc>
      </w:tr>
      <w:tr>
        <w:trPr>
          <w:trHeight w:val="20"/>
        </w:trPr>
        <w:tc>
          <w:tcPr>
            <w:tcW w:w="8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Lease expense is recorded in underwriting and operating expenses on the consolidated statements of operations. Our existing operating leases have original terms that range from three to five years. The lease for our corporate headquarters includes an option to renew for an additional five years at prevailing market rates at time of renewal. We have not included this renewal option in our calculation of minimum lease payments as it is not reasonably certain to be exercised.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As of December 31, 2018, the future minimum lease payments as accounted for prior to our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6"/>
                <w:szCs w:val="16"/>
                <w:color w:val="auto"/>
              </w:rPr>
            </w:pPr>
          </w:p>
        </w:tc>
        <w:tc>
          <w:tcPr>
            <w:tcW w:w="1780" w:type="dxa"/>
            <w:vAlign w:val="bottom"/>
          </w:tcPr>
          <w:p>
            <w:pPr>
              <w:jc w:val="right"/>
              <w:ind w:right="55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2,417</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2,564</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10,279</w:t>
            </w:r>
          </w:p>
        </w:tc>
      </w:tr>
    </w:tbl>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 expense for our corporate headquarters was $2.1 million and $1.5 million for the years ended December 31, 2018 and 2017 respectively before the adoption of ASU 2016-02.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Common Stock</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had 68.4 million outstanding shares of Class A common stock. Holders of our common stock have no preemptive or conversion rights or other subscription rights, and there are no redemption or sinking fund provisions applicable to the common stock. Each holder of our common stock is entitled to one vote for each share on all matters to be voted upon by the stockholders, and there are no cumulative voting rights. Holders of common shares are entitled to receive dividends ratably if any are declared.</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we completed the sale of 3.7 million shares of common stock and granted the underwriters on the transaction a 15% overallotment option to purchase additional shares. The overallotment option was exercised in full, resulting in a total of 4.3 million shares of common stock issued. The common stock offering generated total proceeds of approximately $79.2 million, net of underwriting discounts, commissions and other direct offering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Regulatory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Statutory Requirements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 and Re One's combined statutory net gain (loss), statutory surplus, contingency reserve and risk-to-capital (RTC) ratios as of and for the years ended December 31, 2019, 2018 and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 and for the year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5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436"/>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gain (loss)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15,233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(19,784)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110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w w:val="95"/>
              </w:rPr>
              <w:t>449,602</w:t>
            </w:r>
          </w:p>
        </w:tc>
        <w:tc>
          <w:tcPr>
            <w:tcW w:w="32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430,785</w:t>
            </w:r>
          </w:p>
        </w:tc>
        <w:tc>
          <w:tcPr>
            <w:tcW w:w="5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371,084</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5"/>
              </w:rPr>
              <w:t>531,825</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332,702</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186,641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110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15.8:1</w:t>
            </w:r>
          </w:p>
        </w:tc>
        <w:tc>
          <w:tcPr>
            <w:tcW w:w="32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13.1:1</w:t>
            </w:r>
          </w:p>
        </w:tc>
        <w:tc>
          <w:tcPr>
            <w:tcW w:w="5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13.2:1</w:t>
            </w:r>
          </w:p>
        </w:tc>
      </w:tr>
    </w:tbl>
    <w:p>
      <w:pPr>
        <w:spacing w:after="0" w:line="3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applicable law in Wisconsin and 15 other states, mortgage insurers must maintain minimum amounts of statutory capital relative to RIF to continue to write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 The NAIC's Mortgage Guaranty Insurance Working Group (the Working Group) was formed to discuss, develop and recommend changes to the solvency and market practices regulation of mortgage insurers, including changes to the Mortgage Guaranty Insurance Model Act (Model Act). Proposed amendments to the Model Act include, among other changes, adoption of a risk-based capital model. Following adoption by the</w:t>
      </w:r>
    </w:p>
    <w:p>
      <w:pPr>
        <w:sectPr>
          <w:pgSz w:w="11900" w:h="16838" w:orient="portrait"/>
          <w:cols w:equalWidth="0" w:num="1">
            <w:col w:w="11420"/>
          </w:cols>
          <w:pgMar w:left="240" w:top="125"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5"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NAIC, some or all of the 16 states that currently have minimum statutory capital requirements, and potentially others that do not, are expected to enact a portion or all of the revised Model Act, including the loan-level capital model.</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NMIC's performing primary RIF, net of reinsurance, was approximately $15.4 billion and its RTC ratio was 16.3:1, significantly below applicable limits. As of December 31, 2018, NMIC's performing primary RIF, net of reinsurance, was approximately $10.0 billion and its RTC ratio was 13.7:1.</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repealed this requirement for future periods beginning January 10, 2019. Several other states previously imposed similar coverage restrictions and repealed these measures prior to 2018. To comply with these previous state coverage limits, NMIC and Re One have reinsurance agreements in place under which Re One provides reinsurance to NMIC on certain insured loans with coverage levels in excess of 25%, after giving effect to third-party reinsurance.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Restrictions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 As of December 31, 2019, NMIH's shareholders' equity was approximately $930.4 million.</w:t>
      </w:r>
    </w:p>
    <w:p>
      <w:pPr>
        <w:spacing w:after="0" w:line="1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7"/>
          <w:szCs w:val="17"/>
          <w:i w:val="1"/>
          <w:iCs w:val="1"/>
          <w:color w:val="auto"/>
        </w:rPr>
        <w:t>i.e.</w:t>
      </w:r>
      <w:r>
        <w:rPr>
          <w:rFonts w:ascii="Arial" w:cs="Arial" w:eastAsia="Arial" w:hAnsi="Arial"/>
          <w:sz w:val="17"/>
          <w:szCs w:val="17"/>
          <w:color w:val="auto"/>
        </w:rPr>
        <w:t>, "ordinary" dividends) with 30 days' prior notice to the Wisconsin OCI. Dividends in larger amounts (</w:t>
      </w:r>
      <w:r>
        <w:rPr>
          <w:rFonts w:ascii="Arial" w:cs="Arial" w:eastAsia="Arial" w:hAnsi="Arial"/>
          <w:sz w:val="17"/>
          <w:szCs w:val="17"/>
          <w:i w:val="1"/>
          <w:iCs w:val="1"/>
          <w:color w:val="auto"/>
        </w:rPr>
        <w:t>i.e.</w:t>
      </w:r>
      <w:r>
        <w:rPr>
          <w:rFonts w:ascii="Arial" w:cs="Arial" w:eastAsia="Arial" w:hAnsi="Arial"/>
          <w:sz w:val="17"/>
          <w:szCs w:val="17"/>
          <w:color w:val="auto"/>
        </w:rPr>
        <w:t>,"extraordinary" dividends), are subject to the Wisconsin OCI's prior approval. Under Wisconsin law,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NMIC and Re One have never paid dividends to NMIH. NMIC and Re One have the capacity to pay aggregate ordinary dividends of $16.1 million to NMIH during the 12-month period ending December 31, 2020.</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be subject to prior GSE approval of its ability to pay dividends to NMIH if it failed to meet the financial requirements prescribed by PMIERs.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 Quarters</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Third</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73,868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83,249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92,381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95,517</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345,015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7,383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7,629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7,882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(losses) gains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 expenses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2,743</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2,923</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2,572</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12,507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30,800</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32,190</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32,335</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31,296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126,621</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Service expenses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353</w:t>
            </w:r>
          </w:p>
        </w:tc>
        <w:tc>
          <w:tcPr>
            <w:tcW w:w="4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909</w:t>
            </w:r>
          </w:p>
        </w:tc>
        <w:tc>
          <w:tcPr>
            <w:tcW w:w="44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2,248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3,071</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2,979</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(gain) from change in fair value of warrant liability</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5,479</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1,685</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(1,139)</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8,657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38,974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50,958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63,932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216,653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6,075</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11,858</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14,169</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44,696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32,899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39,100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49,763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171,957</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Income per share:</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0.48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0.56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0.69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66,692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67,590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67,849</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68,996</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69,590</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70,137</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69,721</w:t>
            </w:r>
          </w:p>
        </w:tc>
      </w:tr>
    </w:tbl>
    <w:p>
      <w:pPr>
        <w:spacing w:after="0" w:line="2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Certain "Underwriting and operating expenses" have been reclassified as "Service expenses" in prior periods.</w:t>
      </w:r>
    </w:p>
    <w:p>
      <w:pPr>
        <w:ind w:left="340" w:hanging="332"/>
        <w:spacing w:after="0" w:line="191" w:lineRule="auto"/>
        <w:tabs>
          <w:tab w:leader="none" w:pos="34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Due to the use of weighted average shares outstanding when calculating EPS , the sum of quarterly per share data may not equal the per share data for the year.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 Quarters</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Third</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54,914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61,615</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65,407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69,261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251,197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4,574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5,735</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6,277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 expenses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1,569</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643</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1,099</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5,452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Underwriting and operating expenses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28,346</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28,958</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30,323</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116,966</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Service expenses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3"/>
                <w:szCs w:val="23"/>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270</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5,560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5,464</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1,397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26,531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32,339</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31,847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135,961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4,176</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7,098</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7,036</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28,034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22,355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25,241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24,811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107,927</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Income per share:</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0.34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0.37</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0.36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62,099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65,664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65,948</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65,697</w:t>
            </w:r>
          </w:p>
        </w:tc>
        <w:tc>
          <w:tcPr>
            <w:tcW w:w="3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68,616</w:t>
            </w:r>
          </w:p>
        </w:tc>
        <w:tc>
          <w:tcPr>
            <w:tcW w:w="4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68,844</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67,652</w:t>
            </w:r>
          </w:p>
        </w:tc>
      </w:tr>
    </w:tbl>
    <w:p>
      <w:pPr>
        <w:spacing w:after="0" w:line="2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Certain "Underwriting and operating expenses" have been reclassified as "Service expenses" in prior periods.</w:t>
      </w:r>
    </w:p>
    <w:p>
      <w:pPr>
        <w:ind w:left="340" w:hanging="332"/>
        <w:spacing w:after="0" w:line="191" w:lineRule="auto"/>
        <w:tabs>
          <w:tab w:leader="none" w:pos="340" w:val="left"/>
        </w:tabs>
        <w:numPr>
          <w:ilvl w:val="0"/>
          <w:numId w:val="50"/>
        </w:numPr>
        <w:rPr>
          <w:rFonts w:ascii="Arial" w:cs="Arial" w:eastAsia="Arial" w:hAnsi="Arial"/>
          <w:sz w:val="21"/>
          <w:szCs w:val="21"/>
          <w:color w:val="auto"/>
          <w:vertAlign w:val="superscript"/>
        </w:rPr>
      </w:pPr>
      <w:r>
        <w:rPr>
          <w:rFonts w:ascii="Arial" w:cs="Arial" w:eastAsia="Arial" w:hAnsi="Arial"/>
          <w:sz w:val="15"/>
          <w:szCs w:val="15"/>
          <w:color w:val="auto"/>
        </w:rPr>
        <w:t>Due to the use of weighted average shares outstanding when calculating EPS, the sum of quarterly per share data may not equal the per share data for the year.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December 31, 2019,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that evaluation, our Chief Executive Officer and Chief Financial Officer concluded that, as of December 31, 2019,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supervision of our Chief Executive Officer and Chief Financial Officer, our management assessed the effectiveness of the Company's internal control over financial reporting as of December 31, 2019.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2019. The effectiveness of our internal control over financial reporting as of December 31, 2019 has been audited by BDO USA, LLP., an independent registered public accounting firm, as stated in their report, which appears below.</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53"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Emeryville,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NMI Holdings, Inc.'s (the "Company's") internal control over financial reporting as of December 31, 2019,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opinion, the Company maintained, in all material respects, effective internal control over financial reporting as of December 31, 2019, based on the COSO criteria</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and subsidiaries at December 31, 2019 and 2018, and the related consolidated statements of operations and comprehensive income, changes in shareholders' equity and cash flows for each of the three years in the period ended December 31, 2019 and the related notes and financial statement schedules listed in the accompanying index and our report dated February 13, 2020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3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219"/>
          </w:cols>
          <w:pgMar w:left="240" w:top="553"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2019.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2019.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2019.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2019.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2019. Accordingly, we have omitted the information from this Item pursuant to General Instruction G (3) of Form 10-K.</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553" w:right="2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Statements — See the "</w:t>
      </w:r>
      <w:r>
        <w:rPr>
          <w:rFonts w:ascii="Arial" w:cs="Arial" w:eastAsia="Arial" w:hAnsi="Arial"/>
          <w:sz w:val="18"/>
          <w:szCs w:val="18"/>
          <w:i w:val="1"/>
          <w:iCs w:val="1"/>
          <w:color w:val="auto"/>
        </w:rPr>
        <w:t>Index to Financial Statements</w:t>
      </w:r>
      <w:r>
        <w:rPr>
          <w:rFonts w:ascii="Arial" w:cs="Arial" w:eastAsia="Arial" w:hAnsi="Arial"/>
          <w:sz w:val="18"/>
          <w:szCs w:val="18"/>
          <w:color w:val="auto"/>
        </w:rPr>
        <w:t>" included in Item 8 of this report for a list of the financial statements filed as part of this report.</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Statement Schedules — See the "</w:t>
      </w:r>
      <w:r>
        <w:rPr>
          <w:rFonts w:ascii="Arial" w:cs="Arial" w:eastAsia="Arial" w:hAnsi="Arial"/>
          <w:sz w:val="18"/>
          <w:szCs w:val="18"/>
          <w:i w:val="1"/>
          <w:iCs w:val="1"/>
          <w:color w:val="auto"/>
        </w:rPr>
        <w:t>Index to Financial Statement Schedules</w:t>
      </w:r>
      <w:r>
        <w:rPr>
          <w:rFonts w:ascii="Arial" w:cs="Arial" w:eastAsia="Arial" w:hAnsi="Arial"/>
          <w:sz w:val="18"/>
          <w:szCs w:val="18"/>
          <w:color w:val="auto"/>
        </w:rPr>
        <w:t>" on page 119 of this report for a list of the financial statement schedules filed as part of this report.</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20"/>
          </w:cols>
          <w:pgMar w:left="240" w:top="553" w:right="239" w:bottom="1440" w:gutter="0" w:footer="0" w:header="0"/>
        </w:sectPr>
      </w:pP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88900</wp:posOffset>
            </wp:positionV>
            <wp:extent cx="643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7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100330</wp:posOffset>
            </wp:positionV>
            <wp:extent cx="636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00" w:space="720"/>
            <w:col w:w="5600"/>
          </w:cols>
          <w:pgMar w:left="240" w:top="553" w:right="239" w:bottom="1440" w:gutter="0" w:footer="0" w:header="0"/>
          <w:type w:val="continuous"/>
        </w:sectPr>
      </w:pPr>
    </w:p>
    <w:p>
      <w:pPr>
        <w:spacing w:after="0" w:line="155" w:lineRule="exact"/>
        <w:rPr>
          <w:sz w:val="20"/>
          <w:szCs w:val="20"/>
          <w:color w:val="auto"/>
        </w:rPr>
      </w:pPr>
    </w:p>
    <w:p>
      <w:pPr>
        <w:jc w:val="center"/>
        <w:ind w:left="420" w:right="40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2.1      </w:t>
      </w:r>
      <w:hyperlink r:id="rId15">
        <w:r>
          <w:rPr>
            <w:rFonts w:ascii="Arial" w:cs="Arial" w:eastAsia="Arial" w:hAnsi="Arial"/>
            <w:sz w:val="17"/>
            <w:szCs w:val="17"/>
            <w:u w:val="single" w:color="auto"/>
            <w:color w:val="0000FF"/>
          </w:rPr>
          <w:t>Stock Purchase Agreement, dated November 30, 2011</w:t>
        </w:r>
      </w:hyperlink>
      <w:r>
        <w:rPr>
          <w:rFonts w:ascii="Arial" w:cs="Arial" w:eastAsia="Arial" w:hAnsi="Arial"/>
          <w:sz w:val="17"/>
          <w:szCs w:val="17"/>
          <w:color w:val="auto"/>
        </w:rPr>
        <w:t>,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jc w:val="right"/>
        <w:ind w:left="540" w:right="58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2.2      </w:t>
      </w:r>
      <w:hyperlink r:id="rId16">
        <w:r>
          <w:rPr>
            <w:rFonts w:ascii="Arial" w:cs="Arial" w:eastAsia="Arial" w:hAnsi="Arial"/>
            <w:sz w:val="17"/>
            <w:szCs w:val="17"/>
            <w:u w:val="single" w:color="auto"/>
            <w:color w:val="0000FF"/>
          </w:rPr>
          <w:t>Amendment to Stock Purchase Agreement, dated April 6, 2012</w:t>
        </w:r>
      </w:hyperlink>
      <w:r>
        <w:rPr>
          <w:rFonts w:ascii="Arial" w:cs="Arial" w:eastAsia="Arial" w:hAnsi="Arial"/>
          <w:sz w:val="17"/>
          <w:szCs w:val="17"/>
          <w:color w:val="auto"/>
        </w:rPr>
        <w:t>,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300" w:right="26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7">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8"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8">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63" w:lineRule="exact"/>
        <w:rPr>
          <w:sz w:val="20"/>
          <w:szCs w:val="20"/>
          <w:color w:val="auto"/>
        </w:rPr>
      </w:pPr>
    </w:p>
    <w:p>
      <w:pPr>
        <w:ind w:left="1300" w:right="58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9">
        <w:r>
          <w:rPr>
            <w:rFonts w:ascii="Arial" w:cs="Arial" w:eastAsia="Arial" w:hAnsi="Arial"/>
            <w:sz w:val="18"/>
            <w:szCs w:val="18"/>
            <w:u w:val="single" w:color="auto"/>
            <w:color w:val="0000FF"/>
          </w:rPr>
          <w:t xml:space="preserve">Specimen Class A common stock certificate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center"/>
        <w:ind w:left="420" w:right="20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4.2      </w:t>
      </w:r>
      <w:hyperlink r:id="rId20">
        <w:r>
          <w:rPr>
            <w:rFonts w:ascii="Arial" w:cs="Arial" w:eastAsia="Arial" w:hAnsi="Arial"/>
            <w:sz w:val="17"/>
            <w:szCs w:val="17"/>
            <w:u w:val="single" w:color="auto"/>
            <w:color w:val="0000FF"/>
          </w:rPr>
          <w:t>Registration Rights Agreement between NMI Holdings, Inc. and FBR Capital Markets &amp; Co., dated April 24, 2012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to Exhibit 4.2 to our Form S-1 Registration Statement (Registration No. 333-191635), filed on October 9, 2013)</w:t>
      </w:r>
    </w:p>
    <w:p>
      <w:pPr>
        <w:spacing w:after="0" w:line="1"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21">
        <w:r>
          <w:rPr>
            <w:rFonts w:ascii="Arial" w:cs="Arial" w:eastAsia="Arial" w:hAnsi="Arial"/>
            <w:sz w:val="16"/>
            <w:szCs w:val="16"/>
            <w:u w:val="single" w:color="auto"/>
            <w:color w:val="0000FF"/>
          </w:rPr>
          <w:t xml:space="preserve">Registration Rights Agreement by and between MAC Financial Ltd. and NMI Holdings, Inc., dated April 24, 2012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p>
      <w:pPr>
        <w:spacing w:after="0" w:line="49" w:lineRule="exact"/>
        <w:rPr>
          <w:sz w:val="20"/>
          <w:szCs w:val="20"/>
          <w:color w:val="auto"/>
        </w:rPr>
      </w:pPr>
    </w:p>
    <w:p>
      <w:pPr>
        <w:ind w:left="1300" w:right="400" w:hanging="753"/>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22">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23">
        <w:r>
          <w:rPr>
            <w:rFonts w:ascii="Arial" w:cs="Arial" w:eastAsia="Arial" w:hAnsi="Arial"/>
            <w:sz w:val="16"/>
            <w:szCs w:val="16"/>
            <w:u w:val="single" w:color="auto"/>
            <w:color w:val="0000FF"/>
          </w:rPr>
          <w:t>Warrant No. 1 to Purchase Common Stock of NMI Holdings, Inc. issued to FBR Capital Markets &amp; Co., dated June 13,</w:t>
        </w:r>
      </w:hyperlink>
    </w:p>
    <w:p>
      <w:pPr>
        <w:spacing w:after="0" w:line="23" w:lineRule="exact"/>
        <w:rPr>
          <w:sz w:val="20"/>
          <w:szCs w:val="20"/>
          <w:color w:val="auto"/>
        </w:rPr>
      </w:pPr>
    </w:p>
    <w:p>
      <w:pPr>
        <w:ind w:left="1300" w:right="480"/>
        <w:spacing w:after="0" w:line="261" w:lineRule="auto"/>
        <w:rPr>
          <w:rFonts w:ascii="Arial" w:cs="Arial" w:eastAsia="Arial" w:hAnsi="Arial"/>
          <w:sz w:val="18"/>
          <w:szCs w:val="18"/>
          <w:color w:val="0000FF"/>
        </w:rPr>
      </w:pPr>
      <w:hyperlink r:id="rId23">
        <w:r>
          <w:rPr>
            <w:rFonts w:ascii="Arial" w:cs="Arial" w:eastAsia="Arial" w:hAnsi="Arial"/>
            <w:sz w:val="18"/>
            <w:szCs w:val="18"/>
            <w:u w:val="single" w:color="auto"/>
            <w:color w:val="0000FF"/>
          </w:rPr>
          <w:t>2013</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4.5 to our Form S-1 Registration Statement (Registration No. 333-</w:t>
        </w:r>
      </w:hyperlink>
      <w:r>
        <w:rPr>
          <w:rFonts w:ascii="Arial" w:cs="Arial" w:eastAsia="Arial" w:hAnsi="Arial"/>
          <w:sz w:val="18"/>
          <w:szCs w:val="18"/>
          <w:color w:val="0000FF"/>
        </w:rPr>
        <w:t xml:space="preserve">191635), </w:t>
      </w:r>
      <w:r>
        <w:rPr>
          <w:rFonts w:ascii="Arial" w:cs="Arial" w:eastAsia="Arial" w:hAnsi="Arial"/>
          <w:sz w:val="18"/>
          <w:szCs w:val="18"/>
          <w:color w:val="000000"/>
        </w:rPr>
        <w:t>filed on</w:t>
      </w:r>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spacing w:after="0" w:line="22" w:lineRule="exact"/>
        <w:rPr>
          <w:sz w:val="20"/>
          <w:szCs w:val="20"/>
          <w:color w:val="auto"/>
        </w:rPr>
      </w:pPr>
    </w:p>
    <w:p>
      <w:pPr>
        <w:ind w:left="1300" w:right="320" w:hanging="753"/>
        <w:spacing w:after="0" w:line="317"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24">
        <w:r>
          <w:rPr>
            <w:rFonts w:ascii="Arial" w:cs="Arial" w:eastAsia="Arial" w:hAnsi="Arial"/>
            <w:sz w:val="16"/>
            <w:szCs w:val="16"/>
            <w:u w:val="single" w:color="auto"/>
            <w:color w:val="0000FF"/>
          </w:rPr>
          <w:t xml:space="preserve">Form of Warrant to Purchase Common Stock of NMI Holdings, Inc. issued to former stockholders of MAC Financial Ltd.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4.6 to our Form S-1 Registration Statement (Registration No. 333-191635), filed on October 9, 2013)</w:t>
      </w:r>
    </w:p>
    <w:p>
      <w:pPr>
        <w:jc w:val="both"/>
        <w:ind w:left="1300" w:right="16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25">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both"/>
        <w:ind w:left="1300" w:right="16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10.2 ~</w:t>
      </w:r>
      <w:r>
        <w:rPr>
          <w:sz w:val="20"/>
          <w:szCs w:val="20"/>
          <w:color w:val="auto"/>
        </w:rPr>
        <w:tab/>
      </w:r>
      <w:hyperlink r:id="rId26">
        <w:r>
          <w:rPr>
            <w:rFonts w:ascii="Arial" w:cs="Arial" w:eastAsia="Arial" w:hAnsi="Arial"/>
            <w:sz w:val="17"/>
            <w:szCs w:val="17"/>
            <w:u w:val="single" w:color="auto"/>
            <w:color w:val="0000FF"/>
          </w:rPr>
          <w:t xml:space="preserve">Form of NMI Holdings, Inc. 2012 Stock Incentive Plan Restricted Stock Unit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10.3 to our Form S-1 Registration Statement (Registration No. 333-191635), filed on October 9, 2013)</w:t>
      </w:r>
    </w:p>
    <w:p>
      <w:pPr>
        <w:spacing w:after="0" w:line="1" w:lineRule="exact"/>
        <w:rPr>
          <w:sz w:val="20"/>
          <w:szCs w:val="20"/>
          <w:color w:val="auto"/>
        </w:rPr>
      </w:pPr>
    </w:p>
    <w:p>
      <w:pPr>
        <w:jc w:val="both"/>
        <w:ind w:left="1300" w:right="160" w:hanging="869"/>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10.3 ~</w:t>
      </w:r>
      <w:r>
        <w:rPr>
          <w:sz w:val="20"/>
          <w:szCs w:val="20"/>
          <w:color w:val="auto"/>
        </w:rPr>
        <w:tab/>
      </w:r>
      <w:hyperlink r:id="rId27">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9" w:lineRule="exact"/>
        <w:rPr>
          <w:sz w:val="20"/>
          <w:szCs w:val="20"/>
          <w:color w:val="auto"/>
        </w:rPr>
      </w:pPr>
    </w:p>
    <w:p>
      <w:pPr>
        <w:jc w:val="both"/>
        <w:ind w:left="1300" w:right="16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10.4 ~</w:t>
      </w:r>
      <w:r>
        <w:rPr>
          <w:sz w:val="20"/>
          <w:szCs w:val="20"/>
          <w:color w:val="auto"/>
        </w:rPr>
        <w:tab/>
      </w:r>
      <w:hyperlink r:id="rId28">
        <w:r>
          <w:rPr>
            <w:rFonts w:ascii="Arial" w:cs="Arial" w:eastAsia="Arial" w:hAnsi="Arial"/>
            <w:sz w:val="17"/>
            <w:szCs w:val="17"/>
            <w:u w:val="single" w:color="auto"/>
            <w:color w:val="0000FF"/>
          </w:rPr>
          <w:t xml:space="preserve">Form of NMI Holdings, Inc. 2012 Stock Incentive Plan Nonqualified Stock Option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29">
        <w:r>
          <w:rPr>
            <w:rFonts w:ascii="Arial" w:cs="Arial" w:eastAsia="Arial" w:hAnsi="Arial"/>
            <w:sz w:val="16"/>
            <w:szCs w:val="16"/>
            <w:u w:val="single" w:color="auto"/>
            <w:color w:val="0000FF"/>
          </w:rPr>
          <w:t xml:space="preserve">Form of NMI Holdings, Inc. 2012 Stock Incentive Plan Nonqualified Stock Option Award Agreement for Directors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p>
      <w:pPr>
        <w:spacing w:after="0" w:line="49" w:lineRule="exact"/>
        <w:rPr>
          <w:sz w:val="20"/>
          <w:szCs w:val="20"/>
          <w:color w:val="auto"/>
        </w:rPr>
      </w:pPr>
    </w:p>
    <w:p>
      <w:pPr>
        <w:jc w:val="both"/>
        <w:ind w:left="1300" w:right="160" w:hanging="869"/>
        <w:spacing w:after="0" w:line="308" w:lineRule="auto"/>
        <w:tabs>
          <w:tab w:leader="none" w:pos="1280" w:val="left"/>
        </w:tabs>
        <w:rPr>
          <w:rFonts w:ascii="Arial" w:cs="Arial" w:eastAsia="Arial" w:hAnsi="Arial"/>
          <w:sz w:val="17"/>
          <w:szCs w:val="17"/>
          <w:color w:val="0000FF"/>
        </w:rPr>
      </w:pPr>
      <w:r>
        <w:rPr>
          <w:rFonts w:ascii="Arial" w:cs="Arial" w:eastAsia="Arial" w:hAnsi="Arial"/>
          <w:sz w:val="18"/>
          <w:szCs w:val="18"/>
          <w:color w:val="auto"/>
        </w:rPr>
        <w:t>10.6 ~</w:t>
      </w:r>
      <w:r>
        <w:rPr>
          <w:sz w:val="20"/>
          <w:szCs w:val="20"/>
          <w:color w:val="auto"/>
        </w:rPr>
        <w:tab/>
      </w:r>
      <w:hyperlink r:id="rId30">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30">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53"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0"/>
              </w:rPr>
              <w:t>10.7 ~</w:t>
            </w:r>
          </w:p>
        </w:tc>
        <w:tc>
          <w:tcPr>
            <w:tcW w:w="9960" w:type="dxa"/>
            <w:vAlign w:val="bottom"/>
            <w:gridSpan w:val="20"/>
          </w:tcPr>
          <w:p>
            <w:pPr>
              <w:spacing w:after="0"/>
              <w:rPr>
                <w:rFonts w:ascii="Arial" w:cs="Arial" w:eastAsia="Arial" w:hAnsi="Arial"/>
                <w:sz w:val="18"/>
                <w:szCs w:val="18"/>
                <w:color w:val="0000FF"/>
                <w:w w:val="96"/>
              </w:rPr>
            </w:pPr>
            <w:hyperlink r:id="rId31">
              <w:r>
                <w:rPr>
                  <w:rFonts w:ascii="Arial" w:cs="Arial" w:eastAsia="Arial" w:hAnsi="Arial"/>
                  <w:sz w:val="18"/>
                  <w:szCs w:val="18"/>
                  <w:color w:val="0000FF"/>
                  <w:w w:val="96"/>
                </w:rPr>
                <w:t xml:space="preserve">Form of NMI Holdings, Inc. 2012 Stock Incentive Plan Nonqualified Stock Option Award Agreement for Employees  </w:t>
              </w:r>
            </w:hyperlink>
            <w:r>
              <w:rPr>
                <w:rFonts w:ascii="Arial" w:cs="Arial" w:eastAsia="Arial" w:hAnsi="Arial"/>
                <w:sz w:val="18"/>
                <w:szCs w:val="18"/>
                <w:color w:val="000000"/>
                <w:w w:val="96"/>
              </w:rPr>
              <w:t>(incorporated</w:t>
            </w:r>
          </w:p>
        </w:tc>
      </w:tr>
      <w:tr>
        <w:trPr>
          <w:trHeight w:val="237"/>
        </w:trPr>
        <w:tc>
          <w:tcPr>
            <w:tcW w:w="920" w:type="dxa"/>
            <w:vAlign w:val="bottom"/>
          </w:tcPr>
          <w:p>
            <w:pPr>
              <w:spacing w:after="0"/>
              <w:rPr>
                <w:sz w:val="20"/>
                <w:szCs w:val="20"/>
                <w:color w:val="auto"/>
              </w:rPr>
            </w:pPr>
          </w:p>
        </w:tc>
        <w:tc>
          <w:tcPr>
            <w:tcW w:w="892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auto"/>
              </w:rPr>
              <w:t>herein by reference to Exhibit 10.9 to our Form 10-K, filed on February 17, 2017)</w:t>
            </w:r>
          </w:p>
        </w:tc>
        <w:tc>
          <w:tcPr>
            <w:tcW w:w="1040" w:type="dxa"/>
            <w:vAlign w:val="bottom"/>
            <w:gridSpan w:val="2"/>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0"/>
              </w:rPr>
              <w:t>10.8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Amended and Restated Employment Agreement by and between NMI Holdings, Inc. and Bradley M. Shuster, dated December 23,</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 xml:space="preserve">2015 </w:t>
              </w:r>
              <w:r>
                <w:rPr>
                  <w:rFonts w:ascii="Arial" w:cs="Arial" w:eastAsia="Arial" w:hAnsi="Arial"/>
                  <w:sz w:val="18"/>
                  <w:szCs w:val="18"/>
                  <w:color w:val="000000"/>
                </w:rPr>
                <w:t>(incorporated herein by reference to Exhibit 10.1 to our Form 8-K, filed on December 29, 2015)</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0"/>
              </w:rPr>
              <w:t>10.9 ~</w:t>
            </w:r>
          </w:p>
        </w:tc>
        <w:tc>
          <w:tcPr>
            <w:tcW w:w="9960" w:type="dxa"/>
            <w:vAlign w:val="bottom"/>
            <w:gridSpan w:val="20"/>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 xml:space="preserve">Offer Letter by and between NMI Holdings, Inc. and William Leatherberry, dated July 11, 2014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 reference to</w:t>
            </w:r>
          </w:p>
        </w:tc>
      </w:tr>
      <w:tr>
        <w:trPr>
          <w:trHeight w:val="237"/>
        </w:trPr>
        <w:tc>
          <w:tcPr>
            <w:tcW w:w="920" w:type="dxa"/>
            <w:vAlign w:val="bottom"/>
          </w:tcPr>
          <w:p>
            <w:pPr>
              <w:spacing w:after="0"/>
              <w:rPr>
                <w:sz w:val="20"/>
                <w:szCs w:val="20"/>
                <w:color w:val="auto"/>
              </w:rPr>
            </w:pPr>
          </w:p>
        </w:tc>
        <w:tc>
          <w:tcPr>
            <w:tcW w:w="72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rPr>
              <w:t>Exhibit 10.10 to our Form 10-Q, filed on April 28, 2016)</w:t>
            </w:r>
          </w:p>
        </w:tc>
        <w:tc>
          <w:tcPr>
            <w:tcW w:w="2760" w:type="dxa"/>
            <w:vAlign w:val="bottom"/>
            <w:gridSpan w:val="5"/>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10.10 ~</w:t>
            </w:r>
          </w:p>
        </w:tc>
        <w:tc>
          <w:tcPr>
            <w:tcW w:w="9960" w:type="dxa"/>
            <w:vAlign w:val="bottom"/>
            <w:gridSpan w:val="20"/>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 xml:space="preserve">Offer Letter by and between NMI Holdings, Inc. and Adam Pollitzer, dated February 1, 2017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herein by reference to Exhibit</w:t>
            </w:r>
          </w:p>
        </w:tc>
      </w:tr>
      <w:tr>
        <w:trPr>
          <w:trHeight w:val="237"/>
        </w:trPr>
        <w:tc>
          <w:tcPr>
            <w:tcW w:w="920" w:type="dxa"/>
            <w:vAlign w:val="bottom"/>
          </w:tcPr>
          <w:p>
            <w:pPr>
              <w:spacing w:after="0"/>
              <w:rPr>
                <w:sz w:val="20"/>
                <w:szCs w:val="20"/>
                <w:color w:val="auto"/>
              </w:rPr>
            </w:pPr>
          </w:p>
        </w:tc>
        <w:tc>
          <w:tcPr>
            <w:tcW w:w="67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10.1 to our Form 8-K, filed on February 3, 2017)</w:t>
            </w:r>
          </w:p>
        </w:tc>
        <w:tc>
          <w:tcPr>
            <w:tcW w:w="3180" w:type="dxa"/>
            <w:vAlign w:val="bottom"/>
            <w:gridSpan w:val="6"/>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10.11 ~</w:t>
            </w:r>
          </w:p>
        </w:tc>
        <w:tc>
          <w:tcPr>
            <w:tcW w:w="9960" w:type="dxa"/>
            <w:vAlign w:val="bottom"/>
            <w:gridSpan w:val="20"/>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 xml:space="preserve">Form of Indemnification Agreement between NMI Holdings, Inc. and its directors and certain executive officers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 by</w:t>
            </w:r>
          </w:p>
        </w:tc>
      </w:tr>
      <w:tr>
        <w:trPr>
          <w:trHeight w:val="237"/>
        </w:trPr>
        <w:tc>
          <w:tcPr>
            <w:tcW w:w="920" w:type="dxa"/>
            <w:vAlign w:val="bottom"/>
          </w:tcPr>
          <w:p>
            <w:pPr>
              <w:spacing w:after="0"/>
              <w:rPr>
                <w:sz w:val="20"/>
                <w:szCs w:val="20"/>
                <w:color w:val="auto"/>
              </w:rPr>
            </w:pPr>
          </w:p>
        </w:tc>
        <w:tc>
          <w:tcPr>
            <w:tcW w:w="82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reference to Exhibit 10.1 to our Form 8-K, filed on November 25, 2014)</w:t>
            </w:r>
          </w:p>
        </w:tc>
        <w:tc>
          <w:tcPr>
            <w:tcW w:w="1760" w:type="dxa"/>
            <w:vAlign w:val="bottom"/>
            <w:gridSpan w:val="3"/>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10.12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Commitment Letter dated July 12, 2013 for Bulk Fannie Mae-Paid Loss-on-Sale Mortgage Insurance on the Portfolio of approximately</w:t>
              </w:r>
            </w:hyperlink>
          </w:p>
        </w:tc>
      </w:tr>
      <w:tr>
        <w:trPr>
          <w:trHeight w:val="196"/>
        </w:trPr>
        <w:tc>
          <w:tcPr>
            <w:tcW w:w="920" w:type="dxa"/>
            <w:vAlign w:val="bottom"/>
          </w:tcPr>
          <w:p>
            <w:pPr>
              <w:spacing w:after="0"/>
              <w:rPr>
                <w:sz w:val="17"/>
                <w:szCs w:val="17"/>
                <w:color w:val="auto"/>
              </w:rPr>
            </w:pPr>
          </w:p>
        </w:tc>
        <w:tc>
          <w:tcPr>
            <w:tcW w:w="996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u w:val="single" w:color="auto"/>
                  <w:color w:val="0000FF"/>
                  <w:w w:val="92"/>
                </w:rPr>
                <w:t>$</w:t>
              </w:r>
              <w:r>
                <w:rPr>
                  <w:rFonts w:ascii="Arial" w:cs="Arial" w:eastAsia="Arial" w:hAnsi="Arial"/>
                  <w:sz w:val="18"/>
                  <w:szCs w:val="18"/>
                  <w:color w:val="0000FF"/>
                  <w:w w:val="92"/>
                </w:rPr>
                <w:t>5.46 billion Purchased by Fannie Mae and Identified by Fannie Mae as Deal No. 2013 MIRT 01 and by the Company as Policy No. P-</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 xml:space="preserve">0001-01 </w:t>
              </w:r>
              <w:r>
                <w:rPr>
                  <w:rFonts w:ascii="Arial" w:cs="Arial" w:eastAsia="Arial" w:hAnsi="Arial"/>
                  <w:sz w:val="18"/>
                  <w:szCs w:val="18"/>
                  <w:color w:val="000000"/>
                  <w:w w:val="92"/>
                </w:rPr>
                <w:t>(incorporated herein by reference to Exhibit 10.14 to our Form S-1 Registration Statement (Registration No. 333-191635), filed</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9960" w:type="dxa"/>
            <w:vAlign w:val="bottom"/>
            <w:gridSpan w:val="20"/>
          </w:tcPr>
          <w:p>
            <w:pPr>
              <w:spacing w:after="0"/>
              <w:rPr>
                <w:sz w:val="20"/>
                <w:szCs w:val="20"/>
                <w:color w:val="auto"/>
              </w:rPr>
            </w:pPr>
            <w:r>
              <w:rPr>
                <w:rFonts w:ascii="Arial" w:cs="Arial" w:eastAsia="Arial" w:hAnsi="Arial"/>
                <w:sz w:val="18"/>
                <w:szCs w:val="18"/>
                <w:color w:val="auto"/>
              </w:rPr>
              <w:t>on October 9, 2013)</w:t>
            </w: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3"/>
              </w:rPr>
              <w:t>10.13</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Credit Agreement, dated November 10, 2015, between NMI Holdings, Inc., the lenders party thereto and JPMorgan Chase Bank, N.A., as</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 xml:space="preserve">administrative agent </w:t>
              </w:r>
              <w:r>
                <w:rPr>
                  <w:rFonts w:ascii="Arial" w:cs="Arial" w:eastAsia="Arial" w:hAnsi="Arial"/>
                  <w:sz w:val="18"/>
                  <w:szCs w:val="18"/>
                  <w:color w:val="000000"/>
                </w:rPr>
                <w:t>(incorporated herein by reference to Exhibit 4.1 to our Form 8-K, filed on November 10, 2015)</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3"/>
              </w:rPr>
              <w:t>10.14</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Amendment No. 1, dated February 10, 2017, to the Credit Agreement dated November 10, 2015, between NMI Holdings, Inc., the lender</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 xml:space="preserve">parties thereto and JPMorgan Chase Bank, N.A., as administrative agent </w:t>
              </w:r>
              <w:r>
                <w:rPr>
                  <w:rFonts w:ascii="Arial" w:cs="Arial" w:eastAsia="Arial" w:hAnsi="Arial"/>
                  <w:sz w:val="18"/>
                  <w:szCs w:val="18"/>
                  <w:color w:val="000000"/>
                  <w:w w:val="91"/>
                </w:rPr>
                <w:t>(incorporated herein by reference to Exhibit 10.1 to our Form 8-</w:t>
              </w:r>
            </w:hyperlink>
          </w:p>
        </w:tc>
      </w:tr>
      <w:tr>
        <w:trPr>
          <w:trHeight w:val="237"/>
        </w:trPr>
        <w:tc>
          <w:tcPr>
            <w:tcW w:w="920" w:type="dxa"/>
            <w:vAlign w:val="bottom"/>
          </w:tcPr>
          <w:p>
            <w:pPr>
              <w:spacing w:after="0"/>
              <w:rPr>
                <w:sz w:val="20"/>
                <w:szCs w:val="20"/>
                <w:color w:val="auto"/>
              </w:rPr>
            </w:pPr>
          </w:p>
        </w:tc>
        <w:tc>
          <w:tcPr>
            <w:tcW w:w="52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K, filed on February 10, 2017)</w:t>
            </w:r>
          </w:p>
        </w:tc>
        <w:tc>
          <w:tcPr>
            <w:tcW w:w="4740" w:type="dxa"/>
            <w:vAlign w:val="bottom"/>
            <w:gridSpan w:val="8"/>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3"/>
              </w:rPr>
              <w:t>10.15</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Amendment No. 2, dated October 25, 2017, to the Credit Agreement dated November 10, 2015, between NMI Holdings, Inc., the lender</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 xml:space="preserve">parties thereto and JPMorgan Chase Bank, N.A., as administrative agent </w:t>
              </w:r>
              <w:r>
                <w:rPr>
                  <w:rFonts w:ascii="Arial" w:cs="Arial" w:eastAsia="Arial" w:hAnsi="Arial"/>
                  <w:sz w:val="18"/>
                  <w:szCs w:val="18"/>
                  <w:color w:val="000000"/>
                  <w:w w:val="91"/>
                </w:rPr>
                <w:t>(incorporated herein by reference to Exhibit 10.1 to our Form 8-</w:t>
              </w:r>
            </w:hyperlink>
          </w:p>
        </w:tc>
      </w:tr>
      <w:tr>
        <w:trPr>
          <w:trHeight w:val="237"/>
        </w:trPr>
        <w:tc>
          <w:tcPr>
            <w:tcW w:w="920" w:type="dxa"/>
            <w:vAlign w:val="bottom"/>
          </w:tcPr>
          <w:p>
            <w:pPr>
              <w:spacing w:after="0"/>
              <w:rPr>
                <w:sz w:val="20"/>
                <w:szCs w:val="20"/>
                <w:color w:val="auto"/>
              </w:rPr>
            </w:pPr>
          </w:p>
        </w:tc>
        <w:tc>
          <w:tcPr>
            <w:tcW w:w="52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K, filed on October 26, 2017)</w:t>
            </w:r>
          </w:p>
        </w:tc>
        <w:tc>
          <w:tcPr>
            <w:tcW w:w="4740" w:type="dxa"/>
            <w:vAlign w:val="bottom"/>
            <w:gridSpan w:val="8"/>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3"/>
              </w:rPr>
              <w:t>10.16</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Credit Agreement, dated May 24, 2018, between NMI Holdings, Inc., the lender party thereto, and JPMorgan Chase Bank, N.A., as</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 xml:space="preserve">administrative agent </w:t>
              </w:r>
              <w:r>
                <w:rPr>
                  <w:rFonts w:ascii="Arial" w:cs="Arial" w:eastAsia="Arial" w:hAnsi="Arial"/>
                  <w:sz w:val="18"/>
                  <w:szCs w:val="18"/>
                  <w:color w:val="000000"/>
                </w:rPr>
                <w:t>(incorporated herein by reference to Exhibit 4.1 to our Form 8-K, filed on May 25, 2018)</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10.17 ~</w:t>
            </w:r>
          </w:p>
        </w:tc>
        <w:tc>
          <w:tcPr>
            <w:tcW w:w="9960" w:type="dxa"/>
            <w:vAlign w:val="bottom"/>
            <w:gridSpan w:val="20"/>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 xml:space="preserve">NMI Holdings, Inc. Amended and Restated 2014 Omnibus Incentive Plan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 by reference to Appendix A to our 2017</w:t>
            </w:r>
          </w:p>
        </w:tc>
      </w:tr>
      <w:tr>
        <w:trPr>
          <w:trHeight w:val="237"/>
        </w:trPr>
        <w:tc>
          <w:tcPr>
            <w:tcW w:w="920" w:type="dxa"/>
            <w:vAlign w:val="bottom"/>
          </w:tcPr>
          <w:p>
            <w:pPr>
              <w:spacing w:after="0"/>
              <w:rPr>
                <w:sz w:val="20"/>
                <w:szCs w:val="20"/>
                <w:color w:val="auto"/>
              </w:rPr>
            </w:pPr>
          </w:p>
        </w:tc>
        <w:tc>
          <w:tcPr>
            <w:tcW w:w="54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rPr>
              <w:t>Annual Proxy Statement, filed on March 30, 2017)</w:t>
            </w:r>
          </w:p>
        </w:tc>
        <w:tc>
          <w:tcPr>
            <w:tcW w:w="4560" w:type="dxa"/>
            <w:vAlign w:val="bottom"/>
            <w:gridSpan w:val="7"/>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10.18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Form of NMI Holdings, Inc. Amended and Restated 2014 Omnibus Incentive Plan Restricted Stock Unit Award Agreement for Chief</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 xml:space="preserve">Executive Officer </w:t>
              </w:r>
              <w:r>
                <w:rPr>
                  <w:rFonts w:ascii="Arial" w:cs="Arial" w:eastAsia="Arial" w:hAnsi="Arial"/>
                  <w:sz w:val="18"/>
                  <w:szCs w:val="18"/>
                  <w:color w:val="000000"/>
                </w:rPr>
                <w:t>(incorporated herein by reference to Exhibit 10.19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10.19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NMI Holdings, Inc. Amended and Restated 2014 Omnibus Incentive Plan Restricted Stock Unit Award Agreement for Executive</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 xml:space="preserve">Officers </w:t>
              </w:r>
              <w:r>
                <w:rPr>
                  <w:rFonts w:ascii="Arial" w:cs="Arial" w:eastAsia="Arial" w:hAnsi="Arial"/>
                  <w:sz w:val="18"/>
                  <w:szCs w:val="18"/>
                  <w:color w:val="000000"/>
                </w:rPr>
                <w:t>(incorporated herein by reference to Exhibit 10.20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10.20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9"/>
              </w:rPr>
            </w:pPr>
            <w:hyperlink r:id="rId44">
              <w:r>
                <w:rPr>
                  <w:rFonts w:ascii="Arial" w:cs="Arial" w:eastAsia="Arial" w:hAnsi="Arial"/>
                  <w:sz w:val="18"/>
                  <w:szCs w:val="18"/>
                  <w:color w:val="0000FF"/>
                  <w:w w:val="99"/>
                </w:rPr>
                <w:t>Form of NMI Holdings, Inc. Amended and Restated 2014 Omnibus Incentive Plan Restricted Stock Unit Award Agreement for</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 xml:space="preserve">Employees </w:t>
              </w:r>
              <w:r>
                <w:rPr>
                  <w:rFonts w:ascii="Arial" w:cs="Arial" w:eastAsia="Arial" w:hAnsi="Arial"/>
                  <w:sz w:val="18"/>
                  <w:szCs w:val="18"/>
                  <w:color w:val="000000"/>
                </w:rPr>
                <w:t>(incorporated herein by reference to Exhibit 10.21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10.21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Form of NMI Holdings, Inc. Amended and Restated 2014 Omnibus Incentive Plan Restricted Stock Unit Award Agreement for</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 xml:space="preserve">Independent Directors </w:t>
              </w:r>
              <w:r>
                <w:rPr>
                  <w:rFonts w:ascii="Arial" w:cs="Arial" w:eastAsia="Arial" w:hAnsi="Arial"/>
                  <w:sz w:val="18"/>
                  <w:szCs w:val="18"/>
                  <w:color w:val="000000"/>
                </w:rPr>
                <w:t>(incorporated herein by reference to Exhibit 10.22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10.22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Form of NMI Holdings, Inc. Amended and Restated 2014 Omnibus Incentive Plan Nonqualified Stock Option Award Agreement for</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 xml:space="preserve">Chief Executive Officer </w:t>
              </w:r>
              <w:r>
                <w:rPr>
                  <w:rFonts w:ascii="Arial" w:cs="Arial" w:eastAsia="Arial" w:hAnsi="Arial"/>
                  <w:sz w:val="18"/>
                  <w:szCs w:val="18"/>
                  <w:color w:val="000000"/>
                </w:rPr>
                <w:t>(incorporated herein by reference to Exhibit 10.23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10.23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Form of NMI Holdings, Inc. Amended and Restated 2014 Omnibus Incentive Plan Nonqualified Stock Option Award Agreement for</w:t>
              </w:r>
            </w:hyperlink>
          </w:p>
        </w:tc>
      </w:tr>
      <w:tr>
        <w:trPr>
          <w:trHeight w:val="196"/>
        </w:trPr>
        <w:tc>
          <w:tcPr>
            <w:tcW w:w="920" w:type="dxa"/>
            <w:vAlign w:val="bottom"/>
          </w:tcPr>
          <w:p>
            <w:pPr>
              <w:spacing w:after="0"/>
              <w:rPr>
                <w:sz w:val="17"/>
                <w:szCs w:val="17"/>
                <w:color w:val="auto"/>
              </w:rPr>
            </w:pPr>
          </w:p>
        </w:tc>
        <w:tc>
          <w:tcPr>
            <w:tcW w:w="9960" w:type="dxa"/>
            <w:vAlign w:val="bottom"/>
            <w:gridSpan w:val="20"/>
          </w:tcPr>
          <w:p>
            <w:pPr>
              <w:spacing w:after="0" w:line="196"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 xml:space="preserve">Executive Officers and Employees </w:t>
              </w:r>
              <w:r>
                <w:rPr>
                  <w:rFonts w:ascii="Arial" w:cs="Arial" w:eastAsia="Arial" w:hAnsi="Arial"/>
                  <w:sz w:val="18"/>
                  <w:szCs w:val="18"/>
                  <w:color w:val="000000"/>
                  <w:w w:val="98"/>
                </w:rPr>
                <w:t>(incorporated herein by reference to Exhibit 10.24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10.24 ~</w:t>
            </w:r>
          </w:p>
        </w:tc>
        <w:tc>
          <w:tcPr>
            <w:tcW w:w="9960" w:type="dxa"/>
            <w:vAlign w:val="bottom"/>
            <w:gridSpan w:val="20"/>
          </w:tcPr>
          <w:p>
            <w:pPr>
              <w:spacing w:after="0"/>
              <w:rPr>
                <w:rFonts w:ascii="Arial" w:cs="Arial" w:eastAsia="Arial" w:hAnsi="Arial"/>
                <w:sz w:val="18"/>
                <w:szCs w:val="18"/>
                <w:color w:val="0000FF"/>
                <w:w w:val="98"/>
              </w:rPr>
            </w:pPr>
            <w:hyperlink r:id="rId48">
              <w:r>
                <w:rPr>
                  <w:rFonts w:ascii="Arial" w:cs="Arial" w:eastAsia="Arial" w:hAnsi="Arial"/>
                  <w:sz w:val="18"/>
                  <w:szCs w:val="18"/>
                  <w:color w:val="0000FF"/>
                  <w:w w:val="98"/>
                </w:rPr>
                <w:t>Form of NMI Holdings, Inc. 2014 Omnibus Incentive Plan Performance Based Restricted Stock Unit Award Agreement for Chief</w:t>
              </w:r>
            </w:hyperlink>
          </w:p>
        </w:tc>
      </w:tr>
      <w:tr>
        <w:trPr>
          <w:trHeight w:val="196"/>
        </w:trPr>
        <w:tc>
          <w:tcPr>
            <w:tcW w:w="920" w:type="dxa"/>
            <w:vAlign w:val="bottom"/>
          </w:tcPr>
          <w:p>
            <w:pPr>
              <w:spacing w:after="0"/>
              <w:rPr>
                <w:sz w:val="17"/>
                <w:szCs w:val="17"/>
                <w:color w:val="auto"/>
              </w:rPr>
            </w:pPr>
          </w:p>
        </w:tc>
        <w:tc>
          <w:tcPr>
            <w:tcW w:w="99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 xml:space="preserve">Executive Officer </w:t>
              </w:r>
              <w:r>
                <w:rPr>
                  <w:rFonts w:ascii="Arial" w:cs="Arial" w:eastAsia="Arial" w:hAnsi="Arial"/>
                  <w:sz w:val="18"/>
                  <w:szCs w:val="18"/>
                  <w:color w:val="000000"/>
                </w:rPr>
                <w:t>(incorporated herein by reference to Exhibit 10.26 to our Form 10-K, filed on February 17, 2017)</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10.25 ~</w:t>
            </w:r>
          </w:p>
        </w:tc>
        <w:tc>
          <w:tcPr>
            <w:tcW w:w="9960" w:type="dxa"/>
            <w:vAlign w:val="bottom"/>
            <w:gridSpan w:val="20"/>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 xml:space="preserve">NMI Holdings, Inc. Severance Benefit Plan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 reference to Exhibit 10.1 to our Form 8-K, filed on February 17,</w:t>
            </w:r>
          </w:p>
        </w:tc>
      </w:tr>
      <w:tr>
        <w:trPr>
          <w:trHeight w:val="237"/>
        </w:trPr>
        <w:tc>
          <w:tcPr>
            <w:tcW w:w="920" w:type="dxa"/>
            <w:vAlign w:val="bottom"/>
          </w:tcPr>
          <w:p>
            <w:pPr>
              <w:spacing w:after="0"/>
              <w:rPr>
                <w:sz w:val="20"/>
                <w:szCs w:val="20"/>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10.26 ~</w:t>
            </w:r>
          </w:p>
        </w:tc>
        <w:tc>
          <w:tcPr>
            <w:tcW w:w="9960" w:type="dxa"/>
            <w:vAlign w:val="bottom"/>
            <w:tcBorders>
              <w:bottom w:val="single" w:sz="8" w:color="0000FF"/>
            </w:tcBorders>
            <w:gridSpan w:val="20"/>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NMI Holdings, Inc. Amended and Restated Change in Control Severance Benefit Plan (incorporated herein by reference to Exhibit 10.30</w:t>
              </w:r>
            </w:hyperlink>
          </w:p>
        </w:tc>
      </w:tr>
      <w:tr>
        <w:trPr>
          <w:trHeight w:val="196"/>
        </w:trPr>
        <w:tc>
          <w:tcPr>
            <w:tcW w:w="920" w:type="dxa"/>
            <w:vAlign w:val="bottom"/>
          </w:tcPr>
          <w:p>
            <w:pPr>
              <w:spacing w:after="0"/>
              <w:rPr>
                <w:sz w:val="17"/>
                <w:szCs w:val="17"/>
                <w:color w:val="auto"/>
              </w:rPr>
            </w:pPr>
          </w:p>
        </w:tc>
        <w:tc>
          <w:tcPr>
            <w:tcW w:w="32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to our Form 10-Q, filed on October 30, 2018)</w:t>
              </w:r>
            </w:hyperlink>
          </w:p>
        </w:tc>
        <w:tc>
          <w:tcPr>
            <w:tcW w:w="6680" w:type="dxa"/>
            <w:vAlign w:val="bottom"/>
            <w:gridSpan w:val="9"/>
          </w:tcPr>
          <w:p>
            <w:pPr>
              <w:spacing w:after="0"/>
              <w:rPr>
                <w:sz w:val="17"/>
                <w:szCs w:val="17"/>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10.27 ~</w:t>
            </w:r>
          </w:p>
        </w:tc>
        <w:tc>
          <w:tcPr>
            <w:tcW w:w="9960" w:type="dxa"/>
            <w:vAlign w:val="bottom"/>
            <w:gridSpan w:val="20"/>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 xml:space="preserve">NMI Holdings, Inc. Clawback Policy </w:t>
              </w:r>
            </w:hyperlink>
            <w:r>
              <w:rPr>
                <w:rFonts w:ascii="Arial" w:cs="Arial" w:eastAsia="Arial" w:hAnsi="Arial"/>
                <w:sz w:val="18"/>
                <w:szCs w:val="18"/>
                <w:color w:val="000000"/>
                <w:w w:val="96"/>
              </w:rPr>
              <w:t>(incorporated</w:t>
            </w:r>
            <w:r>
              <w:rPr>
                <w:rFonts w:ascii="Arial" w:cs="Arial" w:eastAsia="Arial" w:hAnsi="Arial"/>
                <w:sz w:val="18"/>
                <w:szCs w:val="18"/>
                <w:color w:val="0000FF"/>
                <w:w w:val="96"/>
              </w:rPr>
              <w:t xml:space="preserve"> </w:t>
            </w:r>
            <w:r>
              <w:rPr>
                <w:rFonts w:ascii="Arial" w:cs="Arial" w:eastAsia="Arial" w:hAnsi="Arial"/>
                <w:sz w:val="18"/>
                <w:szCs w:val="18"/>
                <w:color w:val="000000"/>
                <w:w w:val="96"/>
              </w:rPr>
              <w:t>herein by reference to Exhibit 10.2 to our Form 8-K, filed on February 23, 2017)</w:t>
            </w:r>
          </w:p>
        </w:tc>
      </w:tr>
      <w:tr>
        <w:trPr>
          <w:trHeight w:val="20"/>
        </w:trPr>
        <w:tc>
          <w:tcPr>
            <w:tcW w:w="920" w:type="dxa"/>
            <w:vAlign w:val="bottom"/>
          </w:tcPr>
          <w:p>
            <w:pPr>
              <w:spacing w:after="0" w:line="20" w:lineRule="exact"/>
              <w:rPr>
                <w:sz w:val="1"/>
                <w:szCs w:val="1"/>
                <w:color w:val="auto"/>
              </w:rPr>
            </w:pPr>
          </w:p>
        </w:tc>
        <w:tc>
          <w:tcPr>
            <w:tcW w:w="2680" w:type="dxa"/>
            <w:vAlign w:val="bottom"/>
            <w:gridSpan w:val="9"/>
            <w:shd w:val="clear" w:color="auto" w:fill="0000FF"/>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10.28 ~</w:t>
            </w:r>
          </w:p>
        </w:tc>
        <w:tc>
          <w:tcPr>
            <w:tcW w:w="9960" w:type="dxa"/>
            <w:vAlign w:val="bottom"/>
            <w:gridSpan w:val="20"/>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 xml:space="preserve">Employment Letter by and between NMI Holdings, Inc. and Bradley M. Shuster, effective as of January 1, 2019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herein by</w:t>
            </w:r>
          </w:p>
        </w:tc>
      </w:tr>
      <w:tr>
        <w:trPr>
          <w:trHeight w:val="237"/>
        </w:trPr>
        <w:tc>
          <w:tcPr>
            <w:tcW w:w="920" w:type="dxa"/>
            <w:vAlign w:val="bottom"/>
          </w:tcPr>
          <w:p>
            <w:pPr>
              <w:spacing w:after="0"/>
              <w:rPr>
                <w:sz w:val="20"/>
                <w:szCs w:val="20"/>
                <w:color w:val="auto"/>
              </w:rPr>
            </w:pPr>
          </w:p>
        </w:tc>
        <w:tc>
          <w:tcPr>
            <w:tcW w:w="82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reference to Exhibit 10.1 to our Form 8-K, filed on December 28, 2018)</w:t>
            </w:r>
          </w:p>
        </w:tc>
        <w:tc>
          <w:tcPr>
            <w:tcW w:w="1760" w:type="dxa"/>
            <w:vAlign w:val="bottom"/>
            <w:gridSpan w:val="3"/>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10.29 ~</w:t>
            </w:r>
          </w:p>
        </w:tc>
        <w:tc>
          <w:tcPr>
            <w:tcW w:w="9960" w:type="dxa"/>
            <w:vAlign w:val="bottom"/>
            <w:gridSpan w:val="20"/>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 xml:space="preserve">Employment Letter by and between NMI Holdings, Inc. and Claudia J. Merkle, effective as of January 1, 2019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 by</w:t>
            </w:r>
          </w:p>
        </w:tc>
      </w:tr>
      <w:tr>
        <w:trPr>
          <w:trHeight w:val="237"/>
        </w:trPr>
        <w:tc>
          <w:tcPr>
            <w:tcW w:w="920" w:type="dxa"/>
            <w:vAlign w:val="bottom"/>
          </w:tcPr>
          <w:p>
            <w:pPr>
              <w:spacing w:after="0"/>
              <w:rPr>
                <w:sz w:val="20"/>
                <w:szCs w:val="20"/>
                <w:color w:val="auto"/>
              </w:rPr>
            </w:pPr>
          </w:p>
        </w:tc>
        <w:tc>
          <w:tcPr>
            <w:tcW w:w="81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reference to Exhibit 10.2 to our Form 8-K, filed on December 28, 2018)</w:t>
            </w:r>
          </w:p>
        </w:tc>
        <w:tc>
          <w:tcPr>
            <w:tcW w:w="1780" w:type="dxa"/>
            <w:vAlign w:val="bottom"/>
            <w:gridSpan w:val="4"/>
          </w:tcPr>
          <w:p>
            <w:pPr>
              <w:spacing w:after="0"/>
              <w:rPr>
                <w:sz w:val="20"/>
                <w:szCs w:val="20"/>
                <w:color w:val="auto"/>
              </w:rPr>
            </w:pPr>
          </w:p>
        </w:tc>
      </w:tr>
      <w:tr>
        <w:trPr>
          <w:trHeight w:val="459"/>
        </w:trPr>
        <w:tc>
          <w:tcPr>
            <w:tcW w:w="920" w:type="dxa"/>
            <w:vAlign w:val="bottom"/>
          </w:tcPr>
          <w:p>
            <w:pPr>
              <w:spacing w:after="0"/>
              <w:rPr>
                <w:sz w:val="24"/>
                <w:szCs w:val="24"/>
                <w:color w:val="auto"/>
              </w:rPr>
            </w:pPr>
          </w:p>
        </w:tc>
        <w:tc>
          <w:tcPr>
            <w:tcW w:w="5220" w:type="dxa"/>
            <w:vAlign w:val="bottom"/>
            <w:gridSpan w:val="12"/>
          </w:tcPr>
          <w:p>
            <w:pPr>
              <w:ind w:left="428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80"/>
          </w:cols>
          <w:pgMar w:left="620" w:top="702" w:right="399" w:bottom="1440" w:gutter="0" w:footer="0" w:header="0"/>
        </w:sectPr>
      </w:pPr>
    </w:p>
    <w:bookmarkStart w:id="116" w:name="page117"/>
    <w:bookmarkEnd w:id="116"/>
    <w:p>
      <w:pPr>
        <w:ind w:left="941"/>
        <w:spacing w:after="0"/>
        <w:rPr>
          <w:sz w:val="20"/>
          <w:szCs w:val="20"/>
          <w:color w:val="auto"/>
        </w:rPr>
      </w:pPr>
      <w:r>
        <w:rPr>
          <w:rFonts w:ascii="Arial" w:cs="Arial" w:eastAsia="Arial" w:hAnsi="Arial"/>
          <w:sz w:val="16"/>
          <w:szCs w:val="16"/>
          <w:u w:val="single" w:color="auto"/>
          <w:color w:val="0000FF"/>
        </w:rPr>
        <w:t>Form of NMI Holdings, Inc. 2012 Stock Incentive Plan Restricted Stock Unit Award Agreement for Independent Directors</w:t>
      </w:r>
      <w:r>
        <w:rPr>
          <w:rFonts w:ascii="Arial" w:cs="Arial" w:eastAsia="Arial" w:hAnsi="Arial"/>
          <w:sz w:val="16"/>
          <w:szCs w:val="16"/>
          <w:color w:val="0000FF"/>
        </w:rPr>
        <w:t xml:space="preserve"> </w:t>
      </w:r>
      <w:r>
        <w:rPr>
          <w:rFonts w:ascii="Arial" w:cs="Arial" w:eastAsia="Arial" w:hAnsi="Arial"/>
          <w:sz w:val="16"/>
          <w:szCs w:val="16"/>
          <w:color w:val="000000"/>
        </w:rPr>
        <w:t>(incorporated</w:t>
      </w:r>
    </w:p>
    <w:p>
      <w:pPr>
        <w:spacing w:after="0" w:line="46" w:lineRule="exact"/>
        <w:rPr>
          <w:sz w:val="20"/>
          <w:szCs w:val="20"/>
          <w:color w:val="auto"/>
        </w:rPr>
      </w:pPr>
    </w:p>
    <w:p>
      <w:pPr>
        <w:ind w:left="41"/>
        <w:spacing w:after="0"/>
        <w:tabs>
          <w:tab w:leader="none" w:pos="9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herein by reference to Exhibit 10.30 to our Form 10-Q, filed on May 2, 2019)</w:t>
      </w:r>
    </w:p>
    <w:p>
      <w:pPr>
        <w:spacing w:after="0" w:line="76" w:lineRule="exact"/>
        <w:rPr>
          <w:sz w:val="20"/>
          <w:szCs w:val="20"/>
          <w:color w:val="auto"/>
        </w:rPr>
      </w:pPr>
    </w:p>
    <w:p>
      <w:pPr>
        <w:ind w:left="941"/>
        <w:spacing w:after="0"/>
        <w:rPr>
          <w:sz w:val="20"/>
          <w:szCs w:val="20"/>
          <w:color w:val="auto"/>
        </w:rPr>
      </w:pPr>
      <w:r>
        <w:rPr>
          <w:rFonts w:ascii="Arial" w:cs="Arial" w:eastAsia="Arial" w:hAnsi="Arial"/>
          <w:sz w:val="17"/>
          <w:szCs w:val="17"/>
          <w:u w:val="single" w:color="auto"/>
          <w:color w:val="0000FF"/>
        </w:rPr>
        <w:t>Form of NMI Holdings, Inc. 2012 Stock Incentive Plan Restricted Stock Unit Award Agreement for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w:t>
      </w:r>
    </w:p>
    <w:p>
      <w:pPr>
        <w:spacing w:after="0" w:line="35" w:lineRule="exact"/>
        <w:rPr>
          <w:sz w:val="20"/>
          <w:szCs w:val="20"/>
          <w:color w:val="auto"/>
        </w:rPr>
      </w:pPr>
    </w:p>
    <w:p>
      <w:pPr>
        <w:ind w:left="41"/>
        <w:spacing w:after="0"/>
        <w:tabs>
          <w:tab w:leader="none" w:pos="9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reference to Exhibit 10.31 to our Form 10-Q, filed on May 2, 2019)</w:t>
      </w:r>
    </w:p>
    <w:p>
      <w:pPr>
        <w:spacing w:after="0" w:line="76" w:lineRule="exact"/>
        <w:rPr>
          <w:sz w:val="20"/>
          <w:szCs w:val="20"/>
          <w:color w:val="auto"/>
        </w:rPr>
      </w:pPr>
    </w:p>
    <w:p>
      <w:pPr>
        <w:ind w:left="941"/>
        <w:spacing w:after="0"/>
        <w:rPr>
          <w:sz w:val="20"/>
          <w:szCs w:val="20"/>
          <w:color w:val="auto"/>
        </w:rPr>
      </w:pPr>
      <w:r>
        <w:rPr>
          <w:rFonts w:ascii="Arial" w:cs="Arial" w:eastAsia="Arial" w:hAnsi="Arial"/>
          <w:sz w:val="17"/>
          <w:szCs w:val="17"/>
          <w:u w:val="single" w:color="auto"/>
          <w:color w:val="0000FF"/>
        </w:rPr>
        <w:t>Form of NMI Holdings, Inc. 2012 Stock Incentive Plan Nonqualified Stock Option Agreement for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w:t>
      </w:r>
    </w:p>
    <w:p>
      <w:pPr>
        <w:spacing w:after="0" w:line="35" w:lineRule="exact"/>
        <w:rPr>
          <w:sz w:val="20"/>
          <w:szCs w:val="20"/>
          <w:color w:val="auto"/>
        </w:rPr>
      </w:pPr>
    </w:p>
    <w:p>
      <w:pPr>
        <w:ind w:left="41"/>
        <w:spacing w:after="0"/>
        <w:tabs>
          <w:tab w:leader="none" w:pos="9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reference to Exhibit 10.32 to our Form 10-Q, filed on May 2, 2019)</w:t>
      </w:r>
    </w:p>
    <w:p>
      <w:pPr>
        <w:spacing w:after="0" w:line="76" w:lineRule="exact"/>
        <w:rPr>
          <w:sz w:val="20"/>
          <w:szCs w:val="20"/>
          <w:color w:val="auto"/>
        </w:rPr>
      </w:pPr>
    </w:p>
    <w:p>
      <w:pPr>
        <w:ind w:left="941"/>
        <w:spacing w:after="0"/>
        <w:rPr>
          <w:sz w:val="20"/>
          <w:szCs w:val="20"/>
          <w:color w:val="auto"/>
        </w:rPr>
      </w:pPr>
      <w:r>
        <w:rPr>
          <w:rFonts w:ascii="Arial" w:cs="Arial" w:eastAsia="Arial" w:hAnsi="Arial"/>
          <w:sz w:val="18"/>
          <w:szCs w:val="18"/>
          <w:u w:val="single" w:color="auto"/>
          <w:color w:val="0000FF"/>
        </w:rPr>
        <w:t>Form of NMI Holdings, Inc. Amended and Restated 2014 Omnibus Incentive Plan Restricted Stock Unit Award Agreement for</w:t>
      </w:r>
    </w:p>
    <w:p>
      <w:pPr>
        <w:spacing w:after="0" w:line="23" w:lineRule="exact"/>
        <w:rPr>
          <w:sz w:val="20"/>
          <w:szCs w:val="20"/>
          <w:color w:val="auto"/>
        </w:rPr>
      </w:pPr>
    </w:p>
    <w:p>
      <w:pPr>
        <w:ind w:left="41"/>
        <w:spacing w:after="0"/>
        <w:tabs>
          <w:tab w:leader="none" w:pos="9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u w:val="single" w:color="auto"/>
          <w:color w:val="0000FF"/>
        </w:rPr>
        <w:t xml:space="preserve">Independent Directors </w:t>
      </w:r>
      <w:r>
        <w:rPr>
          <w:rFonts w:ascii="Arial" w:cs="Arial" w:eastAsia="Arial" w:hAnsi="Arial"/>
          <w:sz w:val="16"/>
          <w:szCs w:val="16"/>
          <w:color w:val="000000"/>
        </w:rPr>
        <w:t>(incorporated herein by reference to Exhibit 10.33 to our Form 10-Q, filed on May 2, 2019)</w:t>
      </w:r>
    </w:p>
    <w:p>
      <w:pPr>
        <w:spacing w:after="0" w:line="76" w:lineRule="exact"/>
        <w:rPr>
          <w:sz w:val="20"/>
          <w:szCs w:val="20"/>
          <w:color w:val="auto"/>
        </w:rPr>
      </w:pPr>
    </w:p>
    <w:p>
      <w:pPr>
        <w:ind w:left="941"/>
        <w:spacing w:after="0"/>
        <w:rPr>
          <w:sz w:val="20"/>
          <w:szCs w:val="20"/>
          <w:color w:val="auto"/>
        </w:rPr>
      </w:pPr>
      <w:r>
        <w:rPr>
          <w:rFonts w:ascii="Arial" w:cs="Arial" w:eastAsia="Arial" w:hAnsi="Arial"/>
          <w:sz w:val="18"/>
          <w:szCs w:val="18"/>
          <w:u w:val="single" w:color="auto"/>
          <w:color w:val="0000FF"/>
        </w:rPr>
        <w:t>Form of NMI Holdings, Inc. Amended and Restated 2014 Omnibus Incentive Plan Restricted Stock Unit Award Agreement for</w:t>
      </w:r>
    </w:p>
    <w:p>
      <w:pPr>
        <w:spacing w:after="0" w:line="23" w:lineRule="exact"/>
        <w:rPr>
          <w:sz w:val="20"/>
          <w:szCs w:val="20"/>
          <w:color w:val="auto"/>
        </w:rPr>
      </w:pPr>
    </w:p>
    <w:p>
      <w:pPr>
        <w:ind w:left="41"/>
        <w:spacing w:after="0"/>
        <w:tabs>
          <w:tab w:leader="none" w:pos="9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u w:val="single" w:color="auto"/>
          <w:color w:val="0000FF"/>
        </w:rPr>
        <w:t xml:space="preserve">Employees </w:t>
      </w:r>
      <w:r>
        <w:rPr>
          <w:rFonts w:ascii="Arial" w:cs="Arial" w:eastAsia="Arial" w:hAnsi="Arial"/>
          <w:sz w:val="16"/>
          <w:szCs w:val="16"/>
          <w:color w:val="000000"/>
        </w:rPr>
        <w:t>(incorporated herein by reference to Exhibit 10.34 to our Form 10-Q, filed on May 2, 2019)</w:t>
      </w:r>
    </w:p>
    <w:p>
      <w:pPr>
        <w:spacing w:after="0" w:line="76" w:lineRule="exact"/>
        <w:rPr>
          <w:sz w:val="20"/>
          <w:szCs w:val="20"/>
          <w:color w:val="auto"/>
        </w:rPr>
      </w:pPr>
    </w:p>
    <w:p>
      <w:pPr>
        <w:ind w:left="941"/>
        <w:spacing w:after="0"/>
        <w:rPr>
          <w:sz w:val="20"/>
          <w:szCs w:val="20"/>
          <w:color w:val="auto"/>
        </w:rPr>
      </w:pPr>
      <w:r>
        <w:rPr>
          <w:rFonts w:ascii="Arial" w:cs="Arial" w:eastAsia="Arial" w:hAnsi="Arial"/>
          <w:sz w:val="18"/>
          <w:szCs w:val="18"/>
          <w:u w:val="single" w:color="auto"/>
          <w:color w:val="0000FF"/>
        </w:rPr>
        <w:t>Form of NMI Holdings, Inc. Amended and Restated 2014 Omnibus Incentive Plan Nonqualified Stock Option Agreement for</w:t>
      </w:r>
    </w:p>
    <w:p>
      <w:pPr>
        <w:spacing w:after="0" w:line="23" w:lineRule="exact"/>
        <w:rPr>
          <w:sz w:val="20"/>
          <w:szCs w:val="20"/>
          <w:color w:val="auto"/>
        </w:rPr>
      </w:pPr>
    </w:p>
    <w:p>
      <w:pPr>
        <w:ind w:left="41"/>
        <w:spacing w:after="0"/>
        <w:tabs>
          <w:tab w:leader="none" w:pos="9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u w:val="single" w:color="auto"/>
          <w:color w:val="0000FF"/>
        </w:rPr>
        <w:t xml:space="preserve">Employees </w:t>
      </w:r>
      <w:r>
        <w:rPr>
          <w:rFonts w:ascii="Arial" w:cs="Arial" w:eastAsia="Arial" w:hAnsi="Arial"/>
          <w:sz w:val="16"/>
          <w:szCs w:val="16"/>
          <w:color w:val="000000"/>
        </w:rPr>
        <w:t>(incorporated herein by reference to Exhibit 10.35 to our Form 10-Q, filed on May 2, 2019)</w:t>
      </w:r>
    </w:p>
    <w:p>
      <w:pPr>
        <w:spacing w:after="0" w:line="62"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54">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26">
        <w:r>
          <w:rPr>
            <w:rFonts w:ascii="Arial" w:cs="Arial" w:eastAsia="Arial" w:hAnsi="Arial"/>
            <w:sz w:val="16"/>
            <w:szCs w:val="16"/>
            <w:u w:val="single" w:color="auto"/>
            <w:color w:val="0000FF"/>
          </w:rPr>
          <w:t>Consent of BDO USA, LLP</w:t>
        </w:r>
      </w:hyperlink>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27">
        <w:r>
          <w:rPr>
            <w:rFonts w:ascii="Arial" w:cs="Arial" w:eastAsia="Arial" w:hAnsi="Arial"/>
            <w:sz w:val="16"/>
            <w:szCs w:val="16"/>
            <w:u w:val="single" w:color="auto"/>
            <w:color w:val="0000FF"/>
          </w:rPr>
          <w:t>Principal Executive Officer's Certification Pursuant to Section 302 of the Sarbanes-Oxley Act of 2002</w:t>
        </w:r>
      </w:hyperlink>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28">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63" w:lineRule="exact"/>
        <w:rPr>
          <w:sz w:val="20"/>
          <w:szCs w:val="20"/>
          <w:color w:val="auto"/>
        </w:rPr>
      </w:pPr>
    </w:p>
    <w:p>
      <w:pPr>
        <w:ind w:left="6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129">
        <w:r>
          <w:rPr>
            <w:rFonts w:ascii="Arial" w:cs="Arial" w:eastAsia="Arial" w:hAnsi="Arial"/>
            <w:sz w:val="16"/>
            <w:szCs w:val="16"/>
            <w:u w:val="single" w:color="auto"/>
            <w:color w:val="0000FF"/>
          </w:rPr>
          <w:t>Certifications of CEO and CFO Pursuant to 18 U.S.C. Section 1350, as Adopted Pursuant to Section 906 of the Sarbanes-Oxley Act of</w:t>
        </w:r>
      </w:hyperlink>
    </w:p>
    <w:p>
      <w:pPr>
        <w:spacing w:after="0" w:line="23" w:lineRule="exact"/>
        <w:rPr>
          <w:sz w:val="20"/>
          <w:szCs w:val="20"/>
          <w:color w:val="auto"/>
        </w:rPr>
      </w:pPr>
    </w:p>
    <w:p>
      <w:pPr>
        <w:ind w:left="941"/>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2002</w:t>
        </w:r>
      </w:hyperlink>
    </w:p>
    <w:p>
      <w:pPr>
        <w:spacing w:after="0" w:line="49" w:lineRule="exact"/>
        <w:rPr>
          <w:sz w:val="20"/>
          <w:szCs w:val="20"/>
          <w:color w:val="auto"/>
        </w:rPr>
      </w:pPr>
    </w:p>
    <w:p>
      <w:pPr>
        <w:ind w:left="941" w:right="480" w:hanging="786"/>
        <w:spacing w:after="0" w:line="258" w:lineRule="auto"/>
        <w:tabs>
          <w:tab w:leader="none" w:pos="94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Annual Report on Form 10-K for the year ended December 31, 2019 formatted in XBRL (eXtensible Business Reporting Language):</w:t>
      </w:r>
    </w:p>
    <w:p>
      <w:pPr>
        <w:spacing w:after="0" w:line="1" w:lineRule="exact"/>
        <w:rPr>
          <w:rFonts w:ascii="Arial" w:cs="Arial" w:eastAsia="Arial" w:hAnsi="Arial"/>
          <w:sz w:val="18"/>
          <w:szCs w:val="18"/>
          <w:color w:val="auto"/>
        </w:rPr>
      </w:pPr>
    </w:p>
    <w:p>
      <w:pPr>
        <w:ind w:left="1141" w:hanging="209"/>
        <w:spacing w:after="0"/>
        <w:tabs>
          <w:tab w:leader="none" w:pos="1141"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Consolidated Balance Sheets as of December 31, 2019 and 2018</w:t>
      </w:r>
    </w:p>
    <w:p>
      <w:pPr>
        <w:spacing w:after="0" w:line="9" w:lineRule="exact"/>
        <w:rPr>
          <w:rFonts w:ascii="Arial" w:cs="Arial" w:eastAsia="Arial" w:hAnsi="Arial"/>
          <w:sz w:val="18"/>
          <w:szCs w:val="18"/>
          <w:color w:val="auto"/>
        </w:rPr>
      </w:pPr>
    </w:p>
    <w:p>
      <w:pPr>
        <w:ind w:left="941" w:right="800" w:firstLine="216"/>
        <w:spacing w:after="0" w:line="250" w:lineRule="auto"/>
        <w:tabs>
          <w:tab w:leader="none" w:pos="1431" w:val="left"/>
        </w:tabs>
        <w:numPr>
          <w:ilvl w:val="2"/>
          <w:numId w:val="52"/>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Income (Loss) for each of the three years in the period ended December 31, 2019</w:t>
      </w:r>
    </w:p>
    <w:p>
      <w:pPr>
        <w:ind w:left="1481" w:hanging="324"/>
        <w:spacing w:after="0"/>
        <w:tabs>
          <w:tab w:leader="none" w:pos="1481" w:val="left"/>
        </w:tabs>
        <w:numPr>
          <w:ilvl w:val="2"/>
          <w:numId w:val="52"/>
        </w:numPr>
        <w:rPr>
          <w:rFonts w:ascii="Arial" w:cs="Arial" w:eastAsia="Arial" w:hAnsi="Arial"/>
          <w:sz w:val="16"/>
          <w:szCs w:val="16"/>
          <w:color w:val="auto"/>
        </w:rPr>
      </w:pPr>
      <w:r>
        <w:rPr>
          <w:rFonts w:ascii="Arial" w:cs="Arial" w:eastAsia="Arial" w:hAnsi="Arial"/>
          <w:sz w:val="16"/>
          <w:szCs w:val="16"/>
          <w:color w:val="auto"/>
        </w:rPr>
        <w:t>Consolidated Statements of Changes in Shareholders' Equity for each of the three years in the period ended December 31, 2019</w:t>
      </w:r>
    </w:p>
    <w:p>
      <w:pPr>
        <w:spacing w:after="0" w:line="32" w:lineRule="exact"/>
        <w:rPr>
          <w:rFonts w:ascii="Arial" w:cs="Arial" w:eastAsia="Arial" w:hAnsi="Arial"/>
          <w:sz w:val="16"/>
          <w:szCs w:val="16"/>
          <w:color w:val="auto"/>
        </w:rPr>
      </w:pPr>
    </w:p>
    <w:p>
      <w:pPr>
        <w:ind w:left="1461" w:hanging="304"/>
        <w:spacing w:after="0"/>
        <w:tabs>
          <w:tab w:leader="none" w:pos="1461" w:val="left"/>
        </w:tabs>
        <w:numPr>
          <w:ilvl w:val="2"/>
          <w:numId w:val="52"/>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ended December 31, 2019, and</w:t>
      </w:r>
    </w:p>
    <w:p>
      <w:pPr>
        <w:spacing w:after="0" w:line="9" w:lineRule="exact"/>
        <w:rPr>
          <w:sz w:val="20"/>
          <w:szCs w:val="20"/>
          <w:color w:val="auto"/>
        </w:rPr>
      </w:pPr>
    </w:p>
    <w:p>
      <w:pPr>
        <w:ind w:left="941" w:right="240" w:hanging="9"/>
        <w:spacing w:after="0" w:line="261" w:lineRule="auto"/>
        <w:tabs>
          <w:tab w:leader="none" w:pos="11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Notes to Consolidated Financial Statements. The instance document does not appear in the Interactive Data File because XBRL tags are embedded within the Inline XBRL document.</w:t>
      </w:r>
    </w:p>
    <w:p>
      <w:pPr>
        <w:spacing w:after="0" w:line="377" w:lineRule="exact"/>
        <w:rPr>
          <w:rFonts w:ascii="Arial" w:cs="Arial" w:eastAsia="Arial" w:hAnsi="Arial"/>
          <w:sz w:val="18"/>
          <w:szCs w:val="18"/>
          <w:color w:val="auto"/>
        </w:rPr>
      </w:pPr>
    </w:p>
    <w:p>
      <w:pPr>
        <w:ind w:left="221" w:hanging="221"/>
        <w:spacing w:after="0"/>
        <w:tabs>
          <w:tab w:leader="none" w:pos="22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61"/>
          </w:cols>
          <w:pgMar w:left="599" w:top="733"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553" w:right="239" w:bottom="1440" w:gutter="0" w:footer="0" w:header="0"/>
        </w:sect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40" w:type="dxa"/>
            <w:vAlign w:val="bottom"/>
            <w:gridSpan w:val="3"/>
          </w:tcPr>
          <w:p>
            <w:pPr>
              <w:ind w:left="840"/>
              <w:spacing w:after="0"/>
              <w:rPr>
                <w:sz w:val="20"/>
                <w:szCs w:val="20"/>
                <w:color w:val="auto"/>
              </w:rPr>
            </w:pPr>
            <w:r>
              <w:rPr>
                <w:rFonts w:ascii="Arial" w:cs="Arial" w:eastAsia="Arial" w:hAnsi="Arial"/>
                <w:sz w:val="18"/>
                <w:szCs w:val="18"/>
                <w:b w:val="1"/>
                <w:bCs w:val="1"/>
                <w:color w:val="auto"/>
              </w:rPr>
              <w:t>NMI HOLDINGS, INC.</w:t>
            </w:r>
          </w:p>
        </w:tc>
      </w:tr>
      <w:tr>
        <w:trPr>
          <w:trHeight w:val="662"/>
        </w:trPr>
        <w:tc>
          <w:tcPr>
            <w:tcW w:w="3840" w:type="dxa"/>
            <w:vAlign w:val="bottom"/>
            <w:gridSpan w:val="5"/>
          </w:tcPr>
          <w:p>
            <w:pPr>
              <w:spacing w:after="0"/>
              <w:rPr>
                <w:sz w:val="20"/>
                <w:szCs w:val="20"/>
                <w:color w:val="auto"/>
              </w:rPr>
            </w:pPr>
            <w:r>
              <w:rPr>
                <w:rFonts w:ascii="Arial" w:cs="Arial" w:eastAsia="Arial" w:hAnsi="Arial"/>
                <w:sz w:val="18"/>
                <w:szCs w:val="18"/>
                <w:color w:val="auto"/>
              </w:rPr>
              <w:t>Date: February 14, 2020</w:t>
            </w:r>
          </w:p>
        </w:tc>
        <w:tc>
          <w:tcPr>
            <w:tcW w:w="4540" w:type="dxa"/>
            <w:vAlign w:val="bottom"/>
            <w:gridSpan w:val="3"/>
          </w:tcPr>
          <w:p>
            <w:pPr>
              <w:ind w:left="840"/>
              <w:spacing w:after="0"/>
              <w:rPr>
                <w:sz w:val="20"/>
                <w:szCs w:val="20"/>
                <w:color w:val="auto"/>
              </w:rPr>
            </w:pPr>
            <w:r>
              <w:rPr>
                <w:rFonts w:ascii="Arial" w:cs="Arial" w:eastAsia="Arial" w:hAnsi="Arial"/>
                <w:sz w:val="18"/>
                <w:szCs w:val="18"/>
                <w:color w:val="auto"/>
              </w:rPr>
              <w:t>By: /s/ Claudia J. Merkle</w:t>
            </w:r>
          </w:p>
        </w:tc>
      </w:tr>
      <w:tr>
        <w:trPr>
          <w:trHeight w:val="20"/>
        </w:trPr>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6"/>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3"/>
          </w:tcPr>
          <w:p>
            <w:pPr>
              <w:ind w:left="1060"/>
              <w:spacing w:after="0"/>
              <w:rPr>
                <w:sz w:val="20"/>
                <w:szCs w:val="20"/>
                <w:color w:val="auto"/>
              </w:rPr>
            </w:pPr>
            <w:r>
              <w:rPr>
                <w:rFonts w:ascii="Arial" w:cs="Arial" w:eastAsia="Arial" w:hAnsi="Arial"/>
                <w:sz w:val="18"/>
                <w:szCs w:val="18"/>
                <w:color w:val="auto"/>
              </w:rPr>
              <w:t>Name: Claudia J. Merkle</w:t>
            </w:r>
          </w:p>
        </w:tc>
      </w:tr>
      <w:tr>
        <w:trPr>
          <w:trHeight w:val="230"/>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40" w:type="dxa"/>
            <w:vAlign w:val="bottom"/>
            <w:gridSpan w:val="3"/>
          </w:tcPr>
          <w:p>
            <w:pPr>
              <w:ind w:left="1060"/>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1140"/>
              <w:spacing w:after="0"/>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24"/>
                <w:szCs w:val="24"/>
                <w:color w:val="auto"/>
              </w:rPr>
            </w:pPr>
          </w:p>
        </w:tc>
        <w:tc>
          <w:tcPr>
            <w:tcW w:w="3400" w:type="dxa"/>
            <w:vAlign w:val="bottom"/>
            <w:gridSpan w:val="2"/>
          </w:tcPr>
          <w:p>
            <w:pPr>
              <w:ind w:left="960"/>
              <w:spacing w:after="0"/>
              <w:rPr>
                <w:sz w:val="20"/>
                <w:szCs w:val="20"/>
                <w:color w:val="auto"/>
              </w:rPr>
            </w:pPr>
            <w:r>
              <w:rPr>
                <w:rFonts w:ascii="Arial" w:cs="Arial" w:eastAsia="Arial" w:hAnsi="Arial"/>
                <w:sz w:val="18"/>
                <w:szCs w:val="18"/>
                <w:color w:val="auto"/>
              </w:rPr>
              <w:t>Title</w:t>
            </w: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Claudia J. Merkle</w:t>
            </w:r>
          </w:p>
        </w:tc>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Claudia J. Merkle</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Adam S. Pollitzer</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Adam S. Pollitzer</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Julie C. Norberg</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Julie C. Norberg</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Controller</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Bradley M. Shuster</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Bradley M. Shuster</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Executive Chairman</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Steven L. Scheid</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Steven L. Scheid</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James G. Jones</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James G. Jones</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Regina Muehlhauser</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Regina Muehlhauser</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Michael Montgomery</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Michael Montgomery</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Michael Embler</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Michael Embler</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James H. Ozanne</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James H. Ozanne</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Lynn S. McCreary</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Lynn S. McCreary</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212090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-266700</wp:posOffset>
            </wp:positionH>
            <wp:positionV relativeFrom="paragraph">
              <wp:posOffset>31750</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595630</wp:posOffset>
            </wp:positionV>
            <wp:extent cx="1372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595630</wp:posOffset>
            </wp:positionV>
            <wp:extent cx="1372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458470</wp:posOffset>
            </wp:positionV>
            <wp:extent cx="1372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458470</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458470</wp:posOffset>
            </wp:positionV>
            <wp:extent cx="1372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458470</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458470</wp:posOffset>
            </wp:positionV>
            <wp:extent cx="1372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458470</wp:posOffset>
            </wp:positionV>
            <wp:extent cx="1372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458470</wp:posOffset>
            </wp:positionV>
            <wp:extent cx="1372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458470</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2020</w:t>
      </w:r>
    </w:p>
    <w:p>
      <w:pPr>
        <w:sectPr>
          <w:pgSz w:w="11900" w:h="16838" w:orient="portrait"/>
          <w:cols w:equalWidth="0" w:num="2">
            <w:col w:w="8420" w:space="720"/>
            <w:col w:w="2280"/>
          </w:cols>
          <w:pgMar w:left="240" w:top="553" w:right="2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INDEX TO FINANCIAL STATEMENT SCHEDULES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 I — Summary of Investments — other than investments in related parties as of December 31, 2019</w:t>
            </w: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20">
              <w:r>
                <w:rPr>
                  <w:rFonts w:ascii="Arial" w:cs="Arial" w:eastAsia="Arial" w:hAnsi="Arial"/>
                  <w:sz w:val="18"/>
                  <w:szCs w:val="18"/>
                  <w:color w:val="0000EE"/>
                  <w:w w:val="88"/>
                </w:rPr>
                <w:t>F-1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9500" w:type="dxa"/>
            <w:vAlign w:val="bottom"/>
          </w:tcPr>
          <w:p>
            <w:pPr>
              <w:ind w:left="40"/>
              <w:spacing w:after="0" w:line="202" w:lineRule="exact"/>
              <w:rPr>
                <w:sz w:val="20"/>
                <w:szCs w:val="20"/>
                <w:color w:val="auto"/>
              </w:rPr>
            </w:pPr>
            <w:r>
              <w:rPr>
                <w:rFonts w:ascii="Arial" w:cs="Arial" w:eastAsia="Arial" w:hAnsi="Arial"/>
                <w:sz w:val="18"/>
                <w:szCs w:val="18"/>
                <w:color w:val="auto"/>
              </w:rPr>
              <w:t>Schedule II — Financial Information of Registrant as of December 31, 2019</w:t>
            </w:r>
          </w:p>
        </w:tc>
        <w:tc>
          <w:tcPr>
            <w:tcW w:w="1920" w:type="dxa"/>
            <w:vAlign w:val="bottom"/>
            <w:gridSpan w:val="3"/>
          </w:tcPr>
          <w:p>
            <w:pPr>
              <w:ind w:left="1640"/>
              <w:spacing w:after="0" w:line="202" w:lineRule="exact"/>
              <w:rPr>
                <w:rFonts w:ascii="Arial" w:cs="Arial" w:eastAsia="Arial" w:hAnsi="Arial"/>
                <w:sz w:val="18"/>
                <w:szCs w:val="18"/>
                <w:color w:val="0000EE"/>
                <w:w w:val="96"/>
              </w:rPr>
            </w:pPr>
            <w:hyperlink w:anchor="page121">
              <w:r>
                <w:rPr>
                  <w:rFonts w:ascii="Arial" w:cs="Arial" w:eastAsia="Arial" w:hAnsi="Arial"/>
                  <w:sz w:val="18"/>
                  <w:szCs w:val="18"/>
                  <w:color w:val="0000EE"/>
                  <w:w w:val="96"/>
                </w:rPr>
                <w:t>F-2</w:t>
              </w:r>
            </w:hyperlink>
          </w:p>
        </w:tc>
      </w:tr>
      <w:tr>
        <w:trPr>
          <w:trHeight w:val="48"/>
        </w:trPr>
        <w:tc>
          <w:tcPr>
            <w:tcW w:w="9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 — Reinsurance as of December 31, 2019</w:t>
            </w:r>
          </w:p>
        </w:tc>
        <w:tc>
          <w:tcPr>
            <w:tcW w:w="1920" w:type="dxa"/>
            <w:vAlign w:val="bottom"/>
            <w:gridSpan w:val="3"/>
            <w:shd w:val="clear" w:color="auto" w:fill="CCEEFF"/>
          </w:tcPr>
          <w:p>
            <w:pPr>
              <w:ind w:left="1640"/>
              <w:spacing w:after="0" w:line="202" w:lineRule="exact"/>
              <w:rPr>
                <w:rFonts w:ascii="Arial" w:cs="Arial" w:eastAsia="Arial" w:hAnsi="Arial"/>
                <w:sz w:val="18"/>
                <w:szCs w:val="18"/>
                <w:color w:val="0000EE"/>
                <w:w w:val="96"/>
              </w:rPr>
            </w:pPr>
            <w:hyperlink w:anchor="page125">
              <w:r>
                <w:rPr>
                  <w:rFonts w:ascii="Arial" w:cs="Arial" w:eastAsia="Arial" w:hAnsi="Arial"/>
                  <w:sz w:val="18"/>
                  <w:szCs w:val="18"/>
                  <w:color w:val="0000EE"/>
                  <w:w w:val="96"/>
                </w:rPr>
                <w:t>F-6</w:t>
              </w:r>
            </w:hyperlink>
          </w:p>
        </w:tc>
      </w:tr>
      <w:tr>
        <w:trPr>
          <w:trHeight w:val="48"/>
        </w:trPr>
        <w:tc>
          <w:tcPr>
            <w:tcW w:w="95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58"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 OTHER THAN INVESTMENTS IN RELATED PARTIES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2019</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Amount Reflected on</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258"/>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w w:val="94"/>
              </w:rPr>
              <w:t>U.S. Treasury securities and obligations of U.S. government agencies</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48,203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48,929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48,929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190,216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661,719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684,881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684,881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170,153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172,642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172,642</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Total bonds</w:t>
            </w:r>
          </w:p>
        </w:tc>
        <w:tc>
          <w:tcPr>
            <w:tcW w:w="7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1,069,605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1,096,668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1,096,668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44,272</w:t>
            </w:r>
          </w:p>
        </w:tc>
        <w:tc>
          <w:tcPr>
            <w:tcW w:w="0" w:type="dxa"/>
            <w:vAlign w:val="bottom"/>
          </w:tcPr>
          <w:p>
            <w:pPr>
              <w:spacing w:after="0"/>
              <w:rPr>
                <w:sz w:val="1"/>
                <w:szCs w:val="1"/>
                <w:color w:val="auto"/>
              </w:rPr>
            </w:pPr>
          </w:p>
        </w:tc>
      </w:tr>
      <w:tr>
        <w:trPr>
          <w:trHeight w:val="257"/>
        </w:trPr>
        <w:tc>
          <w:tcPr>
            <w:tcW w:w="532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7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1,113,779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1,140,940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1,140,940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320" w:type="dxa"/>
            <w:vAlign w:val="bottom"/>
          </w:tcPr>
          <w:p>
            <w:pPr>
              <w:spacing w:after="0"/>
              <w:rPr>
                <w:sz w:val="24"/>
                <w:szCs w:val="24"/>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color w:val="auto"/>
              </w:rPr>
              <w:t>F-1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December 31, 2018</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69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Fixed maturities, available-for-sale, at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41,220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51,957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Investment in subsidiaries, at equity in net assets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1,025,286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766,193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from affiliates,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41,340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26,096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24,766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1,179,013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901,599</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Term loan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145,764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146,757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Warrant liability, at fair value</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7,641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liability,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18,809</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7,396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248,593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200,099</w:t>
            </w:r>
          </w:p>
        </w:tc>
        <w:tc>
          <w:tcPr>
            <w:tcW w:w="0" w:type="dxa"/>
            <w:vAlign w:val="bottom"/>
          </w:tcPr>
          <w:p>
            <w:pPr>
              <w:spacing w:after="0"/>
              <w:rPr>
                <w:sz w:val="1"/>
                <w:szCs w:val="1"/>
                <w:color w:val="auto"/>
              </w:rPr>
            </w:pPr>
          </w:p>
        </w:tc>
      </w:tr>
      <w:tr>
        <w:trPr>
          <w:trHeight w:val="318"/>
        </w:trPr>
        <w:tc>
          <w:tcPr>
            <w:tcW w:w="7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w w:val="95"/>
              </w:rPr>
              <w:t>Common stock - class A shares, $0.01 par value; 68,358,074 and 66,318,849 shares issued and</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80"/>
              <w:spacing w:after="0"/>
              <w:rPr>
                <w:sz w:val="20"/>
                <w:szCs w:val="20"/>
                <w:color w:val="auto"/>
              </w:rPr>
            </w:pPr>
            <w:r>
              <w:rPr>
                <w:rFonts w:ascii="Arial" w:cs="Arial" w:eastAsia="Arial" w:hAnsi="Arial"/>
                <w:sz w:val="18"/>
                <w:szCs w:val="18"/>
                <w:color w:val="auto"/>
                <w:w w:val="95"/>
              </w:rPr>
              <w:t>outstanding as of December 31, 2019 and December 31, 2018, respectively (250,000,000 shares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authorized)</w:t>
            </w:r>
          </w:p>
        </w:tc>
        <w:tc>
          <w:tcPr>
            <w:tcW w:w="220" w:type="dxa"/>
            <w:vAlign w:val="bottom"/>
          </w:tcPr>
          <w:p>
            <w:pPr>
              <w:spacing w:after="0"/>
              <w:rPr>
                <w:sz w:val="20"/>
                <w:szCs w:val="20"/>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682,181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17,288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205,445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930,420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1,179,013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901,599</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580"/>
              <w:spacing w:after="0"/>
              <w:rPr>
                <w:sz w:val="20"/>
                <w:szCs w:val="20"/>
                <w:color w:val="auto"/>
              </w:rPr>
            </w:pPr>
            <w:r>
              <w:rPr>
                <w:rFonts w:ascii="Arial" w:cs="Arial" w:eastAsia="Arial" w:hAnsi="Arial"/>
                <w:sz w:val="18"/>
                <w:szCs w:val="18"/>
                <w:color w:val="auto"/>
              </w:rPr>
              <w:t>F-2</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1,124</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24,719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20,479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 net income of subsidiaries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226,480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134,127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67,146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207,234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110,558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47,359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25,309</w:t>
            </w:r>
          </w:p>
        </w:tc>
        <w:tc>
          <w:tcPr>
            <w:tcW w:w="0" w:type="dxa"/>
            <w:vAlign w:val="bottom"/>
          </w:tcPr>
          <w:p>
            <w:pPr>
              <w:spacing w:after="0"/>
              <w:rPr>
                <w:sz w:val="1"/>
                <w:szCs w:val="1"/>
                <w:color w:val="auto"/>
              </w:rPr>
            </w:pPr>
          </w:p>
        </w:tc>
      </w:tr>
      <w:tr>
        <w:trPr>
          <w:trHeight w:val="304"/>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171,957</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107,927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30"/>
        </w:trPr>
        <w:tc>
          <w:tcPr>
            <w:tcW w:w="60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Unrealized gains (losses) in accumulated other comprehensive loss, net of tax</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expense (benefit) of $82, ($34), and ($49) for each of the years in the three-year</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 ended December 31, 2019, respectively</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9"/>
              </w:rPr>
              <w:t>Reclassification adjustment for losses (gains) included in net loss, net of tax</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w w:val="92"/>
              </w:rPr>
              <w:t>(benefit) expense of $0, ($1) and $0 for each of the years in the three-year period</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ended December 31, 2019, respectively</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other comprehensive income (loss) of subsidiaries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204,077</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95,672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24,478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F-3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0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center"/>
              <w:ind w:left="711"/>
              <w:spacing w:after="0"/>
              <w:rPr>
                <w:sz w:val="20"/>
                <w:szCs w:val="20"/>
                <w:color w:val="auto"/>
              </w:rPr>
            </w:pPr>
            <w:r>
              <w:rPr>
                <w:rFonts w:ascii="Arial" w:cs="Arial" w:eastAsia="Arial" w:hAnsi="Arial"/>
                <w:sz w:val="14"/>
                <w:szCs w:val="14"/>
                <w:b w:val="1"/>
                <w:bCs w:val="1"/>
                <w:color w:val="auto"/>
                <w:w w:val="92"/>
              </w:rPr>
              <w:t>For the year ended December 31,</w:t>
            </w:r>
          </w:p>
        </w:tc>
        <w:tc>
          <w:tcPr>
            <w:tcW w:w="1200" w:type="dxa"/>
            <w:vAlign w:val="bottom"/>
            <w:tcBorders>
              <w:bottom w:val="single" w:sz="8" w:color="auto"/>
            </w:tcBorders>
          </w:tcPr>
          <w:p>
            <w:pPr>
              <w:spacing w:after="0"/>
              <w:rPr>
                <w:sz w:val="16"/>
                <w:szCs w:val="16"/>
                <w:color w:val="auto"/>
              </w:rPr>
            </w:pPr>
          </w:p>
        </w:tc>
      </w:tr>
      <w:tr>
        <w:trPr>
          <w:trHeight w:val="263"/>
        </w:trPr>
        <w:tc>
          <w:tcPr>
            <w:tcW w:w="62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1"/>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3"/>
              </w:rPr>
              <w:t>(In Thousands)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171,957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w w:val="95"/>
              </w:rPr>
              <w:t>Adjustments to reconcile net income to net cash (used in) provided by operating</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Net realized investment gains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Amortization of debt discount and debt issuance costs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1,474</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30,876</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9,484</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628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Equity in net income of subsidiaries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(226,480)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(133,837)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(67,239)</w:t>
            </w: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Receivable from affiliates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(13,103)</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(17,275)</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Capitalization of subsidiaries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(98,255)</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Purchase of fixed-maturity investments, available-for-sale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(19,884)</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114,170</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w w:val="97"/>
              </w:rPr>
              <w:t>Proceeds from redemptions, maturities and sale of fixed-maturity investments,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available-for-sale</w:t>
            </w:r>
          </w:p>
        </w:tc>
        <w:tc>
          <w:tcPr>
            <w:tcW w:w="4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22,954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11,451</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and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5,186</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w w:val="90"/>
              </w:rPr>
              <w:t>Proceeds from issuance of common stock related to public offering, net of issuance costs</w:t>
            </w:r>
          </w:p>
        </w:tc>
        <w:tc>
          <w:tcPr>
            <w:tcW w:w="4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7"/>
                <w:szCs w:val="17"/>
                <w:color w:val="auto"/>
              </w:rPr>
              <w:t>79,165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related to employee equity plans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7,103</w:t>
            </w:r>
          </w:p>
        </w:tc>
      </w:tr>
      <w:tr>
        <w:trPr>
          <w:trHeight w:val="243"/>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warrant exercises</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(8,582)</w:t>
            </w:r>
          </w:p>
        </w:tc>
      </w:tr>
      <w:tr>
        <w:trPr>
          <w:trHeight w:val="243"/>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term loan, net</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149,250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Payments of debt issuance/modification costs</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23"/>
        </w:trPr>
        <w:tc>
          <w:tcPr>
            <w:tcW w:w="6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15,858</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13,431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r>
      <w:tr>
        <w:trPr>
          <w:trHeight w:val="20"/>
        </w:trPr>
        <w:tc>
          <w:tcPr>
            <w:tcW w:w="6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260" w:hanging="332"/>
        <w:spacing w:after="0" w:line="229" w:lineRule="auto"/>
        <w:tabs>
          <w:tab w:leader="none" w:pos="340" w:val="left"/>
        </w:tabs>
        <w:numPr>
          <w:ilvl w:val="0"/>
          <w:numId w:val="55"/>
        </w:numPr>
        <w:rPr>
          <w:rFonts w:ascii="Arial" w:cs="Arial" w:eastAsia="Arial" w:hAnsi="Arial"/>
          <w:sz w:val="21"/>
          <w:szCs w:val="21"/>
          <w:color w:val="auto"/>
          <w:vertAlign w:val="superscript"/>
        </w:rPr>
      </w:pPr>
      <w:r>
        <w:rPr>
          <w:rFonts w:ascii="Arial" w:cs="Arial" w:eastAsia="Arial" w:hAnsi="Arial"/>
          <w:sz w:val="15"/>
          <w:szCs w:val="15"/>
          <w:color w:val="auto"/>
        </w:rPr>
        <w:t>Amount in 2018 includes $0.3 million reduction to retained earnings as of January 1, 2018 as a result of the adoption of ASU 2018-02. For more information related to this adjustment, See Item 8, "</w:t>
      </w:r>
      <w:r>
        <w:rPr>
          <w:rFonts w:ascii="Arial" w:cs="Arial" w:eastAsia="Arial" w:hAnsi="Arial"/>
          <w:sz w:val="15"/>
          <w:szCs w:val="15"/>
          <w:i w:val="1"/>
          <w:iCs w:val="1"/>
          <w:color w:val="auto"/>
        </w:rPr>
        <w:t>Financial Statements and Supplementary Data - Notes to Consolidated Financial Statements - Note 11, Income Taxes</w:t>
      </w:r>
      <w:r>
        <w:rPr>
          <w:rFonts w:ascii="Arial" w:cs="Arial" w:eastAsia="Arial" w:hAnsi="Arial"/>
          <w:sz w:val="15"/>
          <w:szCs w:val="15"/>
          <w:color w:val="auto"/>
        </w:rPr>
        <w:t>."</w:t>
      </w: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125" w:right="2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NOTES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w:t>
      </w:r>
      <w:r>
        <w:rPr>
          <w:rFonts w:ascii="Arial" w:cs="Arial" w:eastAsia="Arial" w:hAnsi="Arial"/>
          <w:sz w:val="18"/>
          <w:szCs w:val="18"/>
          <w:i w:val="1"/>
          <w:iCs w:val="1"/>
          <w:color w:val="auto"/>
        </w:rPr>
        <w:t>i.e.</w:t>
      </w:r>
      <w:r>
        <w:rPr>
          <w:rFonts w:ascii="Arial" w:cs="Arial" w:eastAsia="Arial" w:hAnsi="Arial"/>
          <w:sz w:val="18"/>
          <w:szCs w:val="18"/>
          <w:color w:val="auto"/>
        </w:rPr>
        <w:t>,"extraordinary" dividends), are subject to the Wisconsin OCI's prior approval. Under Wisconsin law,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and Re One have the capacity to pay aggregate ordinary dividends of $16.1 million to NMIH during the 12-month period ending December 31, 2020, and their remaining net assets are considered restricted. As of December 31, 2019, the amount of restricted net assets held by our consolidated insurance subsidiaries, which represents our equity investment in those insurance subsidiaries less their aggregate dividend capacity, totaled $1.0 billion, compared to $0.8 billion as of December 31,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 year period ended December 31, 2019 were $117.1 million, $111.6 million and $101.0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Gross Amount</w:t>
            </w:r>
          </w:p>
        </w:tc>
        <w:tc>
          <w:tcPr>
            <w:tcW w:w="320" w:type="dxa"/>
            <w:vAlign w:val="bottom"/>
          </w:tcPr>
          <w:p>
            <w:pPr>
              <w:spacing w:after="0"/>
              <w:rPr>
                <w:sz w:val="14"/>
                <w:szCs w:val="14"/>
                <w:color w:val="auto"/>
              </w:rPr>
            </w:pPr>
          </w:p>
        </w:tc>
        <w:tc>
          <w:tcPr>
            <w:tcW w:w="1380" w:type="dxa"/>
            <w:vAlign w:val="bottom"/>
          </w:tcPr>
          <w:p>
            <w:pPr>
              <w:jc w:val="right"/>
              <w:ind w:right="255"/>
              <w:spacing w:after="0"/>
              <w:rPr>
                <w:sz w:val="20"/>
                <w:szCs w:val="20"/>
                <w:color w:val="auto"/>
              </w:rPr>
            </w:pPr>
            <w:r>
              <w:rPr>
                <w:rFonts w:ascii="Arial" w:cs="Arial" w:eastAsia="Arial" w:hAnsi="Arial"/>
                <w:sz w:val="14"/>
                <w:szCs w:val="14"/>
                <w:b w:val="1"/>
                <w:bCs w:val="1"/>
                <w:color w:val="auto"/>
              </w:rPr>
              <w:t>Ceded to Other</w:t>
            </w:r>
          </w:p>
        </w:tc>
        <w:tc>
          <w:tcPr>
            <w:tcW w:w="220" w:type="dxa"/>
            <w:vAlign w:val="bottom"/>
          </w:tcPr>
          <w:p>
            <w:pPr>
              <w:spacing w:after="0"/>
              <w:rPr>
                <w:sz w:val="14"/>
                <w:szCs w:val="14"/>
                <w:color w:val="auto"/>
              </w:rPr>
            </w:pPr>
          </w:p>
        </w:tc>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Assumed from Other</w:t>
            </w:r>
          </w:p>
        </w:tc>
        <w:tc>
          <w:tcPr>
            <w:tcW w:w="14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Net Amount</w:t>
            </w:r>
          </w:p>
        </w:tc>
        <w:tc>
          <w:tcPr>
            <w:tcW w:w="1700" w:type="dxa"/>
            <w:vAlign w:val="bottom"/>
          </w:tcPr>
          <w:p>
            <w:pPr>
              <w:ind w:left="180"/>
              <w:spacing w:after="0"/>
              <w:rPr>
                <w:sz w:val="20"/>
                <w:szCs w:val="20"/>
                <w:color w:val="auto"/>
              </w:rPr>
            </w:pPr>
            <w:r>
              <w:rPr>
                <w:rFonts w:ascii="Arial" w:cs="Arial" w:eastAsia="Arial" w:hAnsi="Arial"/>
                <w:sz w:val="14"/>
                <w:szCs w:val="14"/>
                <w:b w:val="1"/>
                <w:bCs w:val="1"/>
                <w:color w:val="auto"/>
              </w:rPr>
              <w:t>Percentage of Amount</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Companies</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Companies</w:t>
            </w:r>
          </w:p>
        </w:tc>
        <w:tc>
          <w:tcPr>
            <w:tcW w:w="14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Assumed to Net</w:t>
            </w:r>
          </w:p>
        </w:tc>
        <w:tc>
          <w:tcPr>
            <w:tcW w:w="0" w:type="dxa"/>
            <w:vAlign w:val="bottom"/>
          </w:tcPr>
          <w:p>
            <w:pPr>
              <w:spacing w:after="0"/>
              <w:rPr>
                <w:sz w:val="1"/>
                <w:szCs w:val="1"/>
                <w:color w:val="auto"/>
              </w:rPr>
            </w:pPr>
          </w:p>
        </w:tc>
      </w:tr>
      <w:tr>
        <w:trPr>
          <w:trHeight w:val="250"/>
        </w:trPr>
        <w:tc>
          <w:tcPr>
            <w:tcW w:w="2960" w:type="dxa"/>
            <w:vAlign w:val="bottom"/>
          </w:tcPr>
          <w:p>
            <w:pPr>
              <w:jc w:val="right"/>
              <w:ind w:right="54"/>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ind w:left="24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398,303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53,288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345,015</w:t>
            </w: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960" w:type="dxa"/>
            <w:vAlign w:val="bottom"/>
          </w:tcPr>
          <w:p>
            <w:pPr>
              <w:jc w:val="right"/>
              <w:ind w:right="54"/>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292,064</w:t>
            </w:r>
          </w:p>
        </w:tc>
        <w:tc>
          <w:tcPr>
            <w:tcW w:w="3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40,867</w:t>
            </w:r>
          </w:p>
        </w:tc>
        <w:tc>
          <w:tcPr>
            <w:tcW w:w="220" w:type="dxa"/>
            <w:vAlign w:val="bottom"/>
          </w:tcPr>
          <w:p>
            <w:pPr>
              <w:spacing w:after="0"/>
              <w:rPr>
                <w:sz w:val="21"/>
                <w:szCs w:val="21"/>
                <w:color w:val="auto"/>
              </w:rPr>
            </w:pPr>
          </w:p>
        </w:tc>
        <w:tc>
          <w:tcPr>
            <w:tcW w:w="1840" w:type="dxa"/>
            <w:vAlign w:val="bottom"/>
          </w:tcPr>
          <w:p>
            <w:pPr>
              <w:ind w:lef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251,197</w:t>
            </w:r>
          </w:p>
        </w:tc>
        <w:tc>
          <w:tcPr>
            <w:tcW w:w="170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192,326</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26,586</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165,740</w:t>
            </w: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960" w:type="dxa"/>
            <w:vAlign w:val="bottom"/>
          </w:tcPr>
          <w:p>
            <w:pPr>
              <w:jc w:val="right"/>
              <w:ind w:right="54"/>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115,830</w:t>
            </w:r>
          </w:p>
        </w:tc>
        <w:tc>
          <w:tcPr>
            <w:tcW w:w="3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5,349</w:t>
            </w:r>
          </w:p>
        </w:tc>
        <w:tc>
          <w:tcPr>
            <w:tcW w:w="220" w:type="dxa"/>
            <w:vAlign w:val="bottom"/>
          </w:tcPr>
          <w:p>
            <w:pPr>
              <w:spacing w:after="0"/>
              <w:rPr>
                <w:sz w:val="21"/>
                <w:szCs w:val="21"/>
                <w:color w:val="auto"/>
              </w:rPr>
            </w:pPr>
          </w:p>
        </w:tc>
        <w:tc>
          <w:tcPr>
            <w:tcW w:w="1840" w:type="dxa"/>
            <w:vAlign w:val="bottom"/>
          </w:tcPr>
          <w:p>
            <w:pPr>
              <w:ind w:lef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110,481</w:t>
            </w:r>
          </w:p>
        </w:tc>
        <w:tc>
          <w:tcPr>
            <w:tcW w:w="170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37"/>
        </w:trPr>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335"/>
              <w:spacing w:after="0"/>
              <w:rPr>
                <w:sz w:val="20"/>
                <w:szCs w:val="20"/>
                <w:color w:val="auto"/>
              </w:rPr>
            </w:pPr>
            <w:r>
              <w:rPr>
                <w:rFonts w:ascii="Arial" w:cs="Arial" w:eastAsia="Arial" w:hAnsi="Arial"/>
                <w:sz w:val="18"/>
                <w:szCs w:val="18"/>
                <w:color w:val="auto"/>
              </w:rPr>
              <w:t>F-6</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Emeryville, CA</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333-223223) and Forms S-8 (No. 333-192540 and No. 333-218050) of NMI Holdings, Inc. of our reports dated February 13, 2020, relating to the consolidated financial statements and financial statement schedules, and the effectiveness of NMI Holdings, Inc.'s internal control over financial reporting, which appear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ectPr>
          <w:pgSz w:w="11900" w:h="16838" w:orient="portrait"/>
          <w:cols w:equalWidth="0" w:num="1">
            <w:col w:w="11420"/>
          </w:cols>
          <w:pgMar w:left="240" w:top="17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u w:val="single" w:color="auto"/>
          <w:color w:val="auto"/>
        </w:rPr>
        <w:t>February 14, 2020</w:t>
      </w:r>
      <w:r>
        <w:rPr>
          <w:sz w:val="20"/>
          <w:szCs w:val="20"/>
          <w:color w:val="auto"/>
        </w:rPr>
        <w:tab/>
      </w:r>
      <w:r>
        <w:rPr>
          <w:rFonts w:ascii="Arial" w:cs="Arial" w:eastAsia="Arial" w:hAnsi="Arial"/>
          <w:sz w:val="16"/>
          <w:szCs w:val="16"/>
          <w:color w:val="auto"/>
        </w:rPr>
        <w:t>/s/ Claudia J. Merkle___________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409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Claudia J. Merkle</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7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158"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4" w:lineRule="auto"/>
        <w:tabs>
          <w:tab w:leader="none" w:pos="8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February 14, 2020</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8319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the Annual Report of NMI Holdings, Inc. (the "Company") on Form 10-K for the year ended December 31, 2019,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February 14, 2020</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Claudia J.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Claudia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February 14, 2020</w:t>
      </w:r>
    </w:p>
    <w:p>
      <w:pPr>
        <w:spacing w:after="0" w:line="200" w:lineRule="exact"/>
        <w:rPr>
          <w:sz w:val="20"/>
          <w:szCs w:val="20"/>
          <w:color w:val="auto"/>
        </w:rPr>
      </w:pPr>
    </w:p>
    <w:p>
      <w:pPr>
        <w:spacing w:after="0" w:line="363"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3"/>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lowerRoman"/>
      <w:start w:val="3"/>
    </w:lvl>
  </w:abstractNum>
  <w:abstractNum w:abstractNumId="32">
    <w:nsid w:val="57E4CCAF"/>
    <w:multiLevelType w:val="hybridMultilevel"/>
    <w:lvl w:ilvl="0">
      <w:lvlJc w:val="left"/>
      <w:lvlText w:val="(%1)"/>
      <w:numFmt w:val="lowerRoman"/>
      <w:start w:val="5"/>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2"/>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upperLetter"/>
      <w:start w:val="6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01"/>
    </w:lvl>
    <w:lvl w:ilvl="1">
      <w:lvlJc w:val="left"/>
      <w:lvlText w:val="(%2)"/>
      <w:numFmt w:val="lowerRoman"/>
      <w:start w:val="1"/>
    </w:lvl>
    <w:lvl w:ilvl="2">
      <w:lvlJc w:val="left"/>
      <w:lvlText w:val="(%3)"/>
      <w:numFmt w:val="lowerRoman"/>
      <w:start w:val="2"/>
    </w:lvl>
  </w:abstractNum>
  <w:abstractNum w:abstractNumId="52">
    <w:nsid w:val="23F9C13C"/>
    <w:multiLevelType w:val="hybridMultilevel"/>
    <w:lvl w:ilvl="0">
      <w:lvlJc w:val="left"/>
      <w:lvlText w:val="~"/>
      <w:numFmt w:val="bullet"/>
      <w:start w:val="1"/>
    </w:lvl>
    <w:lvl w:ilvl="1">
      <w:lvlJc w:val="left"/>
      <w:lvlText w:val="(%2)"/>
      <w:numFmt w:val="lowerRoman"/>
      <w:start w:val="5"/>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55" Type="http://schemas.openxmlformats.org/officeDocument/2006/relationships/image" Target="media/image8.png"/><Relationship Id="rId56" Type="http://schemas.openxmlformats.org/officeDocument/2006/relationships/image" Target="media/image9.png"/><Relationship Id="rId57" Type="http://schemas.openxmlformats.org/officeDocument/2006/relationships/image" Target="media/image10.png"/><Relationship Id="rId58" Type="http://schemas.openxmlformats.org/officeDocument/2006/relationships/image" Target="media/image11.png"/><Relationship Id="rId59" Type="http://schemas.openxmlformats.org/officeDocument/2006/relationships/image" Target="media/image12.png"/><Relationship Id="rId60" Type="http://schemas.openxmlformats.org/officeDocument/2006/relationships/image" Target="media/image13.png"/><Relationship Id="rId61" Type="http://schemas.openxmlformats.org/officeDocument/2006/relationships/image" Target="media/image14.png"/><Relationship Id="rId62" Type="http://schemas.openxmlformats.org/officeDocument/2006/relationships/image" Target="media/image15.png"/><Relationship Id="rId63" Type="http://schemas.openxmlformats.org/officeDocument/2006/relationships/image" Target="media/image16.png"/><Relationship Id="rId64" Type="http://schemas.openxmlformats.org/officeDocument/2006/relationships/image" Target="media/image17.png"/><Relationship Id="rId65" Type="http://schemas.openxmlformats.org/officeDocument/2006/relationships/image" Target="media/image18.png"/><Relationship Id="rId66" Type="http://schemas.openxmlformats.org/officeDocument/2006/relationships/image" Target="media/image19.png"/><Relationship Id="rId67" Type="http://schemas.openxmlformats.org/officeDocument/2006/relationships/image" Target="media/image20.png"/><Relationship Id="rId68" Type="http://schemas.openxmlformats.org/officeDocument/2006/relationships/image" Target="media/image21.png"/><Relationship Id="rId15" Type="http://schemas.openxmlformats.org/officeDocument/2006/relationships/hyperlink" Target="http://www.sec.gov/Archives/edgar/data/1547903/000154790313000020/a21macstockpurchaseagreeme.htm" TargetMode="External"/><Relationship Id="rId16" Type="http://schemas.openxmlformats.org/officeDocument/2006/relationships/hyperlink" Target="http://www.sec.gov/Archives/edgar/data/1547903/000154790313000020/a22amendmenttomacpurhcasea.htm" TargetMode="External"/><Relationship Id="rId17" Type="http://schemas.openxmlformats.org/officeDocument/2006/relationships/hyperlink" Target="http://www.sec.gov/Archives/edgar/data/1547903/000154790313000020/a31secondamendedandrestate.htm" TargetMode="External"/><Relationship Id="rId18" Type="http://schemas.openxmlformats.org/officeDocument/2006/relationships/hyperlink" Target="http://www.sec.gov/Archives/edgar/data/1547903/000154790314000152/exhibit31december92014.htm" TargetMode="External"/><Relationship Id="rId19" Type="http://schemas.openxmlformats.org/officeDocument/2006/relationships/hyperlink" Target="http://www.sec.gov/Archives/edgar/data/1547903/000154790313000020/a41specimenclassacommonsto.htm" TargetMode="External"/><Relationship Id="rId20" Type="http://schemas.openxmlformats.org/officeDocument/2006/relationships/hyperlink" Target="http://www.sec.gov/Archives/edgar/data/1547903/000154790313000020/a42registrationrightsagree.htm" TargetMode="External"/><Relationship Id="rId21" Type="http://schemas.openxmlformats.org/officeDocument/2006/relationships/hyperlink" Target="http://www.sec.gov/Archives/edgar/data/1547903/000154790313000020/a43registrationrightsagree.htm" TargetMode="External"/><Relationship Id="rId22" Type="http://schemas.openxmlformats.org/officeDocument/2006/relationships/hyperlink" Target="http://www.sec.gov/Archives/edgar/data/1547903/000154790313000020/a44registrationrightsagree.htm" TargetMode="External"/><Relationship Id="rId23" Type="http://schemas.openxmlformats.org/officeDocument/2006/relationships/hyperlink" Target="http://www.sec.gov/Archives/edgar/data/1547903/000154790313000020/a45warrantno1fbrcapitalmar.htm" TargetMode="External"/><Relationship Id="rId24" Type="http://schemas.openxmlformats.org/officeDocument/2006/relationships/hyperlink" Target="http://www.sec.gov/Archives/edgar/data/1547903/000154790313000020/a46warrantno2macfinancial4.htm" TargetMode="External"/><Relationship Id="rId25" Type="http://schemas.openxmlformats.org/officeDocument/2006/relationships/hyperlink" Target="http://www.sec.gov/Archives/edgar/data/1547903/000154790313000020/a101nmiholdingsinc2012stoc.htm" TargetMode="External"/><Relationship Id="rId26" Type="http://schemas.openxmlformats.org/officeDocument/2006/relationships/hyperlink" Target="http://www.sec.gov/Archives/edgar/data/1547903/000154790313000020/a103formofnmiholdingsinc20.htm" TargetMode="External"/><Relationship Id="rId27" Type="http://schemas.openxmlformats.org/officeDocument/2006/relationships/hyperlink" Target="http://www.sec.gov/Archives/edgar/data/1547903/000154790313000020/a105formofnonqualifiedstoc.htm" TargetMode="External"/><Relationship Id="rId28" Type="http://schemas.openxmlformats.org/officeDocument/2006/relationships/hyperlink" Target="http://www.sec.gov/Archives/edgar/data/1547903/000154790313000020/a106formofnonqualifiedstoc.htm" TargetMode="External"/><Relationship Id="rId29" Type="http://schemas.openxmlformats.org/officeDocument/2006/relationships/hyperlink" Target="http://www.sec.gov/Archives/edgar/data/1547903/000154790313000020/a107formofnonqualifiedstoc.htm" TargetMode="External"/><Relationship Id="rId30" Type="http://schemas.openxmlformats.org/officeDocument/2006/relationships/hyperlink" Target="http://www.sec.gov/Archives/edgar/data/1547903/000154790317000032/exhibit108-2012stockincent.htm" TargetMode="External"/><Relationship Id="rId31" Type="http://schemas.openxmlformats.org/officeDocument/2006/relationships/hyperlink" Target="http://www.sec.gov/Archives/edgar/data/1547903/000154790317000032/exhibit109-2012stockincent.htm" TargetMode="External"/><Relationship Id="rId32" Type="http://schemas.openxmlformats.org/officeDocument/2006/relationships/hyperlink" Target="http://www.sec.gov/Archives/edgar/data/1547903/000154790315000172/a20151223shusteremployment.htm" TargetMode="External"/><Relationship Id="rId33" Type="http://schemas.openxmlformats.org/officeDocument/2006/relationships/hyperlink" Target="http://www.sec.gov/Archives/edgar/data/1547903/000154790316000230/exhibit1010leatherberrybil.htm" TargetMode="External"/><Relationship Id="rId34" Type="http://schemas.openxmlformats.org/officeDocument/2006/relationships/hyperlink" Target="http://www.sec.gov/Archives/edgar/data/1547903/000154790317000003/exhibit101offerletterdated.htm" TargetMode="External"/><Relationship Id="rId35" Type="http://schemas.openxmlformats.org/officeDocument/2006/relationships/hyperlink" Target="http://www.sec.gov/Archives/edgar/data/1547903/000154790314000146/exhibit101november252014.htm" TargetMode="External"/><Relationship Id="rId36" Type="http://schemas.openxmlformats.org/officeDocument/2006/relationships/hyperlink" Target="http://www.sec.gov/Archives/edgar/data/1547903/000154790313000020/a1014commitmentletterforbu.htm" TargetMode="External"/><Relationship Id="rId37" Type="http://schemas.openxmlformats.org/officeDocument/2006/relationships/hyperlink" Target="http://www.sec.gov/Archives/edgar/data/1547903/000154790315000142/nmihexhibit41tlb.htm" TargetMode="External"/><Relationship Id="rId38" Type="http://schemas.openxmlformats.org/officeDocument/2006/relationships/hyperlink" Target="http://www.sec.gov/Archives/edgar/data/1547903/000154790317000005/exhibit101tlaandannex.htm" TargetMode="External"/><Relationship Id="rId39" Type="http://schemas.openxmlformats.org/officeDocument/2006/relationships/hyperlink" Target="http://www.sec.gov/Archives/edgar/data/1547903/000154790317000115/exhibit101amendmentno2.htm" TargetMode="External"/><Relationship Id="rId40" Type="http://schemas.openxmlformats.org/officeDocument/2006/relationships/hyperlink" Target="http://www.sec.gov/Archives/edgar/data/1547903/000154790318000088/exhibit41-creditagreement.htm" TargetMode="External"/><Relationship Id="rId41" Type="http://schemas.openxmlformats.org/officeDocument/2006/relationships/hyperlink" Target="http://www.sec.gov/Archives/edgar/data/1547903/000154790317000043/nmihproxy2017.htm" TargetMode="External"/><Relationship Id="rId42" Type="http://schemas.openxmlformats.org/officeDocument/2006/relationships/hyperlink" Target="http://www.sec.gov/Archives/edgar/data/1547903/000154790317000100/ex1019rsuceo.htm" TargetMode="External"/><Relationship Id="rId43" Type="http://schemas.openxmlformats.org/officeDocument/2006/relationships/hyperlink" Target="http://www.sec.gov/Archives/edgar/data/1547903/000154790317000100/ex1020rsueo.htm" TargetMode="External"/><Relationship Id="rId44" Type="http://schemas.openxmlformats.org/officeDocument/2006/relationships/hyperlink" Target="http://www.sec.gov/Archives/edgar/data/1547903/000154790317000100/ex1021rsuee.htm" TargetMode="External"/><Relationship Id="rId45" Type="http://schemas.openxmlformats.org/officeDocument/2006/relationships/hyperlink" Target="http://www.sec.gov/Archives/edgar/data/1547903/000154790317000100/ex1022rsuindependentdirect.htm" TargetMode="External"/><Relationship Id="rId46" Type="http://schemas.openxmlformats.org/officeDocument/2006/relationships/hyperlink" Target="http://www.sec.gov/Archives/edgar/data/1547903/000154790317000100/ex1023nqsceo.htm" TargetMode="External"/><Relationship Id="rId47" Type="http://schemas.openxmlformats.org/officeDocument/2006/relationships/hyperlink" Target="http://www.sec.gov/Archives/edgar/data/1547903/000154790317000100/ex1024nqseoee.htm" TargetMode="External"/><Relationship Id="rId48" Type="http://schemas.openxmlformats.org/officeDocument/2006/relationships/hyperlink" Target="http://www.sec.gov/Archives/edgar/data/1547903/000154790317000032/exhibit1026-2014omnibusinc.htm" TargetMode="External"/><Relationship Id="rId49" Type="http://schemas.openxmlformats.org/officeDocument/2006/relationships/hyperlink" Target="http://www.sec.gov/Archives/edgar/data/1547903/000154790316000185/ex101severancebenefitplan.htm" TargetMode="External"/><Relationship Id="rId50" Type="http://schemas.openxmlformats.org/officeDocument/2006/relationships/hyperlink" Target="http://www.sec.gov/Archives/edgar/data/1547903/000154790318000133/exhibit1030arcicsbp.htm" TargetMode="External"/><Relationship Id="rId51" Type="http://schemas.openxmlformats.org/officeDocument/2006/relationships/hyperlink" Target="http://www.sec.gov/Archives/edgar/data/1547903/000154790317000035/exhibit102.htm" TargetMode="External"/><Relationship Id="rId52" Type="http://schemas.openxmlformats.org/officeDocument/2006/relationships/hyperlink" Target="http://www.sec.gov/Archives/edgar/data/1547903/000154790318000137/exhibit101shuster.htm" TargetMode="External"/><Relationship Id="rId53" Type="http://schemas.openxmlformats.org/officeDocument/2006/relationships/hyperlink" Target="http://www.sec.gov/Archives/edgar/data/1547903/000154790318000137/exhibit102merkle.htm" TargetMode="External"/><Relationship Id="rId54"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2020-02-14T05:43:33Z</dcterms:created>
  <dcterms:modified xsi:type="dcterms:W3CDTF">2020-02-14T05:43:33Z</dcterms:modified>
</cp:coreProperties>
</file>