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43" w:lineRule="exact"/>
        <w:rPr>
          <w:sz w:val="24"/>
          <w:szCs w:val="24"/>
          <w:color w:val="auto"/>
        </w:rPr>
      </w:pPr>
    </w:p>
    <w:p>
      <w:pPr>
        <w:ind w:left="660" w:hanging="40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31" w:lineRule="exact"/>
        <w:rPr>
          <w:sz w:val="24"/>
          <w:szCs w:val="24"/>
          <w:color w:val="auto"/>
        </w:rPr>
      </w:pPr>
    </w:p>
    <w:p>
      <w:pPr>
        <w:ind w:left="660"/>
        <w:spacing w:after="0"/>
        <w:tabs>
          <w:tab w:leader="none" w:pos="59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b w:val="1"/>
          <w:bCs w:val="1"/>
          <w:color w:val="auto"/>
        </w:rPr>
        <w:t>September 30, 2022</w:t>
      </w:r>
    </w:p>
    <w:p>
      <w:pPr>
        <w:spacing w:after="0" w:line="76"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OR</w:t>
      </w:r>
    </w:p>
    <w:p>
      <w:pPr>
        <w:spacing w:after="0" w:line="56" w:lineRule="exact"/>
        <w:rPr>
          <w:sz w:val="24"/>
          <w:szCs w:val="24"/>
          <w:color w:val="auto"/>
        </w:rPr>
      </w:pPr>
    </w:p>
    <w:p>
      <w:pPr>
        <w:ind w:left="640" w:right="2120" w:hanging="404"/>
        <w:spacing w:after="0" w:line="278" w:lineRule="auto"/>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 to ______</w:t>
      </w:r>
    </w:p>
    <w:p>
      <w:pPr>
        <w:spacing w:after="0" w:line="16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001-36174</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NMI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37"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320" w:type="dxa"/>
            <w:vAlign w:val="bottom"/>
            <w:gridSpan w:val="2"/>
          </w:tcPr>
          <w:p>
            <w:pPr>
              <w:jc w:val="center"/>
              <w:ind w:left="378"/>
              <w:spacing w:after="0"/>
              <w:rPr>
                <w:sz w:val="20"/>
                <w:szCs w:val="20"/>
                <w:color w:val="auto"/>
              </w:rPr>
            </w:pPr>
            <w:r>
              <w:rPr>
                <w:rFonts w:ascii="Arial" w:cs="Arial" w:eastAsia="Arial" w:hAnsi="Arial"/>
                <w:sz w:val="18"/>
                <w:szCs w:val="18"/>
                <w:b w:val="1"/>
                <w:bCs w:val="1"/>
                <w:color w:val="auto"/>
                <w:w w:val="88"/>
              </w:rPr>
              <w:t>Delaware</w:t>
            </w:r>
          </w:p>
        </w:tc>
        <w:tc>
          <w:tcPr>
            <w:tcW w:w="2380" w:type="dxa"/>
            <w:vAlign w:val="bottom"/>
          </w:tcPr>
          <w:p>
            <w:pPr>
              <w:spacing w:after="0"/>
              <w:rPr>
                <w:sz w:val="19"/>
                <w:szCs w:val="19"/>
                <w:color w:val="auto"/>
              </w:rPr>
            </w:pPr>
          </w:p>
        </w:tc>
        <w:tc>
          <w:tcPr>
            <w:tcW w:w="4560" w:type="dxa"/>
            <w:vAlign w:val="bottom"/>
            <w:gridSpan w:val="2"/>
          </w:tcPr>
          <w:p>
            <w:pPr>
              <w:jc w:val="right"/>
              <w:ind w:right="2638"/>
              <w:spacing w:after="0"/>
              <w:rPr>
                <w:sz w:val="20"/>
                <w:szCs w:val="20"/>
                <w:color w:val="auto"/>
              </w:rPr>
            </w:pPr>
            <w:r>
              <w:rPr>
                <w:rFonts w:ascii="Arial" w:cs="Arial" w:eastAsia="Arial" w:hAnsi="Arial"/>
                <w:sz w:val="18"/>
                <w:szCs w:val="18"/>
                <w:b w:val="1"/>
                <w:bCs w:val="1"/>
                <w:color w:val="auto"/>
              </w:rPr>
              <w:t>45-4914248</w:t>
            </w:r>
          </w:p>
        </w:tc>
      </w:tr>
      <w:tr>
        <w:trPr>
          <w:trHeight w:val="183"/>
        </w:trPr>
        <w:tc>
          <w:tcPr>
            <w:tcW w:w="4320" w:type="dxa"/>
            <w:vAlign w:val="bottom"/>
            <w:gridSpan w:val="2"/>
          </w:tcPr>
          <w:p>
            <w:pPr>
              <w:jc w:val="center"/>
              <w:ind w:left="378"/>
              <w:spacing w:after="0"/>
              <w:rPr>
                <w:sz w:val="20"/>
                <w:szCs w:val="20"/>
                <w:color w:val="auto"/>
              </w:rPr>
            </w:pPr>
            <w:r>
              <w:rPr>
                <w:rFonts w:ascii="Arial" w:cs="Arial" w:eastAsia="Arial" w:hAnsi="Arial"/>
                <w:sz w:val="14"/>
                <w:szCs w:val="14"/>
                <w:b w:val="1"/>
                <w:bCs w:val="1"/>
                <w:color w:val="auto"/>
                <w:w w:val="91"/>
              </w:rPr>
              <w:t>(State or other jurisdiction of incorporation or organization)</w:t>
            </w:r>
          </w:p>
        </w:tc>
        <w:tc>
          <w:tcPr>
            <w:tcW w:w="2380" w:type="dxa"/>
            <w:vAlign w:val="bottom"/>
          </w:tcPr>
          <w:p>
            <w:pPr>
              <w:spacing w:after="0"/>
              <w:rPr>
                <w:sz w:val="15"/>
                <w:szCs w:val="15"/>
                <w:color w:val="auto"/>
              </w:rPr>
            </w:pPr>
          </w:p>
        </w:tc>
        <w:tc>
          <w:tcPr>
            <w:tcW w:w="4560" w:type="dxa"/>
            <w:vAlign w:val="bottom"/>
            <w:gridSpan w:val="2"/>
          </w:tcPr>
          <w:p>
            <w:pPr>
              <w:jc w:val="center"/>
              <w:ind w:right="1658"/>
              <w:spacing w:after="0"/>
              <w:rPr>
                <w:sz w:val="20"/>
                <w:szCs w:val="20"/>
                <w:color w:val="auto"/>
              </w:rPr>
            </w:pPr>
            <w:r>
              <w:rPr>
                <w:rFonts w:ascii="Arial" w:cs="Arial" w:eastAsia="Arial" w:hAnsi="Arial"/>
                <w:sz w:val="14"/>
                <w:szCs w:val="14"/>
                <w:b w:val="1"/>
                <w:bCs w:val="1"/>
                <w:color w:val="auto"/>
                <w:w w:val="93"/>
              </w:rPr>
              <w:t>(I.R.S. Employer Identification No.)</w:t>
            </w:r>
          </w:p>
        </w:tc>
      </w:tr>
      <w:tr>
        <w:trPr>
          <w:trHeight w:val="344"/>
        </w:trPr>
        <w:tc>
          <w:tcPr>
            <w:tcW w:w="2500" w:type="dxa"/>
            <w:vAlign w:val="bottom"/>
          </w:tcPr>
          <w:p>
            <w:pPr>
              <w:ind w:left="900"/>
              <w:spacing w:after="0"/>
              <w:rPr>
                <w:sz w:val="20"/>
                <w:szCs w:val="20"/>
                <w:color w:val="auto"/>
              </w:rPr>
            </w:pPr>
            <w:r>
              <w:rPr>
                <w:rFonts w:ascii="Arial" w:cs="Arial" w:eastAsia="Arial" w:hAnsi="Arial"/>
                <w:sz w:val="18"/>
                <w:szCs w:val="18"/>
                <w:b w:val="1"/>
                <w:bCs w:val="1"/>
                <w:color w:val="auto"/>
                <w:w w:val="99"/>
              </w:rPr>
              <w:t>2100 Powell Street</w:t>
            </w:r>
          </w:p>
        </w:tc>
        <w:tc>
          <w:tcPr>
            <w:tcW w:w="1820" w:type="dxa"/>
            <w:vAlign w:val="bottom"/>
          </w:tcPr>
          <w:p>
            <w:pPr>
              <w:ind w:left="220"/>
              <w:spacing w:after="0"/>
              <w:rPr>
                <w:sz w:val="20"/>
                <w:szCs w:val="20"/>
                <w:color w:val="auto"/>
              </w:rPr>
            </w:pPr>
            <w:r>
              <w:rPr>
                <w:rFonts w:ascii="Arial" w:cs="Arial" w:eastAsia="Arial" w:hAnsi="Arial"/>
                <w:sz w:val="18"/>
                <w:szCs w:val="18"/>
                <w:b w:val="1"/>
                <w:bCs w:val="1"/>
                <w:color w:val="auto"/>
              </w:rPr>
              <w:t>Emeryville , CA</w:t>
            </w:r>
          </w:p>
        </w:tc>
        <w:tc>
          <w:tcPr>
            <w:tcW w:w="2380" w:type="dxa"/>
            <w:vAlign w:val="bottom"/>
          </w:tcPr>
          <w:p>
            <w:pPr>
              <w:spacing w:after="0"/>
              <w:rPr>
                <w:sz w:val="24"/>
                <w:szCs w:val="24"/>
                <w:color w:val="auto"/>
              </w:rPr>
            </w:pPr>
          </w:p>
        </w:tc>
        <w:tc>
          <w:tcPr>
            <w:tcW w:w="4560" w:type="dxa"/>
            <w:vAlign w:val="bottom"/>
            <w:gridSpan w:val="2"/>
          </w:tcPr>
          <w:p>
            <w:pPr>
              <w:jc w:val="right"/>
              <w:ind w:right="2838"/>
              <w:spacing w:after="0"/>
              <w:rPr>
                <w:sz w:val="20"/>
                <w:szCs w:val="20"/>
                <w:color w:val="auto"/>
              </w:rPr>
            </w:pPr>
            <w:r>
              <w:rPr>
                <w:rFonts w:ascii="Arial" w:cs="Arial" w:eastAsia="Arial" w:hAnsi="Arial"/>
                <w:sz w:val="18"/>
                <w:szCs w:val="18"/>
                <w:b w:val="1"/>
                <w:bCs w:val="1"/>
                <w:color w:val="auto"/>
              </w:rPr>
              <w:t>94608</w:t>
            </w:r>
          </w:p>
        </w:tc>
      </w:tr>
      <w:tr>
        <w:trPr>
          <w:trHeight w:val="183"/>
        </w:trPr>
        <w:tc>
          <w:tcPr>
            <w:tcW w:w="4320" w:type="dxa"/>
            <w:vAlign w:val="bottom"/>
            <w:gridSpan w:val="2"/>
          </w:tcPr>
          <w:p>
            <w:pPr>
              <w:jc w:val="center"/>
              <w:ind w:left="398"/>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2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120" w:type="dxa"/>
            <w:vAlign w:val="bottom"/>
          </w:tcPr>
          <w:p>
            <w:pPr>
              <w:jc w:val="center"/>
              <w:ind w:right="2098"/>
              <w:spacing w:after="0"/>
              <w:rPr>
                <w:sz w:val="20"/>
                <w:szCs w:val="20"/>
                <w:color w:val="auto"/>
              </w:rPr>
            </w:pPr>
            <w:r>
              <w:rPr>
                <w:rFonts w:ascii="Arial" w:cs="Arial" w:eastAsia="Arial" w:hAnsi="Arial"/>
                <w:sz w:val="14"/>
                <w:szCs w:val="14"/>
                <w:b w:val="1"/>
                <w:bCs w:val="1"/>
                <w:color w:val="auto"/>
                <w:w w:val="95"/>
              </w:rPr>
              <w:t>(Zip Code)</w:t>
            </w:r>
          </w:p>
        </w:tc>
      </w:tr>
      <w:tr>
        <w:trPr>
          <w:trHeight w:val="542"/>
        </w:trPr>
        <w:tc>
          <w:tcPr>
            <w:tcW w:w="2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380" w:type="dxa"/>
            <w:vAlign w:val="bottom"/>
          </w:tcPr>
          <w:p>
            <w:pPr>
              <w:jc w:val="center"/>
              <w:ind w:left="152"/>
              <w:spacing w:after="0"/>
              <w:rPr>
                <w:sz w:val="20"/>
                <w:szCs w:val="20"/>
                <w:color w:val="auto"/>
              </w:rPr>
            </w:pPr>
            <w:r>
              <w:rPr>
                <w:rFonts w:ascii="Arial" w:cs="Arial" w:eastAsia="Arial" w:hAnsi="Arial"/>
                <w:sz w:val="18"/>
                <w:szCs w:val="18"/>
                <w:b w:val="1"/>
                <w:bCs w:val="1"/>
                <w:color w:val="auto"/>
                <w:w w:val="89"/>
              </w:rPr>
              <w:t>(855) 530-6642</w:t>
            </w:r>
          </w:p>
        </w:tc>
        <w:tc>
          <w:tcPr>
            <w:tcW w:w="4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183"/>
        </w:trPr>
        <w:tc>
          <w:tcPr>
            <w:tcW w:w="2500" w:type="dxa"/>
            <w:vAlign w:val="bottom"/>
          </w:tcPr>
          <w:p>
            <w:pPr>
              <w:spacing w:after="0"/>
              <w:rPr>
                <w:sz w:val="15"/>
                <w:szCs w:val="15"/>
                <w:color w:val="auto"/>
              </w:rPr>
            </w:pPr>
          </w:p>
        </w:tc>
        <w:tc>
          <w:tcPr>
            <w:tcW w:w="8760" w:type="dxa"/>
            <w:vAlign w:val="bottom"/>
            <w:gridSpan w:val="4"/>
          </w:tcPr>
          <w:p>
            <w:pPr>
              <w:jc w:val="center"/>
              <w:ind w:right="2438"/>
              <w:spacing w:after="0"/>
              <w:rPr>
                <w:sz w:val="20"/>
                <w:szCs w:val="20"/>
                <w:color w:val="auto"/>
              </w:rPr>
            </w:pPr>
            <w:r>
              <w:rPr>
                <w:rFonts w:ascii="Arial" w:cs="Arial" w:eastAsia="Arial" w:hAnsi="Arial"/>
                <w:sz w:val="14"/>
                <w:szCs w:val="14"/>
                <w:b w:val="1"/>
                <w:bCs w:val="1"/>
                <w:color w:val="auto"/>
                <w:w w:val="89"/>
              </w:rPr>
              <w:t>(Registrant's telephone number, including area code)</w:t>
            </w:r>
          </w:p>
        </w:tc>
      </w:tr>
      <w:tr>
        <w:trPr>
          <w:trHeight w:val="313"/>
        </w:trPr>
        <w:tc>
          <w:tcPr>
            <w:tcW w:w="2500" w:type="dxa"/>
            <w:vAlign w:val="bottom"/>
          </w:tcPr>
          <w:p>
            <w:pPr>
              <w:spacing w:after="0"/>
              <w:rPr>
                <w:sz w:val="24"/>
                <w:szCs w:val="24"/>
                <w:color w:val="auto"/>
              </w:rPr>
            </w:pPr>
          </w:p>
        </w:tc>
        <w:tc>
          <w:tcPr>
            <w:tcW w:w="8760" w:type="dxa"/>
            <w:vAlign w:val="bottom"/>
            <w:gridSpan w:val="4"/>
          </w:tcPr>
          <w:p>
            <w:pPr>
              <w:jc w:val="center"/>
              <w:ind w:right="2438"/>
              <w:spacing w:after="0"/>
              <w:rPr>
                <w:sz w:val="20"/>
                <w:szCs w:val="20"/>
                <w:color w:val="auto"/>
              </w:rPr>
            </w:pPr>
            <w:r>
              <w:rPr>
                <w:rFonts w:ascii="Arial" w:cs="Arial" w:eastAsia="Arial" w:hAnsi="Arial"/>
                <w:sz w:val="18"/>
                <w:szCs w:val="18"/>
                <w:color w:val="auto"/>
                <w:w w:val="88"/>
              </w:rPr>
              <w:t>Securities registered pursuant to Section 12(b) of the Act:</w:t>
            </w:r>
          </w:p>
        </w:tc>
      </w:tr>
      <w:tr>
        <w:trPr>
          <w:trHeight w:val="27"/>
        </w:trPr>
        <w:tc>
          <w:tcPr>
            <w:tcW w:w="4320" w:type="dxa"/>
            <w:vAlign w:val="bottom"/>
            <w:tcBorders>
              <w:bottom w:val="single" w:sz="8" w:color="auto"/>
            </w:tcBorders>
            <w:gridSpan w:val="2"/>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17"/>
        </w:trPr>
        <w:tc>
          <w:tcPr>
            <w:tcW w:w="43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Title of each class</w:t>
            </w:r>
          </w:p>
        </w:tc>
        <w:tc>
          <w:tcPr>
            <w:tcW w:w="238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color w:val="auto"/>
                <w:w w:val="89"/>
              </w:rPr>
              <w:t>Trading Symbol(s)</w:t>
            </w:r>
          </w:p>
        </w:tc>
        <w:tc>
          <w:tcPr>
            <w:tcW w:w="440" w:type="dxa"/>
            <w:vAlign w:val="bottom"/>
            <w:tcBorders>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17"/>
        </w:trPr>
        <w:tc>
          <w:tcPr>
            <w:tcW w:w="43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Class A Common Stock, par value $0.01</w:t>
            </w:r>
          </w:p>
        </w:tc>
        <w:tc>
          <w:tcPr>
            <w:tcW w:w="238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color w:val="auto"/>
              </w:rPr>
              <w:t>NMIH</w:t>
            </w:r>
          </w:p>
        </w:tc>
        <w:tc>
          <w:tcPr>
            <w:tcW w:w="440" w:type="dxa"/>
            <w:vAlign w:val="bottom"/>
            <w:tcBorders>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Nasdaq</w:t>
            </w:r>
          </w:p>
        </w:tc>
      </w:tr>
    </w:tbl>
    <w:p>
      <w:pPr>
        <w:spacing w:after="0" w:line="185" w:lineRule="exact"/>
        <w:rPr>
          <w:sz w:val="24"/>
          <w:szCs w:val="24"/>
          <w:color w:val="auto"/>
        </w:rPr>
      </w:pPr>
    </w:p>
    <w:p>
      <w:pPr>
        <w:jc w:val="both"/>
        <w:ind w:right="20"/>
        <w:spacing w:after="0" w:line="251"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right="2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right="20"/>
        <w:spacing w:after="0" w:line="28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680" w:type="dxa"/>
            <w:vAlign w:val="bottom"/>
          </w:tcPr>
          <w:p>
            <w:pPr>
              <w:ind w:left="2340"/>
              <w:spacing w:after="0"/>
              <w:rPr>
                <w:sz w:val="20"/>
                <w:szCs w:val="20"/>
                <w:color w:val="auto"/>
              </w:rPr>
            </w:pPr>
            <w:r>
              <w:rPr>
                <w:rFonts w:ascii="Arial" w:cs="Arial" w:eastAsia="Arial" w:hAnsi="Arial"/>
                <w:sz w:val="18"/>
                <w:szCs w:val="18"/>
                <w:color w:val="auto"/>
              </w:rPr>
              <w:t>Large accelerated filer</w:t>
            </w:r>
          </w:p>
        </w:tc>
        <w:tc>
          <w:tcPr>
            <w:tcW w:w="16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72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4"/>
        </w:trPr>
        <w:tc>
          <w:tcPr>
            <w:tcW w:w="4680" w:type="dxa"/>
            <w:vAlign w:val="bottom"/>
          </w:tcPr>
          <w:p>
            <w:pPr>
              <w:ind w:left="2340"/>
              <w:spacing w:after="0"/>
              <w:rPr>
                <w:sz w:val="20"/>
                <w:szCs w:val="20"/>
                <w:color w:val="auto"/>
              </w:rPr>
            </w:pPr>
            <w:r>
              <w:rPr>
                <w:rFonts w:ascii="Arial" w:cs="Arial" w:eastAsia="Arial" w:hAnsi="Arial"/>
                <w:sz w:val="18"/>
                <w:szCs w:val="18"/>
                <w:color w:val="auto"/>
              </w:rPr>
              <w:t>Non-accelerated filer</w:t>
            </w:r>
          </w:p>
        </w:tc>
        <w:tc>
          <w:tcPr>
            <w:tcW w:w="164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72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7"/>
        </w:trPr>
        <w:tc>
          <w:tcPr>
            <w:tcW w:w="4680" w:type="dxa"/>
            <w:vAlign w:val="bottom"/>
            <w:vMerge w:val="restart"/>
          </w:tcPr>
          <w:p>
            <w:pPr>
              <w:spacing w:after="0"/>
              <w:rPr>
                <w:sz w:val="20"/>
                <w:szCs w:val="20"/>
                <w:color w:val="auto"/>
              </w:rPr>
            </w:pPr>
            <w:r>
              <w:rPr>
                <w:rFonts w:ascii="Arial" w:cs="Arial" w:eastAsia="Arial" w:hAnsi="Arial"/>
                <w:sz w:val="18"/>
                <w:szCs w:val="18"/>
                <w:color w:val="auto"/>
              </w:rPr>
              <w:t>Rule 12b-2 of the Exchange Act.</w:t>
            </w:r>
          </w:p>
        </w:tc>
        <w:tc>
          <w:tcPr>
            <w:tcW w:w="1640" w:type="dxa"/>
            <w:vAlign w:val="bottom"/>
          </w:tcPr>
          <w:p>
            <w:pPr>
              <w:spacing w:after="0"/>
              <w:rPr>
                <w:sz w:val="24"/>
                <w:szCs w:val="24"/>
                <w:color w:val="auto"/>
              </w:rPr>
            </w:pPr>
          </w:p>
        </w:tc>
        <w:tc>
          <w:tcPr>
            <w:tcW w:w="3260" w:type="dxa"/>
            <w:vAlign w:val="bottom"/>
          </w:tcPr>
          <w:p>
            <w:pPr>
              <w:ind w:left="72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6"/>
        </w:trPr>
        <w:tc>
          <w:tcPr>
            <w:tcW w:w="4680" w:type="dxa"/>
            <w:vAlign w:val="bottom"/>
            <w:vMerge w:val="continue"/>
          </w:tcPr>
          <w:p>
            <w:pPr>
              <w:spacing w:after="0"/>
              <w:rPr>
                <w:sz w:val="7"/>
                <w:szCs w:val="7"/>
                <w:color w:val="auto"/>
              </w:rPr>
            </w:pPr>
          </w:p>
        </w:tc>
        <w:tc>
          <w:tcPr>
            <w:tcW w:w="1640" w:type="dxa"/>
            <w:vAlign w:val="bottom"/>
          </w:tcPr>
          <w:p>
            <w:pPr>
              <w:spacing w:after="0"/>
              <w:rPr>
                <w:sz w:val="7"/>
                <w:szCs w:val="7"/>
                <w:color w:val="auto"/>
              </w:rPr>
            </w:pPr>
          </w:p>
        </w:tc>
        <w:tc>
          <w:tcPr>
            <w:tcW w:w="3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right="20"/>
        <w:spacing w:after="0" w:line="22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$0.01 par value per share, of the registrant outstanding on October 28, 2022 was 83,581,031 shares.</w:t>
      </w: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101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980" w:type="dxa"/>
            <w:vAlign w:val="bottom"/>
            <w:gridSpan w:val="2"/>
          </w:tcPr>
          <w:p>
            <w:pPr>
              <w:ind w:left="320"/>
              <w:spacing w:after="0"/>
              <w:rPr>
                <w:sz w:val="20"/>
                <w:szCs w:val="20"/>
                <w:color w:val="auto"/>
              </w:rPr>
            </w:pPr>
            <w:r>
              <w:rPr>
                <w:rFonts w:ascii="Arial" w:cs="Arial" w:eastAsia="Arial" w:hAnsi="Arial"/>
                <w:sz w:val="18"/>
                <w:szCs w:val="18"/>
                <w:b w:val="1"/>
                <w:bCs w:val="1"/>
                <w:color w:val="auto"/>
              </w:rPr>
              <w:t>TABLE OF CONTENTS</w:t>
            </w: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20" w:type="dxa"/>
            <w:vAlign w:val="bottom"/>
            <w:shd w:val="clear" w:color="auto" w:fill="CCEEFF"/>
          </w:tcPr>
          <w:p>
            <w:pPr>
              <w:spacing w:after="0"/>
              <w:rPr>
                <w:sz w:val="16"/>
                <w:szCs w:val="16"/>
                <w:color w:val="auto"/>
              </w:rPr>
            </w:pPr>
          </w:p>
        </w:tc>
        <w:tc>
          <w:tcPr>
            <w:tcW w:w="7320" w:type="dxa"/>
            <w:vAlign w:val="bottom"/>
            <w:gridSpan w:val="11"/>
            <w:shd w:val="clear" w:color="auto" w:fill="CCEEFF"/>
          </w:tcPr>
          <w:p>
            <w:pPr>
              <w:spacing w:after="0" w:line="185" w:lineRule="exact"/>
              <w:rPr>
                <w:sz w:val="20"/>
                <w:szCs w:val="20"/>
                <w:color w:val="auto"/>
              </w:rPr>
            </w:pPr>
            <w:r>
              <w:rPr>
                <w:rFonts w:ascii="Arial" w:cs="Arial" w:eastAsia="Arial" w:hAnsi="Arial"/>
                <w:sz w:val="18"/>
                <w:szCs w:val="18"/>
                <w:b w:val="1"/>
                <w:bCs w:val="1"/>
                <w:color w:val="0000FF"/>
              </w:rPr>
              <w:t>Cautionary Note Regarding Forward Looking Statements</w:t>
            </w:r>
          </w:p>
        </w:tc>
        <w:tc>
          <w:tcPr>
            <w:tcW w:w="3900" w:type="dxa"/>
            <w:vAlign w:val="bottom"/>
            <w:gridSpan w:val="4"/>
            <w:shd w:val="clear" w:color="auto" w:fill="CCEEFF"/>
          </w:tcPr>
          <w:p>
            <w:pPr>
              <w:jc w:val="right"/>
              <w:ind w:right="20"/>
              <w:spacing w:after="0" w:line="185" w:lineRule="exact"/>
              <w:rPr>
                <w:sz w:val="20"/>
                <w:szCs w:val="20"/>
                <w:color w:val="auto"/>
              </w:rPr>
            </w:pPr>
            <w:r>
              <w:rPr>
                <w:rFonts w:ascii="Arial" w:cs="Arial" w:eastAsia="Arial" w:hAnsi="Arial"/>
                <w:sz w:val="18"/>
                <w:szCs w:val="18"/>
                <w:color w:val="0000FF"/>
              </w:rPr>
              <w:t>3</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580" w:type="dxa"/>
            <w:vAlign w:val="bottom"/>
            <w:shd w:val="clear" w:color="auto" w:fill="0000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580" w:type="dxa"/>
            <w:vAlign w:val="bottom"/>
          </w:tcPr>
          <w:p>
            <w:pPr>
              <w:spacing w:after="0" w:line="185" w:lineRule="exact"/>
              <w:rPr>
                <w:sz w:val="20"/>
                <w:szCs w:val="20"/>
                <w:color w:val="auto"/>
              </w:rPr>
            </w:pPr>
            <w:r>
              <w:rPr>
                <w:rFonts w:ascii="Arial" w:cs="Arial" w:eastAsia="Arial" w:hAnsi="Arial"/>
                <w:sz w:val="18"/>
                <w:szCs w:val="18"/>
                <w:b w:val="1"/>
                <w:bCs w:val="1"/>
                <w:color w:val="0000FF"/>
                <w:w w:val="91"/>
              </w:rPr>
              <w:t>PART I</w:t>
            </w:r>
          </w:p>
        </w:tc>
        <w:tc>
          <w:tcPr>
            <w:tcW w:w="46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900" w:type="dxa"/>
            <w:vAlign w:val="bottom"/>
            <w:gridSpan w:val="4"/>
          </w:tcPr>
          <w:p>
            <w:pPr>
              <w:jc w:val="right"/>
              <w:ind w:right="20"/>
              <w:spacing w:after="0" w:line="185" w:lineRule="exact"/>
              <w:rPr>
                <w:sz w:val="20"/>
                <w:szCs w:val="20"/>
                <w:color w:val="auto"/>
              </w:rPr>
            </w:pPr>
            <w:r>
              <w:rPr>
                <w:rFonts w:ascii="Arial" w:cs="Arial" w:eastAsia="Arial" w:hAnsi="Arial"/>
                <w:sz w:val="18"/>
                <w:szCs w:val="18"/>
                <w:color w:val="0000FF"/>
              </w:rPr>
              <w:t>5</w:t>
            </w:r>
          </w:p>
        </w:tc>
      </w:tr>
      <w:tr>
        <w:trPr>
          <w:trHeight w:val="30"/>
        </w:trPr>
        <w:tc>
          <w:tcPr>
            <w:tcW w:w="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95" w:lineRule="exact"/>
              <w:rPr>
                <w:sz w:val="20"/>
                <w:szCs w:val="20"/>
                <w:color w:val="auto"/>
              </w:rPr>
            </w:pPr>
            <w:r>
              <w:rPr>
                <w:rFonts w:ascii="Arial" w:cs="Arial" w:eastAsia="Arial" w:hAnsi="Arial"/>
                <w:sz w:val="18"/>
                <w:szCs w:val="18"/>
                <w:color w:val="auto"/>
              </w:rPr>
              <w:t>Item 1.</w:t>
            </w:r>
          </w:p>
        </w:tc>
        <w:tc>
          <w:tcPr>
            <w:tcW w:w="6280" w:type="dxa"/>
            <w:vAlign w:val="bottom"/>
            <w:gridSpan w:val="8"/>
            <w:shd w:val="clear" w:color="auto" w:fill="CCEEFF"/>
          </w:tcPr>
          <w:p>
            <w:pPr>
              <w:spacing w:after="0" w:line="195" w:lineRule="exact"/>
              <w:rPr>
                <w:sz w:val="20"/>
                <w:szCs w:val="20"/>
                <w:color w:val="auto"/>
              </w:rPr>
            </w:pPr>
            <w:r>
              <w:rPr>
                <w:rFonts w:ascii="Arial" w:cs="Arial" w:eastAsia="Arial" w:hAnsi="Arial"/>
                <w:sz w:val="18"/>
                <w:szCs w:val="18"/>
                <w:color w:val="0000FF"/>
              </w:rPr>
              <w:t>Financial Statements</w:t>
            </w:r>
          </w:p>
        </w:tc>
        <w:tc>
          <w:tcPr>
            <w:tcW w:w="3900" w:type="dxa"/>
            <w:vAlign w:val="bottom"/>
            <w:gridSpan w:val="4"/>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5</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3"/>
          </w:tcPr>
          <w:p>
            <w:pPr>
              <w:ind w:left="120"/>
              <w:spacing w:after="0" w:line="185" w:lineRule="exact"/>
              <w:rPr>
                <w:sz w:val="20"/>
                <w:szCs w:val="20"/>
                <w:color w:val="auto"/>
              </w:rPr>
            </w:pPr>
            <w:r>
              <w:rPr>
                <w:rFonts w:ascii="Arial" w:cs="Arial" w:eastAsia="Arial" w:hAnsi="Arial"/>
                <w:sz w:val="18"/>
                <w:szCs w:val="18"/>
                <w:color w:val="auto"/>
              </w:rPr>
              <w:t>Item 2.</w:t>
            </w:r>
          </w:p>
        </w:tc>
        <w:tc>
          <w:tcPr>
            <w:tcW w:w="6280" w:type="dxa"/>
            <w:vAlign w:val="bottom"/>
            <w:gridSpan w:val="8"/>
          </w:tcPr>
          <w:p>
            <w:pPr>
              <w:spacing w:after="0" w:line="185" w:lineRule="exact"/>
              <w:rPr>
                <w:sz w:val="20"/>
                <w:szCs w:val="20"/>
                <w:color w:val="auto"/>
              </w:rPr>
            </w:pPr>
            <w:r>
              <w:rPr>
                <w:rFonts w:ascii="Arial" w:cs="Arial" w:eastAsia="Arial" w:hAnsi="Arial"/>
                <w:sz w:val="18"/>
                <w:szCs w:val="18"/>
                <w:color w:val="0000FF"/>
                <w:w w:val="88"/>
              </w:rPr>
              <w:t>Management's Discussion and Analysis of Financial Condition and Results of Operations</w:t>
            </w: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79"/>
              </w:rPr>
              <w:t>29</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95" w:lineRule="exact"/>
              <w:rPr>
                <w:sz w:val="20"/>
                <w:szCs w:val="20"/>
                <w:color w:val="auto"/>
              </w:rPr>
            </w:pPr>
            <w:r>
              <w:rPr>
                <w:rFonts w:ascii="Arial" w:cs="Arial" w:eastAsia="Arial" w:hAnsi="Arial"/>
                <w:sz w:val="18"/>
                <w:szCs w:val="18"/>
                <w:color w:val="auto"/>
              </w:rPr>
              <w:t>Item 3.</w:t>
            </w:r>
          </w:p>
        </w:tc>
        <w:tc>
          <w:tcPr>
            <w:tcW w:w="6280" w:type="dxa"/>
            <w:vAlign w:val="bottom"/>
            <w:gridSpan w:val="8"/>
            <w:shd w:val="clear" w:color="auto" w:fill="CCEEFF"/>
          </w:tcPr>
          <w:p>
            <w:pPr>
              <w:spacing w:after="0" w:line="195" w:lineRule="exact"/>
              <w:rPr>
                <w:sz w:val="20"/>
                <w:szCs w:val="20"/>
                <w:color w:val="auto"/>
              </w:rPr>
            </w:pPr>
            <w:r>
              <w:rPr>
                <w:rFonts w:ascii="Arial" w:cs="Arial" w:eastAsia="Arial" w:hAnsi="Arial"/>
                <w:sz w:val="18"/>
                <w:szCs w:val="18"/>
                <w:color w:val="0000FF"/>
              </w:rPr>
              <w:t>Quantitative and Qualitative Disclosures About Market Risk</w:t>
            </w: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w w:val="79"/>
              </w:rPr>
              <w:t>56</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580" w:type="dxa"/>
            <w:vAlign w:val="bottom"/>
            <w:shd w:val="clear" w:color="auto" w:fill="0000FF"/>
          </w:tcPr>
          <w:p>
            <w:pPr>
              <w:spacing w:after="0"/>
              <w:rPr>
                <w:sz w:val="3"/>
                <w:szCs w:val="3"/>
                <w:color w:val="auto"/>
              </w:rPr>
            </w:pPr>
          </w:p>
        </w:tc>
        <w:tc>
          <w:tcPr>
            <w:tcW w:w="940" w:type="dxa"/>
            <w:vAlign w:val="bottom"/>
            <w:shd w:val="clear" w:color="auto" w:fill="0000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3"/>
          </w:tcPr>
          <w:p>
            <w:pPr>
              <w:ind w:left="120"/>
              <w:spacing w:after="0" w:line="185" w:lineRule="exact"/>
              <w:rPr>
                <w:sz w:val="20"/>
                <w:szCs w:val="20"/>
                <w:color w:val="auto"/>
              </w:rPr>
            </w:pPr>
            <w:r>
              <w:rPr>
                <w:rFonts w:ascii="Arial" w:cs="Arial" w:eastAsia="Arial" w:hAnsi="Arial"/>
                <w:sz w:val="18"/>
                <w:szCs w:val="18"/>
                <w:color w:val="auto"/>
              </w:rPr>
              <w:t>Item 4.</w:t>
            </w:r>
          </w:p>
        </w:tc>
        <w:tc>
          <w:tcPr>
            <w:tcW w:w="1720" w:type="dxa"/>
            <w:vAlign w:val="bottom"/>
            <w:gridSpan w:val="5"/>
          </w:tcPr>
          <w:p>
            <w:pPr>
              <w:spacing w:after="0" w:line="185" w:lineRule="exact"/>
              <w:rPr>
                <w:sz w:val="20"/>
                <w:szCs w:val="20"/>
                <w:color w:val="auto"/>
              </w:rPr>
            </w:pPr>
            <w:r>
              <w:rPr>
                <w:rFonts w:ascii="Arial" w:cs="Arial" w:eastAsia="Arial" w:hAnsi="Arial"/>
                <w:sz w:val="18"/>
                <w:szCs w:val="18"/>
                <w:color w:val="0000FF"/>
                <w:w w:val="85"/>
              </w:rPr>
              <w:t>Controls and Procedures</w:t>
            </w:r>
          </w:p>
        </w:tc>
        <w:tc>
          <w:tcPr>
            <w:tcW w:w="2520" w:type="dxa"/>
            <w:vAlign w:val="bottom"/>
            <w:gridSpan w:val="2"/>
          </w:tcPr>
          <w:p>
            <w:pPr>
              <w:spacing w:after="0"/>
              <w:rPr>
                <w:sz w:val="16"/>
                <w:szCs w:val="16"/>
                <w:color w:val="auto"/>
              </w:rPr>
            </w:pPr>
          </w:p>
        </w:tc>
        <w:tc>
          <w:tcPr>
            <w:tcW w:w="20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79"/>
              </w:rPr>
              <w:t>57</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b w:val="1"/>
                <w:bCs w:val="1"/>
                <w:color w:val="0000FF"/>
              </w:rPr>
              <w:t>PART II</w:t>
            </w: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w w:val="79"/>
              </w:rPr>
              <w:t>58</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580" w:type="dxa"/>
            <w:vAlign w:val="bottom"/>
          </w:tcPr>
          <w:p>
            <w:pPr>
              <w:ind w:left="120"/>
              <w:spacing w:after="0" w:line="185" w:lineRule="exact"/>
              <w:rPr>
                <w:sz w:val="20"/>
                <w:szCs w:val="20"/>
                <w:color w:val="auto"/>
              </w:rPr>
            </w:pPr>
            <w:r>
              <w:rPr>
                <w:rFonts w:ascii="Arial" w:cs="Arial" w:eastAsia="Arial" w:hAnsi="Arial"/>
                <w:sz w:val="18"/>
                <w:szCs w:val="18"/>
                <w:color w:val="auto"/>
                <w:w w:val="76"/>
              </w:rPr>
              <w:t>Item 1.</w:t>
            </w:r>
          </w:p>
        </w:tc>
        <w:tc>
          <w:tcPr>
            <w:tcW w:w="460" w:type="dxa"/>
            <w:vAlign w:val="bottom"/>
            <w:gridSpan w:val="2"/>
          </w:tcPr>
          <w:p>
            <w:pPr>
              <w:spacing w:after="0"/>
              <w:rPr>
                <w:sz w:val="16"/>
                <w:szCs w:val="16"/>
                <w:color w:val="auto"/>
              </w:rPr>
            </w:pPr>
          </w:p>
        </w:tc>
        <w:tc>
          <w:tcPr>
            <w:tcW w:w="6280" w:type="dxa"/>
            <w:vAlign w:val="bottom"/>
            <w:gridSpan w:val="8"/>
          </w:tcPr>
          <w:p>
            <w:pPr>
              <w:spacing w:after="0" w:line="185" w:lineRule="exact"/>
              <w:rPr>
                <w:sz w:val="20"/>
                <w:szCs w:val="20"/>
                <w:color w:val="auto"/>
              </w:rPr>
            </w:pPr>
            <w:r>
              <w:rPr>
                <w:rFonts w:ascii="Arial" w:cs="Arial" w:eastAsia="Arial" w:hAnsi="Arial"/>
                <w:sz w:val="18"/>
                <w:szCs w:val="18"/>
                <w:color w:val="0000FF"/>
              </w:rPr>
              <w:t>Legal Proceedings</w:t>
            </w: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79"/>
              </w:rPr>
              <w:t>58</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84" w:lineRule="exact"/>
              <w:rPr>
                <w:sz w:val="20"/>
                <w:szCs w:val="20"/>
                <w:color w:val="auto"/>
              </w:rPr>
            </w:pPr>
            <w:r>
              <w:rPr>
                <w:rFonts w:ascii="Arial" w:cs="Arial" w:eastAsia="Arial" w:hAnsi="Arial"/>
                <w:sz w:val="18"/>
                <w:szCs w:val="18"/>
                <w:color w:val="auto"/>
              </w:rPr>
              <w:t>Item 1A.</w:t>
            </w:r>
          </w:p>
        </w:tc>
        <w:tc>
          <w:tcPr>
            <w:tcW w:w="880" w:type="dxa"/>
            <w:vAlign w:val="bottom"/>
            <w:gridSpan w:val="2"/>
            <w:shd w:val="clear" w:color="auto" w:fill="CCEEFF"/>
          </w:tcPr>
          <w:p>
            <w:pPr>
              <w:spacing w:after="0" w:line="184" w:lineRule="exact"/>
              <w:rPr>
                <w:sz w:val="20"/>
                <w:szCs w:val="20"/>
                <w:color w:val="auto"/>
              </w:rPr>
            </w:pPr>
            <w:r>
              <w:rPr>
                <w:rFonts w:ascii="Arial" w:cs="Arial" w:eastAsia="Arial" w:hAnsi="Arial"/>
                <w:sz w:val="18"/>
                <w:szCs w:val="18"/>
                <w:color w:val="0000FF"/>
                <w:w w:val="85"/>
                <w:shd w:val="clear" w:color="auto" w:fill="CCEEFF"/>
              </w:rPr>
              <w:t>Risk Factors</w:t>
            </w:r>
          </w:p>
        </w:tc>
        <w:tc>
          <w:tcPr>
            <w:tcW w:w="5400" w:type="dxa"/>
            <w:vAlign w:val="bottom"/>
            <w:gridSpan w:val="6"/>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4" w:lineRule="exact"/>
              <w:rPr>
                <w:sz w:val="20"/>
                <w:szCs w:val="20"/>
                <w:color w:val="auto"/>
              </w:rPr>
            </w:pPr>
            <w:r>
              <w:rPr>
                <w:rFonts w:ascii="Arial" w:cs="Arial" w:eastAsia="Arial" w:hAnsi="Arial"/>
                <w:sz w:val="18"/>
                <w:szCs w:val="18"/>
                <w:color w:val="0000FF"/>
                <w:w w:val="79"/>
              </w:rPr>
              <w:t>58</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1040" w:type="dxa"/>
            <w:vAlign w:val="bottom"/>
            <w:gridSpan w:val="3"/>
          </w:tcPr>
          <w:p>
            <w:pPr>
              <w:ind w:left="120"/>
              <w:spacing w:after="0" w:line="185" w:lineRule="exact"/>
              <w:rPr>
                <w:sz w:val="20"/>
                <w:szCs w:val="20"/>
                <w:color w:val="auto"/>
              </w:rPr>
            </w:pPr>
            <w:r>
              <w:rPr>
                <w:rFonts w:ascii="Arial" w:cs="Arial" w:eastAsia="Arial" w:hAnsi="Arial"/>
                <w:sz w:val="18"/>
                <w:szCs w:val="18"/>
                <w:color w:val="auto"/>
              </w:rPr>
              <w:t>Item 6.</w:t>
            </w:r>
          </w:p>
        </w:tc>
        <w:tc>
          <w:tcPr>
            <w:tcW w:w="580" w:type="dxa"/>
            <w:vAlign w:val="bottom"/>
          </w:tcPr>
          <w:p>
            <w:pPr>
              <w:spacing w:after="0" w:line="185" w:lineRule="exact"/>
              <w:rPr>
                <w:sz w:val="20"/>
                <w:szCs w:val="20"/>
                <w:color w:val="auto"/>
              </w:rPr>
            </w:pPr>
            <w:r>
              <w:rPr>
                <w:rFonts w:ascii="Arial" w:cs="Arial" w:eastAsia="Arial" w:hAnsi="Arial"/>
                <w:sz w:val="18"/>
                <w:szCs w:val="18"/>
                <w:color w:val="0000FF"/>
                <w:w w:val="88"/>
              </w:rPr>
              <w:t>Exhibits</w:t>
            </w:r>
          </w:p>
        </w:tc>
        <w:tc>
          <w:tcPr>
            <w:tcW w:w="300" w:type="dxa"/>
            <w:vAlign w:val="bottom"/>
          </w:tcPr>
          <w:p>
            <w:pPr>
              <w:spacing w:after="0"/>
              <w:rPr>
                <w:sz w:val="16"/>
                <w:szCs w:val="16"/>
                <w:color w:val="auto"/>
              </w:rPr>
            </w:pPr>
          </w:p>
        </w:tc>
        <w:tc>
          <w:tcPr>
            <w:tcW w:w="5400" w:type="dxa"/>
            <w:vAlign w:val="bottom"/>
            <w:gridSpan w:val="6"/>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79"/>
              </w:rPr>
              <w:t>59</w:t>
            </w:r>
          </w:p>
        </w:tc>
      </w:tr>
      <w:tr>
        <w:trPr>
          <w:trHeight w:val="30"/>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b w:val="1"/>
                <w:bCs w:val="1"/>
                <w:color w:val="0000FF"/>
              </w:rPr>
              <w:t>Signatures</w:t>
            </w: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w w:val="79"/>
              </w:rPr>
              <w:t>61</w:t>
            </w:r>
          </w:p>
        </w:tc>
      </w:tr>
      <w:tr>
        <w:trPr>
          <w:trHeight w:val="40"/>
        </w:trPr>
        <w:tc>
          <w:tcPr>
            <w:tcW w:w="2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7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8" w:lineRule="exact"/>
        <w:rPr>
          <w:sz w:val="20"/>
          <w:szCs w:val="20"/>
          <w:color w:val="auto"/>
        </w:rPr>
      </w:pPr>
    </w:p>
    <w:p>
      <w:pPr>
        <w:jc w:val="both"/>
        <w:ind w:firstLine="185"/>
        <w:spacing w:after="0" w:line="279"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outlook, beliefs, plans, predictions, forecasts, objectives, assumptions or future events or performance are not historical facts and may be forward-looking. These statements are often, but not always, made through the use of words or phrases such as "anticipate," "believe," "can," "could," "may," "predict," "assume," "potential," "should," "will," "estimate," "perceive," "plan," "project," "continuing," "ongoing," "expect," "intend" or words of similar meaning and include, but are not limited to, statements regarding the outlook for our future business and financial performance. All forward-looking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We have based these forward-looking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forward-looking statements including, but not limited to:</w:t>
      </w:r>
    </w:p>
    <w:p>
      <w:pPr>
        <w:spacing w:after="0" w:line="118" w:lineRule="exact"/>
        <w:rPr>
          <w:sz w:val="20"/>
          <w:szCs w:val="20"/>
          <w:color w:val="auto"/>
        </w:rPr>
      </w:pPr>
    </w:p>
    <w:p>
      <w:pPr>
        <w:jc w:val="both"/>
        <w:ind w:left="960" w:hanging="321"/>
        <w:spacing w:after="0" w:line="253"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relating to the coronavirus (COVID-19) pandemic and its variants or the measures taken by governmental authorities and other third-parties to contain the spread of COVID-19, including their impact on the global economy, the U.S. housing, real estate, housing finance and mortgage insurance markets, and our business, operations and personnel;</w:t>
      </w:r>
    </w:p>
    <w:p>
      <w:pPr>
        <w:spacing w:after="0" w:line="136" w:lineRule="exact"/>
        <w:rPr>
          <w:rFonts w:ascii="Arial" w:cs="Arial" w:eastAsia="Arial" w:hAnsi="Arial"/>
          <w:sz w:val="18"/>
          <w:szCs w:val="18"/>
          <w:color w:val="auto"/>
        </w:rPr>
      </w:pPr>
    </w:p>
    <w:p>
      <w:pPr>
        <w:jc w:val="both"/>
        <w:ind w:left="960" w:hanging="321"/>
        <w:spacing w:after="0" w:line="249"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charters, business practices, policy or priorities of Fannie Mae and Freddie Mac (collectively, the GSEs), which may include decisions that have the impact of decreasing or discontinuing the use of mortgage insurance as credit enhancement generally, or with first time homebuyers or on very high loan-to-value mortgages; or changes in the direction of housing policy objectives of the Federal Housing Finance Agency (FHFA), such as the FHFA's priority to increase the accessibility to and affordability of homeownership for low-and-moderate income borrowers and underrepresented communities;</w:t>
      </w:r>
    </w:p>
    <w:p>
      <w:pPr>
        <w:spacing w:after="0" w:line="139" w:lineRule="exact"/>
        <w:rPr>
          <w:rFonts w:ascii="Arial" w:cs="Arial" w:eastAsia="Arial" w:hAnsi="Arial"/>
          <w:sz w:val="18"/>
          <w:szCs w:val="18"/>
          <w:color w:val="auto"/>
        </w:rPr>
      </w:pPr>
    </w:p>
    <w:p>
      <w:pPr>
        <w:ind w:left="960" w:hanging="321"/>
        <w:spacing w:after="0" w:line="262"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an eligible mortgage insurer under the private mortgage insurer eligibility requirements (PMIERs) and other requirements imposed by the GSEs, which they may change at any time;</w:t>
      </w:r>
    </w:p>
    <w:p>
      <w:pPr>
        <w:spacing w:after="0" w:line="128" w:lineRule="exact"/>
        <w:rPr>
          <w:rFonts w:ascii="Arial" w:cs="Arial" w:eastAsia="Arial" w:hAnsi="Arial"/>
          <w:sz w:val="18"/>
          <w:szCs w:val="18"/>
          <w:color w:val="auto"/>
        </w:rPr>
      </w:pPr>
    </w:p>
    <w:p>
      <w:pPr>
        <w:ind w:left="960" w:hanging="321"/>
        <w:spacing w:after="0" w:line="262"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128" w:lineRule="exact"/>
        <w:rPr>
          <w:rFonts w:ascii="Arial" w:cs="Arial" w:eastAsia="Arial" w:hAnsi="Arial"/>
          <w:sz w:val="18"/>
          <w:szCs w:val="18"/>
          <w:color w:val="auto"/>
        </w:rPr>
      </w:pPr>
    </w:p>
    <w:p>
      <w:pPr>
        <w:ind w:left="960" w:hanging="321"/>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62" w:lineRule="exact"/>
        <w:rPr>
          <w:rFonts w:ascii="Arial" w:cs="Arial" w:eastAsia="Arial" w:hAnsi="Arial"/>
          <w:sz w:val="18"/>
          <w:szCs w:val="18"/>
          <w:color w:val="auto"/>
        </w:rPr>
      </w:pPr>
    </w:p>
    <w:p>
      <w:pPr>
        <w:jc w:val="both"/>
        <w:ind w:left="960" w:hanging="321"/>
        <w:spacing w:after="0" w:line="300" w:lineRule="auto"/>
        <w:tabs>
          <w:tab w:leader="none" w:pos="955"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actions of existing competitors, including other private mortgage insurers and government mortgage insurers such as the Federal Housing Administration (FHA), the U.S. Department of Agriculture's Rural Housing Service (USDA) and the U.S. Department of Veterans Affairs (VA) (collectively, government MIs), and potential market entry by new competitors or consolidation of existing competitors;</w:t>
      </w:r>
    </w:p>
    <w:p>
      <w:pPr>
        <w:spacing w:after="0" w:line="101" w:lineRule="exact"/>
        <w:rPr>
          <w:rFonts w:ascii="Arial" w:cs="Arial" w:eastAsia="Arial" w:hAnsi="Arial"/>
          <w:sz w:val="16"/>
          <w:szCs w:val="16"/>
          <w:color w:val="auto"/>
        </w:rPr>
      </w:pPr>
    </w:p>
    <w:p>
      <w:pPr>
        <w:ind w:left="960" w:hanging="321"/>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the world's financial, capital and credit markets and our access to such markets, including reinsurance;</w:t>
      </w:r>
    </w:p>
    <w:p>
      <w:pPr>
        <w:spacing w:after="0" w:line="162" w:lineRule="exact"/>
        <w:rPr>
          <w:rFonts w:ascii="Arial" w:cs="Arial" w:eastAsia="Arial" w:hAnsi="Arial"/>
          <w:sz w:val="18"/>
          <w:szCs w:val="18"/>
          <w:color w:val="auto"/>
        </w:rPr>
      </w:pPr>
    </w:p>
    <w:p>
      <w:pPr>
        <w:jc w:val="both"/>
        <w:ind w:left="960" w:hanging="321"/>
        <w:spacing w:after="0" w:line="253"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w:t>
      </w:r>
    </w:p>
    <w:p>
      <w:pPr>
        <w:spacing w:after="0" w:line="136" w:lineRule="exact"/>
        <w:rPr>
          <w:rFonts w:ascii="Arial" w:cs="Arial" w:eastAsia="Arial" w:hAnsi="Arial"/>
          <w:sz w:val="18"/>
          <w:szCs w:val="18"/>
          <w:color w:val="auto"/>
        </w:rPr>
      </w:pPr>
    </w:p>
    <w:p>
      <w:pPr>
        <w:ind w:left="960" w:hanging="321"/>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federal tax reform and other potential changes in tax law and their impact on us and our operations;</w:t>
      </w:r>
    </w:p>
    <w:p>
      <w:pPr>
        <w:spacing w:after="0" w:line="162" w:lineRule="exact"/>
        <w:rPr>
          <w:rFonts w:ascii="Arial" w:cs="Arial" w:eastAsia="Arial" w:hAnsi="Arial"/>
          <w:sz w:val="18"/>
          <w:szCs w:val="18"/>
          <w:color w:val="auto"/>
        </w:rPr>
      </w:pPr>
    </w:p>
    <w:p>
      <w:pPr>
        <w:ind w:left="960" w:hanging="321"/>
        <w:spacing w:after="0" w:line="262" w:lineRule="auto"/>
        <w:tabs>
          <w:tab w:leader="none" w:pos="9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or regulatory changes to the GSEs' role in the secondary mortgage market or other changes that could affect the residential mortgage industry generally or mortgage insurance industry in particular;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3" w:name="page4"/>
    <w:bookmarkEnd w:id="3"/>
    <w:p>
      <w:pPr>
        <w:ind w:left="960" w:hanging="321"/>
        <w:spacing w:after="0" w:line="262"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legal and regulatory claims, investigations, actions, audits or inquiries that could result in adverse judgements, settlements, fines or other reliefs that could require significant expenditures or have other negative effects on our business;</w:t>
      </w:r>
    </w:p>
    <w:p>
      <w:pPr>
        <w:spacing w:after="0" w:line="115" w:lineRule="exact"/>
        <w:rPr>
          <w:rFonts w:ascii="Arial" w:cs="Arial" w:eastAsia="Arial" w:hAnsi="Arial"/>
          <w:sz w:val="18"/>
          <w:szCs w:val="18"/>
          <w:color w:val="auto"/>
        </w:rPr>
      </w:pPr>
    </w:p>
    <w:p>
      <w:pPr>
        <w:jc w:val="both"/>
        <w:ind w:left="960" w:hanging="321"/>
        <w:spacing w:after="0" w:line="236"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(including rising interest rates and inflation) and investment results or other conditions that affect the housing market or the markets for home mortgages or mortgage insurance, including the risks related to geopolitical instability, an economic downturn (including any decline in home prices) or recession, and their impacts on our business, operations and personnel;</w:t>
      </w:r>
    </w:p>
    <w:p>
      <w:pPr>
        <w:spacing w:after="0" w:line="227" w:lineRule="exact"/>
        <w:rPr>
          <w:rFonts w:ascii="Arial" w:cs="Arial" w:eastAsia="Arial" w:hAnsi="Arial"/>
          <w:sz w:val="18"/>
          <w:szCs w:val="18"/>
          <w:color w:val="auto"/>
        </w:rPr>
      </w:pPr>
    </w:p>
    <w:p>
      <w:pPr>
        <w:ind w:left="960" w:hanging="321"/>
        <w:spacing w:after="0" w:line="325" w:lineRule="auto"/>
        <w:tabs>
          <w:tab w:leader="none" w:pos="955"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successfully execute and implement our capital plans, including our ability to access the capital, credit and reinsurance markets and to enter into, and receive approval of, reinsurance arrangements on terms and conditions that are acceptable to us, the GSEs and our regulators;</w:t>
      </w:r>
    </w:p>
    <w:p>
      <w:pPr>
        <w:spacing w:after="0" w:line="82" w:lineRule="exact"/>
        <w:rPr>
          <w:rFonts w:ascii="Arial" w:cs="Arial" w:eastAsia="Arial" w:hAnsi="Arial"/>
          <w:sz w:val="16"/>
          <w:szCs w:val="16"/>
          <w:color w:val="auto"/>
        </w:rPr>
      </w:pPr>
    </w:p>
    <w:p>
      <w:pPr>
        <w:ind w:left="960" w:hanging="32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lenders, the GSEs, or other market participants seeking alternatives to private mortgage insurance;</w:t>
      </w:r>
    </w:p>
    <w:p>
      <w:pPr>
        <w:spacing w:after="0" w:line="162" w:lineRule="exact"/>
        <w:rPr>
          <w:rFonts w:ascii="Arial" w:cs="Arial" w:eastAsia="Arial" w:hAnsi="Arial"/>
          <w:sz w:val="18"/>
          <w:szCs w:val="18"/>
          <w:color w:val="auto"/>
        </w:rPr>
      </w:pPr>
    </w:p>
    <w:p>
      <w:pPr>
        <w:jc w:val="both"/>
        <w:ind w:left="960" w:hanging="321"/>
        <w:spacing w:after="0" w:line="253"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136" w:lineRule="exact"/>
        <w:rPr>
          <w:rFonts w:ascii="Arial" w:cs="Arial" w:eastAsia="Arial" w:hAnsi="Arial"/>
          <w:sz w:val="18"/>
          <w:szCs w:val="18"/>
          <w:color w:val="auto"/>
        </w:rPr>
      </w:pPr>
    </w:p>
    <w:p>
      <w:pPr>
        <w:ind w:left="960" w:hanging="32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62" w:lineRule="exact"/>
        <w:rPr>
          <w:rFonts w:ascii="Arial" w:cs="Arial" w:eastAsia="Arial" w:hAnsi="Arial"/>
          <w:sz w:val="18"/>
          <w:szCs w:val="18"/>
          <w:color w:val="auto"/>
        </w:rPr>
      </w:pPr>
    </w:p>
    <w:p>
      <w:pPr>
        <w:ind w:left="960" w:hanging="32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risk management or pricing or investment strategies;</w:t>
      </w:r>
    </w:p>
    <w:p>
      <w:pPr>
        <w:spacing w:after="0" w:line="162" w:lineRule="exact"/>
        <w:rPr>
          <w:rFonts w:ascii="Arial" w:cs="Arial" w:eastAsia="Arial" w:hAnsi="Arial"/>
          <w:sz w:val="18"/>
          <w:szCs w:val="18"/>
          <w:color w:val="auto"/>
        </w:rPr>
      </w:pPr>
    </w:p>
    <w:p>
      <w:pPr>
        <w:ind w:left="960" w:hanging="32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162" w:lineRule="exact"/>
        <w:rPr>
          <w:rFonts w:ascii="Arial" w:cs="Arial" w:eastAsia="Arial" w:hAnsi="Arial"/>
          <w:sz w:val="18"/>
          <w:szCs w:val="18"/>
          <w:color w:val="auto"/>
        </w:rPr>
      </w:pPr>
    </w:p>
    <w:p>
      <w:pPr>
        <w:ind w:left="960" w:hanging="321"/>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185" w:lineRule="exact"/>
        <w:rPr>
          <w:rFonts w:ascii="Arial" w:cs="Arial" w:eastAsia="Arial" w:hAnsi="Arial"/>
          <w:sz w:val="16"/>
          <w:szCs w:val="16"/>
          <w:color w:val="auto"/>
        </w:rPr>
      </w:pPr>
    </w:p>
    <w:p>
      <w:pPr>
        <w:ind w:left="960" w:hanging="321"/>
        <w:spacing w:after="0" w:line="325" w:lineRule="auto"/>
        <w:tabs>
          <w:tab w:leader="none" w:pos="955"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adverse impacts arising from natural disasters (including those that may be caused or exacerbated by climate change), including, with respect to affected areas, a decline in new business, adverse effects on home prices, and an increase in notices of default on insured mortgages;</w:t>
      </w:r>
    </w:p>
    <w:p>
      <w:pPr>
        <w:spacing w:after="0" w:line="82" w:lineRule="exact"/>
        <w:rPr>
          <w:rFonts w:ascii="Arial" w:cs="Arial" w:eastAsia="Arial" w:hAnsi="Arial"/>
          <w:sz w:val="16"/>
          <w:szCs w:val="16"/>
          <w:color w:val="auto"/>
        </w:rPr>
      </w:pPr>
    </w:p>
    <w:p>
      <w:pPr>
        <w:ind w:left="960" w:hanging="321"/>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adverse impacts arising from the occurrence of any man-made disasters or public health emergencies, including pandemics;</w:t>
      </w:r>
    </w:p>
    <w:p>
      <w:pPr>
        <w:spacing w:after="0" w:line="185" w:lineRule="exact"/>
        <w:rPr>
          <w:rFonts w:ascii="Arial" w:cs="Arial" w:eastAsia="Arial" w:hAnsi="Arial"/>
          <w:sz w:val="16"/>
          <w:szCs w:val="16"/>
          <w:color w:val="auto"/>
        </w:rPr>
      </w:pPr>
    </w:p>
    <w:p>
      <w:pPr>
        <w:ind w:left="960" w:hanging="32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of our counter-parties, including third-party reinsurers, to meet their obligations to us;</w:t>
      </w:r>
    </w:p>
    <w:p>
      <w:pPr>
        <w:spacing w:after="0" w:line="162" w:lineRule="exact"/>
        <w:rPr>
          <w:rFonts w:ascii="Arial" w:cs="Arial" w:eastAsia="Arial" w:hAnsi="Arial"/>
          <w:sz w:val="18"/>
          <w:szCs w:val="18"/>
          <w:color w:val="auto"/>
        </w:rPr>
      </w:pPr>
    </w:p>
    <w:p>
      <w:pPr>
        <w:ind w:left="960" w:hanging="321"/>
        <w:spacing w:after="0" w:line="262"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(IT) systems or the failure of technology providers to perform;</w:t>
      </w:r>
    </w:p>
    <w:p>
      <w:pPr>
        <w:spacing w:after="0" w:line="128" w:lineRule="exact"/>
        <w:rPr>
          <w:rFonts w:ascii="Arial" w:cs="Arial" w:eastAsia="Arial" w:hAnsi="Arial"/>
          <w:sz w:val="18"/>
          <w:szCs w:val="18"/>
          <w:color w:val="auto"/>
        </w:rPr>
      </w:pPr>
    </w:p>
    <w:p>
      <w:pPr>
        <w:jc w:val="both"/>
        <w:ind w:left="960" w:hanging="321"/>
        <w:spacing w:after="0" w:line="253"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effectiveness and security of our information technology systems and digital products and services, including the risks these systems, products or services may fail to operate as expected or planned, or expose us to cybersecurity or third-party risks (including exposure of our confidential customer and other confidential information); and</w:t>
      </w:r>
    </w:p>
    <w:p>
      <w:pPr>
        <w:spacing w:after="0" w:line="136" w:lineRule="exact"/>
        <w:rPr>
          <w:rFonts w:ascii="Arial" w:cs="Arial" w:eastAsia="Arial" w:hAnsi="Arial"/>
          <w:sz w:val="18"/>
          <w:szCs w:val="18"/>
          <w:color w:val="auto"/>
        </w:rPr>
      </w:pPr>
    </w:p>
    <w:p>
      <w:pPr>
        <w:ind w:left="960" w:hanging="32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62"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For more information regarding these risks and uncertainties as well as certain additional risks that we face, you should refer to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II, Item 1A of this Report and in Part I, Item 1A, of our Annual Report on Form 10-K for the year ended December 31, 2021 (2021 10-K), as subsequently updated in other reports we file from time to time with the U.S. Securities and Exchange Commission (SEC).</w:t>
      </w:r>
    </w:p>
    <w:p>
      <w:pPr>
        <w:spacing w:after="0" w:line="141"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Unless expressly indicated or the context requires otherwise, the terms "we," "our," "us," "Company" and "NMI" in this document refer to NMI Holdings, Inc., a Delaware corporation, and its wholly owned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INDEX TO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0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Condensed Consolidated Balance Sheets as of September 30, 2022 (Unaudited) and December 31, 2021</w:t>
            </w: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0000FF"/>
              </w:rPr>
              <w:t>6</w:t>
            </w:r>
          </w:p>
        </w:tc>
      </w:tr>
      <w:tr>
        <w:trPr>
          <w:trHeight w:val="185"/>
        </w:trPr>
        <w:tc>
          <w:tcPr>
            <w:tcW w:w="11060" w:type="dxa"/>
            <w:vAlign w:val="bottom"/>
            <w:tcBorders>
              <w:top w:val="single" w:sz="8" w:color="CCEEFF"/>
            </w:tcBorders>
          </w:tcPr>
          <w:p>
            <w:pPr>
              <w:ind w:left="20"/>
              <w:spacing w:after="0" w:line="186" w:lineRule="exact"/>
              <w:rPr>
                <w:sz w:val="20"/>
                <w:szCs w:val="20"/>
                <w:color w:val="auto"/>
              </w:rPr>
            </w:pPr>
            <w:r>
              <w:rPr>
                <w:rFonts w:ascii="Arial" w:cs="Arial" w:eastAsia="Arial" w:hAnsi="Arial"/>
                <w:sz w:val="18"/>
                <w:szCs w:val="18"/>
                <w:color w:val="auto"/>
                <w:w w:val="92"/>
              </w:rPr>
              <w:t>Condensed Consolidated Statements of Operations and Comprehensive Income (Loss) for the three and nine months ended September 30, 2022 and</w:t>
            </w: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94"/>
        </w:trPr>
        <w:tc>
          <w:tcPr>
            <w:tcW w:w="11060" w:type="dxa"/>
            <w:vAlign w:val="bottom"/>
          </w:tcPr>
          <w:p>
            <w:pPr>
              <w:ind w:left="20"/>
              <w:spacing w:after="0" w:line="184" w:lineRule="exact"/>
              <w:rPr>
                <w:sz w:val="20"/>
                <w:szCs w:val="20"/>
                <w:color w:val="auto"/>
              </w:rPr>
            </w:pPr>
            <w:r>
              <w:rPr>
                <w:rFonts w:ascii="Arial" w:cs="Arial" w:eastAsia="Arial" w:hAnsi="Arial"/>
                <w:sz w:val="18"/>
                <w:szCs w:val="18"/>
                <w:color w:val="auto"/>
              </w:rPr>
              <w:t>2021 (Unaudited)</w:t>
            </w:r>
          </w:p>
        </w:tc>
        <w:tc>
          <w:tcPr>
            <w:tcW w:w="180" w:type="dxa"/>
            <w:vAlign w:val="bottom"/>
            <w:gridSpan w:val="3"/>
          </w:tcPr>
          <w:p>
            <w:pPr>
              <w:jc w:val="right"/>
              <w:ind w:right="20"/>
              <w:spacing w:after="0" w:line="184" w:lineRule="exact"/>
              <w:rPr>
                <w:sz w:val="20"/>
                <w:szCs w:val="20"/>
                <w:color w:val="auto"/>
              </w:rPr>
            </w:pPr>
            <w:r>
              <w:rPr>
                <w:rFonts w:ascii="Arial" w:cs="Arial" w:eastAsia="Arial" w:hAnsi="Arial"/>
                <w:sz w:val="18"/>
                <w:szCs w:val="18"/>
                <w:color w:val="0000FF"/>
              </w:rPr>
              <w:t>7</w:t>
            </w:r>
          </w:p>
        </w:tc>
      </w:tr>
      <w:tr>
        <w:trPr>
          <w:trHeight w:val="195"/>
        </w:trPr>
        <w:tc>
          <w:tcPr>
            <w:tcW w:w="11060" w:type="dxa"/>
            <w:vAlign w:val="bottom"/>
            <w:tcBorders>
              <w:right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7"/>
              </w:rPr>
              <w:t>Condensed Consolidated Statements of Changes in Shareholders' Equity for the three and nine months ended September 30, 2022 and 2021</w:t>
            </w:r>
          </w:p>
        </w:tc>
        <w:tc>
          <w:tcPr>
            <w:tcW w:w="80" w:type="dxa"/>
            <w:vAlign w:val="bottom"/>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4"/>
        </w:trPr>
        <w:tc>
          <w:tcPr>
            <w:tcW w:w="11060" w:type="dxa"/>
            <w:vAlign w:val="bottom"/>
            <w:tcBorders>
              <w:right w:val="single" w:sz="8" w:color="CCEEFF"/>
            </w:tcBorders>
            <w:shd w:val="clear" w:color="auto" w:fill="CCEEFF"/>
          </w:tcPr>
          <w:p>
            <w:pPr>
              <w:ind w:left="20"/>
              <w:spacing w:after="0" w:line="184" w:lineRule="exact"/>
              <w:rPr>
                <w:sz w:val="20"/>
                <w:szCs w:val="20"/>
                <w:color w:val="auto"/>
              </w:rPr>
            </w:pPr>
            <w:r>
              <w:rPr>
                <w:rFonts w:ascii="Arial" w:cs="Arial" w:eastAsia="Arial" w:hAnsi="Arial"/>
                <w:sz w:val="18"/>
                <w:szCs w:val="18"/>
                <w:color w:val="auto"/>
              </w:rPr>
              <w:t>(Unaudited)</w:t>
            </w:r>
          </w:p>
        </w:tc>
        <w:tc>
          <w:tcPr>
            <w:tcW w:w="180" w:type="dxa"/>
            <w:vAlign w:val="bottom"/>
            <w:gridSpan w:val="3"/>
            <w:shd w:val="clear" w:color="auto" w:fill="CCEEFF"/>
          </w:tcPr>
          <w:p>
            <w:pPr>
              <w:jc w:val="right"/>
              <w:ind w:right="20"/>
              <w:spacing w:after="0" w:line="184" w:lineRule="exact"/>
              <w:rPr>
                <w:sz w:val="20"/>
                <w:szCs w:val="20"/>
                <w:color w:val="auto"/>
              </w:rPr>
            </w:pPr>
            <w:r>
              <w:rPr>
                <w:rFonts w:ascii="Arial" w:cs="Arial" w:eastAsia="Arial" w:hAnsi="Arial"/>
                <w:sz w:val="18"/>
                <w:szCs w:val="18"/>
                <w:color w:val="0000FF"/>
              </w:rPr>
              <w:t>8</w:t>
            </w:r>
          </w:p>
        </w:tc>
      </w:tr>
      <w:tr>
        <w:trPr>
          <w:trHeight w:val="40"/>
        </w:trPr>
        <w:tc>
          <w:tcPr>
            <w:tcW w:w="110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11060" w:type="dxa"/>
            <w:vAlign w:val="bottom"/>
          </w:tcPr>
          <w:p>
            <w:pPr>
              <w:ind w:left="20"/>
              <w:spacing w:after="0" w:line="185" w:lineRule="exact"/>
              <w:rPr>
                <w:sz w:val="20"/>
                <w:szCs w:val="20"/>
                <w:color w:val="auto"/>
              </w:rPr>
            </w:pPr>
            <w:r>
              <w:rPr>
                <w:rFonts w:ascii="Arial" w:cs="Arial" w:eastAsia="Arial" w:hAnsi="Arial"/>
                <w:sz w:val="18"/>
                <w:szCs w:val="18"/>
                <w:color w:val="auto"/>
              </w:rPr>
              <w:t>Condensed Consolidated Statements of Cash Flows for the nine months ended September 30, 2022 and 2021 (Unaudited)</w:t>
            </w: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0000FF"/>
                <w:w w:val="78"/>
              </w:rPr>
              <w:t>10</w:t>
            </w:r>
          </w:p>
        </w:tc>
      </w:tr>
      <w:tr>
        <w:trPr>
          <w:trHeight w:val="30"/>
        </w:trPr>
        <w:tc>
          <w:tcPr>
            <w:tcW w:w="110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1060" w:type="dxa"/>
            <w:vAlign w:val="bottom"/>
            <w:tcBorders>
              <w:right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Notes to Condensed Consolidated Financial Statements (Unaudited)</w:t>
            </w: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0000FF"/>
                <w:w w:val="78"/>
              </w:rPr>
              <w:t>11</w:t>
            </w:r>
          </w:p>
        </w:tc>
      </w:tr>
      <w:tr>
        <w:trPr>
          <w:trHeight w:val="40"/>
        </w:trPr>
        <w:tc>
          <w:tcPr>
            <w:tcW w:w="110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(UNAUDITED)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5"/>
                <w:szCs w:val="15"/>
                <w:color w:val="auto"/>
              </w:rPr>
            </w:pPr>
          </w:p>
        </w:tc>
        <w:tc>
          <w:tcPr>
            <w:tcW w:w="1520" w:type="dxa"/>
            <w:vAlign w:val="bottom"/>
          </w:tcPr>
          <w:p>
            <w:pPr>
              <w:jc w:val="right"/>
              <w:ind w:right="213"/>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4"/>
        </w:trPr>
        <w:tc>
          <w:tcPr>
            <w:tcW w:w="768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8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153"/>
        </w:trPr>
        <w:tc>
          <w:tcPr>
            <w:tcW w:w="7680" w:type="dxa"/>
            <w:vAlign w:val="bottom"/>
            <w:shd w:val="clear" w:color="auto" w:fill="CCEEFF"/>
          </w:tcPr>
          <w:p>
            <w:pPr>
              <w:ind w:left="220"/>
              <w:spacing w:after="0" w:line="153" w:lineRule="exact"/>
              <w:rPr>
                <w:sz w:val="20"/>
                <w:szCs w:val="20"/>
                <w:color w:val="auto"/>
              </w:rPr>
            </w:pPr>
            <w:r>
              <w:rPr>
                <w:rFonts w:ascii="Arial" w:cs="Arial" w:eastAsia="Arial" w:hAnsi="Arial"/>
                <w:sz w:val="16"/>
                <w:szCs w:val="16"/>
                <w:color w:val="auto"/>
              </w:rPr>
              <w:t>Fixed maturities, available-for-sale, at fair value (amortized cost of $2,248,737 and $2,078,773 as of</w:t>
            </w:r>
          </w:p>
        </w:tc>
        <w:tc>
          <w:tcPr>
            <w:tcW w:w="2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2022 and December 31, 2021, respectively)</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1,973,931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2,085,931</w:t>
            </w:r>
          </w:p>
        </w:tc>
        <w:tc>
          <w:tcPr>
            <w:tcW w:w="0" w:type="dxa"/>
            <w:vAlign w:val="bottom"/>
          </w:tcPr>
          <w:p>
            <w:pPr>
              <w:spacing w:after="0"/>
              <w:rPr>
                <w:sz w:val="1"/>
                <w:szCs w:val="1"/>
                <w:color w:val="auto"/>
              </w:rPr>
            </w:pPr>
          </w:p>
        </w:tc>
      </w:tr>
      <w:tr>
        <w:trPr>
          <w:trHeight w:val="172"/>
        </w:trPr>
        <w:tc>
          <w:tcPr>
            <w:tcW w:w="7680" w:type="dxa"/>
            <w:vAlign w:val="bottom"/>
          </w:tcPr>
          <w:p>
            <w:pPr>
              <w:ind w:left="220"/>
              <w:spacing w:after="0" w:line="172" w:lineRule="exact"/>
              <w:rPr>
                <w:sz w:val="20"/>
                <w:szCs w:val="20"/>
                <w:color w:val="auto"/>
              </w:rPr>
            </w:pPr>
            <w:r>
              <w:rPr>
                <w:rFonts w:ascii="Arial" w:cs="Arial" w:eastAsia="Arial" w:hAnsi="Arial"/>
                <w:sz w:val="18"/>
                <w:szCs w:val="18"/>
                <w:color w:val="auto"/>
                <w:w w:val="88"/>
              </w:rPr>
              <w:t>Cash and cash equivalents (including restricted cash of $2,159 and $3,165 as of September 30, 2022 and</w:t>
            </w: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680" w:type="dxa"/>
            <w:vAlign w:val="bottom"/>
          </w:tcPr>
          <w:p>
            <w:pPr>
              <w:ind w:left="220"/>
              <w:spacing w:after="0"/>
              <w:rPr>
                <w:sz w:val="20"/>
                <w:szCs w:val="20"/>
                <w:color w:val="auto"/>
              </w:rPr>
            </w:pPr>
            <w:r>
              <w:rPr>
                <w:rFonts w:ascii="Arial" w:cs="Arial" w:eastAsia="Arial" w:hAnsi="Arial"/>
                <w:sz w:val="18"/>
                <w:szCs w:val="18"/>
                <w:color w:val="auto"/>
              </w:rPr>
              <w:t>December 31, 2021, respectively)</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125,812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76,646</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60,358</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Accrued investment income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13,342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11,900</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Deferred policy acquisition costs,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59,483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59,584</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Software and equipment,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32,047</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Intangible assets and goodwill</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reinsurance premiums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Reinsurance recoverable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19,755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20,320</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94,238</w:t>
            </w:r>
          </w:p>
        </w:tc>
        <w:tc>
          <w:tcPr>
            <w:tcW w:w="0" w:type="dxa"/>
            <w:vAlign w:val="bottom"/>
          </w:tcPr>
          <w:p>
            <w:pPr>
              <w:spacing w:after="0"/>
              <w:rPr>
                <w:sz w:val="1"/>
                <w:szCs w:val="1"/>
                <w:color w:val="auto"/>
              </w:rPr>
            </w:pPr>
          </w:p>
        </w:tc>
      </w:tr>
      <w:tr>
        <w:trPr>
          <w:trHeight w:val="218"/>
        </w:trPr>
        <w:tc>
          <w:tcPr>
            <w:tcW w:w="7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2,403,843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2,450,581</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394,623</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Unearned premiums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130,652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139,237</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Reserve for insurance claims and claim expenses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94,944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103,551</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Reinsurance funds withheld</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Warrant liability, at fair value</w:t>
            </w:r>
          </w:p>
        </w:tc>
        <w:tc>
          <w:tcPr>
            <w:tcW w:w="2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liability,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164,175</w:t>
            </w:r>
          </w:p>
        </w:tc>
        <w:tc>
          <w:tcPr>
            <w:tcW w:w="0" w:type="dxa"/>
            <w:vAlign w:val="bottom"/>
          </w:tcPr>
          <w:p>
            <w:pPr>
              <w:spacing w:after="0"/>
              <w:rPr>
                <w:sz w:val="1"/>
                <w:szCs w:val="1"/>
                <w:color w:val="auto"/>
              </w:rPr>
            </w:pPr>
          </w:p>
        </w:tc>
      </w:tr>
      <w:tr>
        <w:trPr>
          <w:trHeight w:val="224"/>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18"/>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877,977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884,795</w:t>
            </w:r>
          </w:p>
        </w:tc>
        <w:tc>
          <w:tcPr>
            <w:tcW w:w="0" w:type="dxa"/>
            <w:vAlign w:val="bottom"/>
          </w:tcPr>
          <w:p>
            <w:pPr>
              <w:spacing w:after="0"/>
              <w:rPr>
                <w:sz w:val="1"/>
                <w:szCs w:val="1"/>
                <w:color w:val="auto"/>
              </w:rPr>
            </w:pPr>
          </w:p>
        </w:tc>
      </w:tr>
      <w:tr>
        <w:trPr>
          <w:trHeight w:val="204"/>
        </w:trPr>
        <w:tc>
          <w:tcPr>
            <w:tcW w:w="7680" w:type="dxa"/>
            <w:vAlign w:val="bottom"/>
          </w:tcPr>
          <w:p>
            <w:pPr>
              <w:ind w:left="20"/>
              <w:spacing w:after="0" w:line="203" w:lineRule="exact"/>
              <w:rPr>
                <w:sz w:val="20"/>
                <w:szCs w:val="20"/>
                <w:color w:val="auto"/>
              </w:rPr>
            </w:pPr>
            <w:r>
              <w:rPr>
                <w:rFonts w:ascii="Arial" w:cs="Arial" w:eastAsia="Arial" w:hAnsi="Arial"/>
                <w:sz w:val="18"/>
                <w:szCs w:val="18"/>
                <w:color w:val="auto"/>
              </w:rPr>
              <w:t>Commitments and contingencies (see Note 11)</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7680" w:type="dxa"/>
            <w:vAlign w:val="bottom"/>
            <w:shd w:val="clear" w:color="auto" w:fill="CCEEFF"/>
          </w:tcPr>
          <w:p>
            <w:pPr>
              <w:ind w:left="220"/>
              <w:spacing w:after="0" w:line="173" w:lineRule="exact"/>
              <w:rPr>
                <w:sz w:val="20"/>
                <w:szCs w:val="20"/>
                <w:color w:val="auto"/>
              </w:rPr>
            </w:pPr>
            <w:r>
              <w:rPr>
                <w:rFonts w:ascii="Arial" w:cs="Arial" w:eastAsia="Arial" w:hAnsi="Arial"/>
                <w:sz w:val="18"/>
                <w:szCs w:val="18"/>
                <w:color w:val="auto"/>
                <w:w w:val="93"/>
              </w:rPr>
              <w:t>Common stock - class A shares, $0.01 par value; 86,463,874 shares issued and 83,796,313 shares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680" w:type="dxa"/>
            <w:vAlign w:val="bottom"/>
            <w:shd w:val="clear" w:color="auto" w:fill="CCEEFF"/>
          </w:tcPr>
          <w:p>
            <w:pPr>
              <w:ind w:left="220"/>
              <w:spacing w:after="0" w:line="185" w:lineRule="exact"/>
              <w:rPr>
                <w:sz w:val="20"/>
                <w:szCs w:val="20"/>
                <w:color w:val="auto"/>
              </w:rPr>
            </w:pPr>
            <w:r>
              <w:rPr>
                <w:rFonts w:ascii="Arial" w:cs="Arial" w:eastAsia="Arial" w:hAnsi="Arial"/>
                <w:sz w:val="18"/>
                <w:szCs w:val="18"/>
                <w:color w:val="auto"/>
                <w:w w:val="87"/>
              </w:rPr>
              <w:t>outstanding as of September 30, 2022 and 85,792,849 shares issued and outstanding as of December 31,</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 (250,000,000 shares authorized)</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969,359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955,302</w:t>
            </w:r>
          </w:p>
        </w:tc>
        <w:tc>
          <w:tcPr>
            <w:tcW w:w="0" w:type="dxa"/>
            <w:vAlign w:val="bottom"/>
          </w:tcPr>
          <w:p>
            <w:pPr>
              <w:spacing w:after="0"/>
              <w:rPr>
                <w:sz w:val="1"/>
                <w:szCs w:val="1"/>
                <w:color w:val="auto"/>
              </w:rPr>
            </w:pPr>
          </w:p>
        </w:tc>
      </w:tr>
      <w:tr>
        <w:trPr>
          <w:trHeight w:val="173"/>
        </w:trPr>
        <w:tc>
          <w:tcPr>
            <w:tcW w:w="7680" w:type="dxa"/>
            <w:vAlign w:val="bottom"/>
            <w:shd w:val="clear" w:color="auto" w:fill="CCEEFF"/>
          </w:tcPr>
          <w:p>
            <w:pPr>
              <w:ind w:left="220"/>
              <w:spacing w:after="0" w:line="173" w:lineRule="exact"/>
              <w:rPr>
                <w:sz w:val="20"/>
                <w:szCs w:val="20"/>
                <w:color w:val="auto"/>
              </w:rPr>
            </w:pPr>
            <w:r>
              <w:rPr>
                <w:rFonts w:ascii="Arial" w:cs="Arial" w:eastAsia="Arial" w:hAnsi="Arial"/>
                <w:sz w:val="18"/>
                <w:szCs w:val="18"/>
                <w:color w:val="auto"/>
                <w:w w:val="90"/>
              </w:rPr>
              <w:t>Treasury Stock, at cost: 2,667,561 and 0 common shares as of September 30, 2022 and December 31,</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 respectively</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Accumulated other comprehensive (loss) income, net of tax</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(221,266)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828,103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608,141</w:t>
            </w:r>
          </w:p>
        </w:tc>
        <w:tc>
          <w:tcPr>
            <w:tcW w:w="0" w:type="dxa"/>
            <w:vAlign w:val="bottom"/>
          </w:tcPr>
          <w:p>
            <w:pPr>
              <w:spacing w:after="0"/>
              <w:rPr>
                <w:sz w:val="1"/>
                <w:szCs w:val="1"/>
                <w:color w:val="auto"/>
              </w:rPr>
            </w:pPr>
          </w:p>
        </w:tc>
      </w:tr>
      <w:tr>
        <w:trPr>
          <w:trHeight w:val="217"/>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1,525,866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1,565,786</w:t>
            </w: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2,403,843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2,450,581</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ONDENSED CONSOLIDATED STATEMENTS OF OPERATIONS AND COMPREHENSIVE INCOME (LOSS) (UNAUDITED)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For the three months ended</w:t>
            </w:r>
          </w:p>
        </w:tc>
        <w:tc>
          <w:tcPr>
            <w:tcW w:w="2380" w:type="dxa"/>
            <w:vAlign w:val="bottom"/>
            <w:gridSpan w:val="5"/>
          </w:tcPr>
          <w:p>
            <w:pPr>
              <w:jc w:val="right"/>
              <w:spacing w:after="0"/>
              <w:rPr>
                <w:sz w:val="20"/>
                <w:szCs w:val="20"/>
                <w:color w:val="auto"/>
              </w:rPr>
            </w:pPr>
            <w:r>
              <w:rPr>
                <w:rFonts w:ascii="Arial" w:cs="Arial" w:eastAsia="Arial" w:hAnsi="Arial"/>
                <w:sz w:val="14"/>
                <w:szCs w:val="14"/>
                <w:b w:val="1"/>
                <w:bCs w:val="1"/>
                <w:color w:val="auto"/>
                <w:w w:val="90"/>
              </w:rPr>
              <w:t>For the nine months ended September</w:t>
            </w:r>
          </w:p>
        </w:tc>
      </w:tr>
      <w:tr>
        <w:trPr>
          <w:trHeight w:val="189"/>
        </w:trPr>
        <w:tc>
          <w:tcPr>
            <w:tcW w:w="6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4"/>
                <w:szCs w:val="14"/>
                <w:b w:val="1"/>
                <w:bCs w:val="1"/>
                <w:color w:val="auto"/>
                <w:w w:val="89"/>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30,</w:t>
            </w:r>
          </w:p>
        </w:tc>
        <w:tc>
          <w:tcPr>
            <w:tcW w:w="860" w:type="dxa"/>
            <w:vAlign w:val="bottom"/>
            <w:tcBorders>
              <w:bottom w:val="single" w:sz="8" w:color="auto"/>
            </w:tcBorders>
          </w:tcPr>
          <w:p>
            <w:pPr>
              <w:spacing w:after="0"/>
              <w:rPr>
                <w:sz w:val="16"/>
                <w:szCs w:val="16"/>
                <w:color w:val="auto"/>
              </w:rPr>
            </w:pPr>
          </w:p>
        </w:tc>
      </w:tr>
      <w:tr>
        <w:trPr>
          <w:trHeight w:val="190"/>
        </w:trPr>
        <w:tc>
          <w:tcPr>
            <w:tcW w:w="6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r>
      <w:tr>
        <w:trPr>
          <w:trHeight w:val="211"/>
        </w:trPr>
        <w:tc>
          <w:tcPr>
            <w:tcW w:w="638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ind w:left="20"/>
              <w:spacing w:after="0"/>
              <w:rPr>
                <w:sz w:val="20"/>
                <w:szCs w:val="20"/>
                <w:color w:val="auto"/>
              </w:rPr>
            </w:pPr>
            <w:r>
              <w:rPr>
                <w:rFonts w:ascii="Arial" w:cs="Arial" w:eastAsia="Arial" w:hAnsi="Arial"/>
                <w:sz w:val="14"/>
                <w:szCs w:val="14"/>
                <w:i w:val="1"/>
                <w:iCs w:val="1"/>
                <w:color w:val="auto"/>
                <w:w w:val="94"/>
              </w:rPr>
              <w:t>(In Thousands, except for per share data)</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5"/>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113,594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330,361</w:t>
            </w:r>
          </w:p>
        </w:tc>
      </w:tr>
      <w:tr>
        <w:trPr>
          <w:trHeight w:val="224"/>
        </w:trPr>
        <w:tc>
          <w:tcPr>
            <w:tcW w:w="6380" w:type="dxa"/>
            <w:vAlign w:val="bottom"/>
          </w:tcPr>
          <w:p>
            <w:pPr>
              <w:ind w:left="220"/>
              <w:spacing w:after="0"/>
              <w:rPr>
                <w:sz w:val="20"/>
                <w:szCs w:val="20"/>
                <w:color w:val="auto"/>
              </w:rPr>
            </w:pPr>
            <w:r>
              <w:rPr>
                <w:rFonts w:ascii="Arial" w:cs="Arial" w:eastAsia="Arial" w:hAnsi="Arial"/>
                <w:sz w:val="18"/>
                <w:szCs w:val="18"/>
                <w:color w:val="auto"/>
              </w:rPr>
              <w:t>Net investment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28,027</w:t>
            </w:r>
          </w:p>
        </w:tc>
      </w:tr>
      <w:tr>
        <w:trPr>
          <w:trHeight w:val="225"/>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realized investment gains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4"/>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r>
      <w:tr>
        <w:trPr>
          <w:trHeight w:val="218"/>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130,577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124,041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390,238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360,000</w:t>
            </w:r>
          </w:p>
        </w:tc>
      </w:tr>
      <w:tr>
        <w:trPr>
          <w:trHeight w:val="204"/>
        </w:trPr>
        <w:tc>
          <w:tcPr>
            <w:tcW w:w="6380" w:type="dxa"/>
            <w:vAlign w:val="bottom"/>
          </w:tcPr>
          <w:p>
            <w:pPr>
              <w:ind w:left="20"/>
              <w:spacing w:after="0" w:line="203" w:lineRule="exact"/>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5"/>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Insurance claims and claim (benefits) expenses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12,806</w:t>
            </w:r>
          </w:p>
        </w:tc>
      </w:tr>
      <w:tr>
        <w:trPr>
          <w:trHeight w:val="224"/>
        </w:trPr>
        <w:tc>
          <w:tcPr>
            <w:tcW w:w="6380" w:type="dxa"/>
            <w:vAlign w:val="bottom"/>
          </w:tcPr>
          <w:p>
            <w:pPr>
              <w:ind w:left="220"/>
              <w:spacing w:after="0"/>
              <w:rPr>
                <w:sz w:val="20"/>
                <w:szCs w:val="20"/>
                <w:color w:val="auto"/>
              </w:rPr>
            </w:pPr>
            <w:r>
              <w:rPr>
                <w:rFonts w:ascii="Arial" w:cs="Arial" w:eastAsia="Arial" w:hAnsi="Arial"/>
                <w:sz w:val="18"/>
                <w:szCs w:val="18"/>
                <w:color w:val="auto"/>
              </w:rPr>
              <w:t>Underwriting and operating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90,779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103,460</w:t>
            </w:r>
          </w:p>
        </w:tc>
      </w:tr>
      <w:tr>
        <w:trPr>
          <w:trHeight w:val="225"/>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expenses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r>
      <w:tr>
        <w:trPr>
          <w:trHeight w:val="224"/>
        </w:trPr>
        <w:tc>
          <w:tcPr>
            <w:tcW w:w="63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23,767</w:t>
            </w:r>
          </w:p>
        </w:tc>
      </w:tr>
      <w:tr>
        <w:trPr>
          <w:trHeight w:val="225"/>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from change in fair value of warrant liability</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17"/>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31,988</w:t>
            </w: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107,713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141,438</w:t>
            </w:r>
          </w:p>
        </w:tc>
      </w:tr>
      <w:tr>
        <w:trPr>
          <w:trHeight w:val="244"/>
        </w:trPr>
        <w:tc>
          <w:tcPr>
            <w:tcW w:w="6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24"/>
        </w:trPr>
        <w:tc>
          <w:tcPr>
            <w:tcW w:w="63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98,589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77,451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282,525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218,562</w:t>
            </w:r>
          </w:p>
        </w:tc>
      </w:tr>
      <w:tr>
        <w:trPr>
          <w:trHeight w:val="224"/>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47,956</w:t>
            </w:r>
          </w:p>
        </w:tc>
      </w:tr>
      <w:tr>
        <w:trPr>
          <w:trHeight w:val="218"/>
        </w:trPr>
        <w:tc>
          <w:tcPr>
            <w:tcW w:w="6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76,838</w:t>
            </w:r>
          </w:p>
        </w:tc>
        <w:tc>
          <w:tcPr>
            <w:tcW w:w="10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60,193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219,962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170,606</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0"/>
        </w:trPr>
        <w:tc>
          <w:tcPr>
            <w:tcW w:w="6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4"/>
        </w:trPr>
        <w:tc>
          <w:tcPr>
            <w:tcW w:w="63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24"/>
        </w:trPr>
        <w:tc>
          <w:tcPr>
            <w:tcW w:w="63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64"/>
        </w:trPr>
        <w:tc>
          <w:tcPr>
            <w:tcW w:w="63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24"/>
        </w:trPr>
        <w:tc>
          <w:tcPr>
            <w:tcW w:w="63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85,563</w:t>
            </w:r>
          </w:p>
        </w:tc>
      </w:tr>
      <w:tr>
        <w:trPr>
          <w:trHeight w:val="224"/>
        </w:trPr>
        <w:tc>
          <w:tcPr>
            <w:tcW w:w="63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85,485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86,880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86,420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86,794</w:t>
            </w:r>
          </w:p>
        </w:tc>
      </w:tr>
      <w:tr>
        <w:trPr>
          <w:trHeight w:val="264"/>
        </w:trPr>
        <w:tc>
          <w:tcPr>
            <w:tcW w:w="63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24"/>
        </w:trPr>
        <w:tc>
          <w:tcPr>
            <w:tcW w:w="6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76,838</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60,193</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219,962</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170,606</w:t>
            </w:r>
          </w:p>
        </w:tc>
      </w:tr>
      <w:tr>
        <w:trPr>
          <w:trHeight w:val="225"/>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72"/>
        </w:trPr>
        <w:tc>
          <w:tcPr>
            <w:tcW w:w="6380" w:type="dxa"/>
            <w:vAlign w:val="bottom"/>
          </w:tcPr>
          <w:p>
            <w:pPr>
              <w:ind w:left="20"/>
              <w:spacing w:after="0" w:line="172" w:lineRule="exact"/>
              <w:rPr>
                <w:sz w:val="20"/>
                <w:szCs w:val="20"/>
                <w:color w:val="auto"/>
              </w:rPr>
            </w:pPr>
            <w:r>
              <w:rPr>
                <w:rFonts w:ascii="Arial" w:cs="Arial" w:eastAsia="Arial" w:hAnsi="Arial"/>
                <w:sz w:val="18"/>
                <w:szCs w:val="18"/>
                <w:color w:val="auto"/>
                <w:w w:val="88"/>
              </w:rPr>
              <w:t>Unrealized losses in accumulated other comprehensive income (loss), net of tax benefit of</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5"/>
        </w:trPr>
        <w:tc>
          <w:tcPr>
            <w:tcW w:w="6380" w:type="dxa"/>
            <w:vAlign w:val="bottom"/>
          </w:tcPr>
          <w:p>
            <w:pPr>
              <w:ind w:left="20"/>
              <w:spacing w:after="0" w:line="185" w:lineRule="exact"/>
              <w:rPr>
                <w:sz w:val="20"/>
                <w:szCs w:val="20"/>
                <w:color w:val="auto"/>
              </w:rPr>
            </w:pPr>
            <w:r>
              <w:rPr>
                <w:rFonts w:ascii="Arial" w:cs="Arial" w:eastAsia="Arial" w:hAnsi="Arial"/>
                <w:sz w:val="18"/>
                <w:szCs w:val="18"/>
                <w:color w:val="auto"/>
                <w:w w:val="94"/>
              </w:rPr>
              <w:t>$15,932 and $2,165 for the three months ended September 30, 2022 and 2021, and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w w:val="88"/>
              </w:rPr>
              <w:t>$59,112 and $9,168 for the nine month ended September 30, 2022 and 2021, respectively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(59,936)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(222,374)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(34,487)</w:t>
            </w:r>
          </w:p>
        </w:tc>
      </w:tr>
      <w:tr>
        <w:trPr>
          <w:trHeight w:val="173"/>
        </w:trPr>
        <w:tc>
          <w:tcPr>
            <w:tcW w:w="63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0"/>
              </w:rPr>
              <w:t>Reclassification adjustment for realized gains included in net income, net of tax expense</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5"/>
        </w:trPr>
        <w:tc>
          <w:tcPr>
            <w:tcW w:w="638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w w:val="88"/>
              </w:rPr>
              <w:t>of $3 and $1 for the three months ended September 30, 2022 and 2021, and $100 and $3</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nine months ended September 30, 2022 and 2021, respectively</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7"/>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(59,946)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(34,499)</w:t>
            </w:r>
          </w:p>
        </w:tc>
      </w:tr>
      <w:tr>
        <w:trPr>
          <w:trHeight w:val="243"/>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136,107</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980" w:type="dxa"/>
            <w:vAlign w:val="bottom"/>
            <w:gridSpan w:val="3"/>
            <w:vMerge w:val="restart"/>
          </w:tcPr>
          <w:p>
            <w:pPr>
              <w:jc w:val="right"/>
              <w:ind w:right="153"/>
              <w:spacing w:after="0"/>
              <w:rPr>
                <w:sz w:val="20"/>
                <w:szCs w:val="20"/>
                <w:color w:val="auto"/>
              </w:rPr>
            </w:pPr>
            <w:r>
              <w:rPr>
                <w:rFonts w:ascii="Arial" w:cs="Arial" w:eastAsia="Arial" w:hAnsi="Arial"/>
                <w:sz w:val="14"/>
                <w:szCs w:val="14"/>
                <w:b w:val="1"/>
                <w:bCs w:val="1"/>
                <w:color w:val="auto"/>
              </w:rPr>
              <w:t>Common Stock - Class A</w:t>
            </w:r>
          </w:p>
        </w:tc>
        <w:tc>
          <w:tcPr>
            <w:tcW w:w="120" w:type="dxa"/>
            <w:vAlign w:val="bottom"/>
          </w:tcPr>
          <w:p>
            <w:pPr>
              <w:spacing w:after="0"/>
              <w:rPr>
                <w:sz w:val="14"/>
                <w:szCs w:val="14"/>
                <w:color w:val="auto"/>
              </w:rPr>
            </w:pPr>
          </w:p>
        </w:tc>
        <w:tc>
          <w:tcPr>
            <w:tcW w:w="820" w:type="dxa"/>
            <w:vAlign w:val="bottom"/>
          </w:tcPr>
          <w:p>
            <w:pPr>
              <w:jc w:val="right"/>
              <w:ind w:right="74"/>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Accumulated Other</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4080" w:type="dxa"/>
            <w:vAlign w:val="bottom"/>
          </w:tcPr>
          <w:p>
            <w:pPr>
              <w:spacing w:after="0"/>
              <w:rPr>
                <w:sz w:val="9"/>
                <w:szCs w:val="9"/>
                <w:color w:val="auto"/>
              </w:rPr>
            </w:pPr>
          </w:p>
        </w:tc>
        <w:tc>
          <w:tcPr>
            <w:tcW w:w="19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restart"/>
          </w:tcPr>
          <w:p>
            <w:pPr>
              <w:jc w:val="right"/>
              <w:ind w:right="154"/>
              <w:spacing w:after="0" w:line="121"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9"/>
                <w:szCs w:val="9"/>
                <w:color w:val="auto"/>
              </w:rPr>
            </w:pPr>
          </w:p>
        </w:tc>
        <w:tc>
          <w:tcPr>
            <w:tcW w:w="760" w:type="dxa"/>
            <w:vAlign w:val="bottom"/>
            <w:vMerge w:val="restart"/>
          </w:tcPr>
          <w:p>
            <w:pPr>
              <w:ind w:left="40"/>
              <w:spacing w:after="0" w:line="121" w:lineRule="exact"/>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9"/>
                <w:szCs w:val="9"/>
                <w:color w:val="auto"/>
              </w:rPr>
            </w:pPr>
          </w:p>
        </w:tc>
        <w:tc>
          <w:tcPr>
            <w:tcW w:w="1100" w:type="dxa"/>
            <w:vAlign w:val="bottom"/>
            <w:vMerge w:val="restart"/>
          </w:tcPr>
          <w:p>
            <w:pPr>
              <w:jc w:val="right"/>
              <w:ind w:right="54"/>
              <w:spacing w:after="0" w:line="121"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9"/>
                <w:szCs w:val="9"/>
                <w:color w:val="auto"/>
              </w:rPr>
            </w:pPr>
          </w:p>
        </w:tc>
        <w:tc>
          <w:tcPr>
            <w:tcW w:w="800" w:type="dxa"/>
            <w:vAlign w:val="bottom"/>
            <w:vMerge w:val="restart"/>
          </w:tcPr>
          <w:p>
            <w:pPr>
              <w:jc w:val="right"/>
              <w:ind w:right="114"/>
              <w:spacing w:after="0" w:line="121" w:lineRule="exact"/>
              <w:rPr>
                <w:sz w:val="20"/>
                <w:szCs w:val="20"/>
                <w:color w:val="auto"/>
              </w:rPr>
            </w:pPr>
            <w:r>
              <w:rPr>
                <w:rFonts w:ascii="Arial" w:cs="Arial" w:eastAsia="Arial" w:hAnsi="Arial"/>
                <w:sz w:val="14"/>
                <w:szCs w:val="14"/>
                <w:b w:val="1"/>
                <w:bCs w:val="1"/>
                <w:color w:val="auto"/>
                <w:w w:val="98"/>
              </w:rPr>
              <w:t>Retained</w:t>
            </w: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10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Capital</w:t>
            </w: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9"/>
              </w:rPr>
              <w:t>Stock, At Cost</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Income (Loss)</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Earnings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3"/>
          </w:tcPr>
          <w:p>
            <w:pPr>
              <w:jc w:val="right"/>
              <w:ind w:right="974"/>
              <w:spacing w:after="0"/>
              <w:rPr>
                <w:sz w:val="20"/>
                <w:szCs w:val="20"/>
                <w:color w:val="auto"/>
              </w:rPr>
            </w:pPr>
            <w:r>
              <w:rPr>
                <w:rFonts w:ascii="Arial" w:cs="Arial" w:eastAsia="Arial" w:hAnsi="Arial"/>
                <w:sz w:val="14"/>
                <w:szCs w:val="14"/>
                <w:i w:val="1"/>
                <w:iCs w:val="1"/>
                <w:color w:val="auto"/>
                <w:w w:val="95"/>
              </w:rPr>
              <w:t>(In Thousands)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December 31, 2021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955,302</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608,141</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1,565,786</w:t>
            </w:r>
          </w:p>
        </w:tc>
        <w:tc>
          <w:tcPr>
            <w:tcW w:w="0" w:type="dxa"/>
            <w:vAlign w:val="bottom"/>
          </w:tcPr>
          <w:p>
            <w:pPr>
              <w:spacing w:after="0"/>
              <w:rPr>
                <w:sz w:val="1"/>
                <w:szCs w:val="1"/>
                <w:color w:val="auto"/>
              </w:rPr>
            </w:pPr>
          </w:p>
        </w:tc>
      </w:tr>
      <w:tr>
        <w:trPr>
          <w:trHeight w:val="172"/>
        </w:trPr>
        <w:tc>
          <w:tcPr>
            <w:tcW w:w="4080" w:type="dxa"/>
            <w:vAlign w:val="bottom"/>
          </w:tcPr>
          <w:p>
            <w:pPr>
              <w:ind w:left="20"/>
              <w:spacing w:after="0" w:line="172" w:lineRule="exact"/>
              <w:rPr>
                <w:sz w:val="20"/>
                <w:szCs w:val="20"/>
                <w:color w:val="auto"/>
              </w:rPr>
            </w:pPr>
            <w:r>
              <w:rPr>
                <w:rFonts w:ascii="Arial" w:cs="Arial" w:eastAsia="Arial" w:hAnsi="Arial"/>
                <w:sz w:val="18"/>
                <w:szCs w:val="18"/>
                <w:color w:val="auto"/>
                <w:w w:val="89"/>
              </w:rPr>
              <w:t>Common stock: class A shares issued related to warrant</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080" w:type="dxa"/>
            <w:vAlign w:val="bottom"/>
          </w:tcPr>
          <w:p>
            <w:pPr>
              <w:ind w:left="20"/>
              <w:spacing w:after="0"/>
              <w:rPr>
                <w:sz w:val="20"/>
                <w:szCs w:val="20"/>
                <w:color w:val="auto"/>
              </w:rPr>
            </w:pPr>
            <w:r>
              <w:rPr>
                <w:rFonts w:ascii="Arial" w:cs="Arial" w:eastAsia="Arial" w:hAnsi="Arial"/>
                <w:sz w:val="18"/>
                <w:szCs w:val="18"/>
                <w:color w:val="auto"/>
              </w:rPr>
              <w:t>exercises</w:t>
            </w: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1,143</w:t>
            </w:r>
          </w:p>
        </w:tc>
        <w:tc>
          <w:tcPr>
            <w:tcW w:w="160" w:type="dxa"/>
            <w:vAlign w:val="bottom"/>
          </w:tcPr>
          <w:p>
            <w:pPr>
              <w:spacing w:after="0"/>
              <w:rPr>
                <w:sz w:val="20"/>
                <w:szCs w:val="20"/>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173"/>
        </w:trPr>
        <w:tc>
          <w:tcPr>
            <w:tcW w:w="40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88"/>
              </w:rPr>
              <w:t>Common stock: class A shares issued under stock plans,</w:t>
            </w: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shares withheld for employee taxes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172"/>
        </w:trPr>
        <w:tc>
          <w:tcPr>
            <w:tcW w:w="4080" w:type="dxa"/>
            <w:vAlign w:val="bottom"/>
          </w:tcPr>
          <w:p>
            <w:pPr>
              <w:ind w:left="20"/>
              <w:spacing w:after="0" w:line="172" w:lineRule="exact"/>
              <w:rPr>
                <w:sz w:val="20"/>
                <w:szCs w:val="20"/>
                <w:color w:val="auto"/>
              </w:rPr>
            </w:pPr>
            <w:r>
              <w:rPr>
                <w:rFonts w:ascii="Arial" w:cs="Arial" w:eastAsia="Arial" w:hAnsi="Arial"/>
                <w:sz w:val="18"/>
                <w:szCs w:val="18"/>
                <w:color w:val="auto"/>
                <w:w w:val="89"/>
              </w:rPr>
              <w:t>Change in unrealized investment gains/losses, net of tax</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080" w:type="dxa"/>
            <w:vAlign w:val="bottom"/>
          </w:tcPr>
          <w:p>
            <w:pPr>
              <w:ind w:left="20"/>
              <w:spacing w:after="0"/>
              <w:rPr>
                <w:sz w:val="20"/>
                <w:szCs w:val="20"/>
                <w:color w:val="auto"/>
              </w:rPr>
            </w:pPr>
            <w:r>
              <w:rPr>
                <w:rFonts w:ascii="Arial" w:cs="Arial" w:eastAsia="Arial" w:hAnsi="Arial"/>
                <w:sz w:val="18"/>
                <w:szCs w:val="18"/>
                <w:color w:val="auto"/>
              </w:rPr>
              <w:t>benefit of $26,262</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(98,794)</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(98,794)</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67,680</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67,680</w:t>
            </w:r>
          </w:p>
        </w:tc>
        <w:tc>
          <w:tcPr>
            <w:tcW w:w="0" w:type="dxa"/>
            <w:vAlign w:val="bottom"/>
          </w:tcPr>
          <w:p>
            <w:pPr>
              <w:spacing w:after="0"/>
              <w:rPr>
                <w:sz w:val="1"/>
                <w:szCs w:val="1"/>
                <w:color w:val="auto"/>
              </w:rPr>
            </w:pPr>
          </w:p>
        </w:tc>
      </w:tr>
      <w:tr>
        <w:trPr>
          <w:trHeight w:val="218"/>
        </w:trPr>
        <w:tc>
          <w:tcPr>
            <w:tcW w:w="4080" w:type="dxa"/>
            <w:vAlign w:val="bottom"/>
          </w:tcPr>
          <w:p>
            <w:pPr>
              <w:ind w:left="20"/>
              <w:spacing w:after="0"/>
              <w:rPr>
                <w:sz w:val="20"/>
                <w:szCs w:val="20"/>
                <w:color w:val="auto"/>
              </w:rPr>
            </w:pPr>
            <w:r>
              <w:rPr>
                <w:rFonts w:ascii="Arial" w:cs="Arial" w:eastAsia="Arial" w:hAnsi="Arial"/>
                <w:sz w:val="18"/>
                <w:szCs w:val="18"/>
                <w:color w:val="auto"/>
              </w:rPr>
              <w:t>Balances, March 31, 2022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960,667</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675,821</w:t>
            </w: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1,535,042</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80" w:type="dxa"/>
            <w:vAlign w:val="bottom"/>
            <w:shd w:val="clear" w:color="auto" w:fill="CCEEFF"/>
          </w:tcPr>
          <w:p>
            <w:pPr>
              <w:ind w:left="20"/>
              <w:spacing w:after="0" w:line="138" w:lineRule="exact"/>
              <w:rPr>
                <w:sz w:val="20"/>
                <w:szCs w:val="20"/>
                <w:color w:val="auto"/>
              </w:rPr>
            </w:pPr>
            <w:r>
              <w:rPr>
                <w:rFonts w:ascii="Arial" w:cs="Arial" w:eastAsia="Arial" w:hAnsi="Arial"/>
                <w:sz w:val="16"/>
                <w:szCs w:val="16"/>
                <w:color w:val="auto"/>
              </w:rPr>
              <w:t>Common stock: class A shares issued related to warrant</w:t>
            </w: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172"/>
        </w:trPr>
        <w:tc>
          <w:tcPr>
            <w:tcW w:w="4080" w:type="dxa"/>
            <w:vAlign w:val="bottom"/>
          </w:tcPr>
          <w:p>
            <w:pPr>
              <w:ind w:left="20"/>
              <w:spacing w:after="0" w:line="172" w:lineRule="exact"/>
              <w:rPr>
                <w:sz w:val="20"/>
                <w:szCs w:val="20"/>
                <w:color w:val="auto"/>
              </w:rPr>
            </w:pPr>
            <w:r>
              <w:rPr>
                <w:rFonts w:ascii="Arial" w:cs="Arial" w:eastAsia="Arial" w:hAnsi="Arial"/>
                <w:sz w:val="18"/>
                <w:szCs w:val="18"/>
                <w:color w:val="auto"/>
                <w:w w:val="88"/>
              </w:rPr>
              <w:t>Common stock: class A shares issued under stock plans,</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080" w:type="dxa"/>
            <w:vAlign w:val="bottom"/>
          </w:tcPr>
          <w:p>
            <w:pPr>
              <w:ind w:left="20"/>
              <w:spacing w:after="0"/>
              <w:rPr>
                <w:sz w:val="20"/>
                <w:szCs w:val="20"/>
                <w:color w:val="auto"/>
              </w:rPr>
            </w:pPr>
            <w:r>
              <w:rPr>
                <w:rFonts w:ascii="Arial" w:cs="Arial" w:eastAsia="Arial" w:hAnsi="Arial"/>
                <w:sz w:val="18"/>
                <w:szCs w:val="18"/>
                <w:color w:val="auto"/>
              </w:rPr>
              <w:t>net of shares withheld for employee taxes</w:t>
            </w: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20"/>
                <w:szCs w:val="20"/>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(25,371)</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3,867</w:t>
            </w:r>
          </w:p>
        </w:tc>
        <w:tc>
          <w:tcPr>
            <w:tcW w:w="16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173"/>
        </w:trPr>
        <w:tc>
          <w:tcPr>
            <w:tcW w:w="40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89"/>
              </w:rPr>
              <w:t>Change in unrealized investment gains/losses, net of tax</w:t>
            </w: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of $17,015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(64,011)</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(64,011)</w:t>
            </w:r>
          </w:p>
        </w:tc>
        <w:tc>
          <w:tcPr>
            <w:tcW w:w="0" w:type="dxa"/>
            <w:vAlign w:val="bottom"/>
          </w:tcPr>
          <w:p>
            <w:pPr>
              <w:spacing w:after="0"/>
              <w:rPr>
                <w:sz w:val="1"/>
                <w:szCs w:val="1"/>
                <w:color w:val="auto"/>
              </w:rPr>
            </w:pPr>
          </w:p>
        </w:tc>
      </w:tr>
      <w:tr>
        <w:trPr>
          <w:trHeight w:val="224"/>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75,444</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75,444</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shd w:val="clear" w:color="auto" w:fill="CCEEFF"/>
          </w:tcPr>
          <w:p>
            <w:pPr>
              <w:ind w:left="20"/>
              <w:spacing w:after="0" w:line="191" w:lineRule="exact"/>
              <w:rPr>
                <w:sz w:val="20"/>
                <w:szCs w:val="20"/>
                <w:color w:val="auto"/>
              </w:rPr>
            </w:pPr>
            <w:r>
              <w:rPr>
                <w:rFonts w:ascii="Arial" w:cs="Arial" w:eastAsia="Arial" w:hAnsi="Arial"/>
                <w:sz w:val="18"/>
                <w:szCs w:val="18"/>
                <w:color w:val="auto"/>
              </w:rPr>
              <w:t>Balances, June 30, 2022</w:t>
            </w:r>
          </w:p>
        </w:tc>
        <w:tc>
          <w:tcPr>
            <w:tcW w:w="102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84,701</w:t>
            </w:r>
          </w:p>
        </w:tc>
        <w:tc>
          <w:tcPr>
            <w:tcW w:w="18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864</w:t>
            </w:r>
          </w:p>
        </w:tc>
        <w:tc>
          <w:tcPr>
            <w:tcW w:w="12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964,654</w:t>
            </w:r>
          </w:p>
        </w:tc>
        <w:tc>
          <w:tcPr>
            <w:tcW w:w="160" w:type="dxa"/>
            <w:vAlign w:val="bottom"/>
            <w:tcBorders>
              <w:bottom w:val="single" w:sz="8" w:color="auto"/>
            </w:tcBorders>
            <w:shd w:val="clear" w:color="auto" w:fill="CCEEFF"/>
          </w:tcPr>
          <w:p>
            <w:pPr>
              <w:ind w:left="20"/>
              <w:spacing w:after="0" w:line="191"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(30,371)</w:t>
            </w:r>
          </w:p>
        </w:tc>
        <w:tc>
          <w:tcPr>
            <w:tcW w:w="120" w:type="dxa"/>
            <w:vAlign w:val="bottom"/>
            <w:tcBorders>
              <w:bottom w:val="single" w:sz="8" w:color="auto"/>
            </w:tcBorders>
            <w:shd w:val="clear" w:color="auto" w:fill="CCEEFF"/>
          </w:tcPr>
          <w:p>
            <w:pPr>
              <w:ind w:left="20"/>
              <w:spacing w:after="0" w:line="191"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(161,320)</w:t>
            </w:r>
          </w:p>
        </w:tc>
        <w:tc>
          <w:tcPr>
            <w:tcW w:w="16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751,265</w:t>
            </w:r>
          </w:p>
        </w:tc>
        <w:tc>
          <w:tcPr>
            <w:tcW w:w="240" w:type="dxa"/>
            <w:vAlign w:val="bottom"/>
            <w:tcBorders>
              <w:bottom w:val="single" w:sz="8" w:color="auto"/>
            </w:tcBorders>
            <w:shd w:val="clear" w:color="auto" w:fill="CCEEFF"/>
          </w:tcPr>
          <w:p>
            <w:pPr>
              <w:jc w:val="right"/>
              <w:ind w:right="32"/>
              <w:spacing w:after="0" w:line="191"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1,525,092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line="158" w:lineRule="exact"/>
              <w:rPr>
                <w:sz w:val="20"/>
                <w:szCs w:val="20"/>
                <w:color w:val="auto"/>
              </w:rPr>
            </w:pPr>
            <w:r>
              <w:rPr>
                <w:rFonts w:ascii="Arial" w:cs="Arial" w:eastAsia="Arial" w:hAnsi="Arial"/>
                <w:sz w:val="18"/>
                <w:szCs w:val="18"/>
                <w:color w:val="auto"/>
                <w:w w:val="88"/>
              </w:rPr>
              <w:t>Common stock: class A shares issued under stock plans,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08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4080" w:type="dxa"/>
            <w:vAlign w:val="bottom"/>
          </w:tcPr>
          <w:p>
            <w:pPr>
              <w:ind w:left="20"/>
              <w:spacing w:after="0"/>
              <w:rPr>
                <w:sz w:val="20"/>
                <w:szCs w:val="20"/>
                <w:color w:val="auto"/>
              </w:rPr>
            </w:pPr>
            <w:r>
              <w:rPr>
                <w:rFonts w:ascii="Arial" w:cs="Arial" w:eastAsia="Arial" w:hAnsi="Arial"/>
                <w:sz w:val="18"/>
                <w:szCs w:val="18"/>
                <w:color w:val="auto"/>
              </w:rPr>
              <w:t>net of shares withheld for employee taxes</w:t>
            </w: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823</w:t>
            </w:r>
          </w:p>
        </w:tc>
        <w:tc>
          <w:tcPr>
            <w:tcW w:w="160" w:type="dxa"/>
            <w:vAlign w:val="bottom"/>
          </w:tcPr>
          <w:p>
            <w:pPr>
              <w:spacing w:after="0"/>
              <w:rPr>
                <w:sz w:val="20"/>
                <w:szCs w:val="20"/>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(20,824)</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3,882</w:t>
            </w:r>
          </w:p>
        </w:tc>
        <w:tc>
          <w:tcPr>
            <w:tcW w:w="16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173"/>
        </w:trPr>
        <w:tc>
          <w:tcPr>
            <w:tcW w:w="40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89"/>
              </w:rPr>
              <w:t>Change in unrealized investment gains/losses, net of tax</w:t>
            </w: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of $15,935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(59,946)</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(59,946)</w:t>
            </w:r>
          </w:p>
        </w:tc>
        <w:tc>
          <w:tcPr>
            <w:tcW w:w="0" w:type="dxa"/>
            <w:vAlign w:val="bottom"/>
          </w:tcPr>
          <w:p>
            <w:pPr>
              <w:spacing w:after="0"/>
              <w:rPr>
                <w:sz w:val="1"/>
                <w:szCs w:val="1"/>
                <w:color w:val="auto"/>
              </w:rPr>
            </w:pPr>
          </w:p>
        </w:tc>
      </w:tr>
      <w:tr>
        <w:trPr>
          <w:trHeight w:val="224"/>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76,838</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76,838</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September 30,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969,359</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(51,195)</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(221,266)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828,103</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1,525,866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320" w:hanging="314"/>
        <w:spacing w:after="0" w:line="263" w:lineRule="auto"/>
        <w:tabs>
          <w:tab w:leader="none" w:pos="217" w:val="left"/>
        </w:tabs>
        <w:numPr>
          <w:ilvl w:val="0"/>
          <w:numId w:val="5"/>
        </w:numPr>
        <w:rPr>
          <w:rFonts w:ascii="Arial" w:cs="Arial" w:eastAsia="Arial" w:hAnsi="Arial"/>
          <w:sz w:val="14"/>
          <w:szCs w:val="14"/>
          <w:color w:val="auto"/>
        </w:rPr>
      </w:pPr>
      <w:r>
        <w:rPr>
          <w:rFonts w:ascii="Arial" w:cs="Arial" w:eastAsia="Arial" w:hAnsi="Arial"/>
          <w:sz w:val="14"/>
          <w:szCs w:val="14"/>
          <w:color w:val="auto"/>
        </w:rPr>
        <w:t>During the three months ended June 30, 2022, we issued 32,659 common shares with a par value of $0.01 in connection with the exercise of warrants, which is not identifiable in this schedule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40"/>
        <w:spacing w:after="0"/>
        <w:rPr>
          <w:sz w:val="20"/>
          <w:szCs w:val="20"/>
          <w:color w:val="auto"/>
        </w:rPr>
      </w:pPr>
      <w:r>
        <w:rPr>
          <w:rFonts w:ascii="Arial" w:cs="Arial" w:eastAsia="Arial" w:hAnsi="Arial"/>
          <w:sz w:val="14"/>
          <w:szCs w:val="14"/>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Accumulated</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720" w:type="dxa"/>
            <w:vAlign w:val="bottom"/>
          </w:tcPr>
          <w:p>
            <w:pPr>
              <w:spacing w:after="0"/>
              <w:rPr>
                <w:sz w:val="12"/>
                <w:szCs w:val="12"/>
                <w:color w:val="auto"/>
              </w:rPr>
            </w:pPr>
          </w:p>
        </w:tc>
        <w:tc>
          <w:tcPr>
            <w:tcW w:w="230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Common Stock - Class A</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35"/>
              <w:spacing w:after="0" w:line="141"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restart"/>
          </w:tcPr>
          <w:p>
            <w:pPr>
              <w:jc w:val="right"/>
              <w:ind w:right="194"/>
              <w:spacing w:after="0" w:line="125"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9"/>
                <w:szCs w:val="9"/>
                <w:color w:val="auto"/>
              </w:rPr>
            </w:pPr>
          </w:p>
        </w:tc>
        <w:tc>
          <w:tcPr>
            <w:tcW w:w="1080" w:type="dxa"/>
            <w:vAlign w:val="bottom"/>
            <w:vMerge w:val="restart"/>
          </w:tcPr>
          <w:p>
            <w:pPr>
              <w:jc w:val="center"/>
              <w:ind w:right="15"/>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37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Retained Earnings</w:t>
            </w:r>
          </w:p>
        </w:tc>
        <w:tc>
          <w:tcPr>
            <w:tcW w:w="200" w:type="dxa"/>
            <w:vAlign w:val="bottom"/>
          </w:tcPr>
          <w:p>
            <w:pPr>
              <w:spacing w:after="0"/>
              <w:rPr>
                <w:sz w:val="2"/>
                <w:szCs w:val="2"/>
                <w:color w:val="auto"/>
              </w:rPr>
            </w:pPr>
          </w:p>
        </w:tc>
        <w:tc>
          <w:tcPr>
            <w:tcW w:w="8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720" w:type="dxa"/>
            <w:vAlign w:val="bottom"/>
          </w:tcPr>
          <w:p>
            <w:pPr>
              <w:spacing w:after="0"/>
              <w:rPr>
                <w:sz w:val="16"/>
                <w:szCs w:val="16"/>
                <w:color w:val="auto"/>
              </w:rPr>
            </w:pPr>
          </w:p>
        </w:tc>
        <w:tc>
          <w:tcPr>
            <w:tcW w:w="11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4"/>
              </w:rPr>
              <w:t>Paid-in Capital</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Income</w:t>
            </w:r>
          </w:p>
        </w:tc>
        <w:tc>
          <w:tcPr>
            <w:tcW w:w="12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3"/>
          </w:tcPr>
          <w:p>
            <w:pPr>
              <w:jc w:val="right"/>
              <w:ind w:right="695"/>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December 31, 2020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85,163</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53,856</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1,369,591</w:t>
            </w:r>
          </w:p>
        </w:tc>
        <w:tc>
          <w:tcPr>
            <w:tcW w:w="0" w:type="dxa"/>
            <w:vAlign w:val="bottom"/>
          </w:tcPr>
          <w:p>
            <w:pPr>
              <w:spacing w:after="0"/>
              <w:rPr>
                <w:sz w:val="1"/>
                <w:szCs w:val="1"/>
                <w:color w:val="auto"/>
              </w:rPr>
            </w:pPr>
          </w:p>
        </w:tc>
      </w:tr>
      <w:tr>
        <w:trPr>
          <w:trHeight w:val="172"/>
        </w:trPr>
        <w:tc>
          <w:tcPr>
            <w:tcW w:w="3720" w:type="dxa"/>
            <w:vAlign w:val="bottom"/>
          </w:tcPr>
          <w:p>
            <w:pPr>
              <w:ind w:left="20"/>
              <w:spacing w:after="0" w:line="172" w:lineRule="exact"/>
              <w:rPr>
                <w:sz w:val="20"/>
                <w:szCs w:val="20"/>
                <w:color w:val="auto"/>
              </w:rPr>
            </w:pPr>
            <w:r>
              <w:rPr>
                <w:rFonts w:ascii="Arial" w:cs="Arial" w:eastAsia="Arial" w:hAnsi="Arial"/>
                <w:sz w:val="18"/>
                <w:szCs w:val="18"/>
                <w:color w:val="auto"/>
                <w:w w:val="95"/>
              </w:rPr>
              <w:t>Common stock: class A shares issued related to</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720" w:type="dxa"/>
            <w:vAlign w:val="bottom"/>
          </w:tcPr>
          <w:p>
            <w:pPr>
              <w:ind w:left="20"/>
              <w:spacing w:after="0"/>
              <w:rPr>
                <w:sz w:val="20"/>
                <w:szCs w:val="20"/>
                <w:color w:val="auto"/>
              </w:rPr>
            </w:pPr>
            <w:r>
              <w:rPr>
                <w:rFonts w:ascii="Arial" w:cs="Arial" w:eastAsia="Arial" w:hAnsi="Arial"/>
                <w:sz w:val="18"/>
                <w:szCs w:val="18"/>
                <w:color w:val="auto"/>
              </w:rPr>
              <w:t>warrant exercises</w:t>
            </w: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173"/>
        </w:trPr>
        <w:tc>
          <w:tcPr>
            <w:tcW w:w="372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1"/>
              </w:rPr>
              <w:t>Common stock: class A shares issued under stock</w:t>
            </w: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plans, net of shares withheld for employee taxes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173"/>
        </w:trPr>
        <w:tc>
          <w:tcPr>
            <w:tcW w:w="372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1"/>
              </w:rPr>
              <w:t>Change in unrealized investment gains/losses, net</w:t>
            </w: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tax benefit of $11,997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(45,133)</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(45,133)</w:t>
            </w:r>
          </w:p>
        </w:tc>
        <w:tc>
          <w:tcPr>
            <w:tcW w:w="0" w:type="dxa"/>
            <w:vAlign w:val="bottom"/>
          </w:tcPr>
          <w:p>
            <w:pPr>
              <w:spacing w:after="0"/>
              <w:rPr>
                <w:sz w:val="1"/>
                <w:szCs w:val="1"/>
                <w:color w:val="auto"/>
              </w:rPr>
            </w:pPr>
          </w:p>
        </w:tc>
      </w:tr>
      <w:tr>
        <w:trPr>
          <w:trHeight w:val="224"/>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52,891</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52,891</w:t>
            </w: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2021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85,600</w:t>
            </w:r>
          </w:p>
        </w:tc>
        <w:tc>
          <w:tcPr>
            <w:tcW w:w="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940,827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1,380,308</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line="158" w:lineRule="exact"/>
              <w:rPr>
                <w:sz w:val="20"/>
                <w:szCs w:val="20"/>
                <w:color w:val="auto"/>
              </w:rPr>
            </w:pPr>
            <w:r>
              <w:rPr>
                <w:rFonts w:ascii="Arial" w:cs="Arial" w:eastAsia="Arial" w:hAnsi="Arial"/>
                <w:sz w:val="18"/>
                <w:szCs w:val="18"/>
                <w:color w:val="auto"/>
                <w:w w:val="95"/>
              </w:rPr>
              <w:t>Common stock: class A shares issued related to</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72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3720" w:type="dxa"/>
            <w:vAlign w:val="bottom"/>
          </w:tcPr>
          <w:p>
            <w:pPr>
              <w:ind w:left="20"/>
              <w:spacing w:after="0"/>
              <w:rPr>
                <w:sz w:val="20"/>
                <w:szCs w:val="20"/>
                <w:color w:val="auto"/>
              </w:rPr>
            </w:pPr>
            <w:r>
              <w:rPr>
                <w:rFonts w:ascii="Arial" w:cs="Arial" w:eastAsia="Arial" w:hAnsi="Arial"/>
                <w:sz w:val="18"/>
                <w:szCs w:val="18"/>
                <w:color w:val="auto"/>
              </w:rPr>
              <w:t>warrant exercises</w:t>
            </w: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73"/>
        </w:trPr>
        <w:tc>
          <w:tcPr>
            <w:tcW w:w="372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1"/>
              </w:rPr>
              <w:t>Common stock: class A shares issued under stock</w:t>
            </w: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plans, net of shares withheld for employee taxes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173"/>
        </w:trPr>
        <w:tc>
          <w:tcPr>
            <w:tcW w:w="372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1"/>
              </w:rPr>
              <w:t>Change in unrealized investment gains/losses, net</w:t>
            </w: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tax expense of $4,992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18,780</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18,780</w:t>
            </w:r>
          </w:p>
        </w:tc>
        <w:tc>
          <w:tcPr>
            <w:tcW w:w="0" w:type="dxa"/>
            <w:vAlign w:val="bottom"/>
          </w:tcPr>
          <w:p>
            <w:pPr>
              <w:spacing w:after="0"/>
              <w:rPr>
                <w:sz w:val="1"/>
                <w:szCs w:val="1"/>
                <w:color w:val="auto"/>
              </w:rPr>
            </w:pPr>
          </w:p>
        </w:tc>
      </w:tr>
      <w:tr>
        <w:trPr>
          <w:trHeight w:val="224"/>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57,522</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57,522</w:t>
            </w: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June 30, 2021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85,703</w:t>
            </w:r>
          </w:p>
        </w:tc>
        <w:tc>
          <w:tcPr>
            <w:tcW w:w="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27,503</w:t>
            </w: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1,459,905</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line="158" w:lineRule="exact"/>
              <w:rPr>
                <w:sz w:val="20"/>
                <w:szCs w:val="20"/>
                <w:color w:val="auto"/>
              </w:rPr>
            </w:pPr>
            <w:r>
              <w:rPr>
                <w:rFonts w:ascii="Arial" w:cs="Arial" w:eastAsia="Arial" w:hAnsi="Arial"/>
                <w:sz w:val="18"/>
                <w:szCs w:val="18"/>
                <w:color w:val="auto"/>
                <w:w w:val="95"/>
              </w:rPr>
              <w:t>Common stock: class A shares issued related to</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72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3720" w:type="dxa"/>
            <w:vAlign w:val="bottom"/>
          </w:tcPr>
          <w:p>
            <w:pPr>
              <w:ind w:left="20"/>
              <w:spacing w:after="0"/>
              <w:rPr>
                <w:sz w:val="20"/>
                <w:szCs w:val="20"/>
                <w:color w:val="auto"/>
              </w:rPr>
            </w:pPr>
            <w:r>
              <w:rPr>
                <w:rFonts w:ascii="Arial" w:cs="Arial" w:eastAsia="Arial" w:hAnsi="Arial"/>
                <w:sz w:val="18"/>
                <w:szCs w:val="18"/>
                <w:color w:val="auto"/>
              </w:rPr>
              <w:t>warrants</w:t>
            </w: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173"/>
        </w:trPr>
        <w:tc>
          <w:tcPr>
            <w:tcW w:w="372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1"/>
              </w:rPr>
              <w:t>Common stock: class A shares issued under stock</w:t>
            </w: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plans, net of shares withheld for employee taxes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173"/>
        </w:trPr>
        <w:tc>
          <w:tcPr>
            <w:tcW w:w="372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1"/>
              </w:rPr>
              <w:t>Change in unrealized investment gains/losses, net</w:t>
            </w: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tax benefit of $2,166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0" w:type="dxa"/>
            <w:vAlign w:val="bottom"/>
          </w:tcPr>
          <w:p>
            <w:pPr>
              <w:spacing w:after="0"/>
              <w:rPr>
                <w:sz w:val="1"/>
                <w:szCs w:val="1"/>
                <w:color w:val="auto"/>
              </w:rPr>
            </w:pPr>
          </w:p>
        </w:tc>
      </w:tr>
      <w:tr>
        <w:trPr>
          <w:trHeight w:val="224"/>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60,193</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60,193</w:t>
            </w: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September 30, 2021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85,743</w:t>
            </w:r>
          </w:p>
        </w:tc>
        <w:tc>
          <w:tcPr>
            <w:tcW w:w="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948,395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19,357</w:t>
            </w: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1,516,226</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320" w:hanging="314"/>
        <w:spacing w:after="0" w:line="258" w:lineRule="auto"/>
        <w:tabs>
          <w:tab w:leader="none" w:pos="219" w:val="left"/>
        </w:tabs>
        <w:numPr>
          <w:ilvl w:val="0"/>
          <w:numId w:val="6"/>
        </w:numPr>
        <w:rPr>
          <w:rFonts w:ascii="Arial" w:cs="Arial" w:eastAsia="Arial" w:hAnsi="Arial"/>
          <w:sz w:val="14"/>
          <w:szCs w:val="14"/>
          <w:color w:val="auto"/>
        </w:rPr>
      </w:pPr>
      <w:r>
        <w:rPr>
          <w:rFonts w:ascii="Arial" w:cs="Arial" w:eastAsia="Arial" w:hAnsi="Arial"/>
          <w:sz w:val="14"/>
          <w:szCs w:val="14"/>
          <w:color w:val="auto"/>
        </w:rPr>
        <w:t>During the three months ended March 31, 2021 and June 30, 2021, we issued 23,750 and 8,096 common shares, respectively, with a par value of $0.01 in connection with the exercise of warrants, which are not identifiable in this schedule due to rounding. During the three months ended September 30, 2021, we issued 27,715 common shares with a par value of $0.01 in connection with the exercise of warrants, and 12,436 common shares with a par value of $0.01 in connection with the exercise of options and vesting of restricted stock units granted under our stock plans, which are not identifiable in this schedule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gridSpan w:val="4"/>
          </w:tcPr>
          <w:p>
            <w:pPr>
              <w:jc w:val="center"/>
              <w:ind w:right="97"/>
              <w:spacing w:after="0"/>
              <w:rPr>
                <w:sz w:val="20"/>
                <w:szCs w:val="20"/>
                <w:color w:val="auto"/>
              </w:rPr>
            </w:pPr>
            <w:r>
              <w:rPr>
                <w:rFonts w:ascii="Arial" w:cs="Arial" w:eastAsia="Arial" w:hAnsi="Arial"/>
                <w:sz w:val="14"/>
                <w:szCs w:val="14"/>
                <w:b w:val="1"/>
                <w:bCs w:val="1"/>
                <w:color w:val="auto"/>
                <w:w w:val="89"/>
              </w:rPr>
              <w:t>For the nine months ended September 30,</w:t>
            </w:r>
          </w:p>
        </w:tc>
      </w:tr>
      <w:tr>
        <w:trPr>
          <w:trHeight w:val="24"/>
        </w:trPr>
        <w:tc>
          <w:tcPr>
            <w:tcW w:w="8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8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r>
      <w:tr>
        <w:trPr>
          <w:trHeight w:val="211"/>
        </w:trPr>
        <w:tc>
          <w:tcPr>
            <w:tcW w:w="832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Pr>
          <w:p>
            <w:pPr>
              <w:spacing w:after="0"/>
              <w:rPr>
                <w:sz w:val="18"/>
                <w:szCs w:val="18"/>
                <w:color w:val="auto"/>
              </w:rPr>
            </w:pPr>
          </w:p>
        </w:tc>
        <w:tc>
          <w:tcPr>
            <w:tcW w:w="1820" w:type="dxa"/>
            <w:vAlign w:val="bottom"/>
            <w:gridSpan w:val="3"/>
          </w:tcPr>
          <w:p>
            <w:pPr>
              <w:jc w:val="center"/>
              <w:ind w:left="698"/>
              <w:spacing w:after="0"/>
              <w:rPr>
                <w:sz w:val="20"/>
                <w:szCs w:val="20"/>
                <w:color w:val="auto"/>
              </w:rPr>
            </w:pPr>
            <w:r>
              <w:rPr>
                <w:rFonts w:ascii="Arial" w:cs="Arial" w:eastAsia="Arial" w:hAnsi="Arial"/>
                <w:sz w:val="14"/>
                <w:szCs w:val="14"/>
                <w:i w:val="1"/>
                <w:iCs w:val="1"/>
                <w:color w:val="auto"/>
                <w:w w:val="89"/>
              </w:rPr>
              <w:t>(In Thousands)</w:t>
            </w:r>
          </w:p>
        </w:tc>
        <w:tc>
          <w:tcPr>
            <w:tcW w:w="940" w:type="dxa"/>
            <w:vAlign w:val="bottom"/>
          </w:tcPr>
          <w:p>
            <w:pPr>
              <w:spacing w:after="0"/>
              <w:rPr>
                <w:sz w:val="18"/>
                <w:szCs w:val="18"/>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219,962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170,606</w:t>
            </w:r>
          </w:p>
        </w:tc>
      </w:tr>
      <w:tr>
        <w:trPr>
          <w:trHeight w:val="218"/>
        </w:trPr>
        <w:tc>
          <w:tcPr>
            <w:tcW w:w="8320" w:type="dxa"/>
            <w:vAlign w:val="bottom"/>
          </w:tcPr>
          <w:p>
            <w:pPr>
              <w:ind w:left="1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realized investment gains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8"/>
        </w:trPr>
        <w:tc>
          <w:tcPr>
            <w:tcW w:w="8320" w:type="dxa"/>
            <w:vAlign w:val="bottom"/>
          </w:tcPr>
          <w:p>
            <w:pPr>
              <w:ind w:left="220"/>
              <w:spacing w:after="0"/>
              <w:rPr>
                <w:sz w:val="20"/>
                <w:szCs w:val="20"/>
                <w:color w:val="auto"/>
              </w:rPr>
            </w:pPr>
            <w:r>
              <w:rPr>
                <w:rFonts w:ascii="Arial" w:cs="Arial" w:eastAsia="Arial" w:hAnsi="Arial"/>
                <w:sz w:val="17"/>
                <w:szCs w:val="17"/>
                <w:color w:val="auto"/>
              </w:rPr>
              <w:t>Gain from change in fair value of warrant liability</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(1,113)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(454)</w:t>
            </w: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8,250</w:t>
            </w:r>
          </w:p>
        </w:tc>
      </w:tr>
      <w:tr>
        <w:trPr>
          <w:trHeight w:val="218"/>
        </w:trPr>
        <w:tc>
          <w:tcPr>
            <w:tcW w:w="8320" w:type="dxa"/>
            <w:vAlign w:val="bottom"/>
          </w:tcPr>
          <w:p>
            <w:pPr>
              <w:ind w:left="220"/>
              <w:spacing w:after="0"/>
              <w:rPr>
                <w:sz w:val="20"/>
                <w:szCs w:val="20"/>
                <w:color w:val="auto"/>
              </w:rPr>
            </w:pPr>
            <w:r>
              <w:rPr>
                <w:rFonts w:ascii="Arial" w:cs="Arial" w:eastAsia="Arial" w:hAnsi="Arial"/>
                <w:sz w:val="17"/>
                <w:szCs w:val="17"/>
                <w:color w:val="auto"/>
              </w:rPr>
              <w:t>Net amortization of premium on investment securities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4,864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5,020</w:t>
            </w: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debt discount and debt issuance costs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1,349</w:t>
            </w:r>
          </w:p>
        </w:tc>
      </w:tr>
      <w:tr>
        <w:trPr>
          <w:trHeight w:val="218"/>
        </w:trPr>
        <w:tc>
          <w:tcPr>
            <w:tcW w:w="832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61,647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47,949</w:t>
            </w: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Share-based compensation expense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10,121</w:t>
            </w:r>
          </w:p>
        </w:tc>
      </w:tr>
      <w:tr>
        <w:trPr>
          <w:trHeight w:val="218"/>
        </w:trPr>
        <w:tc>
          <w:tcPr>
            <w:tcW w:w="8320" w:type="dxa"/>
            <w:vAlign w:val="bottom"/>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Premiums receivable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(8,720)</w:t>
            </w:r>
          </w:p>
        </w:tc>
      </w:tr>
      <w:tr>
        <w:trPr>
          <w:trHeight w:val="218"/>
        </w:trPr>
        <w:tc>
          <w:tcPr>
            <w:tcW w:w="8320" w:type="dxa"/>
            <w:vAlign w:val="bottom"/>
          </w:tcPr>
          <w:p>
            <w:pPr>
              <w:ind w:left="340"/>
              <w:spacing w:after="0"/>
              <w:rPr>
                <w:sz w:val="20"/>
                <w:szCs w:val="20"/>
                <w:color w:val="auto"/>
              </w:rPr>
            </w:pPr>
            <w:r>
              <w:rPr>
                <w:rFonts w:ascii="Arial" w:cs="Arial" w:eastAsia="Arial" w:hAnsi="Arial"/>
                <w:sz w:val="17"/>
                <w:szCs w:val="17"/>
                <w:color w:val="auto"/>
              </w:rPr>
              <w:t>Accrued investment income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(2,252)</w:t>
            </w: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Prepaid expenses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w:t>
            </w:r>
          </w:p>
        </w:tc>
      </w:tr>
      <w:tr>
        <w:trPr>
          <w:trHeight w:val="218"/>
        </w:trPr>
        <w:tc>
          <w:tcPr>
            <w:tcW w:w="8320" w:type="dxa"/>
            <w:vAlign w:val="bottom"/>
          </w:tcPr>
          <w:p>
            <w:pPr>
              <w:ind w:left="340"/>
              <w:spacing w:after="0"/>
              <w:rPr>
                <w:sz w:val="20"/>
                <w:szCs w:val="20"/>
                <w:color w:val="auto"/>
              </w:rPr>
            </w:pPr>
            <w:r>
              <w:rPr>
                <w:rFonts w:ascii="Arial" w:cs="Arial" w:eastAsia="Arial" w:hAnsi="Arial"/>
                <w:sz w:val="17"/>
                <w:szCs w:val="17"/>
                <w:color w:val="auto"/>
              </w:rPr>
              <w:t>Deferred policy acquisition costs, net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863</w:t>
            </w: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Reinsurance recoverable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(2,812)</w:t>
            </w:r>
          </w:p>
        </w:tc>
      </w:tr>
      <w:tr>
        <w:trPr>
          <w:trHeight w:val="218"/>
        </w:trPr>
        <w:tc>
          <w:tcPr>
            <w:tcW w:w="8320" w:type="dxa"/>
            <w:vAlign w:val="bottom"/>
          </w:tcPr>
          <w:p>
            <w:pPr>
              <w:ind w:left="340"/>
              <w:spacing w:after="0"/>
              <w:rPr>
                <w:sz w:val="20"/>
                <w:szCs w:val="20"/>
                <w:color w:val="auto"/>
              </w:rPr>
            </w:pPr>
            <w:r>
              <w:rPr>
                <w:rFonts w:ascii="Arial" w:cs="Arial" w:eastAsia="Arial" w:hAnsi="Arial"/>
                <w:sz w:val="17"/>
                <w:szCs w:val="17"/>
                <w:color w:val="auto"/>
              </w:rPr>
              <w:t>Other assets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849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Unearned premiums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20,807</w:t>
            </w:r>
          </w:p>
        </w:tc>
      </w:tr>
      <w:tr>
        <w:trPr>
          <w:trHeight w:val="218"/>
        </w:trPr>
        <w:tc>
          <w:tcPr>
            <w:tcW w:w="8320" w:type="dxa"/>
            <w:vAlign w:val="bottom"/>
          </w:tcPr>
          <w:p>
            <w:pPr>
              <w:ind w:left="340"/>
              <w:spacing w:after="0"/>
              <w:rPr>
                <w:sz w:val="20"/>
                <w:szCs w:val="20"/>
                <w:color w:val="auto"/>
              </w:rPr>
            </w:pPr>
            <w:r>
              <w:rPr>
                <w:rFonts w:ascii="Arial" w:cs="Arial" w:eastAsia="Arial" w:hAnsi="Arial"/>
                <w:sz w:val="17"/>
                <w:szCs w:val="17"/>
                <w:color w:val="auto"/>
              </w:rPr>
              <w:t>Reserve for insurance claims and claim expenses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(8,607)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14,037</w:t>
            </w: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Reinsurance balances, net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r>
      <w:tr>
        <w:trPr>
          <w:trHeight w:val="218"/>
        </w:trPr>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Accounts payable and accrued expenses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18,002</w:t>
            </w: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281,603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281,381</w:t>
            </w:r>
          </w:p>
        </w:tc>
      </w:tr>
      <w:tr>
        <w:trPr>
          <w:trHeight w:val="198"/>
        </w:trPr>
        <w:tc>
          <w:tcPr>
            <w:tcW w:w="8320" w:type="dxa"/>
            <w:vAlign w:val="bottom"/>
          </w:tcPr>
          <w:p>
            <w:pPr>
              <w:ind w:left="20"/>
              <w:spacing w:after="0" w:line="193" w:lineRule="exact"/>
              <w:rPr>
                <w:sz w:val="20"/>
                <w:szCs w:val="20"/>
                <w:color w:val="auto"/>
              </w:rPr>
            </w:pPr>
            <w:r>
              <w:rPr>
                <w:rFonts w:ascii="Arial" w:cs="Arial" w:eastAsia="Arial" w:hAnsi="Arial"/>
                <w:sz w:val="17"/>
                <w:szCs w:val="17"/>
                <w:color w:val="auto"/>
              </w:rPr>
              <w:t>Cash flows from investing activities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 of short-term investments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(229,816)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(10,640)</w:t>
            </w:r>
          </w:p>
        </w:tc>
      </w:tr>
      <w:tr>
        <w:trPr>
          <w:trHeight w:val="218"/>
        </w:trPr>
        <w:tc>
          <w:tcPr>
            <w:tcW w:w="8320" w:type="dxa"/>
            <w:vAlign w:val="bottom"/>
          </w:tcPr>
          <w:p>
            <w:pPr>
              <w:ind w:left="140"/>
              <w:spacing w:after="0"/>
              <w:rPr>
                <w:sz w:val="20"/>
                <w:szCs w:val="20"/>
                <w:color w:val="auto"/>
              </w:rPr>
            </w:pPr>
            <w:r>
              <w:rPr>
                <w:rFonts w:ascii="Arial" w:cs="Arial" w:eastAsia="Arial" w:hAnsi="Arial"/>
                <w:sz w:val="17"/>
                <w:szCs w:val="17"/>
                <w:color w:val="auto"/>
              </w:rPr>
              <w:t>Purchase of fixed-maturity investments, available-for-sale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(156,973)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(390,988)</w:t>
            </w: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maturity of short-term investments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129,570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320" w:type="dxa"/>
            <w:vAlign w:val="bottom"/>
          </w:tcPr>
          <w:p>
            <w:pPr>
              <w:ind w:left="140"/>
              <w:spacing w:after="0"/>
              <w:rPr>
                <w:sz w:val="20"/>
                <w:szCs w:val="20"/>
                <w:color w:val="auto"/>
              </w:rPr>
            </w:pPr>
            <w:r>
              <w:rPr>
                <w:rFonts w:ascii="Arial" w:cs="Arial" w:eastAsia="Arial" w:hAnsi="Arial"/>
                <w:sz w:val="17"/>
                <w:szCs w:val="17"/>
                <w:color w:val="auto"/>
              </w:rPr>
              <w:t>Proceeds from redemptions, maturities and sale of fixed-maturity investments, available-for-sale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82,865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100,215</w:t>
            </w: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Software and equipment</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(7,757)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(9,107)</w:t>
            </w:r>
          </w:p>
        </w:tc>
      </w:tr>
      <w:tr>
        <w:trPr>
          <w:trHeight w:val="212"/>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(182,111)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(310,520)</w:t>
            </w: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8"/>
        </w:trPr>
        <w:tc>
          <w:tcPr>
            <w:tcW w:w="8320" w:type="dxa"/>
            <w:vAlign w:val="bottom"/>
          </w:tcPr>
          <w:p>
            <w:pPr>
              <w:ind w:left="140"/>
              <w:spacing w:after="0"/>
              <w:rPr>
                <w:sz w:val="20"/>
                <w:szCs w:val="20"/>
                <w:color w:val="auto"/>
              </w:rPr>
            </w:pPr>
            <w:r>
              <w:rPr>
                <w:rFonts w:ascii="Arial" w:cs="Arial" w:eastAsia="Arial" w:hAnsi="Arial"/>
                <w:sz w:val="17"/>
                <w:szCs w:val="17"/>
                <w:color w:val="auto"/>
              </w:rPr>
              <w:t>Proceeds from issuance of common stock related to employee equity plans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5,392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4,137</w:t>
            </w: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issuance of common stock related to warrants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r>
      <w:tr>
        <w:trPr>
          <w:trHeight w:val="218"/>
        </w:trPr>
        <w:tc>
          <w:tcPr>
            <w:tcW w:w="8320" w:type="dxa"/>
            <w:vAlign w:val="bottom"/>
          </w:tcPr>
          <w:p>
            <w:pPr>
              <w:ind w:left="140"/>
              <w:spacing w:after="0"/>
              <w:rPr>
                <w:sz w:val="20"/>
                <w:szCs w:val="20"/>
                <w:color w:val="auto"/>
              </w:rPr>
            </w:pPr>
            <w:r>
              <w:rPr>
                <w:rFonts w:ascii="Arial" w:cs="Arial" w:eastAsia="Arial" w:hAnsi="Arial"/>
                <w:sz w:val="17"/>
                <w:szCs w:val="17"/>
                <w:color w:val="auto"/>
              </w:rPr>
              <w:t>Taxes paid related to net share settlement of equity awards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(5,041)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(5,087)</w:t>
            </w: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Repurchases of common stock</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(51,195)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used in financing activities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(50,326)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(538)</w:t>
            </w:r>
          </w:p>
        </w:tc>
      </w:tr>
      <w:tr>
        <w:trPr>
          <w:trHeight w:val="197"/>
        </w:trPr>
        <w:tc>
          <w:tcPr>
            <w:tcW w:w="8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127" w:right="339" w:bottom="1440" w:gutter="0" w:footer="0" w:header="0"/>
        </w:sectPr>
      </w:pPr>
    </w:p>
    <w:p>
      <w:pPr>
        <w:ind w:left="20" w:right="3040"/>
        <w:spacing w:after="0" w:line="360" w:lineRule="auto"/>
        <w:rPr>
          <w:sz w:val="20"/>
          <w:szCs w:val="20"/>
          <w:color w:val="auto"/>
        </w:rPr>
      </w:pPr>
      <w:r>
        <w:rPr>
          <w:rFonts w:ascii="Arial" w:cs="Arial" w:eastAsia="Arial" w:hAnsi="Arial"/>
          <w:sz w:val="14"/>
          <w:szCs w:val="14"/>
          <w:color w:val="auto"/>
        </w:rPr>
        <w:t>Net increase (decrease) in cash, cash equivalents and restricted cash Cash, cash equivalents and restricted 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-163830</wp:posOffset>
            </wp:positionV>
            <wp:extent cx="7135495" cy="142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Cash, cash equivalents and restricted cash,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49,166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(29,677)</w:t>
            </w:r>
          </w:p>
        </w:tc>
      </w:tr>
      <w:tr>
        <w:trPr>
          <w:trHeight w:val="229"/>
        </w:trPr>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76,646</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126,937</w:t>
            </w:r>
          </w:p>
        </w:tc>
      </w:tr>
      <w:tr>
        <w:trPr>
          <w:trHeight w:val="218"/>
        </w:trPr>
        <w:tc>
          <w:tcPr>
            <w:tcW w:w="44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125,812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97,260</w:t>
            </w:r>
          </w:p>
        </w:tc>
      </w:tr>
      <w:tr>
        <w:trPr>
          <w:trHeight w:val="25"/>
        </w:trPr>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p>
    <w:p>
      <w:pPr>
        <w:sectPr>
          <w:pgSz w:w="11900" w:h="16838" w:orient="portrait"/>
          <w:cols w:equalWidth="0" w:num="2">
            <w:col w:w="7600" w:space="720"/>
            <w:col w:w="292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58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8"/>
        </w:trPr>
        <w:tc>
          <w:tcPr>
            <w:tcW w:w="5880" w:type="dxa"/>
            <w:vAlign w:val="bottom"/>
          </w:tcPr>
          <w:p>
            <w:pPr>
              <w:ind w:left="20"/>
              <w:spacing w:after="0"/>
              <w:rPr>
                <w:sz w:val="20"/>
                <w:szCs w:val="20"/>
                <w:color w:val="auto"/>
              </w:rPr>
            </w:pPr>
            <w:r>
              <w:rPr>
                <w:rFonts w:ascii="Arial" w:cs="Arial" w:eastAsia="Arial" w:hAnsi="Arial"/>
                <w:sz w:val="17"/>
                <w:szCs w:val="17"/>
                <w:color w:val="auto"/>
              </w:rPr>
              <w:t>Supplemental disclosures of cash flow information</w:t>
            </w:r>
          </w:p>
        </w:tc>
        <w:tc>
          <w:tcPr>
            <w:tcW w:w="2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paid</w:t>
            </w:r>
          </w:p>
        </w:tc>
        <w:tc>
          <w:tcPr>
            <w:tcW w:w="2920" w:type="dxa"/>
            <w:vAlign w:val="bottom"/>
            <w:shd w:val="clear" w:color="auto" w:fill="CCEEFF"/>
          </w:tcPr>
          <w:p>
            <w:pPr>
              <w:jc w:val="right"/>
              <w:ind w:right="297"/>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14,750</w:t>
            </w:r>
          </w:p>
        </w:tc>
        <w:tc>
          <w:tcPr>
            <w:tcW w:w="560" w:type="dxa"/>
            <w:vAlign w:val="bottom"/>
            <w:shd w:val="clear" w:color="auto" w:fill="CCEEFF"/>
          </w:tcPr>
          <w:p>
            <w:pPr>
              <w:jc w:val="right"/>
              <w:ind w:right="297"/>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14,750</w:t>
            </w:r>
          </w:p>
        </w:tc>
      </w:tr>
      <w:tr>
        <w:trPr>
          <w:trHeight w:val="213"/>
        </w:trPr>
        <w:tc>
          <w:tcPr>
            <w:tcW w:w="5880" w:type="dxa"/>
            <w:vAlign w:val="bottom"/>
          </w:tcPr>
          <w:p>
            <w:pPr>
              <w:ind w:left="220"/>
              <w:spacing w:after="0"/>
              <w:rPr>
                <w:sz w:val="20"/>
                <w:szCs w:val="20"/>
                <w:color w:val="auto"/>
              </w:rPr>
            </w:pPr>
            <w:r>
              <w:rPr>
                <w:rFonts w:ascii="Arial" w:cs="Arial" w:eastAsia="Arial" w:hAnsi="Arial"/>
                <w:sz w:val="17"/>
                <w:szCs w:val="17"/>
                <w:color w:val="auto"/>
              </w:rPr>
              <w:t>Income taxes refunded</w:t>
            </w:r>
          </w:p>
        </w:tc>
        <w:tc>
          <w:tcPr>
            <w:tcW w:w="292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457</w:t>
            </w:r>
          </w:p>
        </w:tc>
      </w:tr>
    </w:tbl>
    <w:p>
      <w:pPr>
        <w:spacing w:after="0" w:line="8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Summary of Accounting Principles</w:t>
      </w:r>
    </w:p>
    <w:p>
      <w:pPr>
        <w:spacing w:after="0" w:line="168"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NMI Holdings, Inc. (NMIH) is a Delaware corporation, incorporated in May 2011, to provide private mortgage guaranty insurance (which we refer to as mortgage insurance or MI) through its wholly owned insurance subsidiaries, National Mortgage Insurance Corporation (NMIC) and National Mortgage Reinsurance Inc One (Re One). Our common stock is listed on the Nasdaq exchange under the ticker symbol "NMIH".</w:t>
      </w:r>
    </w:p>
    <w:p>
      <w:pPr>
        <w:spacing w:after="0" w:line="101"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NMIC, our primary insurance subsidiary, issued its first mortgage insurance policy in April 2013. NMIC is licensed to write mortgage insurance in all 50 states and the District of Columbia (D.C.). Re One historically provided reinsurance coverage to NMIC in accordance with certain statutory risk retention requirements. Such requirements have been repealed and the reinsurance coverage provided by Re One to NMIC has been commuted. Re One remains a wholly owned, licensed insurance subsidiary; however, it does not currently have active insurance exposures. In August 2015, NMIH capitalized a wholly owned subsidiary, NMI Services, Inc. (NMIS), through which we offer outsourced loan review services to mortgage loan originators.</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2" w:lineRule="exact"/>
        <w:rPr>
          <w:sz w:val="20"/>
          <w:szCs w:val="20"/>
          <w:color w:val="auto"/>
        </w:rPr>
      </w:pPr>
    </w:p>
    <w:p>
      <w:pPr>
        <w:jc w:val="both"/>
        <w:ind w:firstLine="633"/>
        <w:spacing w:after="0" w:line="281" w:lineRule="auto"/>
        <w:rPr>
          <w:sz w:val="20"/>
          <w:szCs w:val="20"/>
          <w:color w:val="auto"/>
        </w:rPr>
      </w:pPr>
      <w:r>
        <w:rPr>
          <w:rFonts w:ascii="Arial" w:cs="Arial" w:eastAsia="Arial" w:hAnsi="Arial"/>
          <w:sz w:val="16"/>
          <w:szCs w:val="16"/>
          <w:color w:val="auto"/>
        </w:rPr>
        <w:t>The accompanying unaudited condensed consolidated financial statements, which include the results of NMIH and its wholly 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2021, included in our 2021 10-K. All intercompany transactions have been eliminated. Certain reclassifications to previously reported financial information have been made to conform to our current period presentation.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The results of operations for the interim period may not be indicative of the results that may be expected for the full year ending December 31, 2022.</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COVID-19 Developments</w:t>
      </w:r>
    </w:p>
    <w:p>
      <w:pPr>
        <w:spacing w:after="0" w:line="162"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On January 30, 2020, the World Health Organization (WHO) declared the outbreak of COVID-19 a global health emergency and subsequently characterized the outbreak as a global pandemic on March 11, 2020. In an effort to stem contagion and control the spread of the virus, the population at large severely curtailed day-to-day activity and local, state and federal regulators imposed a broad set of restrictions on personal and business conduct nationwide. The COVID-19 pandemic, along with the widespread public and regulatory response, caused a dramatic slowdown in U.S. and global economic activity.</w:t>
      </w:r>
    </w:p>
    <w:p>
      <w:pPr>
        <w:spacing w:after="0" w:line="107"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The global dislocation caused by COVID-19 was unprecedented and the pandemic had a direct impact on the U.S. housing market, private mortgage insurance industry, and our business and operating performance for an extended period. More recently, however, the acute economic impact of COVID-19 has begun to recede. While the pandemic continues to pose a global risk and affect communities across the U.S., it is no longer the single dominant driver of our performance that it had been in earlier periods. COVID-19 is now one of several mosaic factors, including a range of macroeconomic forces and public policy initiatives that are influencing our market and business.</w:t>
      </w:r>
    </w:p>
    <w:p>
      <w:pPr>
        <w:spacing w:after="0" w:line="140"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Although we are optimistic that the nationwide COVID-19 vaccination effort and other medical advances will continue to support a normalization of personal and business activity, the path of the virus remains unknown and subject to risk. Given this uncertainty, we are not able to fully assess or estimate the impact the pandemic may have on the mortgage insurance market, our business performance or our financial position at this time, and it remains possible COVID-19 could again trigger more severe and adverse outcomes in future periods.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Significant Accounting Principles</w:t>
      </w:r>
    </w:p>
    <w:p>
      <w:pPr>
        <w:spacing w:after="0" w:line="162"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There have been no changes to our significant accounting principles as described in Item 8, "</w:t>
      </w:r>
      <w:r>
        <w:rPr>
          <w:rFonts w:ascii="Arial" w:cs="Arial" w:eastAsia="Arial" w:hAnsi="Arial"/>
          <w:sz w:val="18"/>
          <w:szCs w:val="18"/>
          <w:i w:val="1"/>
          <w:iCs w:val="1"/>
          <w:color w:val="auto"/>
        </w:rPr>
        <w:t>Financial Statements and Supplementary Data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 - Note 2 - Summary of Accounting Principles</w:t>
      </w:r>
      <w:r>
        <w:rPr>
          <w:rFonts w:ascii="Arial" w:cs="Arial" w:eastAsia="Arial" w:hAnsi="Arial"/>
          <w:sz w:val="18"/>
          <w:szCs w:val="18"/>
          <w:color w:val="auto"/>
        </w:rPr>
        <w:t>" of our 2021 10-K, except as noted in "</w:t>
      </w: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and "</w:t>
      </w:r>
      <w:r>
        <w:rPr>
          <w:rFonts w:ascii="Arial" w:cs="Arial" w:eastAsia="Arial" w:hAnsi="Arial"/>
          <w:sz w:val="18"/>
          <w:szCs w:val="18"/>
          <w:i w:val="1"/>
          <w:iCs w:val="1"/>
          <w:color w:val="auto"/>
        </w:rPr>
        <w:t>Recent Accounting Pronouncements - Adopted</w:t>
      </w:r>
      <w:r>
        <w:rPr>
          <w:rFonts w:ascii="Arial" w:cs="Arial" w:eastAsia="Arial" w:hAnsi="Arial"/>
          <w:sz w:val="18"/>
          <w:szCs w:val="18"/>
          <w:color w:val="auto"/>
        </w:rPr>
        <w:t>" below.</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Share Repurchases</w:t>
      </w:r>
    </w:p>
    <w:p>
      <w:pPr>
        <w:spacing w:after="0" w:line="162" w:lineRule="exact"/>
        <w:rPr>
          <w:sz w:val="20"/>
          <w:szCs w:val="20"/>
          <w:color w:val="auto"/>
        </w:rPr>
      </w:pPr>
    </w:p>
    <w:p>
      <w:pPr>
        <w:jc w:val="both"/>
        <w:ind w:left="120" w:firstLine="475"/>
        <w:spacing w:after="0" w:line="253" w:lineRule="auto"/>
        <w:rPr>
          <w:sz w:val="20"/>
          <w:szCs w:val="20"/>
          <w:color w:val="auto"/>
        </w:rPr>
      </w:pPr>
      <w:r>
        <w:rPr>
          <w:rFonts w:ascii="Arial" w:cs="Arial" w:eastAsia="Arial" w:hAnsi="Arial"/>
          <w:sz w:val="18"/>
          <w:szCs w:val="18"/>
          <w:color w:val="auto"/>
        </w:rPr>
        <w:t>Common stock repurchases are recorded at cost and presented as "Treasury Stock" in the consolidated balance sheet and statement of changes in shareholders' equity. At the date of repurchase, shareholders' equity is reduced by the aggregate repurchase price plus commissions and other expenses that arise from the repurchase transaction.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jc w:val="center"/>
        <w:ind w:right="120"/>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162" w:lineRule="exact"/>
        <w:rPr>
          <w:sz w:val="20"/>
          <w:szCs w:val="20"/>
          <w:color w:val="auto"/>
        </w:rPr>
      </w:pPr>
    </w:p>
    <w:p>
      <w:pPr>
        <w:jc w:val="both"/>
        <w:ind w:firstLine="475"/>
        <w:spacing w:after="0" w:line="292" w:lineRule="auto"/>
        <w:rPr>
          <w:sz w:val="20"/>
          <w:szCs w:val="20"/>
          <w:color w:val="auto"/>
        </w:rPr>
      </w:pPr>
      <w:r>
        <w:rPr>
          <w:rFonts w:ascii="Arial" w:cs="Arial" w:eastAsia="Arial" w:hAnsi="Arial"/>
          <w:sz w:val="16"/>
          <w:szCs w:val="16"/>
          <w:color w:val="auto"/>
        </w:rPr>
        <w:t xml:space="preserve">In August 2020, the Financial Accounting Standards Board (the FASB) issued ASU 2020-06, </w:t>
      </w:r>
      <w:r>
        <w:rPr>
          <w:rFonts w:ascii="Arial" w:cs="Arial" w:eastAsia="Arial" w:hAnsi="Arial"/>
          <w:sz w:val="16"/>
          <w:szCs w:val="16"/>
          <w:i w:val="1"/>
          <w:iCs w:val="1"/>
          <w:color w:val="auto"/>
        </w:rPr>
        <w:t>Debt—Debt with Conversion and Other Options</w:t>
      </w:r>
      <w:r>
        <w:rPr>
          <w:rFonts w:ascii="Arial" w:cs="Arial" w:eastAsia="Arial" w:hAnsi="Arial"/>
          <w:sz w:val="16"/>
          <w:szCs w:val="16"/>
          <w:color w:val="auto"/>
        </w:rPr>
        <w:t xml:space="preserve"> (Subtopic 470-20) and </w:t>
      </w:r>
      <w:r>
        <w:rPr>
          <w:rFonts w:ascii="Arial" w:cs="Arial" w:eastAsia="Arial" w:hAnsi="Arial"/>
          <w:sz w:val="16"/>
          <w:szCs w:val="16"/>
          <w:i w:val="1"/>
          <w:iCs w:val="1"/>
          <w:color w:val="auto"/>
        </w:rPr>
        <w:t>Derivatives and Hedging—Contracts in Entity's Own Equity</w:t>
      </w:r>
      <w:r>
        <w:rPr>
          <w:rFonts w:ascii="Arial" w:cs="Arial" w:eastAsia="Arial" w:hAnsi="Arial"/>
          <w:sz w:val="16"/>
          <w:szCs w:val="16"/>
          <w:color w:val="auto"/>
        </w:rPr>
        <w:t xml:space="preserve"> (Subtopic 815-40). The update simplifies the accounting for convertible instruments and contracts on an entity's own equity, including warrants, eliminating certain triggers for derivative accounting. We adopted this ASU on January 1, 2022 and determined it did not have a material impact on our consolidated financial statements, including our warrant liability.</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162" w:lineRule="exact"/>
        <w:rPr>
          <w:sz w:val="20"/>
          <w:szCs w:val="20"/>
          <w:color w:val="auto"/>
        </w:rPr>
      </w:pPr>
    </w:p>
    <w:p>
      <w:pPr>
        <w:jc w:val="both"/>
        <w:ind w:firstLine="475"/>
        <w:spacing w:after="0" w:line="285" w:lineRule="auto"/>
        <w:rPr>
          <w:sz w:val="20"/>
          <w:szCs w:val="20"/>
          <w:color w:val="auto"/>
        </w:rPr>
      </w:pPr>
      <w:r>
        <w:rPr>
          <w:rFonts w:ascii="Arial" w:cs="Arial" w:eastAsia="Arial" w:hAnsi="Arial"/>
          <w:sz w:val="16"/>
          <w:szCs w:val="16"/>
          <w:color w:val="auto"/>
        </w:rPr>
        <w:t xml:space="preserve">In August 2018, the FASB issued ASU 2018-12, </w:t>
      </w:r>
      <w:r>
        <w:rPr>
          <w:rFonts w:ascii="Arial" w:cs="Arial" w:eastAsia="Arial" w:hAnsi="Arial"/>
          <w:sz w:val="16"/>
          <w:szCs w:val="16"/>
          <w:i w:val="1"/>
          <w:iCs w:val="1"/>
          <w:color w:val="auto"/>
        </w:rPr>
        <w:t>Targeted Improvements to the Accounting for Long-Duration Contracts</w:t>
      </w:r>
      <w:r>
        <w:rPr>
          <w:rFonts w:ascii="Arial" w:cs="Arial" w:eastAsia="Arial" w:hAnsi="Arial"/>
          <w:sz w:val="16"/>
          <w:szCs w:val="16"/>
          <w:color w:val="auto"/>
        </w:rPr>
        <w:t xml:space="preserve"> (Topic 944). The update provides guidance to the existing recognition, measurement, presentation and disclosure requirements for long-duration contracts issued by an insurance entity. The FASB subsequently issued ASU 2019-09 in November 2019 and ASU 2020-11 in November 2020, which amended the effective date for this standard and provided transition relief to facilitate early application for long duration contracts. The standard will now take effect for public business entities for fiscal years, and interim periods within those fiscal years, beginning after December 15, 2022. We have evaluated the impact of the adoption of this guidance and have determined it will not have a material impact on our consolidated financial statements.</w:t>
      </w:r>
    </w:p>
    <w:p>
      <w:pPr>
        <w:spacing w:after="0" w:line="114" w:lineRule="exact"/>
        <w:rPr>
          <w:sz w:val="20"/>
          <w:szCs w:val="20"/>
          <w:color w:val="auto"/>
        </w:rPr>
      </w:pPr>
    </w:p>
    <w:p>
      <w:pPr>
        <w:jc w:val="both"/>
        <w:ind w:firstLine="475"/>
        <w:spacing w:after="0" w:line="282"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(Topic 848). The update provides optional guidance to ease the potential burden in accounting for reference rate reform on financial reporting. Reference rate reform refers to the global transition away from referencing the London Interbank Offered Rate (LIBOR) in financial contracts, which is expected to be discontinued during a transition period from 2021 through 2023. The ASU includes optional expedients and exceptions for applying GAAP to contracts, hedging relationships and other transactions affected by reference rate reform if certain criteria are met. This standard may be elected and applied prospectively over time from March 12, 2020 through December 31, 2022 as reference rate reform activities occur. We continue to monitor the impact the discontinuance of LIBOR will have on our contracts and other transactions; however, the adoption of, and future elections under this ASU are not expected to have a material impact on our consolidated financial statements as the ASU will ease, if warranted, the requirements for accounting for the future effects of the rate reform.</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168" w:lineRule="exact"/>
        <w:rPr>
          <w:sz w:val="20"/>
          <w:szCs w:val="20"/>
          <w:color w:val="auto"/>
        </w:rPr>
      </w:pPr>
    </w:p>
    <w:p>
      <w:pPr>
        <w:jc w:val="both"/>
        <w:ind w:firstLine="475"/>
        <w:spacing w:after="0" w:line="247" w:lineRule="auto"/>
        <w:rPr>
          <w:sz w:val="20"/>
          <w:szCs w:val="20"/>
          <w:color w:val="auto"/>
        </w:rPr>
      </w:pPr>
      <w:r>
        <w:rPr>
          <w:rFonts w:ascii="Arial" w:cs="Arial" w:eastAsia="Arial" w:hAnsi="Arial"/>
          <w:sz w:val="18"/>
          <w:szCs w:val="18"/>
          <w:color w:val="auto"/>
        </w:rPr>
        <w:t>We hold all investments on an available-for-sale basis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consolidated statement of operations and comprehensive income as a "Net Realized Investment Loss." To the extent we determine that a security impairment is credit-related, an impairment loss is recognized through the statement of operations as a provision for credit loss expense. The portion of a security impairment attributed to other non-credit related factors is recognized in other comprehensive income, net of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440" w:top="12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400" w:type="dxa"/>
            <w:vAlign w:val="bottom"/>
          </w:tcPr>
          <w:p>
            <w:pPr>
              <w:spacing w:after="0"/>
              <w:rPr>
                <w:sz w:val="15"/>
                <w:szCs w:val="15"/>
                <w:color w:val="auto"/>
              </w:rPr>
            </w:pPr>
          </w:p>
        </w:tc>
        <w:tc>
          <w:tcPr>
            <w:tcW w:w="2000" w:type="dxa"/>
            <w:vAlign w:val="bottom"/>
            <w:gridSpan w:val="3"/>
          </w:tcPr>
          <w:p>
            <w:pPr>
              <w:jc w:val="center"/>
              <w:ind w:left="677"/>
              <w:spacing w:after="0"/>
              <w:rPr>
                <w:sz w:val="20"/>
                <w:szCs w:val="20"/>
                <w:color w:val="auto"/>
              </w:rPr>
            </w:pPr>
            <w:r>
              <w:rPr>
                <w:rFonts w:ascii="Arial" w:cs="Arial" w:eastAsia="Arial" w:hAnsi="Arial"/>
                <w:sz w:val="14"/>
                <w:szCs w:val="14"/>
                <w:b w:val="1"/>
                <w:bCs w:val="1"/>
                <w:color w:val="auto"/>
                <w:w w:val="90"/>
              </w:rPr>
              <w:t>Gross Unrealized</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center"/>
              <w:ind w:right="33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Gains</w:t>
            </w: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As of September 30, 2022</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center"/>
              <w:ind w:left="677"/>
              <w:spacing w:after="0"/>
              <w:rPr>
                <w:sz w:val="20"/>
                <w:szCs w:val="20"/>
                <w:color w:val="auto"/>
              </w:rPr>
            </w:pPr>
            <w:r>
              <w:rPr>
                <w:rFonts w:ascii="Arial" w:cs="Arial" w:eastAsia="Arial" w:hAnsi="Arial"/>
                <w:sz w:val="14"/>
                <w:szCs w:val="14"/>
                <w:i w:val="1"/>
                <w:iCs w:val="1"/>
                <w:color w:val="auto"/>
                <w:w w:val="89"/>
              </w:rPr>
              <w:t>(In Thousands)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79,912</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569,931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(81,109)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488,855</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1,409,344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1,224,526</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75,783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(6,374)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69,409</w:t>
            </w:r>
          </w:p>
        </w:tc>
        <w:tc>
          <w:tcPr>
            <w:tcW w:w="0" w:type="dxa"/>
            <w:vAlign w:val="bottom"/>
          </w:tcPr>
          <w:p>
            <w:pPr>
              <w:spacing w:after="0"/>
              <w:rPr>
                <w:sz w:val="1"/>
                <w:szCs w:val="1"/>
                <w:color w:val="auto"/>
              </w:rPr>
            </w:pPr>
          </w:p>
        </w:tc>
      </w:tr>
      <w:tr>
        <w:trPr>
          <w:trHeight w:val="218"/>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bonds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2,137,333</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(274,994)</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1,862,702</w:t>
            </w:r>
          </w:p>
        </w:tc>
        <w:tc>
          <w:tcPr>
            <w:tcW w:w="0" w:type="dxa"/>
            <w:vAlign w:val="bottom"/>
          </w:tcPr>
          <w:p>
            <w:pPr>
              <w:spacing w:after="0"/>
              <w:rPr>
                <w:sz w:val="1"/>
                <w:szCs w:val="1"/>
                <w:color w:val="auto"/>
              </w:rPr>
            </w:pPr>
          </w:p>
        </w:tc>
      </w:tr>
      <w:tr>
        <w:trPr>
          <w:trHeight w:val="217"/>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111,404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111,229</w:t>
            </w:r>
          </w:p>
        </w:tc>
        <w:tc>
          <w:tcPr>
            <w:tcW w:w="0" w:type="dxa"/>
            <w:vAlign w:val="bottom"/>
          </w:tcPr>
          <w:p>
            <w:pPr>
              <w:spacing w:after="0"/>
              <w:rPr>
                <w:sz w:val="1"/>
                <w:szCs w:val="1"/>
                <w:color w:val="auto"/>
              </w:rPr>
            </w:pPr>
          </w:p>
        </w:tc>
      </w:tr>
      <w:tr>
        <w:trPr>
          <w:trHeight w:val="243"/>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2,248,737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(275,223)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1,973,931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400" w:type="dxa"/>
            <w:vAlign w:val="bottom"/>
          </w:tcPr>
          <w:p>
            <w:pPr>
              <w:spacing w:after="0"/>
              <w:rPr>
                <w:sz w:val="24"/>
                <w:szCs w:val="24"/>
                <w:color w:val="auto"/>
              </w:rPr>
            </w:pPr>
          </w:p>
        </w:tc>
        <w:tc>
          <w:tcPr>
            <w:tcW w:w="2000" w:type="dxa"/>
            <w:vAlign w:val="bottom"/>
            <w:gridSpan w:val="3"/>
          </w:tcPr>
          <w:p>
            <w:pPr>
              <w:jc w:val="center"/>
              <w:ind w:left="677"/>
              <w:spacing w:after="0"/>
              <w:rPr>
                <w:sz w:val="20"/>
                <w:szCs w:val="20"/>
                <w:color w:val="auto"/>
              </w:rPr>
            </w:pPr>
            <w:r>
              <w:rPr>
                <w:rFonts w:ascii="Arial" w:cs="Arial" w:eastAsia="Arial" w:hAnsi="Arial"/>
                <w:sz w:val="14"/>
                <w:szCs w:val="14"/>
                <w:b w:val="1"/>
                <w:bCs w:val="1"/>
                <w:color w:val="auto"/>
                <w:w w:val="90"/>
              </w:rPr>
              <w:t>Gross Unrealized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vMerge w:val="restart"/>
          </w:tcPr>
          <w:p>
            <w:pPr>
              <w:jc w:val="center"/>
              <w:ind w:right="33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Gains</w:t>
            </w: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center"/>
              <w:ind w:left="677"/>
              <w:spacing w:after="0"/>
              <w:rPr>
                <w:sz w:val="20"/>
                <w:szCs w:val="20"/>
                <w:color w:val="auto"/>
              </w:rPr>
            </w:pPr>
            <w:r>
              <w:rPr>
                <w:rFonts w:ascii="Arial" w:cs="Arial" w:eastAsia="Arial" w:hAnsi="Arial"/>
                <w:sz w:val="14"/>
                <w:szCs w:val="14"/>
                <w:i w:val="1"/>
                <w:iCs w:val="1"/>
                <w:color w:val="auto"/>
                <w:w w:val="89"/>
              </w:rPr>
              <w:t>(In Thousands)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30,424</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553,793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554,078</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1,388,204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1,393,830</w:t>
            </w:r>
          </w:p>
        </w:tc>
        <w:tc>
          <w:tcPr>
            <w:tcW w:w="0" w:type="dxa"/>
            <w:vAlign w:val="bottom"/>
          </w:tcPr>
          <w:p>
            <w:pPr>
              <w:spacing w:after="0"/>
              <w:rPr>
                <w:sz w:val="1"/>
                <w:szCs w:val="1"/>
                <w:color w:val="auto"/>
              </w:rPr>
            </w:pPr>
          </w:p>
        </w:tc>
      </w:tr>
      <w:tr>
        <w:trPr>
          <w:trHeight w:val="224"/>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96,581</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2,067,764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30,344</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2,074,913</w:t>
            </w:r>
          </w:p>
        </w:tc>
        <w:tc>
          <w:tcPr>
            <w:tcW w:w="0" w:type="dxa"/>
            <w:vAlign w:val="bottom"/>
          </w:tcPr>
          <w:p>
            <w:pPr>
              <w:spacing w:after="0"/>
              <w:rPr>
                <w:sz w:val="1"/>
                <w:szCs w:val="1"/>
                <w:color w:val="auto"/>
              </w:rPr>
            </w:pPr>
          </w:p>
        </w:tc>
      </w:tr>
      <w:tr>
        <w:trPr>
          <w:trHeight w:val="217"/>
        </w:trPr>
        <w:tc>
          <w:tcPr>
            <w:tcW w:w="40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11,018</w:t>
            </w:r>
          </w:p>
        </w:tc>
        <w:tc>
          <w:tcPr>
            <w:tcW w:w="0" w:type="dxa"/>
            <w:vAlign w:val="bottom"/>
          </w:tcPr>
          <w:p>
            <w:pPr>
              <w:spacing w:after="0"/>
              <w:rPr>
                <w:sz w:val="1"/>
                <w:szCs w:val="1"/>
                <w:color w:val="auto"/>
              </w:rPr>
            </w:pPr>
          </w:p>
        </w:tc>
      </w:tr>
      <w:tr>
        <w:trPr>
          <w:trHeight w:val="243"/>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2,078,773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2,085,931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did not own any mortgage-backed securities in our asset-backed securities portfolio at September 30, 2022 or December 31, 2021.</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presents a breakdown of the fair value of our corporate debt securities by issuer industry group as of September 30, 2022 and</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00" w:type="dxa"/>
            <w:vAlign w:val="bottom"/>
          </w:tcPr>
          <w:p>
            <w:pPr>
              <w:spacing w:after="0"/>
              <w:rPr>
                <w:sz w:val="15"/>
                <w:szCs w:val="15"/>
                <w:color w:val="auto"/>
              </w:rPr>
            </w:pPr>
          </w:p>
        </w:tc>
        <w:tc>
          <w:tcPr>
            <w:tcW w:w="1900" w:type="dxa"/>
            <w:vAlign w:val="bottom"/>
            <w:gridSpan w:val="2"/>
          </w:tcPr>
          <w:p>
            <w:pPr>
              <w:ind w:left="300"/>
              <w:spacing w:after="0"/>
              <w:rPr>
                <w:sz w:val="20"/>
                <w:szCs w:val="20"/>
                <w:color w:val="auto"/>
              </w:rPr>
            </w:pPr>
            <w:r>
              <w:rPr>
                <w:rFonts w:ascii="Arial" w:cs="Arial" w:eastAsia="Arial" w:hAnsi="Arial"/>
                <w:sz w:val="14"/>
                <w:szCs w:val="14"/>
                <w:b w:val="1"/>
                <w:bCs w:val="1"/>
                <w:color w:val="auto"/>
              </w:rPr>
              <w:t>September 30, 2022</w:t>
            </w:r>
          </w:p>
        </w:tc>
        <w:tc>
          <w:tcPr>
            <w:tcW w:w="1820" w:type="dxa"/>
            <w:vAlign w:val="bottom"/>
          </w:tcPr>
          <w:p>
            <w:pPr>
              <w:jc w:val="right"/>
              <w:ind w:right="254"/>
              <w:spacing w:after="0"/>
              <w:rPr>
                <w:sz w:val="20"/>
                <w:szCs w:val="20"/>
                <w:color w:val="auto"/>
              </w:rPr>
            </w:pPr>
            <w:r>
              <w:rPr>
                <w:rFonts w:ascii="Arial" w:cs="Arial" w:eastAsia="Arial" w:hAnsi="Arial"/>
                <w:sz w:val="14"/>
                <w:szCs w:val="14"/>
                <w:b w:val="1"/>
                <w:bCs w:val="1"/>
                <w:color w:val="auto"/>
              </w:rPr>
              <w:t>December 31, 2021</w:t>
            </w:r>
          </w:p>
        </w:tc>
      </w:tr>
      <w:tr>
        <w:trPr>
          <w:trHeight w:val="24"/>
        </w:trPr>
        <w:tc>
          <w:tcPr>
            <w:tcW w:w="75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4"/>
        </w:trPr>
        <w:tc>
          <w:tcPr>
            <w:tcW w:w="7500" w:type="dxa"/>
            <w:vAlign w:val="bottom"/>
          </w:tcPr>
          <w:p>
            <w:pPr>
              <w:ind w:left="20"/>
              <w:spacing w:after="0"/>
              <w:rPr>
                <w:sz w:val="20"/>
                <w:szCs w:val="20"/>
                <w:color w:val="auto"/>
              </w:rPr>
            </w:pPr>
            <w:r>
              <w:rPr>
                <w:rFonts w:ascii="Arial" w:cs="Arial" w:eastAsia="Arial" w:hAnsi="Arial"/>
                <w:sz w:val="18"/>
                <w:szCs w:val="18"/>
                <w:color w:val="auto"/>
              </w:rPr>
              <w:t>Consumer</w:t>
            </w:r>
          </w:p>
        </w:tc>
        <w:tc>
          <w:tcPr>
            <w:tcW w:w="1800" w:type="dxa"/>
            <w:vAlign w:val="bottom"/>
          </w:tcPr>
          <w:p>
            <w:pPr>
              <w:jc w:val="right"/>
              <w:ind w:right="1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820" w:type="dxa"/>
            <w:vAlign w:val="bottom"/>
          </w:tcPr>
          <w:p>
            <w:pPr>
              <w:jc w:val="right"/>
              <w:ind w:right="134"/>
              <w:spacing w:after="0"/>
              <w:rPr>
                <w:sz w:val="20"/>
                <w:szCs w:val="20"/>
                <w:color w:val="auto"/>
              </w:rPr>
            </w:pPr>
            <w:r>
              <w:rPr>
                <w:rFonts w:ascii="Arial" w:cs="Arial" w:eastAsia="Arial" w:hAnsi="Arial"/>
                <w:sz w:val="18"/>
                <w:szCs w:val="18"/>
                <w:color w:val="auto"/>
              </w:rPr>
              <w:t>24</w:t>
            </w:r>
          </w:p>
        </w:tc>
      </w:tr>
      <w:tr>
        <w:trPr>
          <w:trHeight w:val="22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18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w:t>
            </w:r>
          </w:p>
        </w:tc>
      </w:tr>
      <w:tr>
        <w:trPr>
          <w:trHeight w:val="224"/>
        </w:trPr>
        <w:tc>
          <w:tcPr>
            <w:tcW w:w="7500" w:type="dxa"/>
            <w:vAlign w:val="bottom"/>
          </w:tcPr>
          <w:p>
            <w:pPr>
              <w:ind w:left="20"/>
              <w:spacing w:after="0"/>
              <w:rPr>
                <w:sz w:val="20"/>
                <w:szCs w:val="20"/>
                <w:color w:val="auto"/>
              </w:rPr>
            </w:pPr>
            <w:r>
              <w:rPr>
                <w:rFonts w:ascii="Arial" w:cs="Arial" w:eastAsia="Arial" w:hAnsi="Arial"/>
                <w:sz w:val="18"/>
                <w:szCs w:val="18"/>
                <w:color w:val="auto"/>
              </w:rPr>
              <w:t>Utilities</w:t>
            </w:r>
          </w:p>
        </w:tc>
        <w:tc>
          <w:tcPr>
            <w:tcW w:w="1800" w:type="dxa"/>
            <w:vAlign w:val="bottom"/>
          </w:tcPr>
          <w:p>
            <w:pPr>
              <w:jc w:val="right"/>
              <w:ind w:right="1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20" w:type="dxa"/>
            <w:vAlign w:val="bottom"/>
          </w:tcPr>
          <w:p>
            <w:pPr>
              <w:jc w:val="right"/>
              <w:ind w:right="134"/>
              <w:spacing w:after="0"/>
              <w:rPr>
                <w:sz w:val="20"/>
                <w:szCs w:val="20"/>
                <w:color w:val="auto"/>
              </w:rPr>
            </w:pPr>
            <w:r>
              <w:rPr>
                <w:rFonts w:ascii="Arial" w:cs="Arial" w:eastAsia="Arial" w:hAnsi="Arial"/>
                <w:sz w:val="18"/>
                <w:szCs w:val="18"/>
                <w:color w:val="auto"/>
              </w:rPr>
              <w:t>10</w:t>
            </w:r>
          </w:p>
        </w:tc>
      </w:tr>
      <w:tr>
        <w:trPr>
          <w:trHeight w:val="22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8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w:t>
            </w:r>
          </w:p>
        </w:tc>
      </w:tr>
      <w:tr>
        <w:trPr>
          <w:trHeight w:val="224"/>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Industrial</w:t>
            </w:r>
          </w:p>
        </w:tc>
        <w:tc>
          <w:tcPr>
            <w:tcW w:w="18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w:t>
            </w:r>
          </w:p>
        </w:tc>
      </w:tr>
      <w:tr>
        <w:trPr>
          <w:trHeight w:val="243"/>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120" w:firstLine="475"/>
        <w:spacing w:after="0" w:line="325" w:lineRule="auto"/>
        <w:rPr>
          <w:sz w:val="20"/>
          <w:szCs w:val="20"/>
          <w:color w:val="auto"/>
        </w:rPr>
      </w:pPr>
      <w:r>
        <w:rPr>
          <w:rFonts w:ascii="Arial" w:cs="Arial" w:eastAsia="Arial" w:hAnsi="Arial"/>
          <w:sz w:val="16"/>
          <w:szCs w:val="16"/>
          <w:color w:val="auto"/>
        </w:rPr>
        <w:t>As of September 30, 2022 and December 31, 2021, approximately $5.4 million and $5.6 million, respectively, of our cash and investments were held in the form of U.S. Treasury securities on deposit with various state insurance departments to satisfy regulatory requirements.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Scheduled Maturities</w:t>
      </w:r>
    </w:p>
    <w:p>
      <w:pPr>
        <w:spacing w:after="0" w:line="162" w:lineRule="exact"/>
        <w:rPr>
          <w:sz w:val="20"/>
          <w:szCs w:val="20"/>
          <w:color w:val="auto"/>
        </w:rPr>
      </w:pPr>
    </w:p>
    <w:p>
      <w:pPr>
        <w:jc w:val="both"/>
        <w:ind w:firstLine="633"/>
        <w:spacing w:after="0" w:line="328" w:lineRule="auto"/>
        <w:rPr>
          <w:sz w:val="20"/>
          <w:szCs w:val="20"/>
          <w:color w:val="auto"/>
        </w:rPr>
      </w:pPr>
      <w:r>
        <w:rPr>
          <w:rFonts w:ascii="Arial" w:cs="Arial" w:eastAsia="Arial" w:hAnsi="Arial"/>
          <w:sz w:val="15"/>
          <w:szCs w:val="15"/>
          <w:color w:val="auto"/>
        </w:rPr>
        <w:t>The amortized cost and fair value of available-for-sale securities as of September 30, 2022 and December 31, 2021,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September 30, 2022</w:t>
            </w:r>
          </w:p>
        </w:tc>
        <w:tc>
          <w:tcPr>
            <w:tcW w:w="32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Amortized</w:t>
            </w:r>
          </w:p>
        </w:tc>
        <w:tc>
          <w:tcPr>
            <w:tcW w:w="520" w:type="dxa"/>
            <w:vAlign w:val="bottom"/>
          </w:tcPr>
          <w:p>
            <w:pPr>
              <w:spacing w:after="0"/>
              <w:rPr>
                <w:sz w:val="14"/>
                <w:szCs w:val="14"/>
                <w:color w:val="auto"/>
              </w:rPr>
            </w:pPr>
          </w:p>
        </w:tc>
        <w:tc>
          <w:tcPr>
            <w:tcW w:w="1200" w:type="dxa"/>
            <w:vAlign w:val="bottom"/>
          </w:tcPr>
          <w:p>
            <w:pPr>
              <w:jc w:val="center"/>
              <w:ind w:right="45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9"/>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3"/>
          </w:tcPr>
          <w:p>
            <w:pPr>
              <w:jc w:val="right"/>
              <w:ind w:right="72"/>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212,904</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211,769</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896,340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822,528</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1,048,875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858,304</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14,835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11,921</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75,783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69,409</w:t>
            </w:r>
          </w:p>
        </w:tc>
        <w:tc>
          <w:tcPr>
            <w:tcW w:w="0" w:type="dxa"/>
            <w:vAlign w:val="bottom"/>
          </w:tcPr>
          <w:p>
            <w:pPr>
              <w:spacing w:after="0"/>
              <w:rPr>
                <w:sz w:val="1"/>
                <w:szCs w:val="1"/>
                <w:color w:val="auto"/>
              </w:rPr>
            </w:pPr>
          </w:p>
        </w:tc>
      </w:tr>
      <w:tr>
        <w:trPr>
          <w:trHeight w:val="218"/>
        </w:trPr>
        <w:tc>
          <w:tcPr>
            <w:tcW w:w="768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2,248,737</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1,973,931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320" w:type="dxa"/>
            <w:vAlign w:val="bottom"/>
          </w:tcPr>
          <w:p>
            <w:pPr>
              <w:spacing w:after="0"/>
              <w:rPr>
                <w:sz w:val="24"/>
                <w:szCs w:val="2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Amortized</w:t>
            </w:r>
          </w:p>
        </w:tc>
        <w:tc>
          <w:tcPr>
            <w:tcW w:w="520" w:type="dxa"/>
            <w:vAlign w:val="bottom"/>
          </w:tcPr>
          <w:p>
            <w:pPr>
              <w:spacing w:after="0"/>
              <w:rPr>
                <w:sz w:val="24"/>
                <w:szCs w:val="24"/>
                <w:color w:val="auto"/>
              </w:rPr>
            </w:pPr>
          </w:p>
        </w:tc>
        <w:tc>
          <w:tcPr>
            <w:tcW w:w="1200" w:type="dxa"/>
            <w:vAlign w:val="bottom"/>
          </w:tcPr>
          <w:p>
            <w:pPr>
              <w:jc w:val="center"/>
              <w:ind w:right="45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1"/>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5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9"/>
        </w:trPr>
        <w:tc>
          <w:tcPr>
            <w:tcW w:w="7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3"/>
          </w:tcPr>
          <w:p>
            <w:pPr>
              <w:jc w:val="right"/>
              <w:ind w:right="72"/>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81,699</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82,201</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630,625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644,447</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1,215,224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1,207,997</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54,901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54,705</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96,324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96,581</w:t>
            </w:r>
          </w:p>
        </w:tc>
        <w:tc>
          <w:tcPr>
            <w:tcW w:w="0" w:type="dxa"/>
            <w:vAlign w:val="bottom"/>
          </w:tcPr>
          <w:p>
            <w:pPr>
              <w:spacing w:after="0"/>
              <w:rPr>
                <w:sz w:val="1"/>
                <w:szCs w:val="1"/>
                <w:color w:val="auto"/>
              </w:rPr>
            </w:pPr>
          </w:p>
        </w:tc>
      </w:tr>
      <w:tr>
        <w:trPr>
          <w:trHeight w:val="218"/>
        </w:trPr>
        <w:tc>
          <w:tcPr>
            <w:tcW w:w="768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2,078,773</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2,085,931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Aging of Unrealized Losses</w:t>
      </w:r>
    </w:p>
    <w:p>
      <w:pPr>
        <w:spacing w:after="0" w:line="162"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As of September 30, 2022, the investment portfolio had gross unrealized losses of $275.2 million, of which $173.4 million were associated with securities that had been in an unrealized loss position for a period of twelve months or longer. As of December 31, 2021, the investment portfolio had gross unrealized losses of $23.2 million, of which $6.5 million were associated with securities that had been in an unrealized loss position for a period of twelve months or longer. For those securities in an unrealized loss position, the length of time the securities were in such a position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0" w:type="dxa"/>
            <w:vAlign w:val="bottom"/>
            <w:gridSpan w:val="5"/>
          </w:tcPr>
          <w:p>
            <w:pPr>
              <w:ind w:left="20"/>
              <w:spacing w:after="0"/>
              <w:rPr>
                <w:sz w:val="20"/>
                <w:szCs w:val="20"/>
                <w:color w:val="auto"/>
              </w:rPr>
            </w:pPr>
            <w:r>
              <w:rPr>
                <w:rFonts w:ascii="Arial" w:cs="Arial" w:eastAsia="Arial" w:hAnsi="Arial"/>
                <w:sz w:val="14"/>
                <w:szCs w:val="14"/>
                <w:b w:val="1"/>
                <w:bCs w:val="1"/>
                <w:color w:val="auto"/>
              </w:rPr>
              <w:t>Less Than 12 Months</w:t>
            </w:r>
          </w:p>
        </w:tc>
        <w:tc>
          <w:tcPr>
            <w:tcW w:w="780" w:type="dxa"/>
            <w:vAlign w:val="bottom"/>
          </w:tcPr>
          <w:p>
            <w:pPr>
              <w:spacing w:after="0"/>
              <w:rPr>
                <w:sz w:val="15"/>
                <w:szCs w:val="15"/>
                <w:color w:val="auto"/>
              </w:rPr>
            </w:pPr>
          </w:p>
        </w:tc>
        <w:tc>
          <w:tcPr>
            <w:tcW w:w="2200" w:type="dxa"/>
            <w:vAlign w:val="bottom"/>
            <w:gridSpan w:val="5"/>
          </w:tcPr>
          <w:p>
            <w:pPr>
              <w:spacing w:after="0"/>
              <w:rPr>
                <w:sz w:val="20"/>
                <w:szCs w:val="20"/>
                <w:color w:val="auto"/>
              </w:rPr>
            </w:pPr>
            <w:r>
              <w:rPr>
                <w:rFonts w:ascii="Arial" w:cs="Arial" w:eastAsia="Arial" w:hAnsi="Arial"/>
                <w:sz w:val="14"/>
                <w:szCs w:val="14"/>
                <w:b w:val="1"/>
                <w:bCs w:val="1"/>
                <w:color w:val="auto"/>
              </w:rPr>
              <w:t>12 Months or Greater</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780" w:type="dxa"/>
            <w:vAlign w:val="bottom"/>
            <w:tcBorders>
              <w:top w:val="single" w:sz="8" w:color="auto"/>
            </w:tcBorders>
          </w:tcPr>
          <w:p>
            <w:pPr>
              <w:jc w:val="right"/>
              <w:ind w:right="156"/>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6"/>
              <w:spacing w:after="0" w:line="12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780" w:type="dxa"/>
            <w:vAlign w:val="bottom"/>
            <w:tcBorders>
              <w:top w:val="single" w:sz="8" w:color="auto"/>
            </w:tcBorders>
          </w:tcPr>
          <w:p>
            <w:pPr>
              <w:jc w:val="right"/>
              <w:ind w:right="156"/>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56"/>
              <w:spacing w:after="0" w:line="12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82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 of</w:t>
            </w: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Securities</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78"/>
              </w:rPr>
              <w:t>Losses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Securities</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78"/>
              </w:rPr>
              <w:t>Losses</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89"/>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As of September 30, 2022</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ind w:left="380"/>
              <w:spacing w:after="0"/>
              <w:rPr>
                <w:sz w:val="20"/>
                <w:szCs w:val="20"/>
                <w:color w:val="auto"/>
              </w:rPr>
            </w:pPr>
            <w:r>
              <w:rPr>
                <w:rFonts w:ascii="Arial" w:cs="Arial" w:eastAsia="Arial" w:hAnsi="Arial"/>
                <w:sz w:val="14"/>
                <w:szCs w:val="14"/>
                <w:i w:val="1"/>
                <w:iCs w:val="1"/>
                <w:color w:val="auto"/>
              </w:rPr>
              <w:t>($ In Thousands)</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U.S. Treasury securities and</w:t>
            </w: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400" w:type="dxa"/>
            <w:vAlign w:val="bottom"/>
            <w:shd w:val="clear" w:color="auto" w:fill="CCEEFF"/>
          </w:tcPr>
          <w:p>
            <w:pPr>
              <w:ind w:left="20"/>
              <w:spacing w:after="0" w:line="171" w:lineRule="exact"/>
              <w:rPr>
                <w:sz w:val="20"/>
                <w:szCs w:val="20"/>
                <w:color w:val="auto"/>
              </w:rPr>
            </w:pPr>
            <w:r>
              <w:rPr>
                <w:rFonts w:ascii="Arial" w:cs="Arial" w:eastAsia="Arial" w:hAnsi="Arial"/>
                <w:sz w:val="18"/>
                <w:szCs w:val="18"/>
                <w:color w:val="auto"/>
                <w:w w:val="95"/>
              </w:rPr>
              <w:t>obligations of U.S. government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79,912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79,912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agencies</w:t>
            </w:r>
          </w:p>
        </w:tc>
        <w:tc>
          <w:tcPr>
            <w:tcW w:w="78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284,217</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(39,319)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201,638</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(41,790)</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485,855</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(81,109)</w:t>
            </w:r>
          </w:p>
        </w:tc>
        <w:tc>
          <w:tcPr>
            <w:tcW w:w="0" w:type="dxa"/>
            <w:vAlign w:val="bottom"/>
          </w:tcPr>
          <w:p>
            <w:pPr>
              <w:spacing w:after="0"/>
              <w:rPr>
                <w:sz w:val="1"/>
                <w:szCs w:val="1"/>
                <w:color w:val="auto"/>
              </w:rPr>
            </w:pPr>
          </w:p>
        </w:tc>
      </w:tr>
      <w:tr>
        <w:trPr>
          <w:trHeight w:val="225"/>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590,692</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621,820</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(129,673)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1,212,512</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(185,066)</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56,981</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(4,454)</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12,428</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69,409</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(6,374)</w:t>
            </w:r>
          </w:p>
        </w:tc>
        <w:tc>
          <w:tcPr>
            <w:tcW w:w="0" w:type="dxa"/>
            <w:vAlign w:val="bottom"/>
          </w:tcPr>
          <w:p>
            <w:pPr>
              <w:spacing w:after="0"/>
              <w:rPr>
                <w:sz w:val="1"/>
                <w:szCs w:val="1"/>
                <w:color w:val="auto"/>
              </w:rPr>
            </w:pPr>
          </w:p>
        </w:tc>
      </w:tr>
      <w:tr>
        <w:trPr>
          <w:trHeight w:val="224"/>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78,859</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78,859</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8"/>
        </w:trPr>
        <w:tc>
          <w:tcPr>
            <w:tcW w:w="2400" w:type="dxa"/>
            <w:vAlign w:val="bottom"/>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1,090,661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(101,840)</w:t>
            </w: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835,886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(173,383)</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1,926,547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(275,223)</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40" w:type="dxa"/>
            <w:vAlign w:val="bottom"/>
          </w:tcPr>
          <w:p>
            <w:pPr>
              <w:spacing w:after="0"/>
              <w:rPr>
                <w:sz w:val="15"/>
                <w:szCs w:val="15"/>
                <w:color w:val="auto"/>
              </w:rPr>
            </w:pPr>
          </w:p>
        </w:tc>
        <w:tc>
          <w:tcPr>
            <w:tcW w:w="2880" w:type="dxa"/>
            <w:vAlign w:val="bottom"/>
            <w:gridSpan w:val="6"/>
          </w:tcPr>
          <w:p>
            <w:pPr>
              <w:ind w:left="740"/>
              <w:spacing w:after="0"/>
              <w:rPr>
                <w:sz w:val="20"/>
                <w:szCs w:val="20"/>
                <w:color w:val="auto"/>
              </w:rPr>
            </w:pPr>
            <w:r>
              <w:rPr>
                <w:rFonts w:ascii="Arial" w:cs="Arial" w:eastAsia="Arial" w:hAnsi="Arial"/>
                <w:sz w:val="14"/>
                <w:szCs w:val="14"/>
                <w:b w:val="1"/>
                <w:bCs w:val="1"/>
                <w:color w:val="auto"/>
              </w:rPr>
              <w:t>Less Than 12 Months</w:t>
            </w:r>
          </w:p>
        </w:tc>
        <w:tc>
          <w:tcPr>
            <w:tcW w:w="2840" w:type="dxa"/>
            <w:vAlign w:val="bottom"/>
            <w:gridSpan w:val="6"/>
          </w:tcPr>
          <w:p>
            <w:pPr>
              <w:ind w:left="700"/>
              <w:spacing w:after="0"/>
              <w:rPr>
                <w:sz w:val="20"/>
                <w:szCs w:val="20"/>
                <w:color w:val="auto"/>
              </w:rPr>
            </w:pPr>
            <w:r>
              <w:rPr>
                <w:rFonts w:ascii="Arial" w:cs="Arial" w:eastAsia="Arial" w:hAnsi="Arial"/>
                <w:sz w:val="14"/>
                <w:szCs w:val="14"/>
                <w:b w:val="1"/>
                <w:bCs w:val="1"/>
                <w:color w:val="auto"/>
              </w:rPr>
              <w:t>12 Months or Greater</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18"/>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800" w:type="dxa"/>
            <w:vAlign w:val="bottom"/>
            <w:tcBorders>
              <w:top w:val="single" w:sz="8" w:color="auto"/>
            </w:tcBorders>
          </w:tcPr>
          <w:p>
            <w:pPr>
              <w:jc w:val="right"/>
              <w:ind w:right="200"/>
              <w:spacing w:after="0" w:line="129" w:lineRule="exact"/>
              <w:rPr>
                <w:sz w:val="20"/>
                <w:szCs w:val="20"/>
                <w:color w:val="auto"/>
              </w:rPr>
            </w:pPr>
            <w:r>
              <w:rPr>
                <w:rFonts w:ascii="Arial" w:cs="Arial" w:eastAsia="Arial" w:hAnsi="Arial"/>
                <w:sz w:val="14"/>
                <w:szCs w:val="14"/>
                <w:b w:val="1"/>
                <w:bCs w:val="1"/>
                <w:color w:val="auto"/>
              </w:rPr>
              <w:t># of</w:t>
            </w: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38"/>
              <w:spacing w:after="0" w:line="12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800" w:type="dxa"/>
            <w:vAlign w:val="bottom"/>
            <w:tcBorders>
              <w:top w:val="single" w:sz="8" w:color="auto"/>
            </w:tcBorders>
          </w:tcPr>
          <w:p>
            <w:pPr>
              <w:jc w:val="right"/>
              <w:ind w:right="200"/>
              <w:spacing w:after="0" w:line="129" w:lineRule="exact"/>
              <w:rPr>
                <w:sz w:val="20"/>
                <w:szCs w:val="20"/>
                <w:color w:val="auto"/>
              </w:rPr>
            </w:pPr>
            <w:r>
              <w:rPr>
                <w:rFonts w:ascii="Arial" w:cs="Arial" w:eastAsia="Arial" w:hAnsi="Arial"/>
                <w:sz w:val="14"/>
                <w:szCs w:val="14"/>
                <w:b w:val="1"/>
                <w:bCs w:val="1"/>
                <w:color w:val="auto"/>
              </w:rPr>
              <w:t># of</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58"/>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58"/>
              <w:spacing w:after="0" w:line="12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800" w:type="dxa"/>
            <w:vAlign w:val="bottom"/>
            <w:tcBorders>
              <w:top w:val="single" w:sz="8" w:color="auto"/>
            </w:tcBorders>
          </w:tcPr>
          <w:p>
            <w:pPr>
              <w:jc w:val="right"/>
              <w:ind w:right="198"/>
              <w:spacing w:after="0" w:line="129" w:lineRule="exact"/>
              <w:rPr>
                <w:sz w:val="20"/>
                <w:szCs w:val="20"/>
                <w:color w:val="auto"/>
              </w:rPr>
            </w:pPr>
            <w:r>
              <w:rPr>
                <w:rFonts w:ascii="Arial" w:cs="Arial" w:eastAsia="Arial" w:hAnsi="Arial"/>
                <w:sz w:val="14"/>
                <w:szCs w:val="14"/>
                <w:b w:val="1"/>
                <w:bCs w:val="1"/>
                <w:color w:val="auto"/>
              </w:rPr>
              <w:t># of</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178"/>
              <w:spacing w:after="0"/>
              <w:rPr>
                <w:sz w:val="20"/>
                <w:szCs w:val="20"/>
                <w:color w:val="auto"/>
              </w:rPr>
            </w:pPr>
            <w:r>
              <w:rPr>
                <w:rFonts w:ascii="Arial" w:cs="Arial" w:eastAsia="Arial" w:hAnsi="Arial"/>
                <w:sz w:val="14"/>
                <w:szCs w:val="14"/>
                <w:b w:val="1"/>
                <w:bCs w:val="1"/>
                <w:color w:val="auto"/>
                <w:w w:val="92"/>
              </w:rPr>
              <w:t>Fair Value</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87"/>
        </w:trPr>
        <w:tc>
          <w:tcPr>
            <w:tcW w:w="2440" w:type="dxa"/>
            <w:vAlign w:val="bottom"/>
          </w:tcPr>
          <w:p>
            <w:pPr>
              <w:spacing w:after="0"/>
              <w:rPr>
                <w:sz w:val="16"/>
                <w:szCs w:val="16"/>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78"/>
              </w:rPr>
              <w:t>Losses</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Securities</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Securities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89"/>
        </w:trPr>
        <w:tc>
          <w:tcPr>
            <w:tcW w:w="24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4"/>
          </w:tcPr>
          <w:p>
            <w:pPr>
              <w:ind w:left="340"/>
              <w:spacing w:after="0"/>
              <w:rPr>
                <w:sz w:val="20"/>
                <w:szCs w:val="20"/>
                <w:color w:val="auto"/>
              </w:rPr>
            </w:pPr>
            <w:r>
              <w:rPr>
                <w:rFonts w:ascii="Arial" w:cs="Arial" w:eastAsia="Arial" w:hAnsi="Arial"/>
                <w:sz w:val="14"/>
                <w:szCs w:val="14"/>
                <w:i w:val="1"/>
                <w:iCs w:val="1"/>
                <w:color w:val="auto"/>
              </w:rPr>
              <w:t>($ In Thousands)</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24"/>
        </w:trPr>
        <w:tc>
          <w:tcPr>
            <w:tcW w:w="244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653,488</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(11,426)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146,003</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(5,938)</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799,491</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(17,364)</w:t>
            </w:r>
          </w:p>
        </w:tc>
        <w:tc>
          <w:tcPr>
            <w:tcW w:w="0" w:type="dxa"/>
            <w:vAlign w:val="bottom"/>
          </w:tcPr>
          <w:p>
            <w:pPr>
              <w:spacing w:after="0"/>
              <w:rPr>
                <w:sz w:val="1"/>
                <w:szCs w:val="1"/>
                <w:color w:val="auto"/>
              </w:rPr>
            </w:pPr>
          </w:p>
        </w:tc>
      </w:tr>
      <w:tr>
        <w:trPr>
          <w:trHeight w:val="224"/>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57,601</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59,578</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8"/>
        </w:trPr>
        <w:tc>
          <w:tcPr>
            <w:tcW w:w="2440" w:type="dxa"/>
            <w:vAlign w:val="bottom"/>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1,025,912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(16,742)</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(6,453)</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1,182,030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(23,195)</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Allowance for credit losses</w:t>
      </w:r>
    </w:p>
    <w:p>
      <w:pPr>
        <w:spacing w:after="0" w:line="162"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As of September 30, 2022 and December 31, 2021, we did not recognize an allowance for credit loss for any security in the investment portfolio and we did not record any provision for credit loss for investment securities during the three or nine-month periods ended September 30, 2022 or September 30, 2021.</w:t>
      </w:r>
    </w:p>
    <w:p>
      <w:pPr>
        <w:spacing w:after="0" w:line="137"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The increase in the number of securities in and the aggregate size of the unrealized loss position as of September 30, 2022, was driven by fluctuations in interest rates and, to a lesser extent, movements in credit spreads following the purchase date of certain securities. We evaluated the securities in an unrealized loss position as of September 30, 2022, assessing their credit ratings as well as any adverse conditions specifically related to the security. Based upon our estimate of the amount and timing of cash flows to be collected over the remaining life of each instrument, we believe the unrealized losses as of September 30, 2022 are not indicative of the ultimate collectability of the current amortized cost of the securities.</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Investment Income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components of net investment income: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80" w:type="dxa"/>
            <w:vAlign w:val="bottom"/>
          </w:tcPr>
          <w:p>
            <w:pPr>
              <w:spacing w:after="0"/>
              <w:rPr>
                <w:sz w:val="15"/>
                <w:szCs w:val="15"/>
                <w:color w:val="auto"/>
              </w:rPr>
            </w:pPr>
          </w:p>
        </w:tc>
        <w:tc>
          <w:tcPr>
            <w:tcW w:w="3440" w:type="dxa"/>
            <w:vAlign w:val="bottom"/>
            <w:gridSpan w:val="6"/>
          </w:tcPr>
          <w:p>
            <w:pPr>
              <w:ind w:left="400"/>
              <w:spacing w:after="0"/>
              <w:rPr>
                <w:sz w:val="20"/>
                <w:szCs w:val="20"/>
                <w:color w:val="auto"/>
              </w:rPr>
            </w:pPr>
            <w:r>
              <w:rPr>
                <w:rFonts w:ascii="Arial" w:cs="Arial" w:eastAsia="Arial" w:hAnsi="Arial"/>
                <w:sz w:val="14"/>
                <w:szCs w:val="14"/>
                <w:b w:val="1"/>
                <w:bCs w:val="1"/>
                <w:color w:val="auto"/>
              </w:rPr>
              <w:t>For the three months ended September 30,</w:t>
            </w:r>
          </w:p>
        </w:tc>
        <w:tc>
          <w:tcPr>
            <w:tcW w:w="400" w:type="dxa"/>
            <w:vAlign w:val="bottom"/>
          </w:tcPr>
          <w:p>
            <w:pPr>
              <w:spacing w:after="0"/>
              <w:rPr>
                <w:sz w:val="15"/>
                <w:szCs w:val="15"/>
                <w:color w:val="auto"/>
              </w:rPr>
            </w:pPr>
          </w:p>
        </w:tc>
        <w:tc>
          <w:tcPr>
            <w:tcW w:w="292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w w:val="89"/>
              </w:rPr>
              <w:t>For the nine months ended September 30,</w:t>
            </w:r>
          </w:p>
        </w:tc>
      </w:tr>
      <w:tr>
        <w:trPr>
          <w:trHeight w:val="24"/>
        </w:trPr>
        <w:tc>
          <w:tcPr>
            <w:tcW w:w="4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44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r>
      <w:tr>
        <w:trPr>
          <w:trHeight w:val="189"/>
        </w:trPr>
        <w:tc>
          <w:tcPr>
            <w:tcW w:w="4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12,314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4"/>
              </w:rPr>
              <w:t>34,084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29,003</w:t>
            </w:r>
          </w:p>
        </w:tc>
      </w:tr>
      <w:tr>
        <w:trPr>
          <w:trHeight w:val="224"/>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expenses</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1"/>
              </w:rPr>
              <w:t>(1,019)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r>
      <w:tr>
        <w:trPr>
          <w:trHeight w:val="24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11,945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4"/>
              </w:rPr>
              <w:t>33,065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28,027</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components of net realized investment gains: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80" w:type="dxa"/>
            <w:vAlign w:val="bottom"/>
          </w:tcPr>
          <w:p>
            <w:pPr>
              <w:spacing w:after="0"/>
              <w:rPr>
                <w:sz w:val="15"/>
                <w:szCs w:val="15"/>
                <w:color w:val="auto"/>
              </w:rPr>
            </w:pPr>
          </w:p>
        </w:tc>
        <w:tc>
          <w:tcPr>
            <w:tcW w:w="29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 September 30,</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2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w w:val="89"/>
              </w:rPr>
              <w:t>For the nine months ended September 30,</w:t>
            </w:r>
          </w:p>
        </w:tc>
      </w:tr>
      <w:tr>
        <w:trPr>
          <w:trHeight w:val="24"/>
        </w:trPr>
        <w:tc>
          <w:tcPr>
            <w:tcW w:w="44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4480" w:type="dxa"/>
            <w:vAlign w:val="bottom"/>
          </w:tcPr>
          <w:p>
            <w:pPr>
              <w:spacing w:after="0"/>
              <w:rPr>
                <w:sz w:val="16"/>
                <w:szCs w:val="16"/>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r>
      <w:tr>
        <w:trPr>
          <w:trHeight w:val="189"/>
        </w:trPr>
        <w:tc>
          <w:tcPr>
            <w:tcW w:w="4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i w:val="1"/>
                <w:iCs w:val="1"/>
                <w:color w:val="auto"/>
                <w:w w:val="89"/>
              </w:rPr>
              <w:t>(In Thousands)</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investment gains</w:t>
            </w:r>
          </w:p>
        </w:tc>
        <w:tc>
          <w:tcPr>
            <w:tcW w:w="1120" w:type="dxa"/>
            <w:vAlign w:val="bottom"/>
            <w:shd w:val="clear" w:color="auto" w:fill="CCEEFF"/>
          </w:tcPr>
          <w:p>
            <w:pPr>
              <w:jc w:val="right"/>
              <w:ind w:right="921"/>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79"/>
              </w:rPr>
              <w:t>24</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58"/>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9"/>
              </w:rPr>
              <w:t>490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4"/>
        </w:trPr>
        <w:tc>
          <w:tcPr>
            <w:tcW w:w="4480" w:type="dxa"/>
            <w:vAlign w:val="bottom"/>
          </w:tcPr>
          <w:p>
            <w:pPr>
              <w:ind w:left="20"/>
              <w:spacing w:after="0"/>
              <w:rPr>
                <w:sz w:val="20"/>
                <w:szCs w:val="20"/>
                <w:color w:val="auto"/>
              </w:rPr>
            </w:pPr>
            <w:r>
              <w:rPr>
                <w:rFonts w:ascii="Arial" w:cs="Arial" w:eastAsia="Arial" w:hAnsi="Arial"/>
                <w:sz w:val="18"/>
                <w:szCs w:val="18"/>
                <w:color w:val="auto"/>
              </w:rPr>
              <w:t>Gross realized investment losses</w:t>
            </w:r>
          </w:p>
        </w:tc>
        <w:tc>
          <w:tcPr>
            <w:tcW w:w="1120" w:type="dxa"/>
            <w:vAlign w:val="bottom"/>
          </w:tcPr>
          <w:p>
            <w:pPr>
              <w:spacing w:after="0"/>
              <w:rPr>
                <w:sz w:val="19"/>
                <w:szCs w:val="19"/>
                <w:color w:val="auto"/>
              </w:rPr>
            </w:pPr>
          </w:p>
        </w:tc>
        <w:tc>
          <w:tcPr>
            <w:tcW w:w="500" w:type="dxa"/>
            <w:vAlign w:val="bottom"/>
          </w:tcPr>
          <w:p>
            <w:pPr>
              <w:jc w:val="center"/>
              <w:ind w:left="72"/>
              <w:spacing w:after="0"/>
              <w:rPr>
                <w:sz w:val="20"/>
                <w:szCs w:val="20"/>
                <w:color w:val="auto"/>
              </w:rPr>
            </w:pPr>
            <w:r>
              <w:rPr>
                <w:rFonts w:ascii="Arial" w:cs="Arial" w:eastAsia="Arial" w:hAnsi="Arial"/>
                <w:sz w:val="18"/>
                <w:szCs w:val="18"/>
                <w:color w:val="auto"/>
                <w:w w:val="93"/>
              </w:rPr>
              <w:t>(10)</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w w:val="93"/>
              </w:rPr>
              <w:t>(15)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realized investment gains</w:t>
            </w:r>
          </w:p>
        </w:tc>
        <w:tc>
          <w:tcPr>
            <w:tcW w:w="1120" w:type="dxa"/>
            <w:vAlign w:val="bottom"/>
            <w:tcBorders>
              <w:top w:val="single" w:sz="8" w:color="auto"/>
              <w:bottom w:val="single" w:sz="8" w:color="auto"/>
            </w:tcBorders>
            <w:shd w:val="clear" w:color="auto" w:fill="CCEEFF"/>
          </w:tcPr>
          <w:p>
            <w:pPr>
              <w:jc w:val="right"/>
              <w:ind w:right="921"/>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center"/>
              <w:ind w:left="92"/>
              <w:spacing w:after="0"/>
              <w:rPr>
                <w:sz w:val="20"/>
                <w:szCs w:val="20"/>
                <w:color w:val="auto"/>
              </w:rPr>
            </w:pPr>
            <w:r>
              <w:rPr>
                <w:rFonts w:ascii="Arial" w:cs="Arial" w:eastAsia="Arial" w:hAnsi="Arial"/>
                <w:sz w:val="18"/>
                <w:szCs w:val="18"/>
                <w:color w:val="auto"/>
                <w:w w:val="79"/>
              </w:rPr>
              <w:t>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1058"/>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99"/>
              </w:rPr>
              <w:t>475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describes the valuation techniques used by us to determine the fair value of our financial instruments:</w:t>
      </w:r>
    </w:p>
    <w:p>
      <w:pPr>
        <w:spacing w:after="0" w:line="162"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01" w:lineRule="exact"/>
        <w:rPr>
          <w:sz w:val="20"/>
          <w:szCs w:val="20"/>
          <w:color w:val="auto"/>
        </w:rPr>
      </w:pPr>
    </w:p>
    <w:p>
      <w:pPr>
        <w:jc w:val="both"/>
        <w:ind w:left="640"/>
        <w:spacing w:after="0" w:line="325" w:lineRule="auto"/>
        <w:rPr>
          <w:sz w:val="20"/>
          <w:szCs w:val="20"/>
          <w:color w:val="auto"/>
        </w:rPr>
      </w:pPr>
      <w:r>
        <w:rPr>
          <w:rFonts w:ascii="Arial" w:cs="Arial" w:eastAsia="Arial" w:hAnsi="Arial"/>
          <w:sz w:val="16"/>
          <w:szCs w:val="16"/>
          <w:color w:val="auto"/>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spacing w:after="0" w:line="82" w:lineRule="exact"/>
        <w:rPr>
          <w:sz w:val="20"/>
          <w:szCs w:val="20"/>
          <w:color w:val="auto"/>
        </w:rPr>
      </w:pPr>
    </w:p>
    <w:p>
      <w:pPr>
        <w:jc w:val="both"/>
        <w:ind w:left="640"/>
        <w:spacing w:after="0" w:line="250" w:lineRule="auto"/>
        <w:rPr>
          <w:sz w:val="20"/>
          <w:szCs w:val="20"/>
          <w:color w:val="auto"/>
        </w:rPr>
      </w:pPr>
      <w:r>
        <w:rPr>
          <w:rFonts w:ascii="Arial" w:cs="Arial" w:eastAsia="Arial" w:hAnsi="Arial"/>
          <w:sz w:val="18"/>
          <w:szCs w:val="18"/>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140" w:lineRule="exact"/>
        <w:rPr>
          <w:sz w:val="20"/>
          <w:szCs w:val="20"/>
          <w:color w:val="auto"/>
        </w:rPr>
      </w:pPr>
    </w:p>
    <w:p>
      <w:pPr>
        <w:jc w:val="both"/>
        <w:ind w:left="640"/>
        <w:spacing w:after="0" w:line="292" w:lineRule="auto"/>
        <w:rPr>
          <w:sz w:val="20"/>
          <w:szCs w:val="20"/>
          <w:color w:val="auto"/>
        </w:rPr>
      </w:pPr>
      <w:r>
        <w:rPr>
          <w:rFonts w:ascii="Arial" w:cs="Arial" w:eastAsia="Arial" w:hAnsi="Arial"/>
          <w:sz w:val="16"/>
          <w:szCs w:val="16"/>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07"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62" w:lineRule="exact"/>
        <w:rPr>
          <w:sz w:val="20"/>
          <w:szCs w:val="20"/>
          <w:color w:val="auto"/>
        </w:rPr>
      </w:pPr>
    </w:p>
    <w:p>
      <w:pPr>
        <w:jc w:val="both"/>
        <w:ind w:firstLine="633"/>
        <w:spacing w:after="0" w:line="280" w:lineRule="auto"/>
        <w:rPr>
          <w:sz w:val="20"/>
          <w:szCs w:val="20"/>
          <w:color w:val="auto"/>
        </w:rPr>
      </w:pPr>
      <w:r>
        <w:rPr>
          <w:rFonts w:ascii="Arial" w:cs="Arial" w:eastAsia="Arial" w:hAnsi="Arial"/>
          <w:sz w:val="16"/>
          <w:szCs w:val="16"/>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Liabilities classified as Level 3</w:t>
      </w:r>
    </w:p>
    <w:p>
      <w:pPr>
        <w:spacing w:after="0" w:line="162"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We calculate the fair value of outstanding warrants utilizing Level 3 inputs, including a Black-Scholes option-pricing model, in combination with a binomial model, and we value the pricing protection features within the warrants using a Monte-Carlo simulation model. Variables in the model include the risk-free rate of return, dividend yield, expected life and expected volatility of our stock price. All outstanding and unexercised warrants expired in April 2022 and there was no warrant liability remaining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present the level within the fair value hierarchy at which our financial instruments were measured: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9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0"/>
              </w:rPr>
              <w:t>Fair Value Measurements Using</w:t>
            </w: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118"/>
              <w:spacing w:after="0" w:line="129" w:lineRule="exact"/>
              <w:rPr>
                <w:sz w:val="20"/>
                <w:szCs w:val="20"/>
                <w:color w:val="auto"/>
              </w:rPr>
            </w:pPr>
            <w:r>
              <w:rPr>
                <w:rFonts w:ascii="Arial" w:cs="Arial" w:eastAsia="Arial" w:hAnsi="Arial"/>
                <w:sz w:val="14"/>
                <w:szCs w:val="14"/>
                <w:b w:val="1"/>
                <w:bCs w:val="1"/>
                <w:color w:val="auto"/>
                <w:w w:val="89"/>
              </w:rPr>
              <w:t>Quoted Prices in</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 Other</w:t>
            </w:r>
          </w:p>
        </w:tc>
        <w:tc>
          <w:tcPr>
            <w:tcW w:w="4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38"/>
              <w:spacing w:after="0" w:line="129" w:lineRule="exact"/>
              <w:rPr>
                <w:sz w:val="20"/>
                <w:szCs w:val="20"/>
                <w:color w:val="auto"/>
              </w:rPr>
            </w:pPr>
            <w:r>
              <w:rPr>
                <w:rFonts w:ascii="Arial" w:cs="Arial" w:eastAsia="Arial" w:hAnsi="Arial"/>
                <w:sz w:val="14"/>
                <w:szCs w:val="14"/>
                <w:b w:val="1"/>
                <w:bCs w:val="1"/>
                <w:color w:val="auto"/>
                <w:w w:val="89"/>
              </w:rPr>
              <w:t>Significant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8"/>
              <w:spacing w:after="0" w:line="141" w:lineRule="exact"/>
              <w:rPr>
                <w:sz w:val="20"/>
                <w:szCs w:val="20"/>
                <w:color w:val="auto"/>
              </w:rPr>
            </w:pPr>
            <w:r>
              <w:rPr>
                <w:rFonts w:ascii="Arial" w:cs="Arial" w:eastAsia="Arial" w:hAnsi="Arial"/>
                <w:sz w:val="14"/>
                <w:szCs w:val="14"/>
                <w:b w:val="1"/>
                <w:bCs w:val="1"/>
                <w:color w:val="auto"/>
                <w:w w:val="93"/>
              </w:rPr>
              <w:t>Active Markets for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520"/>
              <w:spacing w:after="0" w:line="141" w:lineRule="exact"/>
              <w:rPr>
                <w:sz w:val="20"/>
                <w:szCs w:val="20"/>
                <w:color w:val="auto"/>
              </w:rPr>
            </w:pPr>
            <w:r>
              <w:rPr>
                <w:rFonts w:ascii="Arial" w:cs="Arial" w:eastAsia="Arial" w:hAnsi="Arial"/>
                <w:sz w:val="14"/>
                <w:szCs w:val="14"/>
                <w:b w:val="1"/>
                <w:bCs w:val="1"/>
                <w:color w:val="auto"/>
                <w:w w:val="88"/>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8"/>
              <w:spacing w:after="0" w:line="145" w:lineRule="exact"/>
              <w:rPr>
                <w:sz w:val="20"/>
                <w:szCs w:val="20"/>
                <w:color w:val="auto"/>
              </w:rPr>
            </w:pPr>
            <w:r>
              <w:rPr>
                <w:rFonts w:ascii="Arial" w:cs="Arial" w:eastAsia="Arial" w:hAnsi="Arial"/>
                <w:sz w:val="14"/>
                <w:szCs w:val="14"/>
                <w:b w:val="1"/>
                <w:bCs w:val="1"/>
                <w:color w:val="auto"/>
                <w:w w:val="88"/>
              </w:rPr>
              <w:t>Identical Assets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tcPr>
          <w:p>
            <w:pPr>
              <w:jc w:val="center"/>
              <w:ind w:right="320"/>
              <w:spacing w:after="0" w:line="145" w:lineRule="exact"/>
              <w:rPr>
                <w:sz w:val="20"/>
                <w:szCs w:val="20"/>
                <w:color w:val="auto"/>
              </w:rPr>
            </w:pPr>
            <w:r>
              <w:rPr>
                <w:rFonts w:ascii="Arial" w:cs="Arial" w:eastAsia="Arial" w:hAnsi="Arial"/>
                <w:sz w:val="14"/>
                <w:szCs w:val="14"/>
                <w:b w:val="1"/>
                <w:bCs w:val="1"/>
                <w:color w:val="auto"/>
                <w:w w:val="91"/>
              </w:rPr>
              <w:t>Observable Inputs</w:t>
            </w:r>
          </w:p>
        </w:tc>
        <w:tc>
          <w:tcPr>
            <w:tcW w:w="400" w:type="dxa"/>
            <w:vAlign w:val="bottom"/>
          </w:tcPr>
          <w:p>
            <w:pPr>
              <w:spacing w:after="0"/>
              <w:rPr>
                <w:sz w:val="12"/>
                <w:szCs w:val="12"/>
                <w:color w:val="auto"/>
              </w:rPr>
            </w:pPr>
          </w:p>
        </w:tc>
        <w:tc>
          <w:tcPr>
            <w:tcW w:w="142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90"/>
              </w:rPr>
              <w:t>Inputs</w:t>
            </w:r>
          </w:p>
        </w:tc>
        <w:tc>
          <w:tcPr>
            <w:tcW w:w="320" w:type="dxa"/>
            <w:vAlign w:val="bottom"/>
          </w:tcPr>
          <w:p>
            <w:pPr>
              <w:spacing w:after="0"/>
              <w:rPr>
                <w:sz w:val="12"/>
                <w:szCs w:val="12"/>
                <w:color w:val="auto"/>
              </w:rPr>
            </w:pPr>
          </w:p>
        </w:tc>
        <w:tc>
          <w:tcPr>
            <w:tcW w:w="14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1"/>
              </w:rPr>
              <w:t>(Level 2)</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1"/>
              </w:rPr>
              <w:t>(Level 3)</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 of September 30, 2022</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79,912</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488,855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488,855</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1,224,526</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69,409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69,409</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Cash, cash equivalents and short-term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237,041</w:t>
            </w:r>
          </w:p>
        </w:tc>
        <w:tc>
          <w:tcPr>
            <w:tcW w:w="0" w:type="dxa"/>
            <w:vAlign w:val="bottom"/>
          </w:tcPr>
          <w:p>
            <w:pPr>
              <w:spacing w:after="0"/>
              <w:rPr>
                <w:sz w:val="1"/>
                <w:szCs w:val="1"/>
                <w:color w:val="auto"/>
              </w:rPr>
            </w:pPr>
          </w:p>
        </w:tc>
      </w:tr>
      <w:tr>
        <w:trPr>
          <w:trHeight w:val="218"/>
        </w:trPr>
        <w:tc>
          <w:tcPr>
            <w:tcW w:w="40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316,953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1,782,790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2,099,743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0"/>
              </w:rPr>
              <w:t>Fair Value Measurements Using</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0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center"/>
              <w:ind w:right="118"/>
              <w:spacing w:after="0" w:line="125" w:lineRule="exact"/>
              <w:rPr>
                <w:sz w:val="20"/>
                <w:szCs w:val="20"/>
                <w:color w:val="auto"/>
              </w:rPr>
            </w:pPr>
            <w:r>
              <w:rPr>
                <w:rFonts w:ascii="Arial" w:cs="Arial" w:eastAsia="Arial" w:hAnsi="Arial"/>
                <w:sz w:val="14"/>
                <w:szCs w:val="14"/>
                <w:b w:val="1"/>
                <w:bCs w:val="1"/>
                <w:color w:val="auto"/>
                <w:w w:val="89"/>
              </w:rPr>
              <w:t>Quoted Prices in</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 Other</w:t>
            </w:r>
          </w:p>
        </w:tc>
        <w:tc>
          <w:tcPr>
            <w:tcW w:w="4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338"/>
              <w:spacing w:after="0" w:line="125" w:lineRule="exact"/>
              <w:rPr>
                <w:sz w:val="20"/>
                <w:szCs w:val="20"/>
                <w:color w:val="auto"/>
              </w:rPr>
            </w:pPr>
            <w:r>
              <w:rPr>
                <w:rFonts w:ascii="Arial" w:cs="Arial" w:eastAsia="Arial" w:hAnsi="Arial"/>
                <w:sz w:val="14"/>
                <w:szCs w:val="14"/>
                <w:b w:val="1"/>
                <w:bCs w:val="1"/>
                <w:color w:val="auto"/>
                <w:w w:val="89"/>
              </w:rPr>
              <w:t>Significant</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8"/>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38"/>
              <w:spacing w:after="0" w:line="136" w:lineRule="exact"/>
              <w:rPr>
                <w:sz w:val="20"/>
                <w:szCs w:val="20"/>
                <w:color w:val="auto"/>
              </w:rPr>
            </w:pPr>
            <w:r>
              <w:rPr>
                <w:rFonts w:ascii="Arial" w:cs="Arial" w:eastAsia="Arial" w:hAnsi="Arial"/>
                <w:sz w:val="14"/>
                <w:szCs w:val="14"/>
                <w:b w:val="1"/>
                <w:bCs w:val="1"/>
                <w:color w:val="auto"/>
                <w:w w:val="88"/>
              </w:rPr>
              <w:t>Identical Assets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3"/>
          </w:tcPr>
          <w:p>
            <w:pPr>
              <w:jc w:val="center"/>
              <w:ind w:right="320"/>
              <w:spacing w:after="0" w:line="136" w:lineRule="exact"/>
              <w:rPr>
                <w:sz w:val="20"/>
                <w:szCs w:val="20"/>
                <w:color w:val="auto"/>
              </w:rPr>
            </w:pPr>
            <w:r>
              <w:rPr>
                <w:rFonts w:ascii="Arial" w:cs="Arial" w:eastAsia="Arial" w:hAnsi="Arial"/>
                <w:sz w:val="14"/>
                <w:szCs w:val="14"/>
                <w:b w:val="1"/>
                <w:bCs w:val="1"/>
                <w:color w:val="auto"/>
                <w:w w:val="91"/>
              </w:rPr>
              <w:t>Observable Inputs</w:t>
            </w:r>
          </w:p>
        </w:tc>
        <w:tc>
          <w:tcPr>
            <w:tcW w:w="400" w:type="dxa"/>
            <w:vAlign w:val="bottom"/>
          </w:tcPr>
          <w:p>
            <w:pPr>
              <w:spacing w:after="0"/>
              <w:rPr>
                <w:sz w:val="11"/>
                <w:szCs w:val="11"/>
                <w:color w:val="auto"/>
              </w:rPr>
            </w:pPr>
          </w:p>
        </w:tc>
        <w:tc>
          <w:tcPr>
            <w:tcW w:w="1420" w:type="dxa"/>
            <w:vAlign w:val="bottom"/>
            <w:gridSpan w:val="2"/>
          </w:tcPr>
          <w:p>
            <w:pPr>
              <w:jc w:val="center"/>
              <w:ind w:right="520"/>
              <w:spacing w:after="0" w:line="136" w:lineRule="exact"/>
              <w:rPr>
                <w:sz w:val="20"/>
                <w:szCs w:val="20"/>
                <w:color w:val="auto"/>
              </w:rPr>
            </w:pPr>
            <w:r>
              <w:rPr>
                <w:rFonts w:ascii="Arial" w:cs="Arial" w:eastAsia="Arial" w:hAnsi="Arial"/>
                <w:sz w:val="14"/>
                <w:szCs w:val="14"/>
                <w:b w:val="1"/>
                <w:bCs w:val="1"/>
                <w:color w:val="auto"/>
                <w:w w:val="90"/>
              </w:rPr>
              <w:t>Inputs</w:t>
            </w:r>
          </w:p>
        </w:tc>
        <w:tc>
          <w:tcPr>
            <w:tcW w:w="320" w:type="dxa"/>
            <w:vAlign w:val="bottom"/>
          </w:tcPr>
          <w:p>
            <w:pPr>
              <w:spacing w:after="0"/>
              <w:rPr>
                <w:sz w:val="11"/>
                <w:szCs w:val="11"/>
                <w:color w:val="auto"/>
              </w:rPr>
            </w:pPr>
          </w:p>
        </w:tc>
        <w:tc>
          <w:tcPr>
            <w:tcW w:w="14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(Level 2)</w:t>
            </w:r>
          </w:p>
        </w:tc>
        <w:tc>
          <w:tcPr>
            <w:tcW w:w="400" w:type="dxa"/>
            <w:vAlign w:val="bottom"/>
          </w:tcPr>
          <w:p>
            <w:pPr>
              <w:spacing w:after="0"/>
              <w:rPr>
                <w:sz w:val="15"/>
                <w:szCs w:val="15"/>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(Level 3)</w:t>
            </w:r>
          </w:p>
        </w:tc>
        <w:tc>
          <w:tcPr>
            <w:tcW w:w="3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 December 31, 2021</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agencies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30,424</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554,078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554,078</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1,393,830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1,393,830</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96,581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96,581</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Cash, cash equivalents and short-term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87,664</w:t>
            </w:r>
          </w:p>
        </w:tc>
        <w:tc>
          <w:tcPr>
            <w:tcW w:w="0" w:type="dxa"/>
            <w:vAlign w:val="bottom"/>
          </w:tcPr>
          <w:p>
            <w:pPr>
              <w:spacing w:after="0"/>
              <w:rPr>
                <w:sz w:val="1"/>
                <w:szCs w:val="1"/>
                <w:color w:val="auto"/>
              </w:rPr>
            </w:pPr>
          </w:p>
        </w:tc>
      </w:tr>
      <w:tr>
        <w:trPr>
          <w:trHeight w:val="218"/>
        </w:trPr>
        <w:tc>
          <w:tcPr>
            <w:tcW w:w="40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118,088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2,044,489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2,162,577</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18"/>
        </w:trPr>
        <w:tc>
          <w:tcPr>
            <w:tcW w:w="40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2,363</w:t>
            </w:r>
          </w:p>
        </w:tc>
        <w:tc>
          <w:tcPr>
            <w:tcW w:w="12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There were no transfers between Level 2 and Level 3 of the fair value hierarchy during the nine months ended September 30, 2022, 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a roll-forward of Level 3 liabilities measured at fair value: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40" w:type="dxa"/>
            <w:vAlign w:val="bottom"/>
            <w:gridSpan w:val="4"/>
          </w:tcPr>
          <w:p>
            <w:pPr>
              <w:jc w:val="right"/>
              <w:ind w:right="436"/>
              <w:spacing w:after="0"/>
              <w:rPr>
                <w:sz w:val="20"/>
                <w:szCs w:val="20"/>
                <w:color w:val="auto"/>
              </w:rPr>
            </w:pPr>
            <w:r>
              <w:rPr>
                <w:rFonts w:ascii="Arial" w:cs="Arial" w:eastAsia="Arial" w:hAnsi="Arial"/>
                <w:sz w:val="14"/>
                <w:szCs w:val="14"/>
                <w:b w:val="1"/>
                <w:bCs w:val="1"/>
                <w:color w:val="auto"/>
                <w:w w:val="96"/>
              </w:rPr>
              <w:t>For the nine months ended September 30,</w:t>
            </w:r>
          </w:p>
        </w:tc>
        <w:tc>
          <w:tcPr>
            <w:tcW w:w="0" w:type="dxa"/>
            <w:vAlign w:val="bottom"/>
          </w:tcPr>
          <w:p>
            <w:pPr>
              <w:spacing w:after="0"/>
              <w:rPr>
                <w:sz w:val="1"/>
                <w:szCs w:val="1"/>
                <w:color w:val="auto"/>
              </w:rPr>
            </w:pPr>
          </w:p>
        </w:tc>
      </w:tr>
      <w:tr>
        <w:trPr>
          <w:trHeight w:val="24"/>
        </w:trPr>
        <w:tc>
          <w:tcPr>
            <w:tcW w:w="7680" w:type="dxa"/>
            <w:vAlign w:val="bottom"/>
            <w:vMerge w:val="restart"/>
          </w:tcPr>
          <w:p>
            <w:pPr>
              <w:ind w:left="20"/>
              <w:spacing w:after="0"/>
              <w:rPr>
                <w:sz w:val="20"/>
                <w:szCs w:val="20"/>
                <w:color w:val="auto"/>
              </w:rPr>
            </w:pPr>
            <w:r>
              <w:rPr>
                <w:rFonts w:ascii="Arial" w:cs="Arial" w:eastAsia="Arial" w:hAnsi="Arial"/>
                <w:sz w:val="18"/>
                <w:szCs w:val="18"/>
                <w:color w:val="auto"/>
              </w:rPr>
              <w:t>Warrant Liability</w:t>
            </w: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2"/>
        </w:trPr>
        <w:tc>
          <w:tcPr>
            <w:tcW w:w="7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gridSpan w:val="3"/>
          </w:tcPr>
          <w:p>
            <w:pPr>
              <w:jc w:val="right"/>
              <w:ind w:right="92"/>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January 1</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 included in earnings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 on warrant exercise</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8"/>
        </w:trPr>
        <w:tc>
          <w:tcPr>
            <w:tcW w:w="7680" w:type="dxa"/>
            <w:vAlign w:val="bottom"/>
          </w:tcPr>
          <w:p>
            <w:pPr>
              <w:ind w:left="20"/>
              <w:spacing w:after="0"/>
              <w:rPr>
                <w:sz w:val="20"/>
                <w:szCs w:val="20"/>
                <w:color w:val="auto"/>
              </w:rPr>
            </w:pPr>
            <w:r>
              <w:rPr>
                <w:rFonts w:ascii="Arial" w:cs="Arial" w:eastAsia="Arial" w:hAnsi="Arial"/>
                <w:sz w:val="18"/>
                <w:szCs w:val="18"/>
                <w:color w:val="auto"/>
              </w:rPr>
              <w:t>Balance, September 30</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 xml:space="preserve">All outstanding and unexercised warrants expired in April 2022 and there was no warrant liability remaining as of September 30, 2022. For more information on the expiration of warrants and changes in the fair value of the warrant liability during the nine months ended September 30, 2022 and 2021, see Note 8, </w:t>
      </w:r>
      <w:r>
        <w:rPr>
          <w:rFonts w:ascii="Arial" w:cs="Arial" w:eastAsia="Arial" w:hAnsi="Arial"/>
          <w:sz w:val="18"/>
          <w:szCs w:val="18"/>
          <w:i w:val="1"/>
          <w:iCs w:val="1"/>
          <w:color w:val="auto"/>
        </w:rPr>
        <w:t>"Warrants"</w:t>
      </w:r>
      <w:r>
        <w:rPr>
          <w:rFonts w:ascii="Arial" w:cs="Arial" w:eastAsia="Arial" w:hAnsi="Arial"/>
          <w:sz w:val="18"/>
          <w:szCs w:val="18"/>
          <w:color w:val="auto"/>
        </w:rPr>
        <w:t>. The following table outlines the key inputs and assumptions used to calculate the fair value of the warrant liability in the Black-Scholes option-pricing model as of the date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jc w:val="right"/>
              <w:ind w:right="335"/>
              <w:spacing w:after="0"/>
              <w:rPr>
                <w:sz w:val="20"/>
                <w:szCs w:val="20"/>
                <w:color w:val="auto"/>
              </w:rPr>
            </w:pPr>
            <w:r>
              <w:rPr>
                <w:rFonts w:ascii="Arial" w:cs="Arial" w:eastAsia="Arial" w:hAnsi="Arial"/>
                <w:sz w:val="14"/>
                <w:szCs w:val="14"/>
                <w:b w:val="1"/>
                <w:bCs w:val="1"/>
                <w:color w:val="auto"/>
                <w:w w:val="97"/>
              </w:rPr>
              <w:t>As of September 30, 2021</w:t>
            </w:r>
          </w:p>
        </w:tc>
      </w:tr>
      <w:tr>
        <w:trPr>
          <w:trHeight w:val="24"/>
        </w:trPr>
        <w:tc>
          <w:tcPr>
            <w:tcW w:w="8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17"/>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price</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22.61</w:t>
            </w:r>
          </w:p>
        </w:tc>
      </w:tr>
      <w:tr>
        <w:trPr>
          <w:trHeight w:val="224"/>
        </w:trPr>
        <w:tc>
          <w:tcPr>
            <w:tcW w:w="886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2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0.05 %</w:t>
            </w:r>
          </w:p>
        </w:tc>
      </w:tr>
      <w:tr>
        <w:trPr>
          <w:trHeight w:val="225"/>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w:t>
            </w: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 years</w:t>
            </w:r>
          </w:p>
        </w:tc>
      </w:tr>
      <w:tr>
        <w:trPr>
          <w:trHeight w:val="224"/>
        </w:trPr>
        <w:tc>
          <w:tcPr>
            <w:tcW w:w="88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34.4 %</w:t>
            </w:r>
          </w:p>
        </w:tc>
      </w:tr>
      <w:tr>
        <w:trPr>
          <w:trHeight w:val="225"/>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bl>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Financial Instruments not Measured at Fair Value</w:t>
      </w:r>
    </w:p>
    <w:p>
      <w:pPr>
        <w:spacing w:after="0" w:line="162"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On June 19, 2020, we issued $400.0 million aggregate principal amount of senior secured notes that mature on June 1, 2025 (the Notes) and used a portion of the proceeds from the Notes offering to repay the outstanding amount due under our $150 million term loan (2018 Term Loan). At September 30, 2022, the Notes were carried at a cost of $395.7 million, net of unamortized debt issuance costs of $4.3 million, and had a fair value of $388.4 million as assessed under our Level 2 hierarchy. At December 31, 2021, the Notes were carried at a cost of $394.6 million, net of unamortized debt issuance costs of $5.4 million, and had a fair value of $454.6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Senior Secured Notes</w:t>
      </w:r>
    </w:p>
    <w:p>
      <w:pPr>
        <w:spacing w:after="0" w:line="162"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At September 30, 2022, we had a $400.0 million aggregate principal amount of senior secured notes outstanding. The Notes were issued pursuant to an indenture dated June 19, 2020 (the Indenture) and bear interest at a rate of 7.375%, payable semi-annually on June 1 and December 1.</w:t>
      </w:r>
    </w:p>
    <w:p>
      <w:pPr>
        <w:spacing w:after="0" w:line="82"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The Notes mature on June 1, 2025. At any time, or from time to time, prior to March 1, 2025, we may elect to redeem the Notes in whole or in part at a price based on 100% of the aggregate principal amount of any Notes redeemed plus the "Applicable Premium," plus accrued and unpaid interest thereon. Applicable Premium is defined as the greater of (1) 1.0% of the principal amount of the Notes, or (2) the excess of the present value of the principal value of the Notes plus all future interest payments over the principal amount. At any time on or after March 1, 2025, we may elect to redeem the Notes in whole or in part at a price equal to 100% of the aggregate principal amount of the Notes to be redeemed plus accrued and unpaid interest thereon.</w:t>
      </w:r>
    </w:p>
    <w:p>
      <w:pPr>
        <w:spacing w:after="0" w:line="113"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Interest expense for the Notes includes interest and the amortization of capitalized debt issuance costs. In connection with the Notes offering, we recorded capitalized debt issuance costs of $7.4 million. Such amounts will be amortized over the contractual life of the Notes using the effective interest method. At September 30, 2022 and December 31, 2021, approximately $4.3 million and $5.4 million, respectively, of unamortized debt issuance costs remained.</w:t>
      </w:r>
    </w:p>
    <w:p>
      <w:pPr>
        <w:spacing w:after="0" w:line="140"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At September 30, 2022 and December 31, 2021, $9.8 million and $2.5 million of accrued and unpaid interest on the Notes was included in "Accounts Payable and Accrued Expenses"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2021 Revolving Credit Facility</w:t>
      </w:r>
    </w:p>
    <w:p>
      <w:pPr>
        <w:spacing w:after="0" w:line="162"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On November 29, 2021, we amended our $110 million senior secured revolving credit facility (the 2020 Revolving Credit Facility and as amended, the 2021 Revolving Credit Facility), expanding the lender group, increasing the revolving capacity to $250 million, and extending the maturity from February 22, 2023 to the earlier of (x) November 29, 2025, or (y) if any existing senior secured notes remain outstanding on such date, February 28, 2025. Borrowings under the 2021 Revolving Credit Facility may be used for general corporate purposes, including to support the growth of our new business production and operations, and accrue interest at a variable rate equal to, at our discretion, (i) a Base Rate (as defined in the 2021 Revolving Credit Facility) subject to a floor of 1.00% per annum) plus a margin of 0.375% to 1.875% per annum or (ii) the Adjusted Term Secured Overnight Financing Rate (as defined in the 2021 Revolving Credit Facility) plus a margin of 1.375% to 2.875% per annum, with the margin in each of (i) or (ii) based on our applicable corporate credit rating at the time. As of September 30, 2022 and December 31, 2021, no amount was drawn under the 2021 Revolving Credit Facility.</w:t>
      </w:r>
    </w:p>
    <w:p>
      <w:pPr>
        <w:spacing w:after="0" w:line="117"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Under the 2021 Revolving Credit Facility, we are required to pay a quarterly commitment fee on the average daily undrawn amount of 0.175% to 0.525%, based on the applicable corporate credit rating at the time. As of September 30, 2022, the applicable commitment fee was 0.30%. For the three and nine months ended September 30, 2022, we recorded $0.2 million and $0.6 million of commitment fees in interest expense, respectively.</w:t>
      </w:r>
    </w:p>
    <w:p>
      <w:pPr>
        <w:spacing w:after="0" w:line="101"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We incurred debt issuance costs of $1.1 million in connection with the 2021 Revolving Credit Facility, and had $0.6 million of unamortized debt issuance costs associated with the 2020 Revolving Credit Facility remaining at the time of its amendment and replacement. Combined unamortized debt issuance will be amortized through interest expense on a straight-line basis over the contractual life of the 2021 Revolving Credit Facility. At September 30, 2022, remaining unamortized deferred debt issuance costs were $1.3 million.</w:t>
      </w:r>
    </w:p>
    <w:p>
      <w:pPr>
        <w:spacing w:after="0" w:line="140"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We are subject to certain covenants under the 2021 Revolving Credit Facility, including, but not limited to, the following: a maximum debt-to-total capitalization ratio of 35%, compliance with the private mortgage insurer eligibility requirements (PMIERs) financial requirements (subject to any GSE approved waivers), and minimum consolidated net worth and statutory capital requirements (respectively, as defined therein). We were in compliance with all covenants at September 30, 2022.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w:t>
      </w:r>
    </w:p>
    <w:p>
      <w:pPr>
        <w:spacing w:after="0" w:line="168"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 including levels of approved capital credit).</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effect of our reinsurance agreements on premiums written and earned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5"/>
          </w:tcPr>
          <w:p>
            <w:pPr>
              <w:ind w:left="50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5"/>
                <w:szCs w:val="15"/>
                <w:color w:val="auto"/>
              </w:rPr>
            </w:pPr>
          </w:p>
        </w:tc>
        <w:tc>
          <w:tcPr>
            <w:tcW w:w="2820" w:type="dxa"/>
            <w:vAlign w:val="bottom"/>
            <w:gridSpan w:val="4"/>
          </w:tcPr>
          <w:p>
            <w:pPr>
              <w:ind w:left="560"/>
              <w:spacing w:after="0"/>
              <w:rPr>
                <w:sz w:val="20"/>
                <w:szCs w:val="20"/>
                <w:color w:val="auto"/>
              </w:rPr>
            </w:pPr>
            <w:r>
              <w:rPr>
                <w:rFonts w:ascii="Arial" w:cs="Arial" w:eastAsia="Arial" w:hAnsi="Arial"/>
                <w:sz w:val="14"/>
                <w:szCs w:val="14"/>
                <w:b w:val="1"/>
                <w:bCs w:val="1"/>
                <w:color w:val="auto"/>
              </w:rPr>
              <w:t>For the nine months ended</w:t>
            </w:r>
          </w:p>
        </w:tc>
      </w:tr>
      <w:tr>
        <w:trPr>
          <w:trHeight w:val="24"/>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4"/>
        </w:trPr>
        <w:tc>
          <w:tcPr>
            <w:tcW w:w="53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0"/>
              </w:rPr>
              <w:t>September 30, 2021</w:t>
            </w:r>
          </w:p>
        </w:tc>
        <w:tc>
          <w:tcPr>
            <w:tcW w:w="1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97"/>
              </w:rPr>
              <w:t>September 30, 2021</w:t>
            </w:r>
          </w:p>
        </w:tc>
      </w:tr>
      <w:tr>
        <w:trPr>
          <w:trHeight w:val="189"/>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ind w:left="9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4"/>
        </w:trPr>
        <w:tc>
          <w:tcPr>
            <w:tcW w:w="5300" w:type="dxa"/>
            <w:vAlign w:val="bottom"/>
          </w:tcPr>
          <w:p>
            <w:pPr>
              <w:ind w:left="140"/>
              <w:spacing w:after="0"/>
              <w:rPr>
                <w:sz w:val="20"/>
                <w:szCs w:val="20"/>
                <w:color w:val="auto"/>
              </w:rPr>
            </w:pPr>
            <w:r>
              <w:rPr>
                <w:rFonts w:ascii="Arial" w:cs="Arial" w:eastAsia="Arial" w:hAnsi="Arial"/>
                <w:sz w:val="18"/>
                <w:szCs w:val="18"/>
                <w:color w:val="auto"/>
              </w:rPr>
              <w:t>Direct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640"/>
              <w:spacing w:after="0"/>
              <w:rPr>
                <w:sz w:val="20"/>
                <w:szCs w:val="20"/>
                <w:color w:val="auto"/>
              </w:rPr>
            </w:pPr>
            <w:r>
              <w:rPr>
                <w:rFonts w:ascii="Arial" w:cs="Arial" w:eastAsia="Arial" w:hAnsi="Arial"/>
                <w:sz w:val="18"/>
                <w:szCs w:val="18"/>
                <w:color w:val="auto"/>
                <w:w w:val="95"/>
              </w:rPr>
              <w:t>147,192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134,635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ind w:left="660"/>
              <w:spacing w:after="0"/>
              <w:rPr>
                <w:sz w:val="20"/>
                <w:szCs w:val="20"/>
                <w:color w:val="auto"/>
              </w:rPr>
            </w:pPr>
            <w:r>
              <w:rPr>
                <w:rFonts w:ascii="Arial" w:cs="Arial" w:eastAsia="Arial" w:hAnsi="Arial"/>
                <w:sz w:val="18"/>
                <w:szCs w:val="18"/>
                <w:color w:val="auto"/>
                <w:w w:val="95"/>
              </w:rPr>
              <w:t>429,715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ind w:left="660"/>
              <w:spacing w:after="0"/>
              <w:rPr>
                <w:sz w:val="20"/>
                <w:szCs w:val="20"/>
                <w:color w:val="auto"/>
              </w:rPr>
            </w:pPr>
            <w:r>
              <w:rPr>
                <w:rFonts w:ascii="Arial" w:cs="Arial" w:eastAsia="Arial" w:hAnsi="Arial"/>
                <w:sz w:val="18"/>
                <w:szCs w:val="18"/>
                <w:color w:val="auto"/>
                <w:w w:val="95"/>
              </w:rPr>
              <w:t>419,811</w:t>
            </w:r>
          </w:p>
        </w:tc>
      </w:tr>
      <w:tr>
        <w:trPr>
          <w:trHeight w:val="225"/>
        </w:trPr>
        <w:tc>
          <w:tcPr>
            <w:tcW w:w="5300" w:type="dxa"/>
            <w:vAlign w:val="bottom"/>
            <w:shd w:val="clear" w:color="auto" w:fill="CCEEFF"/>
          </w:tcPr>
          <w:p>
            <w:pPr>
              <w:ind w:left="140"/>
              <w:spacing w:after="0" w:line="225"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2"/>
                <w:szCs w:val="22"/>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9"/>
              </w:rPr>
              <w:t>(33,646)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9"/>
              </w:rPr>
              <w:t>(81,678)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9"/>
              </w:rPr>
              <w:t>(65,423)</w:t>
            </w:r>
          </w:p>
        </w:tc>
      </w:tr>
      <w:tr>
        <w:trPr>
          <w:trHeight w:val="217"/>
        </w:trPr>
        <w:tc>
          <w:tcPr>
            <w:tcW w:w="5300" w:type="dxa"/>
            <w:vAlign w:val="bottom"/>
          </w:tcPr>
          <w:p>
            <w:pPr>
              <w:ind w:left="140"/>
              <w:spacing w:after="0"/>
              <w:rPr>
                <w:sz w:val="20"/>
                <w:szCs w:val="20"/>
                <w:color w:val="auto"/>
              </w:rPr>
            </w:pPr>
            <w:r>
              <w:rPr>
                <w:rFonts w:ascii="Arial" w:cs="Arial" w:eastAsia="Arial" w:hAnsi="Arial"/>
                <w:sz w:val="18"/>
                <w:szCs w:val="18"/>
                <w:color w:val="auto"/>
              </w:rPr>
              <w:t>Net premiums written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2"/>
              </w:rPr>
              <w:t>113,546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111,931</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5"/>
              </w:rPr>
              <w:t>348,037</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5"/>
              </w:rPr>
              <w:t>354,388</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5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4"/>
        </w:trPr>
        <w:tc>
          <w:tcPr>
            <w:tcW w:w="530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5"/>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5"/>
              </w:rPr>
              <w:t>152,221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5"/>
              </w:rPr>
              <w:t>438,299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5"/>
              </w:rPr>
              <w:t>399,005</w:t>
            </w:r>
          </w:p>
        </w:tc>
      </w:tr>
      <w:tr>
        <w:trPr>
          <w:trHeight w:val="224"/>
        </w:trPr>
        <w:tc>
          <w:tcPr>
            <w:tcW w:w="5300" w:type="dxa"/>
            <w:vAlign w:val="bottom"/>
            <w:tcBorders>
              <w:bottom w:val="single" w:sz="8" w:color="CCEEFF"/>
            </w:tcBorders>
          </w:tcPr>
          <w:p>
            <w:pPr>
              <w:ind w:left="140"/>
              <w:spacing w:after="0" w:line="224"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2"/>
                <w:szCs w:val="22"/>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89"/>
              </w:rPr>
              <w:t>(33,904)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89"/>
              </w:rPr>
              <w:t>(82,617)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89"/>
              </w:rPr>
              <w:t>(68,644)</w:t>
            </w:r>
          </w:p>
        </w:tc>
      </w:tr>
      <w:tr>
        <w:trPr>
          <w:trHeight w:val="242"/>
        </w:trPr>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premiums earned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2"/>
              </w:rPr>
              <w:t>118,317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113,594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5"/>
              </w:rPr>
              <w:t>355,682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5"/>
              </w:rPr>
              <w:t>330,361</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260" w:hanging="254"/>
        <w:spacing w:after="0"/>
        <w:tabs>
          <w:tab w:leader="none" w:pos="2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Net of profit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Excess-of-loss reinsurance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Insurance-linked notes</w:t>
      </w:r>
    </w:p>
    <w:p>
      <w:pPr>
        <w:spacing w:after="0" w:line="162"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NMIC is a party to reinsurance agreements with Oaktown Re Ltd., Oaktown Re II Ltd., Oaktown Re III Ltd., Oaktown Re IV Ltd., Oaktown Re V Ltd., Oaktown Re VI Ltd., and Oaktown Re VII Ltd. (special purpose reinsurance entities collectively referred to as the Oaktown Re Vehicles) effective May 2, 2017, July 25, 2018, July 30, 2019, July 30, 2020, October 29, 2020, April 27, 2021, and October 26, 2021, respectively. Each agreement provides NMIC with aggregate excess-of-loss reinsurance coverage on a defined portfolio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14"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NMIC makes risk premium payments to the Oaktown Re Vehicles for the applicable outstanding reinsurance coverage amount and pays an additional amount for anticipated operating expenses (capped at $250 thousand per year, except with respect to Oaktown Re Ltd., for which the cap is $300 thousand per year). NMIC ceded aggregate premiums to the Oaktown Re Vehicles of $10.7 million and $31.8 million during the three and nine months ended September 30, 2022, respectively, and $10.4 million and $30.0 million during the three and nine months ended September 30, 2021, respectively.</w:t>
      </w:r>
    </w:p>
    <w:p>
      <w:pPr>
        <w:spacing w:after="0" w:line="107"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NMIC applies claims paid on covered policies against its first layer aggregate retained loss exposure under each excess-of-loss agreement. NMIC did not cede any incurred losses on covered policies to the Oaktown Re Vehicles during the three and nine months ended September 30, 2022 and 2021, as the aggregate first layer risk retention for each applicable agreement was not exhausted during such periods.</w:t>
      </w:r>
    </w:p>
    <w:p>
      <w:pPr>
        <w:spacing w:after="0" w:line="101"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 years from the inception date of each reinsurance agreement (except the notes issued by Oaktown Re VI Ltd. and Oaktown Re VII Ltd., which have a 12.5-year maturity). We refer to NMIC's reinsurance agreements with and the insurance-linked note issuances by Oaktown Re Vehicles individually as the 2017 ILN Transaction, 2018 ILN Transaction, 2019 ILN Transaction, 2020-1 ILN Transaction, 2020-2 ILN Transaction, 2021-1 ILN Transaction, and 2021-2 ILN Transaction, and collectively as the ILN Transactions.</w:t>
      </w:r>
    </w:p>
    <w:p>
      <w:pPr>
        <w:spacing w:after="0" w:line="117" w:lineRule="exact"/>
        <w:rPr>
          <w:sz w:val="20"/>
          <w:szCs w:val="20"/>
          <w:color w:val="auto"/>
        </w:rPr>
      </w:pPr>
    </w:p>
    <w:p>
      <w:pPr>
        <w:jc w:val="both"/>
        <w:ind w:firstLine="633"/>
        <w:spacing w:after="0" w:line="279" w:lineRule="auto"/>
        <w:rPr>
          <w:sz w:val="20"/>
          <w:szCs w:val="20"/>
          <w:color w:val="auto"/>
        </w:rPr>
      </w:pPr>
      <w:r>
        <w:rPr>
          <w:rFonts w:ascii="Arial" w:cs="Arial" w:eastAsia="Arial" w:hAnsi="Arial"/>
          <w:sz w:val="16"/>
          <w:szCs w:val="16"/>
          <w:color w:val="auto"/>
        </w:rPr>
        <w:t>The respective reinsurance coverage amounts provided by the Oaktown Re Vehicles decrease over a ten-year period as the underlying insured mortgages are amortized or repaid, and/or the mortgage insurance coverage is canceled (except the coverage provided by Oaktown Re VI Ltd. and Oaktown Re VII Ltd., which decreases over a 12.5-year period).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As of September 30, 2022, the 2018 ILN Transaction was deemed to be in Lock Out due to the default experience of its underlying reference pool and the 2021-2 ILN Transaction was deemed to be in Lock Out in connection with the initial build of its target credit enhancement level. As such, the amortization of reinsurance coverage, and distribution of collateral assets and amortization of insurance-linked notes was suspended for both ILN Transactions. The amortization of reinsurance coverage, distribution of collateral assets and amortization of insurance-linked notes issued in connection with the 2018 and 2021-2 ILN Transactions will remain suspended for the duration of the Lock-Out Event for each respective ILN Transaction, and during such period assets will be preserved in the applicable reinsurance trust account to collateralize the excess-of-loss reinsurance coverage provided to NMIC. Effective August 31, 2022, a Lock-Out Event for the 2019 ILN Transaction was deemed to have cleared and amortization of the associated reinsurance coverage, and distribution of collateral assets and amortization of the associated insurance-linked notes resumed.</w:t>
      </w:r>
    </w:p>
    <w:p>
      <w:pPr>
        <w:spacing w:after="0" w:line="118"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Effective March 25, 2022 and April 25, 2022, NMIC exercised its optional clean-up call to terminate the 2017 and 2020-1 ILN Transactions, respectively. In connection with the termination of each respective transaction, NMIC’s excess of loss reinsurance agreements with Oaktown Re Ltd. and Oaktown Re IV Ltd. were commuted and the insurance-linked notes issued by the respective Oaktown Re Ltd and Oaktown Re IV Ltd. were redeemed in full with a distribution of remaining collateral assets.</w:t>
      </w:r>
    </w:p>
    <w:p>
      <w:pPr>
        <w:spacing w:after="0" w:line="140"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The following table presents the inception date, covered production period, initial and current reinsurance coverage amount, and initial and current first layer retained aggregate loss under each outstanding ILN Transaction. Current amounts are presented as of September 30, 2022.</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Initial</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Current</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Initial First Layer</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Current First Layer</w:t>
            </w:r>
          </w:p>
        </w:tc>
        <w:tc>
          <w:tcPr>
            <w:tcW w:w="0" w:type="dxa"/>
            <w:vAlign w:val="bottom"/>
          </w:tcPr>
          <w:p>
            <w:pPr>
              <w:spacing w:after="0"/>
              <w:rPr>
                <w:sz w:val="1"/>
                <w:szCs w:val="1"/>
                <w:color w:val="auto"/>
              </w:rPr>
            </w:pPr>
          </w:p>
        </w:tc>
      </w:tr>
      <w:tr>
        <w:trPr>
          <w:trHeight w:val="141"/>
        </w:trPr>
        <w:tc>
          <w:tcPr>
            <w:tcW w:w="23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4"/>
                <w:szCs w:val="14"/>
                <w:i w:val="1"/>
                <w:iCs w:val="1"/>
                <w:color w:val="auto"/>
              </w:rPr>
              <w:t>$ values in thousands)</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Inception Date</w:t>
            </w:r>
          </w:p>
        </w:tc>
        <w:tc>
          <w:tcPr>
            <w:tcW w:w="120" w:type="dxa"/>
            <w:vAlign w:val="bottom"/>
            <w:vMerge w:val="restart"/>
          </w:tcPr>
          <w:p>
            <w:pPr>
              <w:spacing w:after="0"/>
              <w:rPr>
                <w:sz w:val="12"/>
                <w:szCs w:val="12"/>
                <w:color w:val="auto"/>
              </w:rPr>
            </w:pPr>
          </w:p>
        </w:tc>
        <w:tc>
          <w:tcPr>
            <w:tcW w:w="222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Covered Production</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0"/>
              </w:rPr>
              <w:t>Reinsurance</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8"/>
              </w:rPr>
              <w:t>Reinsurance</w:t>
            </w:r>
          </w:p>
        </w:tc>
        <w:tc>
          <w:tcPr>
            <w:tcW w:w="1220" w:type="dxa"/>
            <w:vAlign w:val="bottom"/>
            <w:gridSpan w:val="3"/>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360" w:type="dxa"/>
            <w:vAlign w:val="bottom"/>
            <w:tcBorders>
              <w:bottom w:val="single" w:sz="8" w:color="CCEEFF"/>
            </w:tcBorders>
            <w:gridSpan w:val="2"/>
            <w:vMerge w:val="continue"/>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7"/>
              </w:rPr>
              <w:t>Coverage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0"/>
              </w:rPr>
              <w:t>Coverage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7"/>
              </w:rPr>
              <w:t>Retained Loss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
              <w:spacing w:after="0" w:line="198" w:lineRule="exact"/>
              <w:rPr>
                <w:sz w:val="20"/>
                <w:szCs w:val="20"/>
                <w:color w:val="auto"/>
              </w:rPr>
            </w:pPr>
            <w:r>
              <w:rPr>
                <w:rFonts w:ascii="Arial" w:cs="Arial" w:eastAsia="Arial" w:hAnsi="Arial"/>
                <w:sz w:val="14"/>
                <w:szCs w:val="14"/>
                <w:b w:val="1"/>
                <w:bCs w:val="1"/>
                <w:color w:val="auto"/>
                <w:w w:val="87"/>
              </w:rPr>
              <w:t xml:space="preserve">Retained Loss </w:t>
            </w:r>
            <w:r>
              <w:rPr>
                <w:rFonts w:ascii="Arial" w:cs="Arial" w:eastAsia="Arial" w:hAnsi="Arial"/>
                <w:sz w:val="18"/>
                <w:szCs w:val="18"/>
                <w:b w:val="1"/>
                <w:bCs w:val="1"/>
                <w:color w:val="auto"/>
                <w:w w:val="87"/>
                <w:vertAlign w:val="superscript"/>
              </w:rPr>
              <w:t>(1)</w:t>
            </w:r>
          </w:p>
        </w:tc>
        <w:tc>
          <w:tcPr>
            <w:tcW w:w="0" w:type="dxa"/>
            <w:vAlign w:val="bottom"/>
          </w:tcPr>
          <w:p>
            <w:pPr>
              <w:spacing w:after="0"/>
              <w:rPr>
                <w:sz w:val="1"/>
                <w:szCs w:val="1"/>
                <w:color w:val="auto"/>
              </w:rPr>
            </w:pPr>
          </w:p>
        </w:tc>
      </w:tr>
      <w:tr>
        <w:trPr>
          <w:trHeight w:val="217"/>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2018 ILN Transaction</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July 25, 2018</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1/1/2017 - 5/31/2018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122,271</w:t>
            </w:r>
          </w:p>
        </w:tc>
        <w:tc>
          <w:tcPr>
            <w:tcW w:w="0" w:type="dxa"/>
            <w:vAlign w:val="bottom"/>
          </w:tcPr>
          <w:p>
            <w:pPr>
              <w:spacing w:after="0"/>
              <w:rPr>
                <w:sz w:val="1"/>
                <w:szCs w:val="1"/>
                <w:color w:val="auto"/>
              </w:rPr>
            </w:pPr>
          </w:p>
        </w:tc>
      </w:tr>
      <w:tr>
        <w:trPr>
          <w:trHeight w:val="224"/>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2019 ILN Transaction</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July 30, 2019</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6/1/2018 - 6/30/2019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326,905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218,121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123,424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122,412</w:t>
            </w:r>
          </w:p>
        </w:tc>
        <w:tc>
          <w:tcPr>
            <w:tcW w:w="0" w:type="dxa"/>
            <w:vAlign w:val="bottom"/>
          </w:tcPr>
          <w:p>
            <w:pPr>
              <w:spacing w:after="0"/>
              <w:rPr>
                <w:sz w:val="1"/>
                <w:szCs w:val="1"/>
                <w:color w:val="auto"/>
              </w:rPr>
            </w:pPr>
          </w:p>
        </w:tc>
      </w:tr>
      <w:tr>
        <w:trPr>
          <w:trHeight w:val="225"/>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2020-2</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ILN Transaction</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October 29, 2020</w:t>
            </w:r>
          </w:p>
        </w:tc>
        <w:tc>
          <w:tcPr>
            <w:tcW w:w="2220" w:type="dxa"/>
            <w:vAlign w:val="bottom"/>
            <w:shd w:val="clear" w:color="auto" w:fill="CCEEFF"/>
          </w:tcPr>
          <w:p>
            <w:pPr>
              <w:jc w:val="center"/>
              <w:spacing w:after="0" w:line="225" w:lineRule="exact"/>
              <w:rPr>
                <w:sz w:val="20"/>
                <w:szCs w:val="20"/>
                <w:color w:val="auto"/>
              </w:rPr>
            </w:pPr>
            <w:r>
              <w:rPr>
                <w:rFonts w:ascii="Arial" w:cs="Arial" w:eastAsia="Arial" w:hAnsi="Arial"/>
                <w:sz w:val="18"/>
                <w:szCs w:val="18"/>
                <w:color w:val="auto"/>
                <w:w w:val="87"/>
              </w:rPr>
              <w:t xml:space="preserve">4/1/2020 - 9/30/2020 </w:t>
            </w:r>
            <w:r>
              <w:rPr>
                <w:rFonts w:ascii="Arial" w:cs="Arial" w:eastAsia="Arial" w:hAnsi="Arial"/>
                <w:sz w:val="22"/>
                <w:szCs w:val="22"/>
                <w:color w:val="auto"/>
                <w:w w:val="87"/>
                <w:vertAlign w:val="superscript"/>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121,177</w:t>
            </w:r>
          </w:p>
        </w:tc>
        <w:tc>
          <w:tcPr>
            <w:tcW w:w="0" w:type="dxa"/>
            <w:vAlign w:val="bottom"/>
          </w:tcPr>
          <w:p>
            <w:pPr>
              <w:spacing w:after="0"/>
              <w:rPr>
                <w:sz w:val="1"/>
                <w:szCs w:val="1"/>
                <w:color w:val="auto"/>
              </w:rPr>
            </w:pPr>
          </w:p>
        </w:tc>
      </w:tr>
      <w:tr>
        <w:trPr>
          <w:trHeight w:val="224"/>
        </w:trPr>
        <w:tc>
          <w:tcPr>
            <w:tcW w:w="540" w:type="dxa"/>
            <w:vAlign w:val="bottom"/>
          </w:tcPr>
          <w:p>
            <w:pPr>
              <w:ind w:left="20"/>
              <w:spacing w:after="0"/>
              <w:rPr>
                <w:sz w:val="20"/>
                <w:szCs w:val="20"/>
                <w:color w:val="auto"/>
              </w:rPr>
            </w:pPr>
            <w:r>
              <w:rPr>
                <w:rFonts w:ascii="Arial" w:cs="Arial" w:eastAsia="Arial" w:hAnsi="Arial"/>
                <w:sz w:val="18"/>
                <w:szCs w:val="18"/>
                <w:color w:val="auto"/>
                <w:w w:val="89"/>
              </w:rPr>
              <w:t>2021-1</w:t>
            </w:r>
          </w:p>
        </w:tc>
        <w:tc>
          <w:tcPr>
            <w:tcW w:w="1820" w:type="dxa"/>
            <w:vAlign w:val="bottom"/>
          </w:tcPr>
          <w:p>
            <w:pPr>
              <w:ind w:left="20"/>
              <w:spacing w:after="0"/>
              <w:rPr>
                <w:sz w:val="20"/>
                <w:szCs w:val="20"/>
                <w:color w:val="auto"/>
              </w:rPr>
            </w:pPr>
            <w:r>
              <w:rPr>
                <w:rFonts w:ascii="Arial" w:cs="Arial" w:eastAsia="Arial" w:hAnsi="Arial"/>
                <w:sz w:val="18"/>
                <w:szCs w:val="18"/>
                <w:color w:val="auto"/>
              </w:rPr>
              <w:t>ILN Transaction</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April 27, 2021</w:t>
            </w:r>
          </w:p>
        </w:tc>
        <w:tc>
          <w:tcPr>
            <w:tcW w:w="2220" w:type="dxa"/>
            <w:vAlign w:val="bottom"/>
          </w:tcPr>
          <w:p>
            <w:pPr>
              <w:jc w:val="center"/>
              <w:spacing w:after="0" w:line="224" w:lineRule="exact"/>
              <w:rPr>
                <w:sz w:val="20"/>
                <w:szCs w:val="20"/>
                <w:color w:val="auto"/>
              </w:rPr>
            </w:pPr>
            <w:r>
              <w:rPr>
                <w:rFonts w:ascii="Arial" w:cs="Arial" w:eastAsia="Arial" w:hAnsi="Arial"/>
                <w:sz w:val="18"/>
                <w:szCs w:val="18"/>
                <w:color w:val="auto"/>
                <w:w w:val="88"/>
              </w:rPr>
              <w:t xml:space="preserve">10/1/2020 - 3/31/2021 </w:t>
            </w:r>
            <w:r>
              <w:rPr>
                <w:rFonts w:ascii="Arial" w:cs="Arial" w:eastAsia="Arial" w:hAnsi="Arial"/>
                <w:sz w:val="22"/>
                <w:szCs w:val="22"/>
                <w:color w:val="auto"/>
                <w:w w:val="88"/>
                <w:vertAlign w:val="superscript"/>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367,238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322,290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163,708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163,665</w:t>
            </w:r>
          </w:p>
        </w:tc>
        <w:tc>
          <w:tcPr>
            <w:tcW w:w="0" w:type="dxa"/>
            <w:vAlign w:val="bottom"/>
          </w:tcPr>
          <w:p>
            <w:pPr>
              <w:spacing w:after="0"/>
              <w:rPr>
                <w:sz w:val="1"/>
                <w:szCs w:val="1"/>
                <w:color w:val="auto"/>
              </w:rPr>
            </w:pPr>
          </w:p>
        </w:tc>
      </w:tr>
      <w:tr>
        <w:trPr>
          <w:trHeight w:val="224"/>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2021-2</w:t>
            </w:r>
          </w:p>
        </w:tc>
        <w:tc>
          <w:tcPr>
            <w:tcW w:w="18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ILN Transaction </w:t>
            </w:r>
            <w:r>
              <w:rPr>
                <w:rFonts w:ascii="Arial" w:cs="Arial" w:eastAsia="Arial" w:hAnsi="Arial"/>
                <w:sz w:val="22"/>
                <w:szCs w:val="22"/>
                <w:color w:val="auto"/>
                <w:vertAlign w:val="superscript"/>
              </w:rPr>
              <w:t>(5)</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October 26, 2021</w:t>
            </w:r>
          </w:p>
        </w:tc>
        <w:tc>
          <w:tcPr>
            <w:tcW w:w="2220" w:type="dxa"/>
            <w:vAlign w:val="bottom"/>
            <w:shd w:val="clear" w:color="auto" w:fill="CCEEFF"/>
          </w:tcPr>
          <w:p>
            <w:pPr>
              <w:jc w:val="center"/>
              <w:spacing w:after="0" w:line="224" w:lineRule="exact"/>
              <w:rPr>
                <w:sz w:val="20"/>
                <w:szCs w:val="20"/>
                <w:color w:val="auto"/>
              </w:rPr>
            </w:pPr>
            <w:r>
              <w:rPr>
                <w:rFonts w:ascii="Arial" w:cs="Arial" w:eastAsia="Arial" w:hAnsi="Arial"/>
                <w:sz w:val="18"/>
                <w:szCs w:val="18"/>
                <w:color w:val="auto"/>
                <w:w w:val="87"/>
              </w:rPr>
              <w:t xml:space="preserve">4/1/2021 - 9/30/2021 </w:t>
            </w:r>
            <w:r>
              <w:rPr>
                <w:rFonts w:ascii="Arial" w:cs="Arial" w:eastAsia="Arial" w:hAnsi="Arial"/>
                <w:sz w:val="22"/>
                <w:szCs w:val="22"/>
                <w:color w:val="auto"/>
                <w:w w:val="87"/>
                <w:vertAlign w:val="superscript"/>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146,204</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320" w:hanging="314"/>
        <w:spacing w:after="0" w:line="220" w:lineRule="auto"/>
        <w:tabs>
          <w:tab w:leader="none" w:pos="252"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ind w:left="260" w:hanging="254"/>
        <w:spacing w:after="0"/>
        <w:tabs>
          <w:tab w:leader="none" w:pos="260" w:val="left"/>
        </w:tabs>
        <w:numPr>
          <w:ilvl w:val="0"/>
          <w:numId w:val="8"/>
        </w:numPr>
        <w:rPr>
          <w:rFonts w:ascii="Arial" w:cs="Arial" w:eastAsia="Arial" w:hAnsi="Arial"/>
          <w:sz w:val="9"/>
          <w:szCs w:val="9"/>
          <w:color w:val="auto"/>
        </w:rPr>
      </w:pPr>
      <w:r>
        <w:rPr>
          <w:rFonts w:ascii="Arial" w:cs="Arial" w:eastAsia="Arial" w:hAnsi="Arial"/>
          <w:sz w:val="14"/>
          <w:szCs w:val="14"/>
          <w:color w:val="auto"/>
        </w:rPr>
        <w:t>Approximately 1% of the production covered by the 2020-2 ILN Transaction has coverage reporting dates between July 1, 2019 and March 31, 2020.</w:t>
      </w:r>
    </w:p>
    <w:p>
      <w:pPr>
        <w:spacing w:after="0" w:line="10" w:lineRule="exact"/>
        <w:rPr>
          <w:rFonts w:ascii="Arial" w:cs="Arial" w:eastAsia="Arial" w:hAnsi="Arial"/>
          <w:sz w:val="9"/>
          <w:szCs w:val="9"/>
          <w:color w:val="auto"/>
        </w:rPr>
      </w:pPr>
    </w:p>
    <w:p>
      <w:pPr>
        <w:ind w:left="200" w:hanging="194"/>
        <w:spacing w:after="0" w:line="198" w:lineRule="auto"/>
        <w:tabs>
          <w:tab w:leader="none" w:pos="20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Approximately 1% of the production covered by the 2021-1 ILN Transaction has coverage reporting dates between July 1, 2019 and September 30, 2020.</w:t>
      </w:r>
    </w:p>
    <w:p>
      <w:pPr>
        <w:spacing w:after="0" w:line="4" w:lineRule="exact"/>
        <w:rPr>
          <w:rFonts w:ascii="Arial" w:cs="Arial" w:eastAsia="Arial" w:hAnsi="Arial"/>
          <w:sz w:val="18"/>
          <w:szCs w:val="18"/>
          <w:color w:val="auto"/>
          <w:vertAlign w:val="superscript"/>
        </w:rPr>
      </w:pPr>
    </w:p>
    <w:p>
      <w:pPr>
        <w:ind w:left="200" w:hanging="194"/>
        <w:spacing w:after="0" w:line="193" w:lineRule="auto"/>
        <w:tabs>
          <w:tab w:leader="none" w:pos="20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Approximately 2% of the production covered by the 2021-2 ILN Transaction has coverage reporting dates between July 1, 2019 and March 31, 2021.</w:t>
      </w:r>
    </w:p>
    <w:p>
      <w:pPr>
        <w:spacing w:after="0" w:line="5" w:lineRule="exact"/>
        <w:rPr>
          <w:rFonts w:ascii="Arial" w:cs="Arial" w:eastAsia="Arial" w:hAnsi="Arial"/>
          <w:sz w:val="18"/>
          <w:szCs w:val="18"/>
          <w:color w:val="auto"/>
          <w:vertAlign w:val="superscript"/>
        </w:rPr>
      </w:pPr>
    </w:p>
    <w:p>
      <w:pPr>
        <w:ind w:left="320" w:hanging="314"/>
        <w:spacing w:after="0" w:line="212" w:lineRule="auto"/>
        <w:tabs>
          <w:tab w:leader="none" w:pos="259"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As of September 30, 2022, the current reinsurance coverage amount on the 2021-2 ILN Transactions is equal to the initial reinsurance coverage amount, as the reinsurance coverage provided by Oaktown Re VII Ltd. will not begin to amortize until its target credit enhancement level is reached.</w:t>
      </w:r>
    </w:p>
    <w:p>
      <w:pPr>
        <w:spacing w:after="0" w:line="157"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Under the terms of our ILN Transactions, we are required to maintain a certain level of restricted funds in premium deposit accounts with Bank of New York Mellon until the respective notes have been redeemed in full. "Cash and cash equivalents" on our consolidated balance sheet includes restricted amounts of $2.2 million and $3.2 million as of September 30, 2022 and December 31, 2021, respectively. The restricted balances required under these transactions will decline over time as the outstanding principal balance of the respective insurance-linked notes are amortized.</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Traditional reinsurance</w:t>
      </w:r>
    </w:p>
    <w:p>
      <w:pPr>
        <w:spacing w:after="0" w:line="162"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color w:val="auto"/>
        </w:rPr>
        <w:t>NMIC is a party to two excess-of-loss reinsurance agreements with broad panels of third-party reinsurers – the 2022-1 XOL Transaction, effective April 1, 2022, and the 2022-2 XOL Transaction, effective July 1, 2022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the inception of each respective agreement over a ten-year period in the event the PMIERs minimum required assets of the pool declines. NMIC retains losses in excess of the outstanding reinsurance coverage amount.</w:t>
      </w:r>
    </w:p>
    <w:p>
      <w:pPr>
        <w:spacing w:after="0" w:line="117"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As of September 30, 2022, NMIC’s first layer aggregate retained loss exposure under the 2022-1 and 2022-2 XOL Transactions, was $133.4 million and $78.9 million, respectively, and the outstanding reinsurance coverage amount provided under each agreement was $284.0 million and $152.3 million, respectively.</w:t>
      </w:r>
    </w:p>
    <w:p>
      <w:pPr>
        <w:spacing w:after="0" w:line="137"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Under the terms of the XOL Transactions, NMIC makes risk premium payments to its third-party reinsurance providers for the outstanding reinsurance coverage amount and ceded aggregate premiums of $4.8 million and $7.7 million during the three and nine months ended September 30, 2022, respectively. NMIC applies claims paid on covered policies against its first layer aggregate retained loss exposure under each agreement. NMIC did not cede any incurred losses on covered policies under the XOL Transactions during the three and nine months ended September 30, 2022, as the aggregate first layer risk retention for each agreement was not exhausted during such periods.</w:t>
      </w:r>
    </w:p>
    <w:p>
      <w:pPr>
        <w:spacing w:after="0" w:line="113"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NMIC holds optional termination rights which provide it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of the third-party reinsurance providers that is party to the XOL Transactions has an insurer financial strength rating of A- or better by Standard</w:t>
      </w:r>
    </w:p>
    <w:p>
      <w:pPr>
        <w:spacing w:after="0" w:line="39" w:lineRule="exact"/>
        <w:rPr>
          <w:sz w:val="20"/>
          <w:szCs w:val="20"/>
          <w:color w:val="auto"/>
        </w:rPr>
      </w:pPr>
    </w:p>
    <w:p>
      <w:pPr>
        <w:ind w:left="180" w:hanging="174"/>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Poor’s Rating Service (S&amp;P), A.M. Best Company Inc. (A.M. Best) or both.</w:t>
      </w:r>
    </w:p>
    <w:p>
      <w:pPr>
        <w:spacing w:after="0" w:line="15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Quota share reinsurance</w:t>
      </w:r>
    </w:p>
    <w:p>
      <w:pPr>
        <w:spacing w:after="0" w:line="162" w:lineRule="exact"/>
        <w:rPr>
          <w:sz w:val="20"/>
          <w:szCs w:val="20"/>
          <w:color w:val="auto"/>
        </w:rPr>
      </w:pPr>
    </w:p>
    <w:p>
      <w:pPr>
        <w:jc w:val="both"/>
        <w:ind w:firstLine="633"/>
        <w:spacing w:after="0" w:line="311" w:lineRule="auto"/>
        <w:rPr>
          <w:sz w:val="20"/>
          <w:szCs w:val="20"/>
          <w:color w:val="auto"/>
        </w:rPr>
      </w:pPr>
      <w:r>
        <w:rPr>
          <w:rFonts w:ascii="Arial" w:cs="Arial" w:eastAsia="Arial" w:hAnsi="Arial"/>
          <w:sz w:val="15"/>
          <w:szCs w:val="15"/>
          <w:color w:val="auto"/>
        </w:rPr>
        <w:t>NMIC is a party to six quota share reinsurance treaties – the 2016 QSR Transaction, effective September 1, 2016, the 2018 QSR Transaction, effective January 1, 2018, the 2020 QSR Transaction, effective April 1, 2020, the 2021 QSR Transaction, effective January 1, 2021, the 2022 QSR Transaction, effective October 1, 2021 and the 2022 Seasoned QSR Transaction, effective July 1, 2022 – which we refer to collectively as the QSR Transactions. Under each of the QSR Transactions, NMIC cedes a proportional share of its risk on eligible policies to panels of third-party reinsurance providers. Each of the third-party reinsurance providers that is party to the QSR Transactions has an insurer financial strength rating of A- or better by S&amp;P, A.M. Best or both.</w:t>
      </w:r>
    </w:p>
    <w:p>
      <w:pPr>
        <w:spacing w:after="0" w:line="96"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 xml:space="preserve">Under the terms of the 2016 QSR Transaction, NMIC cedes premiums written related to 25% of the risk on eligible primary policies written for all periods through December 31, 2017 and 100% of the risk under our pool agreement with Fannie Mae. </w:t>
      </w:r>
      <w:r>
        <w:rPr>
          <w:rFonts w:ascii="Arial" w:cs="Arial" w:eastAsia="Arial" w:hAnsi="Arial"/>
          <w:sz w:val="18"/>
          <w:szCs w:val="18"/>
          <w:color w:val="212529"/>
        </w:rPr>
        <w:t>The 2016 QSR Transaction is scheduled to terminate on</w:t>
      </w:r>
      <w:r>
        <w:rPr>
          <w:rFonts w:ascii="Arial" w:cs="Arial" w:eastAsia="Arial" w:hAnsi="Arial"/>
          <w:sz w:val="18"/>
          <w:szCs w:val="18"/>
          <w:color w:val="auto"/>
        </w:rPr>
        <w:t xml:space="preserve"> </w:t>
      </w:r>
      <w:r>
        <w:rPr>
          <w:rFonts w:ascii="Arial" w:cs="Arial" w:eastAsia="Arial" w:hAnsi="Arial"/>
          <w:sz w:val="18"/>
          <w:szCs w:val="18"/>
          <w:color w:val="212529"/>
        </w:rPr>
        <w:t>December 31, 2027, except with respect to the ceded pool risk, which is scheduled to terminate on August 31, 2023. NMIC has the option, based on certain conditions and subject to a termination fee, to terminate the agreement as of December 31, 2020, or at the end of any calendar quarter thereafter, which would result in NMIC recapturing the related risk.</w:t>
      </w:r>
    </w:p>
    <w:p>
      <w:pPr>
        <w:spacing w:after="0" w:line="140"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Under the terms of the 2018 QSR Transaction, NMIC cedes premiums earned related to 25%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would result in NMIC recapturing the related risk.</w:t>
      </w:r>
    </w:p>
    <w:p>
      <w:pPr>
        <w:spacing w:after="0" w:line="140"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Under the terms of the 2020 QSR Transaction, NMIC cedes premiums earned related to 21% of the risk on eligible policies written from April 1, 2020 to December 31, 2020. The 2020 QSR Transaction is scheduled to terminate on December 31, 2030. NMIC has the option, based on certain conditions and subject to a termination fee, to terminate the agreement as of December 31, 2023, or at the end of any calendar quarter thereafter, which would result in NMIC recapturing the related risk.</w:t>
      </w:r>
    </w:p>
    <w:p>
      <w:pPr>
        <w:spacing w:after="0" w:line="140"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Under the terms of the 2021 QSR Transaction, NMIC cedes premiums earned related to 22.5% of the risk on eligible policies written from January 1, 2021 to October 30, 2021. The 2021 QSR Transaction is scheduled to terminate on December 31, 2031. NMIC has the option, based on certain conditions and subject to a termination fee, to terminate the agreement as of December 31, 2024, or at the end of any calendar quarter thereafter, which would result in NMIC recapturing the related risk.</w:t>
      </w:r>
    </w:p>
    <w:p>
      <w:pPr>
        <w:spacing w:after="0" w:line="140"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Under the terms of the 2022 QSR Transaction, NMIC cedes premiums earned related to 20% of the risk on eligible policies written primarily between October 30, 2021 and December 31, 2022. The 2022 QSR Transaction is scheduled to terminate on December 31, 2032. NMIC has the option, based on certain conditions and subject to a termination fee, to terminate the agreement as of December 31, 2025 or semi-annually thereafter, which would result in NMIC recapturing the related risk.</w:t>
      </w:r>
    </w:p>
    <w:p>
      <w:pPr>
        <w:spacing w:after="0" w:line="140"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In connection with the 2022 QSR Transaction, NMIC entered into an additional back-to-back quota share agreement that is scheduled to incept on January 1, 2023 (the 2023 QSR Transaction). Under the terms of the 2023 QSR Transactions, NMIC will cede premiums earned related to 20% of the risk on eligible policies written in 2023.</w:t>
      </w:r>
    </w:p>
    <w:p>
      <w:pPr>
        <w:spacing w:after="0" w:line="137" w:lineRule="exact"/>
        <w:rPr>
          <w:sz w:val="20"/>
          <w:szCs w:val="20"/>
          <w:color w:val="auto"/>
        </w:rPr>
      </w:pPr>
    </w:p>
    <w:p>
      <w:pPr>
        <w:ind w:firstLine="633"/>
        <w:spacing w:after="0" w:line="307" w:lineRule="auto"/>
        <w:rPr>
          <w:sz w:val="20"/>
          <w:szCs w:val="20"/>
          <w:color w:val="auto"/>
        </w:rPr>
      </w:pPr>
      <w:r>
        <w:rPr>
          <w:rFonts w:ascii="Arial" w:cs="Arial" w:eastAsia="Arial" w:hAnsi="Arial"/>
          <w:sz w:val="15"/>
          <w:szCs w:val="15"/>
          <w:color w:val="auto"/>
        </w:rPr>
        <w:t>Under the terms of the 2022 Seasoned QSR Transaction, NMIC cedes premiums earned related to 95% of the net risk on eligible policies primarily for a seasoned pool of mortgage insurance policies that had previously been covered under the now retired 2017 and 2020-1 ILN Transactions, after the consideration of coverage provided by other QSR Transactions. The 2022 Seasoned QSR Transaction is scheduled to terminate on June 30, 2032. NMIC has the option, based on certain conditions, to terminate the agreement as of June 30, 2025 or quarterly thereafter through December 31, 2027 with the payment of</w:t>
      </w:r>
    </w:p>
    <w:p>
      <w:pPr>
        <w:spacing w:after="0" w:line="1"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a termination fee, and as of March 31, 2028 or quarterly thereafter without the payment of a termination fee. Such termination would result in NMIC recapturing the related risk.</w:t>
      </w:r>
    </w:p>
    <w:p>
      <w:pPr>
        <w:spacing w:after="0" w:line="128"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NMIC may terminate any or all of the QSR Transactions without penalty if, due to a change in PMIERs requirements, it is no longer able to take full PMIERs asset credit for the risk-in-force (RIF) ceded under the respective agreements. Additionally, under the terms of the QSR Transactions, NMIC may elect to selectively terminate its engagement with individual reinsurers on a</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run-off basis (</w:t>
      </w:r>
      <w:r>
        <w:rPr>
          <w:rFonts w:ascii="Arial" w:cs="Arial" w:eastAsia="Arial" w:hAnsi="Arial"/>
          <w:sz w:val="16"/>
          <w:szCs w:val="16"/>
          <w:i w:val="1"/>
          <w:iCs w:val="1"/>
          <w:color w:val="auto"/>
        </w:rPr>
        <w:t>i.e.</w:t>
      </w:r>
      <w:r>
        <w:rPr>
          <w:rFonts w:ascii="Arial" w:cs="Arial" w:eastAsia="Arial" w:hAnsi="Arial"/>
          <w:sz w:val="16"/>
          <w:szCs w:val="16"/>
          <w:color w:val="auto"/>
        </w:rPr>
        <w:t>, reinsurers continue providing coverage on all risk ceded prior to the termination date, with no new cessions going forward) or cut-off basis (</w:t>
      </w:r>
      <w:r>
        <w:rPr>
          <w:rFonts w:ascii="Arial" w:cs="Arial" w:eastAsia="Arial" w:hAnsi="Arial"/>
          <w:sz w:val="16"/>
          <w:szCs w:val="16"/>
          <w:i w:val="1"/>
          <w:iCs w:val="1"/>
          <w:color w:val="auto"/>
        </w:rPr>
        <w:t>i.e.</w:t>
      </w:r>
      <w:r>
        <w:rPr>
          <w:rFonts w:ascii="Arial" w:cs="Arial" w:eastAsia="Arial" w:hAnsi="Arial"/>
          <w:sz w:val="16"/>
          <w:szCs w:val="16"/>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07"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earned or written with respect to the recaptured risk. With the termination, ceded premiums written under the 2016 QSR Transaction decreased from 25% to 20.5% on eligible policies. The termination has no effect on the cession of pool risk under the 2016 QSR Transaction.</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amounts related to the QSR Transactions: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gridSpan w:val="4"/>
          </w:tcPr>
          <w:p>
            <w:pPr>
              <w:ind w:left="220"/>
              <w:spacing w:after="0"/>
              <w:rPr>
                <w:sz w:val="20"/>
                <w:szCs w:val="20"/>
                <w:color w:val="auto"/>
              </w:rPr>
            </w:pPr>
            <w:r>
              <w:rPr>
                <w:rFonts w:ascii="Arial" w:cs="Arial" w:eastAsia="Arial" w:hAnsi="Arial"/>
                <w:sz w:val="14"/>
                <w:szCs w:val="14"/>
                <w:b w:val="1"/>
                <w:bCs w:val="1"/>
                <w:color w:val="auto"/>
              </w:rPr>
              <w:t>As of and for the three months ended</w:t>
            </w:r>
          </w:p>
        </w:tc>
        <w:tc>
          <w:tcPr>
            <w:tcW w:w="100" w:type="dxa"/>
            <w:vAlign w:val="bottom"/>
          </w:tcPr>
          <w:p>
            <w:pPr>
              <w:spacing w:after="0"/>
              <w:rPr>
                <w:sz w:val="15"/>
                <w:szCs w:val="15"/>
                <w:color w:val="auto"/>
              </w:rPr>
            </w:pPr>
          </w:p>
        </w:tc>
        <w:tc>
          <w:tcPr>
            <w:tcW w:w="282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w w:val="99"/>
              </w:rPr>
              <w:t>As of and for the nine months ended</w:t>
            </w:r>
          </w:p>
        </w:tc>
      </w:tr>
      <w:tr>
        <w:trPr>
          <w:trHeight w:val="24"/>
        </w:trPr>
        <w:tc>
          <w:tcPr>
            <w:tcW w:w="5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5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8"/>
              </w:rPr>
              <w:t>September 30, 2022</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8"/>
              </w:rPr>
              <w:t>September 30, 2022</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8"/>
              </w:rPr>
              <w:t>September 30, 2021</w:t>
            </w:r>
          </w:p>
        </w:tc>
      </w:tr>
      <w:tr>
        <w:trPr>
          <w:trHeight w:val="189"/>
        </w:trPr>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0" w:type="dxa"/>
            <w:vAlign w:val="bottom"/>
            <w:gridSpan w:val="4"/>
          </w:tcPr>
          <w:p>
            <w:pPr>
              <w:jc w:val="right"/>
              <w:ind w:right="997"/>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risk-in-force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12,511,797</w:t>
            </w:r>
          </w:p>
        </w:tc>
        <w:tc>
          <w:tcPr>
            <w:tcW w:w="40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7,610,870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12,511,797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7,610,870</w:t>
            </w:r>
          </w:p>
        </w:tc>
      </w:tr>
      <w:tr>
        <w:trPr>
          <w:trHeight w:val="224"/>
        </w:trPr>
        <w:tc>
          <w:tcPr>
            <w:tcW w:w="5320" w:type="dxa"/>
            <w:vAlign w:val="bottom"/>
          </w:tcPr>
          <w:p>
            <w:pPr>
              <w:ind w:left="20"/>
              <w:spacing w:after="0"/>
              <w:rPr>
                <w:sz w:val="20"/>
                <w:szCs w:val="20"/>
                <w:color w:val="auto"/>
              </w:rPr>
            </w:pPr>
            <w:r>
              <w:rPr>
                <w:rFonts w:ascii="Arial" w:cs="Arial" w:eastAsia="Arial" w:hAnsi="Arial"/>
                <w:sz w:val="18"/>
                <w:szCs w:val="18"/>
                <w:color w:val="auto"/>
              </w:rPr>
              <w:t>Ceded premiums earned</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(42,265)</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(101,501)</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(81,650)</w:t>
            </w:r>
          </w:p>
        </w:tc>
      </w:tr>
      <w:tr>
        <w:trPr>
          <w:trHeight w:val="225"/>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claims and claim expenses (benefits)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248</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r>
      <w:tr>
        <w:trPr>
          <w:trHeight w:val="224"/>
        </w:trPr>
        <w:tc>
          <w:tcPr>
            <w:tcW w:w="5320" w:type="dxa"/>
            <w:vAlign w:val="bottom"/>
          </w:tcPr>
          <w:p>
            <w:pPr>
              <w:ind w:left="20"/>
              <w:spacing w:after="0"/>
              <w:rPr>
                <w:sz w:val="20"/>
                <w:szCs w:val="20"/>
                <w:color w:val="auto"/>
              </w:rPr>
            </w:pPr>
            <w:r>
              <w:rPr>
                <w:rFonts w:ascii="Arial" w:cs="Arial" w:eastAsia="Arial" w:hAnsi="Arial"/>
                <w:sz w:val="18"/>
                <w:szCs w:val="18"/>
                <w:color w:val="auto"/>
              </w:rPr>
              <w:t>Ceding commission earned</w:t>
            </w:r>
          </w:p>
        </w:tc>
        <w:tc>
          <w:tcPr>
            <w:tcW w:w="120" w:type="dxa"/>
            <w:vAlign w:val="bottom"/>
          </w:tcPr>
          <w:p>
            <w:pPr>
              <w:spacing w:after="0"/>
              <w:rPr>
                <w:sz w:val="19"/>
                <w:szCs w:val="19"/>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10,193</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22,225</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17,265</w:t>
            </w:r>
          </w:p>
        </w:tc>
      </w:tr>
      <w:tr>
        <w:trPr>
          <w:trHeight w:val="225"/>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 commission</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23,899</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58,400</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42,962</w:t>
            </w:r>
          </w:p>
        </w:tc>
      </w:tr>
    </w:tbl>
    <w:p>
      <w:pPr>
        <w:spacing w:after="0" w:line="238"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color w:val="auto"/>
        </w:rPr>
        <w:t>Ceded premiums written under the 2016 QSR Transaction are recorded on the balance sheet as prepaid reinsurance premiums and amortized to ceded premiums earned in a manner consistent with the recognition of revenue on direct premiums. Under all other QSR Transactions, premiums are ceded on an earned basis as defined in the agreement. NMIC receives a 20% ceding commission for premiums ceded under the QSR Transactions, except with respect to the 2022 Seasoned QSR Transaction under which it receives a 35% ceding commission. NMIC also receives a profit commission under each of the QSR Transactions, provided that the loss ratios on loans covered under the 2016, 2018, 2020, 2021, 2022 QSR and 2022 Seasoned QSR Transactions, generally remain below 60%, 61%, 50%, 57.5%, 62%, and 55% respectively, as measured annually. Ceded claims and claim expenses under each of the QSR Transactions reduce the respective profit commission received by NMIC on a dollar-for-dollar basis.</w:t>
      </w:r>
    </w:p>
    <w:p>
      <w:pPr>
        <w:spacing w:after="0" w:line="117"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the 2016 QSR Transaction was $3.5 million as of September 30, 2022.</w:t>
      </w:r>
    </w:p>
    <w:p>
      <w:pPr>
        <w:spacing w:after="0" w:line="113"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In accordance with the terms of the 2018, 2020, 2021, 2022 QSR and 2022 Seasoned QSR Transactions, cash payments for ceded premiums earned are settled on a quarterly basis, offset by amounts due to NMIC for ceding and profit commissions. Any loss recoveries and any potential profit commission to NMIC are also recognized quarterly. NMIC's reinsurance recoverable balance is supported by trust accounts established and maintained by each reinsurer in accordance with the PMIERs funding requirements for risk ceded to non-affiliates. The aggregate reinsurance recoverable on loss reserves related to the 2018, 2020, 2021, 2022 QSR and 2022 Seasoned QSR Transactions was $16.3 million as of September 30, 2022.</w:t>
      </w:r>
    </w:p>
    <w:p>
      <w:pPr>
        <w:spacing w:after="0" w:line="113"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We remain directly liable for all claim payments if we are unable to collect reinsurance recoverable due from our reinsurers and, as such, we actively monitor and manage our counterparty credit exposure to our reinsurance providers. We establish an allowance for expected credit loss against our reinsurance recoverable if we do not expect to recover amounts due from one or more of our reinsurance counterparties, and report our reinsurance recoverable net of such allowance, if any. We actively monitor the counterparty credit profiles of our reinsurers and each is required to partially collateralize its obligations under the terms of our QSR Transactions. The allowance for credit loss established on our reinsurance recoverable was deemed immaterial at September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Reserves for Insurance Claims and Claim Expenses</w:t>
      </w:r>
    </w:p>
    <w:p>
      <w:pPr>
        <w:spacing w:after="0" w:line="168"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 not reported (IBNR) reserves. We also establish reserves for claim expenses, which represent the estimated cost of the claim administration process, including legal and other fees, as well as other general expenses of administering the claim settlement process. As of September 30, 2022, we had 4,096 primary loans in default and held gross reserves for insurance claims and claim expenses of $94.9 million. During the nine months ended September 30, 2022, we paid 59 claims totaling $1.2 million, including 56 claims covered under the QSR Transactions representing $0.3 million of ceded claims and claim expenses.</w:t>
      </w:r>
    </w:p>
    <w:p>
      <w:pPr>
        <w:spacing w:after="0" w:line="117"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color w:val="auto"/>
        </w:rPr>
        <w:t>In 2013, we entered into a pool insurance transaction with Fannie Mae. The pool transaction includes a deductible, which represents the amount of claims to be absorbed by Fannie Mae before we are obligated to pay any claims. We only establish reserves for pool risk if we expect claims to exceed this deductible. At September 30, 2022, 47 loans in the pool were in default. These 47 loans represented approximately $3.6 million of RIF. Due to the size of the remaining deductible, our expectation that a limited number of loans in default will progress to a claim and the expected severity on such claim submissions (all loans in the pool had loan-to-value (LTV) ratios under 80% at origination), we did not establish any case or IBNR reserves for pool risk at September 30, 2022. In connection with the settlement of pool claims, we applied $1.0 million to the pool deductible through September 30, 2022. At September 30, 2022, the remaining pool deductible was $9.4 million. We have not paid any pool claims to date. 100% of our pool RIF is reinsured under the 2016 QSR Transaction.</w:t>
      </w:r>
    </w:p>
    <w:p>
      <w:pPr>
        <w:spacing w:after="0" w:line="117"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We had 4,096 loans in default in our primary insured portfolio as of September 30, 2022, which represented a 0.71% default rate against 580,525 total policies in-force. We had 7,670 loans in default in our primary insured portfolio as of September 30, 2021, which represented a 1.56% default rate against 490,714 total policies in-force. Although our default count declined from September 30, 2021 to September 30, 2022, the population remains elevated compared to our historical experience due to the continued challenges certain borrowers are facing related to the COVID-19 pandemic and their decision to access the forbearance program for federally backed loans codified under the Coronavirus Aid, Relief and Economic Security (CARES) Act or similar programs made available by private lenders.</w:t>
      </w:r>
    </w:p>
    <w:p>
      <w:pPr>
        <w:spacing w:after="0" w:line="141" w:lineRule="exact"/>
        <w:rPr>
          <w:sz w:val="20"/>
          <w:szCs w:val="20"/>
          <w:color w:val="auto"/>
        </w:rPr>
      </w:pPr>
    </w:p>
    <w:p>
      <w:pPr>
        <w:jc w:val="both"/>
        <w:ind w:firstLine="633"/>
        <w:spacing w:after="0" w:line="281" w:lineRule="auto"/>
        <w:rPr>
          <w:sz w:val="20"/>
          <w:szCs w:val="20"/>
          <w:color w:val="auto"/>
        </w:rPr>
      </w:pPr>
      <w:r>
        <w:rPr>
          <w:rFonts w:ascii="Arial" w:cs="Arial" w:eastAsia="Arial" w:hAnsi="Arial"/>
          <w:sz w:val="16"/>
          <w:szCs w:val="16"/>
          <w:color w:val="auto"/>
        </w:rPr>
        <w:t>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 during the forbearance period over an extended length of time. In response to the COVID-19 pandemic, the FHFA and GSEs introduced new repayment and loan modification options to further assist borrowers with their transition out of forbearance programs and default status.</w:t>
      </w:r>
    </w:p>
    <w:p>
      <w:pPr>
        <w:spacing w:after="0" w:line="119"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We generally observe that forbearance, repayment and modification, and other assistance programs aid affected borrowers and drive higher cure rates on defaults than would otherwise be expected on similarly situated loans that did not benefit from broad-based assistance programs. Our reserve setting process considers the beneficial impact of forbearance, foreclosure moratorium and other assistance programs available to defaulted borrowers.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provides a reconciliation of the beginning and ending gross reserve balances for primary insurance claims and claim (benefits)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3560" w:type="dxa"/>
            <w:vAlign w:val="bottom"/>
            <w:gridSpan w:val="5"/>
          </w:tcPr>
          <w:p>
            <w:pPr>
              <w:jc w:val="right"/>
              <w:ind w:right="433"/>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24"/>
        </w:trPr>
        <w:tc>
          <w:tcPr>
            <w:tcW w:w="76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768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r>
      <w:tr>
        <w:trPr>
          <w:trHeight w:val="189"/>
        </w:trPr>
        <w:tc>
          <w:tcPr>
            <w:tcW w:w="7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3"/>
          </w:tcPr>
          <w:p>
            <w:pPr>
              <w:jc w:val="right"/>
              <w:ind w:right="92"/>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16"/>
                <w:szCs w:val="16"/>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103,551</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90,567</w:t>
            </w:r>
          </w:p>
        </w:tc>
      </w:tr>
      <w:tr>
        <w:trPr>
          <w:trHeight w:val="224"/>
        </w:trPr>
        <w:tc>
          <w:tcPr>
            <w:tcW w:w="768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(20,320)</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(17,608)</w:t>
            </w:r>
          </w:p>
        </w:tc>
      </w:tr>
      <w:tr>
        <w:trPr>
          <w:trHeight w:val="217"/>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net of reinsurance recoverables</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83,231</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72,959</w:t>
            </w:r>
          </w:p>
        </w:tc>
      </w:tr>
      <w:tr>
        <w:trPr>
          <w:trHeight w:val="244"/>
        </w:trPr>
        <w:tc>
          <w:tcPr>
            <w:tcW w:w="7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claims incurred: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Claims and claim (benefits) expenses incurred: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7680" w:type="dxa"/>
            <w:vAlign w:val="bottom"/>
            <w:shd w:val="clear" w:color="auto" w:fill="CCEEFF"/>
          </w:tcPr>
          <w:p>
            <w:pPr>
              <w:ind w:left="460"/>
              <w:spacing w:after="0" w:line="225"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19,275</w:t>
            </w:r>
          </w:p>
        </w:tc>
      </w:tr>
      <w:tr>
        <w:trPr>
          <w:trHeight w:val="224"/>
        </w:trPr>
        <w:tc>
          <w:tcPr>
            <w:tcW w:w="7680" w:type="dxa"/>
            <w:vAlign w:val="bottom"/>
            <w:tcBorders>
              <w:bottom w:val="single" w:sz="8" w:color="CCEEFF"/>
            </w:tcBorders>
          </w:tcPr>
          <w:p>
            <w:pPr>
              <w:ind w:left="460"/>
              <w:spacing w:after="0" w:line="224"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2"/>
                <w:szCs w:val="22"/>
                <w:color w:val="auto"/>
                <w:vertAlign w:val="superscript"/>
              </w:rPr>
              <w:t>(3)</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(35,179)</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(6,469)</w:t>
            </w:r>
          </w:p>
        </w:tc>
      </w:tr>
      <w:tr>
        <w:trPr>
          <w:trHeight w:val="217"/>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claims and claim (benefits) expenses incurred</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12,806</w:t>
            </w:r>
          </w:p>
        </w:tc>
      </w:tr>
      <w:tr>
        <w:trPr>
          <w:trHeight w:val="125"/>
        </w:trPr>
        <w:tc>
          <w:tcPr>
            <w:tcW w:w="7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claims paid: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7680" w:type="dxa"/>
            <w:vAlign w:val="bottom"/>
          </w:tcPr>
          <w:p>
            <w:pPr>
              <w:ind w:left="220"/>
              <w:spacing w:after="0"/>
              <w:rPr>
                <w:sz w:val="20"/>
                <w:szCs w:val="20"/>
                <w:color w:val="auto"/>
              </w:rPr>
            </w:pPr>
            <w:r>
              <w:rPr>
                <w:rFonts w:ascii="Arial" w:cs="Arial" w:eastAsia="Arial" w:hAnsi="Arial"/>
                <w:sz w:val="18"/>
                <w:szCs w:val="18"/>
                <w:color w:val="auto"/>
              </w:rPr>
              <w:t>Claims and claim expenses paid:</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7680" w:type="dxa"/>
            <w:vAlign w:val="bottom"/>
            <w:shd w:val="clear" w:color="auto" w:fill="CCEEFF"/>
          </w:tcPr>
          <w:p>
            <w:pPr>
              <w:ind w:left="340"/>
              <w:spacing w:after="0" w:line="225"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2"/>
                <w:szCs w:val="22"/>
                <w:color w:val="auto"/>
                <w:vertAlign w:val="superscript"/>
              </w:rPr>
              <w:t>(2)</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4"/>
        </w:trPr>
        <w:tc>
          <w:tcPr>
            <w:tcW w:w="7680" w:type="dxa"/>
            <w:vAlign w:val="bottom"/>
            <w:tcBorders>
              <w:bottom w:val="single" w:sz="8" w:color="CCEEFF"/>
            </w:tcBorders>
          </w:tcPr>
          <w:p>
            <w:pPr>
              <w:ind w:left="340"/>
              <w:spacing w:after="0" w:line="224"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2"/>
                <w:szCs w:val="22"/>
                <w:color w:val="auto"/>
                <w:vertAlign w:val="superscript"/>
              </w:rPr>
              <w:t>(3)</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r>
      <w:tr>
        <w:trPr>
          <w:trHeight w:val="217"/>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claims and claim expenses paid</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r>
      <w:tr>
        <w:trPr>
          <w:trHeight w:val="244"/>
        </w:trPr>
        <w:tc>
          <w:tcPr>
            <w:tcW w:w="7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at end of period, net of reinsurance recoverables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84,184</w:t>
            </w:r>
          </w:p>
        </w:tc>
      </w:tr>
      <w:tr>
        <w:trPr>
          <w:trHeight w:val="224"/>
        </w:trPr>
        <w:tc>
          <w:tcPr>
            <w:tcW w:w="768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20,420</w:t>
            </w:r>
          </w:p>
        </w:tc>
      </w:tr>
      <w:tr>
        <w:trPr>
          <w:trHeight w:val="242"/>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94,944</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104,604</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200" w:hanging="194"/>
        <w:spacing w:after="0"/>
        <w:tabs>
          <w:tab w:leader="none" w:pos="20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Related to ceded losses recoverable under the QSR Transactions. See Note 5, "</w:t>
      </w:r>
      <w:r>
        <w:rPr>
          <w:rFonts w:ascii="Arial" w:cs="Arial" w:eastAsia="Arial" w:hAnsi="Arial"/>
          <w:sz w:val="14"/>
          <w:szCs w:val="14"/>
          <w:i w:val="1"/>
          <w:iCs w:val="1"/>
          <w:color w:val="auto"/>
        </w:rPr>
        <w:t>Reinsurance</w:t>
      </w:r>
      <w:r>
        <w:rPr>
          <w:rFonts w:ascii="Arial" w:cs="Arial" w:eastAsia="Arial" w:hAnsi="Arial"/>
          <w:sz w:val="14"/>
          <w:szCs w:val="14"/>
          <w:color w:val="auto"/>
        </w:rPr>
        <w:t>" for additional information.</w:t>
      </w:r>
    </w:p>
    <w:p>
      <w:pPr>
        <w:ind w:left="140" w:hanging="134"/>
        <w:spacing w:after="0"/>
        <w:tabs>
          <w:tab w:leader="none" w:pos="140" w:val="left"/>
        </w:tabs>
        <w:numPr>
          <w:ilvl w:val="0"/>
          <w:numId w:val="10"/>
        </w:numPr>
        <w:rPr>
          <w:rFonts w:ascii="Arial" w:cs="Arial" w:eastAsia="Arial" w:hAnsi="Arial"/>
          <w:sz w:val="8"/>
          <w:szCs w:val="8"/>
          <w:color w:val="auto"/>
        </w:rPr>
      </w:pPr>
      <w:r>
        <w:rPr>
          <w:rFonts w:ascii="Arial" w:cs="Arial" w:eastAsia="Arial" w:hAnsi="Arial"/>
          <w:sz w:val="12"/>
          <w:szCs w:val="12"/>
          <w:color w:val="auto"/>
        </w:rPr>
        <w:t>Related to insured loans with their most recent defaults occurring in the current year. For example, if a loan defaulted in a prior year and subsequently cured and later re-defaulted in the current year,</w:t>
      </w:r>
    </w:p>
    <w:p>
      <w:pPr>
        <w:spacing w:after="0" w:line="29" w:lineRule="exact"/>
        <w:rPr>
          <w:sz w:val="20"/>
          <w:szCs w:val="20"/>
          <w:color w:val="auto"/>
        </w:rPr>
      </w:pPr>
    </w:p>
    <w:p>
      <w:pPr>
        <w:jc w:val="both"/>
        <w:ind w:left="320"/>
        <w:spacing w:after="0" w:line="253" w:lineRule="auto"/>
        <w:rPr>
          <w:sz w:val="20"/>
          <w:szCs w:val="20"/>
          <w:color w:val="auto"/>
        </w:rPr>
      </w:pPr>
      <w:r>
        <w:rPr>
          <w:rFonts w:ascii="Arial" w:cs="Arial" w:eastAsia="Arial" w:hAnsi="Arial"/>
          <w:sz w:val="14"/>
          <w:szCs w:val="14"/>
          <w:color w:val="auto"/>
        </w:rPr>
        <w:t>the default would be included in the current year. Amounts are presented net of reinsurance and included $23.3 million attributed to net case reserves and $4.2 million attributed to net IBNR reserves for the nine months ended September 30, 2022 and $14.0 million attributed to net case reserves and $4.8 million attributed to net IBNR reserves for the nine months ended September 30, 2021.</w:t>
      </w:r>
    </w:p>
    <w:p>
      <w:pPr>
        <w:ind w:left="320" w:hanging="314"/>
        <w:spacing w:after="0" w:line="284" w:lineRule="auto"/>
        <w:tabs>
          <w:tab w:leader="none" w:pos="133" w:val="left"/>
        </w:tabs>
        <w:numPr>
          <w:ilvl w:val="0"/>
          <w:numId w:val="11"/>
        </w:numPr>
        <w:rPr>
          <w:rFonts w:ascii="Arial" w:cs="Arial" w:eastAsia="Arial" w:hAnsi="Arial"/>
          <w:sz w:val="15"/>
          <w:szCs w:val="15"/>
          <w:color w:val="auto"/>
          <w:vertAlign w:val="superscript"/>
        </w:rPr>
      </w:pPr>
      <w:r>
        <w:rPr>
          <w:rFonts w:ascii="Arial" w:cs="Arial" w:eastAsia="Arial" w:hAnsi="Arial"/>
          <w:sz w:val="12"/>
          <w:szCs w:val="12"/>
          <w:color w:val="auto"/>
        </w:rPr>
        <w:t>Related to insured loans with defaults occurring in prior years, which have been continuously in default before the start of the current year. Amounts are presented net of reinsurance and included $29.2 million attributed to net case reserves and $4.7 million attributed to net IBNR reserves for the nine months ended September 30, 2022 and $1.8 million attributed to net case reserves and $5.0 million attributed to net IBNR reserves for the nine months ended September 30, 2021.</w:t>
      </w:r>
    </w:p>
    <w:p>
      <w:pPr>
        <w:spacing w:after="0" w:line="211"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The "claims incurred" section of the table above shows claims and claim (benefits)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$58.9 million related to prior year defaults remained as of September 30,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 (EPS)</w:t>
      </w:r>
    </w:p>
    <w:p>
      <w:pPr>
        <w:spacing w:after="0" w:line="168"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 based and performance and service-based restricted stock units (RSUs), and the exercise of vested and unvested stock options and outstanding warrants. The number of shares issuable for RSUs subject to performance and service based vesting requirements are only included in diluted shares if the relevant performance measurement period has commenced and results during such period meet the necessary performance criteria.</w:t>
      </w:r>
    </w:p>
    <w:p>
      <w:pPr>
        <w:spacing w:after="0" w:line="113"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 following table reconciles the net income and the weighted average shares of common stock outstanding used in the computations of basic and diluted EPS of common stock:</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20" w:type="dxa"/>
            <w:vAlign w:val="bottom"/>
          </w:tcPr>
          <w:p>
            <w:pPr>
              <w:spacing w:after="0"/>
              <w:rPr>
                <w:sz w:val="15"/>
                <w:szCs w:val="15"/>
                <w:color w:val="auto"/>
              </w:rPr>
            </w:pPr>
          </w:p>
        </w:tc>
        <w:tc>
          <w:tcPr>
            <w:tcW w:w="3020" w:type="dxa"/>
            <w:vAlign w:val="bottom"/>
            <w:gridSpan w:val="6"/>
          </w:tcPr>
          <w:p>
            <w:pPr>
              <w:ind w:left="180"/>
              <w:spacing w:after="0"/>
              <w:rPr>
                <w:sz w:val="20"/>
                <w:szCs w:val="20"/>
                <w:color w:val="auto"/>
              </w:rPr>
            </w:pPr>
            <w:r>
              <w:rPr>
                <w:rFonts w:ascii="Arial" w:cs="Arial" w:eastAsia="Arial" w:hAnsi="Arial"/>
                <w:sz w:val="14"/>
                <w:szCs w:val="14"/>
                <w:b w:val="1"/>
                <w:bCs w:val="1"/>
                <w:color w:val="auto"/>
                <w:w w:val="99"/>
              </w:rPr>
              <w:t>For the three months ended September 30,</w:t>
            </w:r>
          </w:p>
        </w:tc>
        <w:tc>
          <w:tcPr>
            <w:tcW w:w="160" w:type="dxa"/>
            <w:vAlign w:val="bottom"/>
          </w:tcPr>
          <w:p>
            <w:pPr>
              <w:spacing w:after="0"/>
              <w:rPr>
                <w:sz w:val="15"/>
                <w:szCs w:val="15"/>
                <w:color w:val="auto"/>
              </w:rPr>
            </w:pPr>
          </w:p>
        </w:tc>
        <w:tc>
          <w:tcPr>
            <w:tcW w:w="274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w w:val="90"/>
              </w:rPr>
              <w:t>For the nine months ended September 30,</w:t>
            </w:r>
          </w:p>
        </w:tc>
      </w:tr>
      <w:tr>
        <w:trPr>
          <w:trHeight w:val="24"/>
        </w:trPr>
        <w:tc>
          <w:tcPr>
            <w:tcW w:w="5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3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r>
      <w:tr>
        <w:trPr>
          <w:trHeight w:val="191"/>
        </w:trPr>
        <w:tc>
          <w:tcPr>
            <w:tcW w:w="53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i w:val="1"/>
                <w:iCs w:val="1"/>
                <w:color w:val="auto"/>
              </w:rPr>
              <w:t>(In Thousands, except for per share data)</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76,838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170,606</w:t>
            </w:r>
          </w:p>
        </w:tc>
      </w:tr>
      <w:tr>
        <w:trPr>
          <w:trHeight w:val="224"/>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84,444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85,563</w:t>
            </w:r>
          </w:p>
        </w:tc>
      </w:tr>
      <w:tr>
        <w:trPr>
          <w:trHeight w:val="243"/>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84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5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76,838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170,606</w:t>
            </w:r>
          </w:p>
        </w:tc>
      </w:tr>
      <w:tr>
        <w:trPr>
          <w:trHeight w:val="224"/>
        </w:trPr>
        <w:tc>
          <w:tcPr>
            <w:tcW w:w="5320" w:type="dxa"/>
            <w:vAlign w:val="bottom"/>
          </w:tcPr>
          <w:p>
            <w:pPr>
              <w:ind w:left="20"/>
              <w:spacing w:after="0"/>
              <w:rPr>
                <w:sz w:val="20"/>
                <w:szCs w:val="20"/>
                <w:color w:val="auto"/>
              </w:rPr>
            </w:pPr>
            <w:r>
              <w:rPr>
                <w:rFonts w:ascii="Arial" w:cs="Arial" w:eastAsia="Arial" w:hAnsi="Arial"/>
                <w:sz w:val="18"/>
                <w:szCs w:val="18"/>
                <w:color w:val="auto"/>
              </w:rPr>
              <w:t>Gain from change in fair value of warrant liability</w:t>
            </w:r>
          </w:p>
        </w:tc>
        <w:tc>
          <w:tcPr>
            <w:tcW w:w="8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18"/>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w:t>
            </w:r>
          </w:p>
        </w:tc>
        <w:tc>
          <w:tcPr>
            <w:tcW w:w="840" w:type="dxa"/>
            <w:vAlign w:val="bottom"/>
            <w:tcBorders>
              <w:top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76,838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60,193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218,849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170,152</w:t>
            </w:r>
          </w:p>
        </w:tc>
      </w:tr>
      <w:tr>
        <w:trPr>
          <w:trHeight w:val="251"/>
        </w:trPr>
        <w:tc>
          <w:tcPr>
            <w:tcW w:w="5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84,444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85,563</w:t>
            </w:r>
          </w:p>
        </w:tc>
      </w:tr>
      <w:tr>
        <w:trPr>
          <w:trHeight w:val="224"/>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issuable shares</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r>
      <w:tr>
        <w:trPr>
          <w:trHeight w:val="218"/>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85,485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86,794</w:t>
            </w:r>
          </w:p>
        </w:tc>
      </w:tr>
      <w:tr>
        <w:trPr>
          <w:trHeight w:val="251"/>
        </w:trPr>
        <w:tc>
          <w:tcPr>
            <w:tcW w:w="53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242"/>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84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5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shares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168"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We issued 992 thousand warrants in connection with a private placement of our common stock in April 2012 with a ten-year contractual term that expired in April 2022. Each warrant provided the holder thereof the right to purchase one share of common stock at an exercise price equal to $10.00. The warrants were issued with an aggregate fair value of $5.1 million. On April 24, 2022, 90 thousand warrants expired unexercised, resulting in a gain of approximately $0.9 million.</w:t>
      </w:r>
    </w:p>
    <w:p>
      <w:pPr>
        <w:spacing w:after="0" w:line="140"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No warrants remained outstanding as of September 30, 2022 and there were no warrant exercises or changes in warrant liability fair value during the three months ended September 30, 2022. During the nine months ended September 30, 2022, 110 thousand warrants were exercised resulting in the issuance of 84 thousand shares of common stock. Upon exercise, we reclassified approximately $1.3 million of warrant fair value from warrant liability to additional paid-in capital.</w:t>
      </w:r>
    </w:p>
    <w:p>
      <w:pPr>
        <w:spacing w:after="0" w:line="140"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During the three months ended September 30, 2021, 32 thousand warrants were exercised resulting in the issuance of 28 thousand shares of common stock. Upon exercise, we reclassified approximately $0.4 million of warrant fair value from warrant liability to additional paid-in capital. During the nine months ended September 30, 2021, 73 thousand warrants were exercised resulting in the issuance of 60 thousand shares of common stock. Upon exercise, we reclassified approximately $0.9 million of warrant fair value from warrant liability to additional paid-in capital.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68"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color w:val="auto"/>
        </w:rPr>
        <w:t>We are a U.S. taxpayer and are subject to a statutory U.S. federal corporate income tax rate of 21%. Taxable income is reported on our consolidated U.S. federal and various state income tax returns, filed by NMIH on behalf of itself and its subsidiaries. Our effective tax rate on our pre-tax income was 22.1% for the three and nine months ended September 30, 2022, respectively, compared to 22.3% and 21.9% for the three and nine months ended September 30, 2021, respectively. Our provision for income taxes for interim reporting periods is established based on our estimated annual effective tax rate for a given year. Our effective tax rate may fluctuate between interim periods due to the impact of discrete items not included in our estimated annual effective tax rate, including the tax effects associated with the vesting of RSUs and exercise of options, and the change in fair value of our warrant liability. Such items are treated on a discrete basis in the reporting period in which they occur.</w:t>
      </w:r>
    </w:p>
    <w:p>
      <w:pPr>
        <w:spacing w:after="0" w:line="117"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As a mortgage guaranty insurance company, we are eligible to claim a tax deduction for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and nine months ended September 30, 2022 represents a change in our net deferred tax liability. As of September 30, 2022 and December 31, 2021, we held $89.2 million of tax and loss bonds in "Other assets"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68"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On February 10, 2022, our Board of Directors approved a $125 million share repurchase program effective through December 31, 2023. The authorization provides us the flexibility to repurchase stock from time to time in the open market or in privately negotiated transactions, based on market and business conditions, stock price and other factors. During the three and nine months ended September 30, 2022, we repurchased 1.0 million and 2.7 million shares, respectively, at average prices of $20.94 and $19.17 per share (excluding associated costs) pursuant to a trading plans under Rule 10b-18 and Rule 10b5-1 of the Exchange Act. As of September 30, 2022, $73.8 million of repurchase authority remained available under the program.</w:t>
      </w:r>
    </w:p>
    <w:p>
      <w:pPr>
        <w:spacing w:after="0" w:line="107" w:lineRule="exact"/>
        <w:rPr>
          <w:sz w:val="20"/>
          <w:szCs w:val="20"/>
          <w:color w:val="auto"/>
        </w:rPr>
      </w:pPr>
    </w:p>
    <w:p>
      <w:pPr>
        <w:ind w:left="640" w:right="8500" w:hanging="634"/>
        <w:spacing w:after="0" w:line="431" w:lineRule="auto"/>
        <w:tabs>
          <w:tab w:leader="none" w:pos="261"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1"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We have two operating lease agreements related to our corporate headquarters and a data center facility for which we recognized operating right-of-use (ROU) assets and lease liabilities of $10.7 million and $12.2 million in "Other assets" and "Other liabilities," respectively, on our consolidated balance sheet as of September 30, 2022. As of December 31, 2021, we recognized operating ROU assets and lease liabilities of $2.6 million and $2.9 million, respectively. As of September 30, 2022 and December 31, 2021, we did not have any finance leases.</w:t>
      </w:r>
    </w:p>
    <w:p>
      <w:pPr>
        <w:spacing w:after="0" w:line="107"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In January 2022, we modified the lease for our corporate headquarters, securing a reduction in pricing and incremental leasehold improvement concessions, reducing the square footage of leased space and extending the remaining term through March 2030. In February 2022, we renewed the lease of our data center facility, extending its term through January 2024. Upon the respective modification and extension, the ROU asset and liability associated with each lease was remeasured, using our current estimated incremental borrowing rate, resulting in an aggregate increase to ROU assets and lease liabilities of $9.7 million.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00" w:type="dxa"/>
            <w:vAlign w:val="bottom"/>
          </w:tcPr>
          <w:p>
            <w:pPr>
              <w:ind w:left="640"/>
              <w:spacing w:after="0"/>
              <w:rPr>
                <w:sz w:val="20"/>
                <w:szCs w:val="20"/>
                <w:color w:val="auto"/>
              </w:rPr>
            </w:pPr>
            <w:r>
              <w:rPr>
                <w:rFonts w:ascii="Arial" w:cs="Arial" w:eastAsia="Arial" w:hAnsi="Arial"/>
                <w:sz w:val="18"/>
                <w:szCs w:val="18"/>
                <w:color w:val="auto"/>
                <w:w w:val="97"/>
              </w:rPr>
              <w:t>The following table provides a summary of our ROU asset and lease liability assumptions as of September 30, 2022:</w:t>
            </w:r>
          </w:p>
        </w:tc>
        <w:tc>
          <w:tcPr>
            <w:tcW w:w="1520" w:type="dxa"/>
            <w:vAlign w:val="bottom"/>
          </w:tcPr>
          <w:p>
            <w:pPr>
              <w:spacing w:after="0"/>
              <w:rPr>
                <w:sz w:val="19"/>
                <w:szCs w:val="19"/>
                <w:color w:val="auto"/>
              </w:rPr>
            </w:pPr>
          </w:p>
        </w:tc>
      </w:tr>
      <w:tr>
        <w:trPr>
          <w:trHeight w:val="172"/>
        </w:trPr>
        <w:tc>
          <w:tcPr>
            <w:tcW w:w="97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24"/>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years</w:t>
            </w:r>
          </w:p>
        </w:tc>
      </w:tr>
      <w:tr>
        <w:trPr>
          <w:trHeight w:val="223"/>
        </w:trPr>
        <w:tc>
          <w:tcPr>
            <w:tcW w:w="97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520" w:type="dxa"/>
            <w:vAlign w:val="bottom"/>
          </w:tcPr>
          <w:p>
            <w:pPr>
              <w:jc w:val="right"/>
              <w:spacing w:after="0"/>
              <w:rPr>
                <w:sz w:val="20"/>
                <w:szCs w:val="20"/>
                <w:color w:val="auto"/>
              </w:rPr>
            </w:pPr>
            <w:r>
              <w:rPr>
                <w:rFonts w:ascii="Arial" w:cs="Arial" w:eastAsia="Arial" w:hAnsi="Arial"/>
                <w:sz w:val="18"/>
                <w:szCs w:val="18"/>
                <w:color w:val="auto"/>
              </w:rPr>
              <w:t>6.50 %</w:t>
            </w:r>
          </w:p>
        </w:tc>
      </w:tr>
    </w:tbl>
    <w:p>
      <w:pPr>
        <w:spacing w:after="0" w:line="213"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Cash paid on our operating leases for the three and nine months ended September 30, 2022 was $0.4 million and $0.5 million, respectively, compared to $0.6 million and $1.9 million for the three and nine months ended September 30, 2021, respectively. Lease expenses incurred for the three and nine months ended September 30, 2022 were $0.5 million and $1.5 million, respectively, compared to $0.6 million and $1.7 million for the three and nine months ended September 30, 2021.</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Future payments due under our existing operating leases as of September 30, 2022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80" w:type="dxa"/>
            <w:vAlign w:val="bottom"/>
          </w:tcPr>
          <w:p>
            <w:pPr>
              <w:jc w:val="right"/>
              <w:ind w:right="774"/>
              <w:spacing w:after="0"/>
              <w:rPr>
                <w:sz w:val="20"/>
                <w:szCs w:val="20"/>
                <w:color w:val="auto"/>
              </w:rPr>
            </w:pPr>
            <w:r>
              <w:rPr>
                <w:rFonts w:ascii="Arial" w:cs="Arial" w:eastAsia="Arial" w:hAnsi="Arial"/>
                <w:sz w:val="14"/>
                <w:szCs w:val="14"/>
                <w:i w:val="1"/>
                <w:iCs w:val="1"/>
                <w:color w:val="auto"/>
              </w:rPr>
              <w:t>(In Thousands)</w:t>
            </w:r>
          </w:p>
        </w:tc>
      </w:tr>
      <w:tr>
        <w:trPr>
          <w:trHeight w:val="24"/>
        </w:trPr>
        <w:tc>
          <w:tcPr>
            <w:tcW w:w="8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in 2022</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24"/>
        </w:trPr>
        <w:tc>
          <w:tcPr>
            <w:tcW w:w="8600" w:type="dxa"/>
            <w:vAlign w:val="bottom"/>
          </w:tcPr>
          <w:p>
            <w:pPr>
              <w:ind w:left="20"/>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1,498</w:t>
            </w: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r>
      <w:tr>
        <w:trPr>
          <w:trHeight w:val="224"/>
        </w:trPr>
        <w:tc>
          <w:tcPr>
            <w:tcW w:w="8600" w:type="dxa"/>
            <w:vAlign w:val="bottom"/>
          </w:tcPr>
          <w:p>
            <w:pPr>
              <w:ind w:left="20"/>
              <w:spacing w:after="0"/>
              <w:rPr>
                <w:sz w:val="20"/>
                <w:szCs w:val="20"/>
                <w:color w:val="auto"/>
              </w:rPr>
            </w:pPr>
            <w:r>
              <w:rPr>
                <w:rFonts w:ascii="Arial" w:cs="Arial" w:eastAsia="Arial" w:hAnsi="Arial"/>
                <w:sz w:val="18"/>
                <w:szCs w:val="18"/>
                <w:color w:val="auto"/>
              </w:rPr>
              <w:t>2025</w:t>
            </w:r>
          </w:p>
        </w:tc>
        <w:tc>
          <w:tcPr>
            <w:tcW w:w="5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2,128</w:t>
            </w: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r>
      <w:tr>
        <w:trPr>
          <w:trHeight w:val="224"/>
        </w:trPr>
        <w:tc>
          <w:tcPr>
            <w:tcW w:w="8600" w:type="dxa"/>
            <w:vAlign w:val="bottom"/>
          </w:tcPr>
          <w:p>
            <w:pPr>
              <w:ind w:left="20"/>
              <w:spacing w:after="0"/>
              <w:rPr>
                <w:sz w:val="20"/>
                <w:szCs w:val="20"/>
                <w:color w:val="auto"/>
              </w:rPr>
            </w:pPr>
            <w:r>
              <w:rPr>
                <w:rFonts w:ascii="Arial" w:cs="Arial" w:eastAsia="Arial" w:hAnsi="Arial"/>
                <w:sz w:val="18"/>
                <w:szCs w:val="18"/>
                <w:color w:val="auto"/>
              </w:rPr>
              <w:t>2027</w:t>
            </w:r>
          </w:p>
        </w:tc>
        <w:tc>
          <w:tcPr>
            <w:tcW w:w="5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2,256</w:t>
            </w: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 and thereafter</w:t>
            </w:r>
          </w:p>
        </w:tc>
        <w:tc>
          <w:tcPr>
            <w:tcW w:w="5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5,316</w:t>
            </w:r>
          </w:p>
        </w:tc>
      </w:tr>
      <w:tr>
        <w:trPr>
          <w:trHeight w:val="217"/>
        </w:trPr>
        <w:tc>
          <w:tcPr>
            <w:tcW w:w="8600" w:type="dxa"/>
            <w:vAlign w:val="bottom"/>
          </w:tcPr>
          <w:p>
            <w:pPr>
              <w:ind w:left="20"/>
              <w:spacing w:after="0"/>
              <w:rPr>
                <w:sz w:val="20"/>
                <w:szCs w:val="20"/>
                <w:color w:val="auto"/>
              </w:rPr>
            </w:pPr>
            <w:r>
              <w:rPr>
                <w:rFonts w:ascii="Arial" w:cs="Arial" w:eastAsia="Arial" w:hAnsi="Arial"/>
                <w:sz w:val="18"/>
                <w:szCs w:val="18"/>
                <w:color w:val="auto"/>
              </w:rPr>
              <w:t>Total undiscounted lease payments</w:t>
            </w:r>
          </w:p>
        </w:tc>
        <w:tc>
          <w:tcPr>
            <w:tcW w:w="5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15,781</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effects of discounting</w:t>
            </w:r>
          </w:p>
        </w:tc>
        <w:tc>
          <w:tcPr>
            <w:tcW w:w="5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r>
      <w:tr>
        <w:trPr>
          <w:trHeight w:val="218"/>
        </w:trPr>
        <w:tc>
          <w:tcPr>
            <w:tcW w:w="8600" w:type="dxa"/>
            <w:vAlign w:val="bottom"/>
          </w:tcPr>
          <w:p>
            <w:pPr>
              <w:ind w:left="20"/>
              <w:spacing w:after="0"/>
              <w:rPr>
                <w:sz w:val="20"/>
                <w:szCs w:val="20"/>
                <w:color w:val="auto"/>
              </w:rPr>
            </w:pPr>
            <w:r>
              <w:rPr>
                <w:rFonts w:ascii="Arial" w:cs="Arial" w:eastAsia="Arial" w:hAnsi="Arial"/>
                <w:sz w:val="18"/>
                <w:szCs w:val="18"/>
                <w:color w:val="auto"/>
              </w:rPr>
              <w:t>Present value of lease payments</w:t>
            </w:r>
          </w:p>
        </w:tc>
        <w:tc>
          <w:tcPr>
            <w:tcW w:w="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12,205</w:t>
            </w:r>
          </w:p>
        </w:tc>
      </w:tr>
      <w:tr>
        <w:trPr>
          <w:trHeight w:val="20"/>
        </w:trPr>
        <w:tc>
          <w:tcPr>
            <w:tcW w:w="8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Lease expense is recorded in underwriting and operating expenses on the consolidated statements of operations and comprehensive income. Our existing leases have original terms ranging from two to eight years. The lease for our corporate headquarters includes an option to renew for an additional five years at prevailing market rates at the time of renewal. This renewal option is not included in the calculation of future lease payments due under the existing lease as presented above as it is not reasonably certain to be exercised.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Litigation</w:t>
      </w:r>
    </w:p>
    <w:p>
      <w:pPr>
        <w:spacing w:after="0" w:line="162"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We record a liability when we believe that it is probable that a loss has been incurred, and the amount can be reasonably estimated. If we determine that a loss is reasonably possible, we disclose an estimate of the possible loss or range of loss. If no estimate can be made, we disclose the matter as such. We evaluate litigation and other legal developments that could affect the amount of liability that may need to be accrued, related reasonably possible losses disclosed and make adjustments as appropriate. Significant judgment is required to determine both the likelihood and the estimated amount of losses related to such matters.</w:t>
      </w:r>
    </w:p>
    <w:p>
      <w:pPr>
        <w:spacing w:after="0" w:line="140"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We are currently monitoring litigation regarding the refund of certain mortgage insurance premiums as it pertains to provisions of the Homeowners Protection Act and have been named as a third-party defendant in one such case. We are unable to assess the outcome of such litigation at this time or its potential impact on us.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Premium Receivable</w:t>
      </w:r>
    </w:p>
    <w:p>
      <w:pPr>
        <w:spacing w:after="0" w:line="247"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Premiums receivable consists of premiums due on our mortgage insurance policies. If a mortgage insurance premium is unpaid for more than 120 days, the associated receivable is written off against earned premium and the related insurance policy is canceled. We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the allowance for credit loss established on premium receivable was deemed immaterial at September 30, 2022 and December 31, 2021.</w:t>
      </w:r>
    </w:p>
    <w:p>
      <w:pPr>
        <w:spacing w:after="0" w:line="220"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Premiums receivable may be written off prior to 120 days in the ordinary course of business for non-credit events including, but not limited to, the modification or refinancing of an underlying insured loan. We established a $2.0 million and $2.3 million reserve for premium write-offs at September 30, 2022 and December 31, 2021, respectively.</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Regulatory Information</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Statutory Requirements</w:t>
      </w:r>
    </w:p>
    <w:p>
      <w:pPr>
        <w:spacing w:after="0" w:line="162"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40"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NMIC and Re One generated combined statutory net income of $23.6 million and $67.8 million for the three and nine months ended September 30, 2022, respectively, compared to $8.7 million and $23.9 million for the three and nine months September 30, 2021, respectively.</w:t>
      </w:r>
    </w:p>
    <w:p>
      <w:pPr>
        <w:spacing w:after="0" w:line="82"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NMI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399" w:lineRule="exact"/>
        <w:rPr>
          <w:sz w:val="20"/>
          <w:szCs w:val="20"/>
          <w:color w:val="auto"/>
        </w:rPr>
      </w:pPr>
    </w:p>
    <w:p>
      <w:pPr>
        <w:ind w:firstLine="633"/>
        <w:spacing w:after="0" w:line="262" w:lineRule="auto"/>
        <w:rPr>
          <w:sz w:val="20"/>
          <w:szCs w:val="20"/>
          <w:color w:val="auto"/>
        </w:rPr>
      </w:pPr>
      <w:r>
        <w:rPr>
          <w:rFonts w:ascii="Arial" w:cs="Arial" w:eastAsia="Arial" w:hAnsi="Arial"/>
          <w:sz w:val="18"/>
          <w:szCs w:val="18"/>
          <w:color w:val="auto"/>
        </w:rPr>
        <w:t>The following table presents NMIC's statutory surplus, contingency reserve, statutory capital and risk-to-capital (RTC) ratio as of September 30, 2022 and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80" w:type="dxa"/>
            <w:vAlign w:val="bottom"/>
            <w:gridSpan w:val="2"/>
          </w:tcPr>
          <w:p>
            <w:pPr>
              <w:ind w:left="300"/>
              <w:spacing w:after="0"/>
              <w:rPr>
                <w:sz w:val="20"/>
                <w:szCs w:val="20"/>
                <w:color w:val="auto"/>
              </w:rPr>
            </w:pPr>
            <w:r>
              <w:rPr>
                <w:rFonts w:ascii="Arial" w:cs="Arial" w:eastAsia="Arial" w:hAnsi="Arial"/>
                <w:sz w:val="14"/>
                <w:szCs w:val="14"/>
                <w:b w:val="1"/>
                <w:bCs w:val="1"/>
                <w:color w:val="auto"/>
              </w:rPr>
              <w:t>September 30, 2022</w:t>
            </w:r>
          </w:p>
        </w:tc>
        <w:tc>
          <w:tcPr>
            <w:tcW w:w="540" w:type="dxa"/>
            <w:vAlign w:val="bottom"/>
          </w:tcPr>
          <w:p>
            <w:pPr>
              <w:spacing w:after="0"/>
              <w:rPr>
                <w:sz w:val="15"/>
                <w:szCs w:val="15"/>
                <w:color w:val="auto"/>
              </w:rPr>
            </w:pPr>
          </w:p>
        </w:tc>
        <w:tc>
          <w:tcPr>
            <w:tcW w:w="2020" w:type="dxa"/>
            <w:vAlign w:val="bottom"/>
          </w:tcPr>
          <w:p>
            <w:pPr>
              <w:jc w:val="right"/>
              <w:ind w:right="616"/>
              <w:spacing w:after="0"/>
              <w:rPr>
                <w:sz w:val="20"/>
                <w:szCs w:val="20"/>
                <w:color w:val="auto"/>
              </w:rPr>
            </w:pPr>
            <w:r>
              <w:rPr>
                <w:rFonts w:ascii="Arial" w:cs="Arial" w:eastAsia="Arial" w:hAnsi="Arial"/>
                <w:sz w:val="14"/>
                <w:szCs w:val="14"/>
                <w:b w:val="1"/>
                <w:bCs w:val="1"/>
                <w:color w:val="auto"/>
              </w:rPr>
              <w:t>December 31, 2021</w:t>
            </w:r>
          </w:p>
        </w:tc>
      </w:tr>
      <w:tr>
        <w:trPr>
          <w:trHeight w:val="24"/>
        </w:trPr>
        <w:tc>
          <w:tcPr>
            <w:tcW w:w="60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3"/>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182"/>
        </w:trPr>
        <w:tc>
          <w:tcPr>
            <w:tcW w:w="6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20" w:type="dxa"/>
            <w:vAlign w:val="bottom"/>
            <w:gridSpan w:val="3"/>
          </w:tcPr>
          <w:p>
            <w:pPr>
              <w:jc w:val="right"/>
              <w:ind w:right="92"/>
              <w:spacing w:after="0"/>
              <w:rPr>
                <w:sz w:val="20"/>
                <w:szCs w:val="20"/>
                <w:color w:val="auto"/>
              </w:rPr>
            </w:pPr>
            <w:r>
              <w:rPr>
                <w:rFonts w:ascii="Arial" w:cs="Arial" w:eastAsia="Arial" w:hAnsi="Arial"/>
                <w:sz w:val="14"/>
                <w:szCs w:val="14"/>
                <w:i w:val="1"/>
                <w:iCs w:val="1"/>
                <w:color w:val="auto"/>
              </w:rPr>
              <w:t>(In Thousands)</w:t>
            </w:r>
          </w:p>
        </w:tc>
        <w:tc>
          <w:tcPr>
            <w:tcW w:w="2020" w:type="dxa"/>
            <w:vAlign w:val="bottom"/>
          </w:tcPr>
          <w:p>
            <w:pPr>
              <w:spacing w:after="0"/>
              <w:rPr>
                <w:sz w:val="15"/>
                <w:szCs w:val="15"/>
                <w:color w:val="auto"/>
              </w:rPr>
            </w:pPr>
          </w:p>
        </w:tc>
      </w:tr>
      <w:tr>
        <w:trPr>
          <w:trHeight w:val="23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surplus</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911,369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893,848</w:t>
            </w:r>
          </w:p>
        </w:tc>
      </w:tr>
      <w:tr>
        <w:trPr>
          <w:trHeight w:val="224"/>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Contingency reserve</w:t>
            </w:r>
          </w:p>
        </w:tc>
        <w:tc>
          <w:tcPr>
            <w:tcW w:w="4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1,255,789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1,036,639</w:t>
            </w:r>
          </w:p>
        </w:tc>
      </w:tr>
      <w:tr>
        <w:trPr>
          <w:trHeight w:val="243"/>
        </w:trPr>
        <w:tc>
          <w:tcPr>
            <w:tcW w:w="6000" w:type="dxa"/>
            <w:vAlign w:val="bottom"/>
            <w:tcBorders>
              <w:bottom w:val="single" w:sz="8" w:color="CCEEFF"/>
            </w:tcBorders>
            <w:shd w:val="clear" w:color="auto" w:fill="CCEEFF"/>
          </w:tcPr>
          <w:p>
            <w:pPr>
              <w:ind w:left="20"/>
              <w:spacing w:after="0" w:line="218" w:lineRule="exact"/>
              <w:rPr>
                <w:sz w:val="20"/>
                <w:szCs w:val="20"/>
                <w:color w:val="auto"/>
              </w:rPr>
            </w:pPr>
            <w:r>
              <w:rPr>
                <w:rFonts w:ascii="Arial" w:cs="Arial" w:eastAsia="Arial" w:hAnsi="Arial"/>
                <w:sz w:val="18"/>
                <w:szCs w:val="18"/>
                <w:color w:val="auto"/>
              </w:rPr>
              <w:t xml:space="preserve">Statutory capital </w:t>
            </w:r>
            <w:r>
              <w:rPr>
                <w:rFonts w:ascii="Arial" w:cs="Arial" w:eastAsia="Arial" w:hAnsi="Arial"/>
                <w:sz w:val="22"/>
                <w:szCs w:val="22"/>
                <w:color w:val="auto"/>
                <w:vertAlign w:val="superscript"/>
              </w:rPr>
              <w:t>(1)</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2,167,158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1,930,487</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6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4"/>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Risk-to-capital</w:t>
            </w:r>
          </w:p>
        </w:tc>
        <w:tc>
          <w:tcPr>
            <w:tcW w:w="4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r>
    </w:tbl>
    <w:p>
      <w:pPr>
        <w:spacing w:after="0" w:line="204" w:lineRule="exact"/>
        <w:rPr>
          <w:sz w:val="20"/>
          <w:szCs w:val="20"/>
          <w:color w:val="auto"/>
        </w:rPr>
      </w:pPr>
    </w:p>
    <w:p>
      <w:pPr>
        <w:ind w:left="200" w:hanging="194"/>
        <w:spacing w:after="0"/>
        <w:tabs>
          <w:tab w:leader="none" w:pos="2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Represents the total of the statutory surplus and contingency reserve.</w:t>
      </w:r>
    </w:p>
    <w:p>
      <w:pPr>
        <w:spacing w:after="0" w:line="143" w:lineRule="exact"/>
        <w:rPr>
          <w:sz w:val="20"/>
          <w:szCs w:val="20"/>
          <w:color w:val="auto"/>
        </w:rPr>
      </w:pPr>
    </w:p>
    <w:p>
      <w:pPr>
        <w:jc w:val="both"/>
        <w:ind w:firstLine="633"/>
        <w:spacing w:after="0" w:line="284" w:lineRule="auto"/>
        <w:rPr>
          <w:sz w:val="20"/>
          <w:szCs w:val="20"/>
          <w:color w:val="auto"/>
        </w:rPr>
      </w:pPr>
      <w:r>
        <w:rPr>
          <w:rFonts w:ascii="Arial" w:cs="Arial" w:eastAsia="Arial" w:hAnsi="Arial"/>
          <w:sz w:val="18"/>
          <w:szCs w:val="18"/>
          <w:color w:val="auto"/>
        </w:rPr>
        <w:t>Re One had $5.6 million of statutory capital at September 30, 2022 and December 31, 2021. Effective October 1, 2021, the reinsurance agreement between NMIC and Re One was commuted and all ceded risk was transferred back to NMIC. Following the commutation, Re One has no risk in force or further obligation on future claims.</w:t>
      </w:r>
    </w:p>
    <w:p>
      <w:pPr>
        <w:spacing w:after="0" w:line="109" w:lineRule="exact"/>
        <w:rPr>
          <w:sz w:val="20"/>
          <w:szCs w:val="20"/>
          <w:color w:val="auto"/>
        </w:rPr>
      </w:pPr>
    </w:p>
    <w:p>
      <w:pPr>
        <w:jc w:val="both"/>
        <w:ind w:firstLine="673"/>
        <w:spacing w:after="0" w:line="325" w:lineRule="auto"/>
        <w:rPr>
          <w:sz w:val="20"/>
          <w:szCs w:val="20"/>
          <w:color w:val="auto"/>
        </w:rPr>
      </w:pPr>
      <w:r>
        <w:rPr>
          <w:rFonts w:ascii="Arial" w:cs="Arial" w:eastAsia="Arial" w:hAnsi="Arial"/>
          <w:sz w:val="16"/>
          <w:szCs w:val="16"/>
          <w:color w:val="auto"/>
        </w:rPr>
        <w:t>NMIH is not subject to any limitations on its ability to pay dividends except those generally applicable to corporations that are incorporated in Delaware. Delaware law provides that dividends are only payable out of a corporation's capital surplus or, subject to certain limitations, recent net profits.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NMIC and Re One are subject to certain rules and regulations prescribed by jurisdictions in which they are authorized to operate and the GSEs that</w:t>
      </w:r>
    </w:p>
    <w:p>
      <w:pPr>
        <w:spacing w:after="0" w:line="67"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may restrict their ability to pay dividends to NMIH. NMIC has the capacity to pay $34.9 million of aggregate ordinary dividends to NMIH during the twelve-month period ending December 31, 2022 and on April 1, 2022, NMIC paid a $34.9 million ordinary course dividend to NMIH.</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68"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On November 1, 2022, NMIC entered into a reinsurance agreement with a broad panel of highly rated reinsurers that provides for $96.8 million of aggregate excess-of-loss reinsurance coverage at inception for new delinquencies on an existing portfolio of mortgage insurance policies primarily written between July 1, 2022, and September 30, 2022 (2022-3 XOL Transaction). For the reinsurance coverage period, NMIC will retain the first layer of $106.3 million of aggregate losses and reinsurers then provide second layer coverage up to $96.8 million, subject to retained participation limits. NMIC will then retain losses in excess of the outstanding reinsurance coverage amount.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8" w:lineRule="exact"/>
        <w:rPr>
          <w:sz w:val="20"/>
          <w:szCs w:val="20"/>
          <w:color w:val="auto"/>
        </w:rPr>
      </w:pPr>
    </w:p>
    <w:p>
      <w:pPr>
        <w:jc w:val="both"/>
        <w:ind w:firstLine="189"/>
        <w:spacing w:after="0" w:line="283" w:lineRule="auto"/>
        <w:rPr>
          <w:sz w:val="20"/>
          <w:szCs w:val="20"/>
          <w:color w:val="auto"/>
        </w:rPr>
      </w:pPr>
      <w:r>
        <w:rPr>
          <w:rFonts w:ascii="Arial" w:cs="Arial" w:eastAsia="Arial" w:hAnsi="Arial"/>
          <w:sz w:val="16"/>
          <w:szCs w:val="16"/>
          <w:i w:val="1"/>
          <w:iCs w:val="1"/>
          <w:color w:val="auto"/>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2021 10-K,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2021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8"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We provide private MI through our primary insurance subsidiary, NMIC. NMIC is wholly-owned, domiciled in Wisconsin and principally regulated by the Wisconsin OCI. NMIC is approved as an MI provider by the GSEs and is licensed to write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jc w:val="both"/>
        <w:ind w:firstLine="633"/>
        <w:spacing w:after="0" w:line="249"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 loan-to-value (LTV) (</w:t>
      </w:r>
      <w:r>
        <w:rPr>
          <w:rFonts w:ascii="Arial" w:cs="Arial" w:eastAsia="Arial" w:hAnsi="Arial"/>
          <w:sz w:val="18"/>
          <w:szCs w:val="18"/>
          <w:i w:val="1"/>
          <w:iCs w:val="1"/>
          <w:color w:val="auto"/>
        </w:rPr>
        <w:t>i.e.,</w:t>
      </w:r>
      <w:r>
        <w:rPr>
          <w:rFonts w:ascii="Arial" w:cs="Arial" w:eastAsia="Arial" w:hAnsi="Arial"/>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40"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September 30, 2022, we had issued master policies with 1,843 customers, including national and regional mortgage banks, money center banks, credit unions, community banks, builder-owned mortgage lenders, internet-sourced lenders and other non-bank lenders. As of September 30, 2022, we had $179.2 billion of primary insurance-in-force (IIF) and $46.3 billion of primary risk-in-force (RIF).</w:t>
      </w:r>
    </w:p>
    <w:p>
      <w:pPr>
        <w:spacing w:after="0" w:line="113"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7"/>
          <w:szCs w:val="17"/>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high-quality customer service experience, establish a differentiated risk management approach that emphasizes the individual underwriting review or validation of the vast majority of the loans we insure, utilizing our proprietary Rate GPS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pricing platform to dynamically evaluate risk and price our policies, and foster a culture of collaboration and excellence that helps us attract and retain experienced industry leaders.</w:t>
      </w:r>
    </w:p>
    <w:p>
      <w:pPr>
        <w:spacing w:after="0" w:line="135"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w:t>
      </w:r>
    </w:p>
    <w:p>
      <w:pPr>
        <w:spacing w:after="0" w:line="137"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Our common stock trades on the Nasdaq under the symbol "NMIH." Our headquarters is located in Emeryville, California. As of September 30, 2022, we had 246 employees. Our corporate website is located at www.nationalmi.com. Our website and the information contained on or accessible through our website are not incorporated by reference into this report.</w:t>
      </w:r>
    </w:p>
    <w:p>
      <w:pPr>
        <w:spacing w:after="0" w:line="137"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and Trends Affecting Our Business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COVID-19 and Other Developments</w:t>
      </w:r>
    </w:p>
    <w:p>
      <w:pPr>
        <w:spacing w:after="0" w:line="162"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On January 30, 2020, the WHO declared the outbreak of COVID-19 a global health emergency and subsequently characterized the outbreak as a global pandemic on March 11, 2020. In an effort to stem contagion and control the spread of the virus, the population at large severely curtailed day-to-day activity and local, state and federal regulators imposed a broad set of restrictions on personal and business conduct nationwide. The COVID-19 pandemic, along with the widespread public and regulatory response, caused a dramatic slowdown in U.S. and global economic activity.</w:t>
      </w:r>
    </w:p>
    <w:p>
      <w:pPr>
        <w:spacing w:after="0" w:line="107"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The global dislocation caused by COVID-19 was unprecedented and the pandemic had a direct impact on the U.S. housing market, private mortgage insurance industry, and our business and operating performance for an extended period. More recently, however, the acute economic impact of COVID-19 has begun to recede. While the pandemic continues to pose a global risk and affect communities across the U.S., it is no longer the single dominant driver of our performance that it had been in earlier periods. COVID-19 is now one of several mosaic factors, including a range of macroeconomic forces and public policy initiatives that are influencing our market and business.</w:t>
      </w:r>
    </w:p>
    <w:p>
      <w:pPr>
        <w:spacing w:after="0" w:line="140"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Although we are optimistic that the nationwide COVID-19 vaccination effort and other medical advances will continue to support a normalization of personal and business activity, the path of the virus remains unknown and subject to risk. Given this uncertainty, we are not able to fully assess or estimate the impact the pandemic may have on the mortgage insurance market, our business performance or our financial position at this time, and it remains possible COVID-19 could again trigger more severe and adverse outcomes in future periods. It is also possible that emerging macroeconomic factors, including persistent inflation, increasing interest rates, flagging consumer confidence and increasing jobless claims could have a pronounced impact on the housing market, the mortgage insurance industry and our business in future periods.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Key Factors Affecting Our Results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New Insurance Written (NIW), Insurance-In-Force and Risk-In-Force</w:t>
      </w:r>
    </w:p>
    <w:p>
      <w:pPr>
        <w:spacing w:after="0" w:line="162" w:lineRule="exact"/>
        <w:rPr>
          <w:sz w:val="20"/>
          <w:szCs w:val="20"/>
          <w:color w:val="auto"/>
        </w:rPr>
      </w:pPr>
    </w:p>
    <w:p>
      <w:pPr>
        <w:jc w:val="both"/>
        <w:ind w:firstLine="633"/>
        <w:spacing w:after="0" w:line="280" w:lineRule="auto"/>
        <w:rPr>
          <w:sz w:val="20"/>
          <w:szCs w:val="20"/>
          <w:color w:val="auto"/>
        </w:rPr>
      </w:pPr>
      <w:r>
        <w:rPr>
          <w:rFonts w:ascii="Arial" w:cs="Arial" w:eastAsia="Arial" w:hAnsi="Arial"/>
          <w:sz w:val="16"/>
          <w:szCs w:val="16"/>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Premiums Written and Net Premiums Earned</w:t>
      </w:r>
    </w:p>
    <w:p>
      <w:pPr>
        <w:spacing w:after="0" w:line="162"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 Rate GPS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 in June 2018 to replace our previous rate card pricing system. While most of our new business is priced through Rate GPS, we also continue to offer a rate card pricing option to a limited number of lender customers who require a rate card for operational reasons. We believe the introduction and utilization of Rate GPS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17"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spacing w:after="0" w:line="137" w:lineRule="exact"/>
        <w:rPr>
          <w:sz w:val="20"/>
          <w:szCs w:val="20"/>
          <w:color w:val="auto"/>
        </w:rPr>
      </w:pPr>
    </w:p>
    <w:p>
      <w:pPr>
        <w:ind w:left="960" w:hanging="321"/>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NIW;</w:t>
      </w:r>
    </w:p>
    <w:p>
      <w:pPr>
        <w:spacing w:after="0" w:line="162" w:lineRule="exact"/>
        <w:rPr>
          <w:rFonts w:ascii="Arial" w:cs="Arial" w:eastAsia="Arial" w:hAnsi="Arial"/>
          <w:sz w:val="18"/>
          <w:szCs w:val="18"/>
          <w:color w:val="auto"/>
        </w:rPr>
      </w:pPr>
    </w:p>
    <w:p>
      <w:pPr>
        <w:ind w:left="960" w:hanging="321"/>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premium rates and the mix of premium payment type, which are either single, monthly or annual premiums, as described below;</w:t>
      </w:r>
    </w:p>
    <w:p>
      <w:pPr>
        <w:spacing w:after="0" w:line="162" w:lineRule="exact"/>
        <w:rPr>
          <w:rFonts w:ascii="Arial" w:cs="Arial" w:eastAsia="Arial" w:hAnsi="Arial"/>
          <w:sz w:val="18"/>
          <w:szCs w:val="18"/>
          <w:color w:val="auto"/>
        </w:rPr>
      </w:pPr>
    </w:p>
    <w:p>
      <w:pPr>
        <w:jc w:val="both"/>
        <w:ind w:left="960" w:hanging="321"/>
        <w:spacing w:after="0" w:line="253" w:lineRule="auto"/>
        <w:tabs>
          <w:tab w:leader="none" w:pos="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136" w:lineRule="exact"/>
        <w:rPr>
          <w:rFonts w:ascii="Arial" w:cs="Arial" w:eastAsia="Arial" w:hAnsi="Arial"/>
          <w:sz w:val="18"/>
          <w:szCs w:val="18"/>
          <w:color w:val="auto"/>
        </w:rPr>
      </w:pPr>
    </w:p>
    <w:p>
      <w:pPr>
        <w:ind w:left="960" w:hanging="321"/>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cession of premiums under third-party reinsurance arrangements.</w:t>
      </w:r>
    </w:p>
    <w:p>
      <w:pPr>
        <w:spacing w:after="0" w:line="162"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September 30, 2022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17"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31" w:name="page32"/>
    <w:bookmarkEnd w:id="31"/>
    <w:p>
      <w:pPr>
        <w:jc w:val="both"/>
        <w:spacing w:after="0" w:line="250" w:lineRule="auto"/>
        <w:rPr>
          <w:sz w:val="20"/>
          <w:szCs w:val="20"/>
          <w:color w:val="auto"/>
        </w:rPr>
      </w:pPr>
      <w:r>
        <w:rPr>
          <w:rFonts w:ascii="Arial" w:cs="Arial" w:eastAsia="Arial" w:hAnsi="Arial"/>
          <w:sz w:val="18"/>
          <w:szCs w:val="18"/>
          <w:color w:val="auto"/>
        </w:rPr>
        <w:t>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Effect of reinsurance on our results</w:t>
      </w:r>
    </w:p>
    <w:p>
      <w:pPr>
        <w:spacing w:after="0" w:line="162" w:lineRule="exact"/>
        <w:rPr>
          <w:sz w:val="20"/>
          <w:szCs w:val="20"/>
          <w:color w:val="auto"/>
        </w:rPr>
      </w:pPr>
    </w:p>
    <w:p>
      <w:pPr>
        <w:jc w:val="both"/>
        <w:ind w:firstLine="633"/>
        <w:spacing w:after="0" w:line="302" w:lineRule="auto"/>
        <w:rPr>
          <w:sz w:val="20"/>
          <w:szCs w:val="20"/>
          <w:color w:val="auto"/>
        </w:rPr>
      </w:pPr>
      <w:r>
        <w:rPr>
          <w:rFonts w:ascii="Arial" w:cs="Arial" w:eastAsia="Arial" w:hAnsi="Arial"/>
          <w:sz w:val="15"/>
          <w:szCs w:val="15"/>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Excess-of-loss reinsurance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Insurance-linked notes</w:t>
      </w:r>
    </w:p>
    <w:p>
      <w:pPr>
        <w:spacing w:after="0" w:line="162"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NMIC is party to reinsurance agreements with the Oaktown Re Vehicles that provide it with aggregate excess-of-loss reinsurance coverage on defined portfolios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40"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The respective reinsurance coverage amounts provided by the Oaktown Re Vehicles decrease over a ten-year period as the underlying insured mortgages are amortized or repaid, and/or the mortgage insurance coverage is canceled (except the coverage provided by Oaktown Re VI Ltd. and Oaktown Re VII Ltd., which decreases over a 12.5-year period).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As of September 30, 2022, the 2018 ILN Transaction was deemed to be in Lock Out due to the default experience of its underlying reference pool and the 2021-2</w:t>
      </w:r>
    </w:p>
    <w:p>
      <w:pPr>
        <w:spacing w:after="0" w:line="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ILN Transaction was deemed to be in Lock Out in connection with the initial build of its target credit enhancement level. As such, the amortization of reinsurance coverage, and distribution of collateral assets and amortization of insurance-linked notes was suspended for both ILN Transactions. The amortization of reinsurance coverage, distribution of collateral assets and amortization of insurance-linked notes issued in connection with the 2018 and 2021-2 ILN Transactions will remain suspended for the duration of the Lock-Out Event for each respective ILN Transaction, and during such period assets will be preserved in the applicable reinsurance trust account to collateralize the excess-of-loss reinsurance coverage provided to NMIC. Effective August 31, 2022, a Lock-Out Event for the 2019 ILN Transaction was deemed to have cleared and amortization of the associated reinsurance coverage, and distribution of collateral assets and amortization of the associated insurance-linked notes resumed.</w:t>
      </w:r>
    </w:p>
    <w:p>
      <w:pPr>
        <w:spacing w:after="0" w:line="117"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41" w:lineRule="exact"/>
        <w:rPr>
          <w:sz w:val="20"/>
          <w:szCs w:val="20"/>
          <w:color w:val="auto"/>
        </w:rPr>
      </w:pPr>
    </w:p>
    <w:p>
      <w:pPr>
        <w:ind w:right="460" w:firstLine="633"/>
        <w:spacing w:after="0" w:line="250" w:lineRule="auto"/>
        <w:rPr>
          <w:sz w:val="20"/>
          <w:szCs w:val="20"/>
          <w:color w:val="auto"/>
        </w:rPr>
      </w:pPr>
      <w:r>
        <w:rPr>
          <w:rFonts w:ascii="Arial" w:cs="Arial" w:eastAsia="Arial" w:hAnsi="Arial"/>
          <w:sz w:val="18"/>
          <w:szCs w:val="18"/>
          <w:color w:val="auto"/>
        </w:rPr>
        <w:t>Effective March 25, 2022 and April 25, 2022, NMIC exercised its optional clean-up call to terminate the 2017 and 2020-1 ILN Transactions, respectively. In connection with the termination of each respective transaction, NMIC’s excess of loss reinsurance agreements with Oaktown Re Ltd. and Oaktown Re IV Ltd. were commuted and the insurance-linked notes issued by Oaktown Re Ltd. and Oaktown Re IV Ltd. were redeemed in full with a distribution of remaining collateral assets.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32" w:name="page33"/>
    <w:bookmarkEnd w:id="32"/>
    <w:p>
      <w:pPr>
        <w:ind w:firstLine="633"/>
        <w:spacing w:after="0" w:line="363" w:lineRule="auto"/>
        <w:rPr>
          <w:sz w:val="20"/>
          <w:szCs w:val="20"/>
          <w:color w:val="auto"/>
        </w:rPr>
      </w:pPr>
      <w:r>
        <w:rPr>
          <w:rFonts w:ascii="Arial" w:cs="Arial" w:eastAsia="Arial" w:hAnsi="Arial"/>
          <w:sz w:val="15"/>
          <w:szCs w:val="15"/>
          <w:color w:val="auto"/>
        </w:rPr>
        <w:t>The following table presents the inception date, covered production period, current reinsurance coverage amount, current first layer retained aggregate loss and detail on the level of overcollateralization under each outstanding ILN Transaction. Current amounts are presented as of September 30, 2022.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121"/>
              <w:spacing w:after="0"/>
              <w:rPr>
                <w:sz w:val="20"/>
                <w:szCs w:val="20"/>
                <w:color w:val="auto"/>
              </w:rPr>
            </w:pPr>
            <w:r>
              <w:rPr>
                <w:rFonts w:ascii="Arial" w:cs="Arial" w:eastAsia="Arial" w:hAnsi="Arial"/>
                <w:sz w:val="16"/>
                <w:szCs w:val="16"/>
                <w:b w:val="1"/>
                <w:bCs w:val="1"/>
                <w:color w:val="auto"/>
                <w:w w:val="97"/>
              </w:rPr>
              <w:t>2018 ILN</w:t>
            </w:r>
          </w:p>
        </w:tc>
        <w:tc>
          <w:tcPr>
            <w:tcW w:w="180" w:type="dxa"/>
            <w:vAlign w:val="bottom"/>
          </w:tcPr>
          <w:p>
            <w:pPr>
              <w:spacing w:after="0"/>
              <w:rPr>
                <w:sz w:val="17"/>
                <w:szCs w:val="17"/>
                <w:color w:val="auto"/>
              </w:rPr>
            </w:pPr>
          </w:p>
        </w:tc>
        <w:tc>
          <w:tcPr>
            <w:tcW w:w="1240" w:type="dxa"/>
            <w:vAlign w:val="bottom"/>
          </w:tcPr>
          <w:p>
            <w:pPr>
              <w:jc w:val="center"/>
              <w:ind w:right="121"/>
              <w:spacing w:after="0"/>
              <w:rPr>
                <w:sz w:val="20"/>
                <w:szCs w:val="20"/>
                <w:color w:val="auto"/>
              </w:rPr>
            </w:pPr>
            <w:r>
              <w:rPr>
                <w:rFonts w:ascii="Arial" w:cs="Arial" w:eastAsia="Arial" w:hAnsi="Arial"/>
                <w:sz w:val="16"/>
                <w:szCs w:val="16"/>
                <w:b w:val="1"/>
                <w:bCs w:val="1"/>
                <w:color w:val="auto"/>
                <w:w w:val="97"/>
              </w:rPr>
              <w:t>2019 ILN</w:t>
            </w:r>
          </w:p>
        </w:tc>
        <w:tc>
          <w:tcPr>
            <w:tcW w:w="140" w:type="dxa"/>
            <w:vAlign w:val="bottom"/>
          </w:tcPr>
          <w:p>
            <w:pPr>
              <w:spacing w:after="0"/>
              <w:rPr>
                <w:sz w:val="17"/>
                <w:szCs w:val="17"/>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b w:val="1"/>
                <w:bCs w:val="1"/>
                <w:color w:val="auto"/>
              </w:rPr>
              <w:t>2020-2 ILN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243"/>
              <w:spacing w:after="0"/>
              <w:rPr>
                <w:sz w:val="20"/>
                <w:szCs w:val="20"/>
                <w:color w:val="auto"/>
              </w:rPr>
            </w:pPr>
            <w:r>
              <w:rPr>
                <w:rFonts w:ascii="Arial" w:cs="Arial" w:eastAsia="Arial" w:hAnsi="Arial"/>
                <w:sz w:val="16"/>
                <w:szCs w:val="16"/>
                <w:b w:val="1"/>
                <w:bCs w:val="1"/>
                <w:color w:val="auto"/>
              </w:rPr>
              <w:t>2021-1 ILN</w:t>
            </w:r>
          </w:p>
        </w:tc>
        <w:tc>
          <w:tcPr>
            <w:tcW w:w="180" w:type="dxa"/>
            <w:vAlign w:val="bottom"/>
          </w:tcPr>
          <w:p>
            <w:pPr>
              <w:spacing w:after="0"/>
              <w:rPr>
                <w:sz w:val="17"/>
                <w:szCs w:val="17"/>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b w:val="1"/>
                <w:bCs w:val="1"/>
                <w:color w:val="auto"/>
              </w:rPr>
              <w:t>2021-2 ILN</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i w:val="1"/>
                <w:iCs w:val="1"/>
                <w:color w:val="auto"/>
              </w:rPr>
              <w:t>($ values in thousands)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90"/>
              </w:rPr>
              <w:t>Transaction</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21"/>
              <w:spacing w:after="0"/>
              <w:rPr>
                <w:sz w:val="20"/>
                <w:szCs w:val="20"/>
                <w:color w:val="auto"/>
              </w:rPr>
            </w:pPr>
            <w:r>
              <w:rPr>
                <w:rFonts w:ascii="Arial" w:cs="Arial" w:eastAsia="Arial" w:hAnsi="Arial"/>
                <w:sz w:val="16"/>
                <w:szCs w:val="16"/>
                <w:b w:val="1"/>
                <w:bCs w:val="1"/>
                <w:color w:val="auto"/>
                <w:w w:val="88"/>
              </w:rPr>
              <w:t>Transaction</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Transaction</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b w:val="1"/>
                <w:bCs w:val="1"/>
                <w:color w:val="auto"/>
              </w:rPr>
              <w:t>Transaction</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Transaction</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Inception date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90"/>
              </w:rPr>
              <w:t>July 25, 2018</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90"/>
              </w:rPr>
              <w:t>July 30, 2019</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October 29, 2020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43"/>
              <w:spacing w:after="0"/>
              <w:rPr>
                <w:sz w:val="20"/>
                <w:szCs w:val="20"/>
                <w:color w:val="auto"/>
              </w:rPr>
            </w:pPr>
            <w:r>
              <w:rPr>
                <w:rFonts w:ascii="Arial" w:cs="Arial" w:eastAsia="Arial" w:hAnsi="Arial"/>
                <w:sz w:val="16"/>
                <w:szCs w:val="16"/>
                <w:color w:val="auto"/>
              </w:rPr>
              <w:t>April 27, 2021</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October 26, 2021</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3440" w:type="dxa"/>
            <w:vAlign w:val="bottom"/>
            <w:vMerge w:val="restart"/>
          </w:tcPr>
          <w:p>
            <w:pPr>
              <w:ind w:left="20"/>
              <w:spacing w:after="0"/>
              <w:rPr>
                <w:sz w:val="20"/>
                <w:szCs w:val="20"/>
                <w:color w:val="auto"/>
              </w:rPr>
            </w:pPr>
            <w:r>
              <w:rPr>
                <w:rFonts w:ascii="Arial" w:cs="Arial" w:eastAsia="Arial" w:hAnsi="Arial"/>
                <w:sz w:val="16"/>
                <w:szCs w:val="16"/>
                <w:color w:val="auto"/>
              </w:rPr>
              <w:t>Covered production</w:t>
            </w:r>
          </w:p>
        </w:tc>
        <w:tc>
          <w:tcPr>
            <w:tcW w:w="4180" w:type="dxa"/>
            <w:vAlign w:val="bottom"/>
            <w:gridSpan w:val="6"/>
            <w:vMerge w:val="restart"/>
          </w:tcPr>
          <w:p>
            <w:pPr>
              <w:ind w:left="20"/>
              <w:spacing w:after="0"/>
              <w:rPr>
                <w:sz w:val="20"/>
                <w:szCs w:val="20"/>
                <w:color w:val="auto"/>
              </w:rPr>
            </w:pPr>
            <w:r>
              <w:rPr>
                <w:rFonts w:ascii="Arial" w:cs="Arial" w:eastAsia="Arial" w:hAnsi="Arial"/>
                <w:sz w:val="16"/>
                <w:szCs w:val="16"/>
                <w:color w:val="auto"/>
                <w:w w:val="91"/>
              </w:rPr>
              <w:t>1/1/2017 - 5/31/2018 6/1/2018 - 6/30/2019 4/1/2020 - 9/30/2020</w:t>
            </w:r>
          </w:p>
        </w:tc>
        <w:tc>
          <w:tcPr>
            <w:tcW w:w="160" w:type="dxa"/>
            <w:vAlign w:val="bottom"/>
          </w:tcPr>
          <w:p>
            <w:pPr>
              <w:jc w:val="right"/>
              <w:spacing w:after="0"/>
              <w:rPr>
                <w:sz w:val="20"/>
                <w:szCs w:val="20"/>
                <w:color w:val="auto"/>
              </w:rPr>
            </w:pPr>
            <w:r>
              <w:rPr>
                <w:rFonts w:ascii="Arial" w:cs="Arial" w:eastAsia="Arial" w:hAnsi="Arial"/>
                <w:sz w:val="10"/>
                <w:szCs w:val="10"/>
                <w:color w:val="auto"/>
                <w:w w:val="97"/>
              </w:rPr>
              <w:t>(1)</w:t>
            </w:r>
          </w:p>
        </w:tc>
        <w:tc>
          <w:tcPr>
            <w:tcW w:w="1540" w:type="dxa"/>
            <w:vAlign w:val="bottom"/>
            <w:gridSpan w:val="2"/>
          </w:tcPr>
          <w:p>
            <w:pPr>
              <w:jc w:val="right"/>
              <w:spacing w:after="0" w:line="158" w:lineRule="exact"/>
              <w:rPr>
                <w:sz w:val="20"/>
                <w:szCs w:val="20"/>
                <w:color w:val="auto"/>
              </w:rPr>
            </w:pPr>
            <w:r>
              <w:rPr>
                <w:rFonts w:ascii="Arial" w:cs="Arial" w:eastAsia="Arial" w:hAnsi="Arial"/>
                <w:sz w:val="16"/>
                <w:szCs w:val="16"/>
                <w:color w:val="auto"/>
                <w:w w:val="93"/>
              </w:rPr>
              <w:t>10/1/2020 - 3/31/2021</w:t>
            </w:r>
          </w:p>
        </w:tc>
        <w:tc>
          <w:tcPr>
            <w:tcW w:w="1420" w:type="dxa"/>
            <w:vAlign w:val="bottom"/>
            <w:gridSpan w:val="2"/>
            <w:vMerge w:val="restart"/>
          </w:tcPr>
          <w:p>
            <w:pPr>
              <w:jc w:val="right"/>
              <w:spacing w:after="0"/>
              <w:rPr>
                <w:sz w:val="20"/>
                <w:szCs w:val="20"/>
                <w:color w:val="auto"/>
              </w:rPr>
            </w:pPr>
            <w:r>
              <w:rPr>
                <w:rFonts w:ascii="Arial" w:cs="Arial" w:eastAsia="Arial" w:hAnsi="Arial"/>
                <w:sz w:val="16"/>
                <w:szCs w:val="16"/>
                <w:color w:val="auto"/>
                <w:w w:val="93"/>
              </w:rPr>
              <w:t>4/1/2021 - 9/30/2021</w:t>
            </w:r>
          </w:p>
        </w:tc>
        <w:tc>
          <w:tcPr>
            <w:tcW w:w="180" w:type="dxa"/>
            <w:vAlign w:val="bottom"/>
          </w:tcPr>
          <w:p>
            <w:pPr>
              <w:jc w:val="right"/>
              <w:ind w:right="9"/>
              <w:spacing w:after="0"/>
              <w:rPr>
                <w:sz w:val="20"/>
                <w:szCs w:val="20"/>
                <w:color w:val="auto"/>
              </w:rPr>
            </w:pPr>
            <w:r>
              <w:rPr>
                <w:rFonts w:ascii="Arial" w:cs="Arial" w:eastAsia="Arial" w:hAnsi="Arial"/>
                <w:sz w:val="10"/>
                <w:szCs w:val="10"/>
                <w:color w:val="auto"/>
                <w:w w:val="81"/>
              </w:rPr>
              <w:t>(3)</w:t>
            </w:r>
          </w:p>
        </w:tc>
        <w:tc>
          <w:tcPr>
            <w:tcW w:w="0" w:type="dxa"/>
            <w:vAlign w:val="bottom"/>
          </w:tcPr>
          <w:p>
            <w:pPr>
              <w:spacing w:after="0"/>
              <w:rPr>
                <w:sz w:val="1"/>
                <w:szCs w:val="1"/>
                <w:color w:val="auto"/>
              </w:rPr>
            </w:pPr>
          </w:p>
        </w:tc>
      </w:tr>
      <w:tr>
        <w:trPr>
          <w:trHeight w:val="130"/>
        </w:trPr>
        <w:tc>
          <w:tcPr>
            <w:tcW w:w="3440" w:type="dxa"/>
            <w:vAlign w:val="bottom"/>
            <w:vMerge w:val="continue"/>
          </w:tcPr>
          <w:p>
            <w:pPr>
              <w:spacing w:after="0"/>
              <w:rPr>
                <w:sz w:val="11"/>
                <w:szCs w:val="11"/>
                <w:color w:val="auto"/>
              </w:rPr>
            </w:pPr>
          </w:p>
        </w:tc>
        <w:tc>
          <w:tcPr>
            <w:tcW w:w="4180" w:type="dxa"/>
            <w:vAlign w:val="bottom"/>
            <w:gridSpan w:val="6"/>
            <w:vMerge w:val="continue"/>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right"/>
              <w:ind w:right="643"/>
              <w:spacing w:after="0"/>
              <w:rPr>
                <w:sz w:val="20"/>
                <w:szCs w:val="20"/>
                <w:color w:val="auto"/>
              </w:rPr>
            </w:pPr>
            <w:r>
              <w:rPr>
                <w:rFonts w:ascii="Arial" w:cs="Arial" w:eastAsia="Arial" w:hAnsi="Arial"/>
                <w:sz w:val="10"/>
                <w:szCs w:val="10"/>
                <w:color w:val="auto"/>
              </w:rPr>
              <w:t>(2)</w:t>
            </w:r>
          </w:p>
        </w:tc>
        <w:tc>
          <w:tcPr>
            <w:tcW w:w="14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40" w:type="dxa"/>
            <w:vAlign w:val="bottom"/>
          </w:tcPr>
          <w:p>
            <w:pPr>
              <w:ind w:left="20"/>
              <w:spacing w:after="0"/>
              <w:rPr>
                <w:sz w:val="20"/>
                <w:szCs w:val="20"/>
                <w:color w:val="auto"/>
              </w:rPr>
            </w:pPr>
            <w:r>
              <w:rPr>
                <w:rFonts w:ascii="Arial" w:cs="Arial" w:eastAsia="Arial" w:hAnsi="Arial"/>
                <w:sz w:val="16"/>
                <w:szCs w:val="16"/>
                <w:color w:val="auto"/>
              </w:rPr>
              <w:t>Current ceded RIF</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900,608</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1,010,097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3,638,732</w:t>
            </w:r>
          </w:p>
        </w:tc>
        <w:tc>
          <w:tcPr>
            <w:tcW w:w="16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23"/>
              <w:spacing w:after="0"/>
              <w:rPr>
                <w:sz w:val="20"/>
                <w:szCs w:val="20"/>
                <w:color w:val="auto"/>
              </w:rPr>
            </w:pPr>
            <w:r>
              <w:rPr>
                <w:rFonts w:ascii="Arial" w:cs="Arial" w:eastAsia="Arial" w:hAnsi="Arial"/>
                <w:sz w:val="16"/>
                <w:szCs w:val="16"/>
                <w:color w:val="auto"/>
              </w:rPr>
              <w:t>7,177,674</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7,129,356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40" w:type="dxa"/>
            <w:vAlign w:val="bottom"/>
          </w:tcPr>
          <w:p>
            <w:pPr>
              <w:ind w:left="20"/>
              <w:spacing w:after="0"/>
              <w:rPr>
                <w:sz w:val="20"/>
                <w:szCs w:val="20"/>
                <w:color w:val="auto"/>
              </w:rPr>
            </w:pPr>
            <w:r>
              <w:rPr>
                <w:rFonts w:ascii="Arial" w:cs="Arial" w:eastAsia="Arial" w:hAnsi="Arial"/>
                <w:sz w:val="16"/>
                <w:szCs w:val="16"/>
                <w:color w:val="auto"/>
              </w:rPr>
              <w:t>Current first layer retained loss</w:t>
            </w:r>
          </w:p>
        </w:tc>
        <w:tc>
          <w:tcPr>
            <w:tcW w:w="180" w:type="dxa"/>
            <w:vAlign w:val="bottom"/>
          </w:tcPr>
          <w:p>
            <w:pPr>
              <w:spacing w:after="0"/>
              <w:rPr>
                <w:sz w:val="19"/>
                <w:szCs w:val="19"/>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122,271</w:t>
            </w:r>
          </w:p>
        </w:tc>
        <w:tc>
          <w:tcPr>
            <w:tcW w:w="180" w:type="dxa"/>
            <w:vAlign w:val="bottom"/>
          </w:tcPr>
          <w:p>
            <w:pPr>
              <w:spacing w:after="0"/>
              <w:rPr>
                <w:sz w:val="19"/>
                <w:szCs w:val="19"/>
                <w:color w:val="auto"/>
              </w:rPr>
            </w:pP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122,412</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121,177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123"/>
              <w:spacing w:after="0"/>
              <w:rPr>
                <w:sz w:val="20"/>
                <w:szCs w:val="20"/>
                <w:color w:val="auto"/>
              </w:rPr>
            </w:pPr>
            <w:r>
              <w:rPr>
                <w:rFonts w:ascii="Arial" w:cs="Arial" w:eastAsia="Arial" w:hAnsi="Arial"/>
                <w:sz w:val="16"/>
                <w:szCs w:val="16"/>
                <w:color w:val="auto"/>
              </w:rPr>
              <w:t>163,665</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146,204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reinsurance coverage</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158,489</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218,121</w:t>
            </w: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110,623</w:t>
            </w:r>
          </w:p>
        </w:tc>
        <w:tc>
          <w:tcPr>
            <w:tcW w:w="1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322,290</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363,596</w:t>
            </w:r>
          </w:p>
        </w:tc>
        <w:tc>
          <w:tcPr>
            <w:tcW w:w="1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40" w:type="dxa"/>
            <w:vAlign w:val="bottom"/>
          </w:tcPr>
          <w:p>
            <w:pPr>
              <w:ind w:left="20"/>
              <w:spacing w:after="0"/>
              <w:rPr>
                <w:sz w:val="20"/>
                <w:szCs w:val="20"/>
                <w:color w:val="auto"/>
              </w:rPr>
            </w:pPr>
            <w:r>
              <w:rPr>
                <w:rFonts w:ascii="Arial" w:cs="Arial" w:eastAsia="Arial" w:hAnsi="Arial"/>
                <w:sz w:val="16"/>
                <w:szCs w:val="16"/>
                <w:color w:val="auto"/>
              </w:rPr>
              <w:t>Eligible coverage</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280,760</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340,533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231,800</w:t>
            </w:r>
          </w:p>
        </w:tc>
        <w:tc>
          <w:tcPr>
            <w:tcW w:w="16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23"/>
              <w:spacing w:after="0"/>
              <w:rPr>
                <w:sz w:val="20"/>
                <w:szCs w:val="20"/>
                <w:color w:val="auto"/>
              </w:rPr>
            </w:pPr>
            <w:r>
              <w:rPr>
                <w:rFonts w:ascii="Arial" w:cs="Arial" w:eastAsia="Arial" w:hAnsi="Arial"/>
                <w:sz w:val="16"/>
                <w:szCs w:val="16"/>
                <w:color w:val="auto"/>
              </w:rPr>
              <w:t>485,955</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509,800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Subordinated coverage </w:t>
            </w:r>
            <w:r>
              <w:rPr>
                <w:rFonts w:ascii="Arial" w:cs="Arial" w:eastAsia="Arial" w:hAnsi="Arial"/>
                <w:sz w:val="20"/>
                <w:szCs w:val="20"/>
                <w:color w:val="auto"/>
                <w:vertAlign w:val="superscript"/>
              </w:rPr>
              <w:t>(4)</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31.17 %</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33.71 %</w:t>
            </w: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6.25 %</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6.75 %</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7.15 %</w:t>
            </w:r>
          </w:p>
        </w:tc>
        <w:tc>
          <w:tcPr>
            <w:tcW w:w="0" w:type="dxa"/>
            <w:vAlign w:val="bottom"/>
          </w:tcPr>
          <w:p>
            <w:pPr>
              <w:spacing w:after="0"/>
              <w:rPr>
                <w:sz w:val="1"/>
                <w:szCs w:val="1"/>
                <w:color w:val="auto"/>
              </w:rPr>
            </w:pPr>
          </w:p>
        </w:tc>
      </w:tr>
      <w:tr>
        <w:trPr>
          <w:trHeight w:val="211"/>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PMIERs charge on ceded RIF</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7.83 %</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7.46 %</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5.03 %</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6.12 %</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6.65 %</w:t>
            </w:r>
          </w:p>
        </w:tc>
        <w:tc>
          <w:tcPr>
            <w:tcW w:w="0" w:type="dxa"/>
            <w:vAlign w:val="bottom"/>
          </w:tcPr>
          <w:p>
            <w:pPr>
              <w:spacing w:after="0"/>
              <w:rPr>
                <w:sz w:val="1"/>
                <w:szCs w:val="1"/>
                <w:color w:val="auto"/>
              </w:rPr>
            </w:pPr>
          </w:p>
        </w:tc>
      </w:tr>
      <w:tr>
        <w:trPr>
          <w:trHeight w:val="217"/>
        </w:trPr>
        <w:tc>
          <w:tcPr>
            <w:tcW w:w="3440" w:type="dxa"/>
            <w:vAlign w:val="bottom"/>
          </w:tcPr>
          <w:p>
            <w:pPr>
              <w:ind w:left="20"/>
              <w:spacing w:after="0" w:line="217" w:lineRule="exact"/>
              <w:rPr>
                <w:sz w:val="20"/>
                <w:szCs w:val="20"/>
                <w:color w:val="auto"/>
              </w:rPr>
            </w:pPr>
            <w:r>
              <w:rPr>
                <w:rFonts w:ascii="Arial" w:cs="Arial" w:eastAsia="Arial" w:hAnsi="Arial"/>
                <w:sz w:val="16"/>
                <w:szCs w:val="16"/>
                <w:color w:val="auto"/>
              </w:rPr>
              <w:t xml:space="preserve">Overcollateralization </w:t>
            </w:r>
            <w:r>
              <w:rPr>
                <w:rFonts w:ascii="Arial" w:cs="Arial" w:eastAsia="Arial" w:hAnsi="Arial"/>
                <w:sz w:val="20"/>
                <w:szCs w:val="20"/>
                <w:color w:val="auto"/>
                <w:vertAlign w:val="superscript"/>
              </w:rPr>
              <w:t>(5) (6)</w:t>
            </w: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158,489</w:t>
            </w: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218,121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48,614</w:t>
            </w: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123"/>
              <w:spacing w:after="0"/>
              <w:rPr>
                <w:sz w:val="20"/>
                <w:szCs w:val="20"/>
                <w:color w:val="auto"/>
              </w:rPr>
            </w:pPr>
            <w:r>
              <w:rPr>
                <w:rFonts w:ascii="Arial" w:cs="Arial" w:eastAsia="Arial" w:hAnsi="Arial"/>
                <w:sz w:val="16"/>
                <w:szCs w:val="16"/>
                <w:color w:val="auto"/>
              </w:rPr>
              <w:t>46,392</w:t>
            </w: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35,765</w:t>
            </w:r>
          </w:p>
        </w:tc>
        <w:tc>
          <w:tcPr>
            <w:tcW w:w="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3440" w:type="dxa"/>
            <w:vAlign w:val="bottom"/>
          </w:tcPr>
          <w:p>
            <w:pPr>
              <w:ind w:left="20"/>
              <w:spacing w:after="0"/>
              <w:rPr>
                <w:sz w:val="20"/>
                <w:szCs w:val="20"/>
                <w:color w:val="auto"/>
              </w:rPr>
            </w:pPr>
            <w:r>
              <w:rPr>
                <w:rFonts w:ascii="Arial" w:cs="Arial" w:eastAsia="Arial" w:hAnsi="Arial"/>
                <w:sz w:val="16"/>
                <w:szCs w:val="16"/>
                <w:color w:val="auto"/>
              </w:rPr>
              <w:t xml:space="preserve">Delinquency Trigger </w:t>
            </w:r>
            <w:r>
              <w:rPr>
                <w:rFonts w:ascii="Arial" w:cs="Arial" w:eastAsia="Arial" w:hAnsi="Arial"/>
                <w:sz w:val="20"/>
                <w:szCs w:val="20"/>
                <w:color w:val="auto"/>
                <w:vertAlign w:val="superscript"/>
              </w:rPr>
              <w:t>(7)</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w:t>
            </w: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23"/>
                <w:szCs w:val="23"/>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4.7 %</w:t>
            </w: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5.1 %</w:t>
            </w:r>
          </w:p>
        </w:tc>
        <w:tc>
          <w:tcPr>
            <w:tcW w:w="18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60" w:hanging="254"/>
        <w:spacing w:after="0"/>
        <w:tabs>
          <w:tab w:leader="none" w:pos="2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Approximately 1% of the production covered by the 2020-2 ILN Transaction has coverage reporting dates between July 1, 2019 and March 31, 2020.</w:t>
      </w:r>
    </w:p>
    <w:p>
      <w:pPr>
        <w:spacing w:after="0" w:line="4" w:lineRule="exact"/>
        <w:rPr>
          <w:rFonts w:ascii="Arial" w:cs="Arial" w:eastAsia="Arial" w:hAnsi="Arial"/>
          <w:sz w:val="18"/>
          <w:szCs w:val="18"/>
          <w:color w:val="auto"/>
          <w:vertAlign w:val="superscript"/>
        </w:rPr>
      </w:pPr>
    </w:p>
    <w:p>
      <w:pPr>
        <w:ind w:left="200" w:hanging="194"/>
        <w:spacing w:after="0" w:line="183" w:lineRule="auto"/>
        <w:tabs>
          <w:tab w:leader="none" w:pos="2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Approximately 1% of the production covered by the 2021-1 ILN Transaction has coverage reporting dates between July 1, 2019 and September 30, 2020.</w:t>
      </w:r>
    </w:p>
    <w:p>
      <w:pPr>
        <w:ind w:left="200" w:hanging="194"/>
        <w:spacing w:after="0"/>
        <w:tabs>
          <w:tab w:leader="none" w:pos="200" w:val="left"/>
        </w:tabs>
        <w:numPr>
          <w:ilvl w:val="0"/>
          <w:numId w:val="15"/>
        </w:numPr>
        <w:rPr>
          <w:rFonts w:ascii="Arial" w:cs="Arial" w:eastAsia="Arial" w:hAnsi="Arial"/>
          <w:sz w:val="9"/>
          <w:szCs w:val="9"/>
          <w:color w:val="auto"/>
        </w:rPr>
      </w:pPr>
      <w:r>
        <w:rPr>
          <w:rFonts w:ascii="Arial" w:cs="Arial" w:eastAsia="Arial" w:hAnsi="Arial"/>
          <w:sz w:val="14"/>
          <w:szCs w:val="14"/>
          <w:color w:val="auto"/>
        </w:rPr>
        <w:t>Approximately 2% of the production covered by the 2021-2 ILN Transaction has coverage reporting dates between July 1, 2019 and March 31, 2021.</w:t>
      </w:r>
    </w:p>
    <w:p>
      <w:pPr>
        <w:spacing w:after="0" w:line="6" w:lineRule="exact"/>
        <w:rPr>
          <w:rFonts w:ascii="Arial" w:cs="Arial" w:eastAsia="Arial" w:hAnsi="Arial"/>
          <w:sz w:val="9"/>
          <w:szCs w:val="9"/>
          <w:color w:val="auto"/>
        </w:rPr>
      </w:pPr>
    </w:p>
    <w:p>
      <w:pPr>
        <w:ind w:left="220" w:hanging="214"/>
        <w:spacing w:after="0"/>
        <w:tabs>
          <w:tab w:leader="none" w:pos="220" w:val="left"/>
        </w:tabs>
        <w:numPr>
          <w:ilvl w:val="0"/>
          <w:numId w:val="15"/>
        </w:numPr>
        <w:rPr>
          <w:rFonts w:ascii="Arial" w:cs="Arial" w:eastAsia="Arial" w:hAnsi="Arial"/>
          <w:sz w:val="9"/>
          <w:szCs w:val="9"/>
          <w:color w:val="auto"/>
        </w:rPr>
      </w:pPr>
      <w:r>
        <w:rPr>
          <w:rFonts w:ascii="Arial" w:cs="Arial" w:eastAsia="Arial" w:hAnsi="Arial"/>
          <w:sz w:val="14"/>
          <w:szCs w:val="14"/>
          <w:color w:val="auto"/>
        </w:rPr>
        <w:t>Absent a delinquency trigger, the subordinated coverage is capped at 7.5%, 6.25%, 6.75% and 7.45% for the 2019, 2020-2, 2021-1 and 2021-2 ILN Transactions, respectively.</w:t>
      </w:r>
    </w:p>
    <w:p>
      <w:pPr>
        <w:spacing w:after="0" w:line="10" w:lineRule="exact"/>
        <w:rPr>
          <w:rFonts w:ascii="Arial" w:cs="Arial" w:eastAsia="Arial" w:hAnsi="Arial"/>
          <w:sz w:val="9"/>
          <w:szCs w:val="9"/>
          <w:color w:val="auto"/>
        </w:rPr>
      </w:pPr>
    </w:p>
    <w:p>
      <w:pPr>
        <w:ind w:left="320" w:right="180" w:hanging="314"/>
        <w:spacing w:after="0" w:line="223" w:lineRule="auto"/>
        <w:tabs>
          <w:tab w:leader="none" w:pos="201"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Overcollateralization for each of the 2018 and 2019 ILN Transactions is equal to their current reinsurance coverage as the PMIERs required asset amount on RIF ceded under each transaction is currently below its remaining first layer retained loss.</w:t>
      </w:r>
    </w:p>
    <w:p>
      <w:pPr>
        <w:ind w:left="200" w:hanging="194"/>
        <w:spacing w:after="0" w:line="188" w:lineRule="auto"/>
        <w:tabs>
          <w:tab w:leader="none" w:pos="20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May not be replicated based on the rounded figures presented in the table.</w:t>
      </w:r>
    </w:p>
    <w:p>
      <w:pPr>
        <w:ind w:left="320" w:right="480" w:hanging="314"/>
        <w:spacing w:after="0" w:line="264" w:lineRule="auto"/>
        <w:tabs>
          <w:tab w:leader="none" w:pos="201" w:val="left"/>
        </w:tabs>
        <w:numPr>
          <w:ilvl w:val="0"/>
          <w:numId w:val="15"/>
        </w:numPr>
        <w:rPr>
          <w:rFonts w:ascii="Arial" w:cs="Arial" w:eastAsia="Arial" w:hAnsi="Arial"/>
          <w:sz w:val="9"/>
          <w:szCs w:val="9"/>
          <w:color w:val="auto"/>
        </w:rPr>
      </w:pPr>
      <w:r>
        <w:rPr>
          <w:rFonts w:ascii="Arial" w:cs="Arial" w:eastAsia="Arial" w:hAnsi="Arial"/>
          <w:sz w:val="14"/>
          <w:szCs w:val="14"/>
          <w:color w:val="auto"/>
        </w:rPr>
        <w:t>Delinquency triggers for the 2018 and 2019 ILN Transactions are set at a fixed 4.0% and assessed on a discrete monthly basis; delinquency triggers for the 2020-2, 2021-1 and 2021-2 ILN Transactions are equal to seventy-five percent of the subordinated coverage level and assessed on the basis of a three-month rolling average.</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Traditional reinsurance</w:t>
      </w:r>
    </w:p>
    <w:p>
      <w:pPr>
        <w:spacing w:after="0" w:line="162"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color w:val="auto"/>
        </w:rPr>
        <w:t>NMIC is a party to two excess-of-loss reinsurance agreements with broad panels of third-party reinsurers – the 2022-1 XOL Transaction, effective April 1, 2022, and the 2022-2 XOL Transaction, effective July 1, 2022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the inception of each respective agreement over a ten-year period in the event the PMIERs minimum required assets of the pool declines. NMIC retains losses in excess of the outstanding reinsurance coverage amount.</w:t>
      </w:r>
    </w:p>
    <w:p>
      <w:pPr>
        <w:spacing w:after="0" w:line="117" w:lineRule="exact"/>
        <w:rPr>
          <w:sz w:val="20"/>
          <w:szCs w:val="20"/>
          <w:color w:val="auto"/>
        </w:rPr>
      </w:pPr>
    </w:p>
    <w:p>
      <w:pPr>
        <w:ind w:right="200" w:firstLine="633"/>
        <w:spacing w:after="0" w:line="253" w:lineRule="auto"/>
        <w:rPr>
          <w:sz w:val="20"/>
          <w:szCs w:val="20"/>
          <w:color w:val="auto"/>
        </w:rPr>
      </w:pPr>
      <w:r>
        <w:rPr>
          <w:rFonts w:ascii="Arial" w:cs="Arial" w:eastAsia="Arial" w:hAnsi="Arial"/>
          <w:sz w:val="18"/>
          <w:szCs w:val="18"/>
          <w:color w:val="auto"/>
        </w:rPr>
        <w:t>As of September 30, 2022, NMIC's first layer aggregate retained loss exposure under the 2022-1 and 2022-2 XOL Transactions, was $133.4 million and $78.9 million, respectively, and the outstanding reinsurance coverage amount provided under each agreement was $284.0 million and $152.3 million, respectively.</w:t>
      </w:r>
    </w:p>
    <w:p>
      <w:pPr>
        <w:spacing w:after="0" w:line="137"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NMIC holds optional termination rights which provide it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33" w:name="page34"/>
    <w:bookmarkEnd w:id="33"/>
    <w:p>
      <w:pPr>
        <w:ind w:left="640"/>
        <w:spacing w:after="0"/>
        <w:rPr>
          <w:sz w:val="20"/>
          <w:szCs w:val="20"/>
          <w:color w:val="auto"/>
        </w:rPr>
      </w:pPr>
      <w:r>
        <w:rPr>
          <w:rFonts w:ascii="Arial" w:cs="Arial" w:eastAsia="Arial" w:hAnsi="Arial"/>
          <w:sz w:val="16"/>
          <w:szCs w:val="16"/>
          <w:color w:val="auto"/>
        </w:rPr>
        <w:t>Each of the third-party reinsurance providers that is party to the XOL Transactions has an insurer financial strength rating of A- or better by Standard</w:t>
      </w:r>
    </w:p>
    <w:p>
      <w:pPr>
        <w:spacing w:after="0" w:line="39" w:lineRule="exact"/>
        <w:rPr>
          <w:sz w:val="20"/>
          <w:szCs w:val="20"/>
          <w:color w:val="auto"/>
        </w:rPr>
      </w:pPr>
    </w:p>
    <w:p>
      <w:pPr>
        <w:ind w:left="180" w:hanging="174"/>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Poor’s Rating Service (S&amp;P), A.M. Best Company Inc. (A.M. Best) or both.</w:t>
      </w:r>
    </w:p>
    <w:p>
      <w:pPr>
        <w:spacing w:after="0" w:line="15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Quota share reinsurance</w:t>
      </w:r>
    </w:p>
    <w:p>
      <w:pPr>
        <w:spacing w:after="0" w:line="162"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NMIC is a party to six quota share reinsurance treaties – the 2016 QSR Transaction, effective September 1, 2016, the 2018 QSR Transaction, effective January 1, 2018, the 2020 QSR Transaction, effective April 1, 2020, the 2021 QSR Transaction, effective January 1, 2021, the 2022 QSR Transaction, effective October 1, 2021 and the 2022 Seasoned QSR Transaction, effective July 1, 2022 – which we refer to collectively as the QSR Transactions. Under each of the QSR Transactions, NMIC cedes a proportional share of its risk on eligible policies to panels of third-party reinsurance providers. Each of the third-party reinsurance providers that is party to the QSR Transactions has an insurer financial strength rating of A- or better by Standard &amp; Poor's Rating Service (S&amp;P), A.M. Best Company, Inc. (A.M. Best) or both.</w:t>
      </w:r>
    </w:p>
    <w:p>
      <w:pPr>
        <w:spacing w:after="0" w:line="141"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Under the terms of the 2016 QSR Transaction, NMIC cedes premiums written related to 25% of the risk on eligible primary policies written for all periods through December 31, 2017 and 100% of the risk under our pool agreement with Fannie Mae, in exchange for reimbursement of ceded claims and claim expenses on covered policies, a 20% ceding commission, and a profit commission of up to 60% that varies directly and inversely with ceded claims.</w:t>
      </w:r>
    </w:p>
    <w:p>
      <w:pPr>
        <w:spacing w:after="0" w:line="101"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137"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Under the terms of the 2020 QSR Transaction, NMIC cedes premiums earned related to 21% of the risk on eligible policies written from April 1, 2020 through December 31, 2020, in exchange for reimbursement of ceded claims and claim expenses on covered policies, a 20% ceding commission, and a profit commission of up to 50% that varies directly and inversely with ceded claims.</w:t>
      </w:r>
    </w:p>
    <w:p>
      <w:pPr>
        <w:spacing w:after="0" w:line="137"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Under the terms of the 2021 QSR Transaction, NMIC cedes premiums earned related to 22.5% of the risk on eligible policies written in 2021 (subject to an aggregate risk written limit which was exhausted on October 30, 2021), in exchange for reimbursement of ceded claims and claim expenses on covered policies, a 20% ceding commission, and a profit commission of up to 57.5% that varies directly and inversely with ceded claims.</w:t>
      </w:r>
    </w:p>
    <w:p>
      <w:pPr>
        <w:spacing w:after="0" w:line="101"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Under the terms of the 2022 QSR Transaction, NMIC cedes premiums earned related to 20% of the risk on eligible policies written between October 30, 2021 and December 31, 2022, in exchange for reimbursement of ceded claims and claims expenses on covered policies, a 20% ceding commission, and a profit commission of up to 62% that varies directly and inversely with ceded claims.</w:t>
      </w:r>
    </w:p>
    <w:p>
      <w:pPr>
        <w:spacing w:after="0" w:line="137"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In connection with the 2022 QSR Transaction, NMIC entered into an additional back-to-back quota share agreement that is scheduled to incept on January 1, 2023 (the 2023 QSR Transaction). Under the terms of the 2023 QSR Transactions, NMIC will cede premiums earned related to 20% of the risk on eligible policies written in 2023, in exchange for reimbursement of ceded claims and claim expenses on covered policies, a 20% ceding commission, and a profit commission of up to 62% that varies directly and inversely with ceded claims.</w:t>
      </w:r>
    </w:p>
    <w:p>
      <w:pPr>
        <w:spacing w:after="0" w:line="107"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Under the terms of the 2022 Seasoned QSR Transaction, NMIC cedes premiums earned related to 95% of the net risk on eligible policies primarily for a seasoned pool of mortgage insurance policies that had previously been covered under the now retired 2017 and 2020-1 ILN Transactions, after the consideration of coverage provided by other QSR Transactions in exchange for reimbursement of ceded claims and claim expenses on covered policies, a 35% ceding commission, and a profit commission of up to 55% that varies directly and inversely with ceded claims.</w:t>
      </w:r>
    </w:p>
    <w:p>
      <w:pPr>
        <w:spacing w:after="0" w:line="107"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NMIC may elect to terminate its engagement with individual reinsurers on a run-off basis (i.e., reinsurers continue providing coverage on all risk ceded prior to the termination date, with no new cessions going forward) or cut-off basis (i.e.,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40"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written with respect to the recaptured risk. With this termination, ceded premiums written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34" w:name="page35"/>
    <w:bookmarkEnd w:id="34"/>
    <w:p>
      <w:pPr>
        <w:jc w:val="both"/>
        <w:spacing w:after="0" w:line="262" w:lineRule="auto"/>
        <w:rPr>
          <w:sz w:val="20"/>
          <w:szCs w:val="20"/>
          <w:color w:val="auto"/>
        </w:rPr>
      </w:pPr>
      <w:r>
        <w:rPr>
          <w:rFonts w:ascii="Arial" w:cs="Arial" w:eastAsia="Arial" w:hAnsi="Arial"/>
          <w:sz w:val="18"/>
          <w:szCs w:val="18"/>
          <w:color w:val="auto"/>
        </w:rPr>
        <w:t>under the 2016 QSR Transaction decreased from 25% to 20.5% on eligible policies. The termination had no effect on the cession of pool risk under the 2016 QSR Transaction.</w:t>
      </w:r>
    </w:p>
    <w:p>
      <w:pPr>
        <w:spacing w:after="0" w:line="128"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See Item 1, "</w:t>
      </w:r>
      <w:r>
        <w:rPr>
          <w:rFonts w:ascii="Arial" w:cs="Arial" w:eastAsia="Arial" w:hAnsi="Arial"/>
          <w:sz w:val="18"/>
          <w:szCs w:val="18"/>
          <w:i w:val="1"/>
          <w:iCs w:val="1"/>
          <w:color w:val="auto"/>
        </w:rPr>
        <w:t>Financial Statements - Notes to Condensed Consolidated Financial Statements - Note 5, Reinsurance</w:t>
      </w:r>
      <w:r>
        <w:rPr>
          <w:rFonts w:ascii="Arial" w:cs="Arial" w:eastAsia="Arial" w:hAnsi="Arial"/>
          <w:sz w:val="18"/>
          <w:szCs w:val="18"/>
          <w:color w:val="auto"/>
        </w:rPr>
        <w:t>" for further discussion of these third-party reinsurance arrangements.</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Portfolio Data</w:t>
      </w:r>
    </w:p>
    <w:p>
      <w:pPr>
        <w:spacing w:after="0" w:line="162"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 following table presents primary and pool NIW and IIF as of the dates and for the periods indicated. Unless otherwise noted, the tables below do not include the effects of our third-party reinsurance arrangements described above.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Primary and pool IIF and NIW</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ind w:left="40"/>
              <w:spacing w:after="0"/>
              <w:rPr>
                <w:sz w:val="20"/>
                <w:szCs w:val="20"/>
                <w:color w:val="auto"/>
              </w:rPr>
            </w:pPr>
            <w:r>
              <w:rPr>
                <w:rFonts w:ascii="Arial" w:cs="Arial" w:eastAsia="Arial" w:hAnsi="Arial"/>
                <w:sz w:val="14"/>
                <w:szCs w:val="14"/>
                <w:b w:val="1"/>
                <w:bCs w:val="1"/>
                <w:color w:val="auto"/>
              </w:rPr>
              <w:t>As of and for the three months ended</w:t>
            </w: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6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For the nine months ended</w:t>
            </w:r>
          </w:p>
        </w:tc>
      </w:tr>
      <w:tr>
        <w:trPr>
          <w:trHeight w:val="198"/>
        </w:trPr>
        <w:tc>
          <w:tcPr>
            <w:tcW w:w="3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60" w:type="dxa"/>
            <w:vAlign w:val="bottom"/>
            <w:gridSpan w:val="5"/>
          </w:tcPr>
          <w:p>
            <w:pPr>
              <w:ind w:left="440"/>
              <w:spacing w:after="0"/>
              <w:rPr>
                <w:sz w:val="20"/>
                <w:szCs w:val="20"/>
                <w:color w:val="auto"/>
              </w:rPr>
            </w:pPr>
            <w:r>
              <w:rPr>
                <w:rFonts w:ascii="Arial" w:cs="Arial" w:eastAsia="Arial" w:hAnsi="Arial"/>
                <w:sz w:val="14"/>
                <w:szCs w:val="14"/>
                <w:b w:val="1"/>
                <w:bCs w:val="1"/>
                <w:color w:val="auto"/>
              </w:rPr>
              <w:t>September 30, 2022</w:t>
            </w:r>
          </w:p>
        </w:tc>
        <w:tc>
          <w:tcPr>
            <w:tcW w:w="320" w:type="dxa"/>
            <w:vAlign w:val="bottom"/>
          </w:tcPr>
          <w:p>
            <w:pPr>
              <w:spacing w:after="0"/>
              <w:rPr>
                <w:sz w:val="17"/>
                <w:szCs w:val="17"/>
                <w:color w:val="auto"/>
              </w:rPr>
            </w:pPr>
          </w:p>
        </w:tc>
        <w:tc>
          <w:tcPr>
            <w:tcW w:w="2440" w:type="dxa"/>
            <w:vAlign w:val="bottom"/>
            <w:gridSpan w:val="5"/>
          </w:tcPr>
          <w:p>
            <w:pPr>
              <w:ind w:left="420"/>
              <w:spacing w:after="0"/>
              <w:rPr>
                <w:sz w:val="20"/>
                <w:szCs w:val="20"/>
                <w:color w:val="auto"/>
              </w:rPr>
            </w:pPr>
            <w:r>
              <w:rPr>
                <w:rFonts w:ascii="Arial" w:cs="Arial" w:eastAsia="Arial" w:hAnsi="Arial"/>
                <w:sz w:val="14"/>
                <w:szCs w:val="14"/>
                <w:b w:val="1"/>
                <w:bCs w:val="1"/>
                <w:color w:val="auto"/>
              </w:rPr>
              <w:t>September 30, 2021</w:t>
            </w: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September 30, 2022</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 2021</w:t>
            </w:r>
          </w:p>
        </w:tc>
      </w:tr>
      <w:tr>
        <w:trPr>
          <w:trHeight w:val="24"/>
        </w:trPr>
        <w:tc>
          <w:tcPr>
            <w:tcW w:w="3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3"/>
          </w:tcPr>
          <w:p>
            <w:pPr>
              <w:spacing w:after="0"/>
              <w:rPr>
                <w:sz w:val="2"/>
                <w:szCs w:val="2"/>
                <w:color w:val="auto"/>
              </w:rPr>
            </w:pPr>
          </w:p>
        </w:tc>
        <w:tc>
          <w:tcPr>
            <w:tcW w:w="860" w:type="dxa"/>
            <w:vAlign w:val="bottom"/>
          </w:tcPr>
          <w:p>
            <w:pPr>
              <w:spacing w:after="0"/>
              <w:rPr>
                <w:sz w:val="2"/>
                <w:szCs w:val="2"/>
                <w:color w:val="auto"/>
              </w:rPr>
            </w:pPr>
          </w:p>
        </w:tc>
      </w:tr>
      <w:tr>
        <w:trPr>
          <w:trHeight w:val="184"/>
        </w:trPr>
        <w:tc>
          <w:tcPr>
            <w:tcW w:w="302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IIF</w:t>
            </w:r>
          </w:p>
        </w:tc>
        <w:tc>
          <w:tcPr>
            <w:tcW w:w="1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NIW</w:t>
            </w:r>
          </w:p>
        </w:tc>
        <w:tc>
          <w:tcPr>
            <w:tcW w:w="12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IIF</w:t>
            </w:r>
          </w:p>
        </w:tc>
        <w:tc>
          <w:tcPr>
            <w:tcW w:w="4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NIW</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gridSpan w:val="3"/>
          </w:tcPr>
          <w:p>
            <w:pPr>
              <w:jc w:val="right"/>
              <w:ind w:right="238"/>
              <w:spacing w:after="0"/>
              <w:rPr>
                <w:sz w:val="20"/>
                <w:szCs w:val="20"/>
                <w:color w:val="auto"/>
              </w:rPr>
            </w:pPr>
            <w:r>
              <w:rPr>
                <w:rFonts w:ascii="Arial" w:cs="Arial" w:eastAsia="Arial" w:hAnsi="Arial"/>
                <w:sz w:val="14"/>
                <w:szCs w:val="14"/>
                <w:b w:val="1"/>
                <w:bCs w:val="1"/>
                <w:color w:val="auto"/>
              </w:rPr>
              <w:t>NIW</w:t>
            </w:r>
          </w:p>
        </w:tc>
        <w:tc>
          <w:tcPr>
            <w:tcW w:w="860" w:type="dxa"/>
            <w:vAlign w:val="bottom"/>
            <w:tcBorders>
              <w:top w:val="single" w:sz="8" w:color="auto"/>
              <w:bottom w:val="single" w:sz="8" w:color="auto"/>
            </w:tcBorders>
          </w:tcPr>
          <w:p>
            <w:pPr>
              <w:spacing w:after="0"/>
              <w:rPr>
                <w:sz w:val="16"/>
                <w:szCs w:val="16"/>
                <w:color w:val="auto"/>
              </w:rPr>
            </w:pPr>
          </w:p>
        </w:tc>
      </w:tr>
      <w:tr>
        <w:trPr>
          <w:trHeight w:val="189"/>
        </w:trPr>
        <w:tc>
          <w:tcPr>
            <w:tcW w:w="3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Monthly</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124,767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60,047</w:t>
            </w:r>
          </w:p>
        </w:tc>
      </w:tr>
      <w:tr>
        <w:trPr>
          <w:trHeight w:val="224"/>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Single</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7,185</w:t>
            </w:r>
          </w:p>
        </w:tc>
      </w:tr>
      <w:tr>
        <w:trPr>
          <w:trHeight w:val="218"/>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Primary</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67,232</w:t>
            </w:r>
          </w:p>
        </w:tc>
      </w:tr>
      <w:tr>
        <w:trPr>
          <w:trHeight w:val="264"/>
        </w:trPr>
        <w:tc>
          <w:tcPr>
            <w:tcW w:w="3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24"/>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Pool</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30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180,251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17,239</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144,957</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18,084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48,015</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67,232</w:t>
            </w:r>
          </w:p>
        </w:tc>
      </w:tr>
      <w:tr>
        <w:trPr>
          <w:trHeight w:val="20"/>
        </w:trPr>
        <w:tc>
          <w:tcPr>
            <w:tcW w:w="3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firstLine="633"/>
        <w:spacing w:after="0" w:line="308" w:lineRule="auto"/>
        <w:rPr>
          <w:sz w:val="20"/>
          <w:szCs w:val="20"/>
          <w:color w:val="auto"/>
        </w:rPr>
      </w:pPr>
      <w:r>
        <w:rPr>
          <w:rFonts w:ascii="Arial" w:cs="Arial" w:eastAsia="Arial" w:hAnsi="Arial"/>
          <w:sz w:val="16"/>
          <w:szCs w:val="16"/>
          <w:color w:val="auto"/>
        </w:rPr>
        <w:t>NIW for the three and nine months ended September 30, 2022 was $17.2 billion and $48.0 billion compared to $18.1 billion and $67.2 billion for the three and nine months ended September 30, 2021. NIW decreased year-on-year primarily due to a decline in the size of the total mortgage insurance market.</w:t>
      </w:r>
    </w:p>
    <w:p>
      <w:pPr>
        <w:spacing w:after="0" w:line="174"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Total IIF increased 24% at September 30, 2022 compared to September 30, 2021, primarily due to the NIW generated between such measurement dates, partially offset by the run-off of in-force policies. Our persistency rate improved to 80.1% at September 30, 2022 from 58.1% at September 30, 2021, reflecting a slowdown in the pace of refinancing activity during the intervening twelve-month period driven by an increase in interest and mortgage note rates.</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net premiums written and earned for the periods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Primary and pool premiums written and earned</w:t>
            </w:r>
          </w:p>
        </w:tc>
        <w:tc>
          <w:tcPr>
            <w:tcW w:w="160" w:type="dxa"/>
            <w:vAlign w:val="bottom"/>
          </w:tcPr>
          <w:p>
            <w:pPr>
              <w:spacing w:after="0"/>
              <w:rPr>
                <w:sz w:val="15"/>
                <w:szCs w:val="15"/>
                <w:color w:val="auto"/>
              </w:rPr>
            </w:pPr>
          </w:p>
        </w:tc>
        <w:tc>
          <w:tcPr>
            <w:tcW w:w="3280" w:type="dxa"/>
            <w:vAlign w:val="bottom"/>
            <w:gridSpan w:val="4"/>
          </w:tcPr>
          <w:p>
            <w:pPr>
              <w:ind w:left="68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5"/>
                <w:szCs w:val="15"/>
                <w:color w:val="auto"/>
              </w:rPr>
            </w:pPr>
          </w:p>
        </w:tc>
        <w:tc>
          <w:tcPr>
            <w:tcW w:w="3460" w:type="dxa"/>
            <w:vAlign w:val="bottom"/>
            <w:gridSpan w:val="3"/>
          </w:tcPr>
          <w:p>
            <w:pPr>
              <w:jc w:val="right"/>
              <w:ind w:right="938"/>
              <w:spacing w:after="0"/>
              <w:rPr>
                <w:sz w:val="20"/>
                <w:szCs w:val="20"/>
                <w:color w:val="auto"/>
              </w:rPr>
            </w:pPr>
            <w:r>
              <w:rPr>
                <w:rFonts w:ascii="Arial" w:cs="Arial" w:eastAsia="Arial" w:hAnsi="Arial"/>
                <w:sz w:val="14"/>
                <w:szCs w:val="14"/>
                <w:b w:val="1"/>
                <w:bCs w:val="1"/>
                <w:color w:val="auto"/>
              </w:rPr>
              <w:t>For the nine months ended</w:t>
            </w:r>
          </w:p>
        </w:tc>
      </w:tr>
      <w:tr>
        <w:trPr>
          <w:trHeight w:val="24"/>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4"/>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3"/>
              </w:rPr>
              <w:t>September 30, 2022</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1"/>
              </w:rPr>
              <w:t>September 30, 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1"/>
              </w:rPr>
              <w:t>September 30, 2022</w:t>
            </w: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w w:val="97"/>
              </w:rPr>
              <w:t>September 30, 2021</w:t>
            </w:r>
          </w:p>
        </w:tc>
      </w:tr>
      <w:tr>
        <w:trPr>
          <w:trHeight w:val="189"/>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4"/>
          </w:tcPr>
          <w:p>
            <w:pPr>
              <w:jc w:val="right"/>
              <w:ind w:right="1021"/>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113,546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111,931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348,037</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354,388</w:t>
            </w: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160" w:type="dxa"/>
            <w:vAlign w:val="bottom"/>
          </w:tcPr>
          <w:p>
            <w:pPr>
              <w:spacing w:after="0"/>
              <w:rPr>
                <w:sz w:val="19"/>
                <w:szCs w:val="19"/>
                <w:color w:val="auto"/>
              </w:rPr>
            </w:pPr>
          </w:p>
        </w:tc>
        <w:tc>
          <w:tcPr>
            <w:tcW w:w="1480" w:type="dxa"/>
            <w:vAlign w:val="bottom"/>
          </w:tcPr>
          <w:p>
            <w:pPr>
              <w:jc w:val="right"/>
              <w:ind w:right="21"/>
              <w:spacing w:after="0"/>
              <w:rPr>
                <w:sz w:val="20"/>
                <w:szCs w:val="20"/>
                <w:color w:val="auto"/>
              </w:rPr>
            </w:pPr>
            <w:r>
              <w:rPr>
                <w:rFonts w:ascii="Arial" w:cs="Arial" w:eastAsia="Arial" w:hAnsi="Arial"/>
                <w:sz w:val="18"/>
                <w:szCs w:val="18"/>
                <w:color w:val="auto"/>
              </w:rPr>
              <w:t>118,317</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113,594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21"/>
              <w:spacing w:after="0"/>
              <w:rPr>
                <w:sz w:val="20"/>
                <w:szCs w:val="20"/>
                <w:color w:val="auto"/>
              </w:rPr>
            </w:pPr>
            <w:r>
              <w:rPr>
                <w:rFonts w:ascii="Arial" w:cs="Arial" w:eastAsia="Arial" w:hAnsi="Arial"/>
                <w:sz w:val="18"/>
                <w:szCs w:val="18"/>
                <w:color w:val="auto"/>
              </w:rPr>
              <w:t>355,682</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330,361</w:t>
            </w:r>
          </w:p>
        </w:tc>
      </w:tr>
    </w:tbl>
    <w:p>
      <w:pPr>
        <w:spacing w:after="0" w:line="226"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Net premiums written increased 1% during the three months ended September 30, 2022 compared to the three months ended September 30, 2021 and decreased 2% during the nine months ended September 30, 2022 compared to the nine months ended September 30, 2021. The year-on-year development in net premiums written reflects growth in our monthly IIF and monthly pay policy premium receipts during the three and nine months ended September 30, 2022, balanced by a decrease in single premium policy production during the periods.</w:t>
      </w:r>
    </w:p>
    <w:p>
      <w:pPr>
        <w:spacing w:after="0" w:line="107"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Net premiums earned during the three and nine months ended September 30, 2022 increased 4% and 8%, respectively, compared to the three and nine months ended September 30, 2021. The increases in the net premiums earned were primarily due to the growth of our IIF, partially offset by a decrease in the contribution from single premium policy cancellations and an increase in total premiums ceded under our reinsurance transactions.</w:t>
      </w:r>
    </w:p>
    <w:p>
      <w:pPr>
        <w:spacing w:after="0" w:line="101"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Pool premiums written and earned for the three and nine months ended September 30, 2022 and 2021, were $0.3 million and $0.9 million, and $0.4 million and $1.3 million, respectively, before giving effect to the 2016 QSR Transaction, under which all of our written and earned pool premiums are ceded. A portion of our ceded pool premiums written and earned are recouped through profit commission.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Portfolio Statistics</w:t>
      </w:r>
    </w:p>
    <w:p>
      <w:pPr>
        <w:spacing w:after="0" w:line="162" w:lineRule="exact"/>
        <w:rPr>
          <w:sz w:val="20"/>
          <w:szCs w:val="20"/>
          <w:color w:val="auto"/>
        </w:rPr>
      </w:pPr>
    </w:p>
    <w:p>
      <w:pPr>
        <w:ind w:firstLine="633"/>
        <w:spacing w:after="0" w:line="262" w:lineRule="auto"/>
        <w:rPr>
          <w:sz w:val="20"/>
          <w:szCs w:val="20"/>
          <w:color w:val="auto"/>
        </w:rPr>
      </w:pPr>
      <w:r>
        <w:rPr>
          <w:rFonts w:ascii="Arial" w:cs="Arial" w:eastAsia="Arial" w:hAnsi="Arial"/>
          <w:sz w:val="18"/>
          <w:szCs w:val="18"/>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Primary portfolio trends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80" w:type="dxa"/>
            <w:vAlign w:val="bottom"/>
            <w:gridSpan w:val="4"/>
          </w:tcPr>
          <w:p>
            <w:pPr>
              <w:jc w:val="center"/>
              <w:ind w:left="595"/>
              <w:spacing w:after="0"/>
              <w:rPr>
                <w:sz w:val="20"/>
                <w:szCs w:val="20"/>
                <w:color w:val="auto"/>
              </w:rPr>
            </w:pPr>
            <w:r>
              <w:rPr>
                <w:rFonts w:ascii="Arial" w:cs="Arial" w:eastAsia="Arial" w:hAnsi="Arial"/>
                <w:sz w:val="14"/>
                <w:szCs w:val="14"/>
                <w:b w:val="1"/>
                <w:bCs w:val="1"/>
                <w:color w:val="auto"/>
                <w:w w:val="89"/>
              </w:rPr>
              <w:t>As of and for the three months ended</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8"/>
        </w:trPr>
        <w:tc>
          <w:tcPr>
            <w:tcW w:w="4520" w:type="dxa"/>
            <w:vAlign w:val="bottom"/>
          </w:tcPr>
          <w:p>
            <w:pPr>
              <w:spacing w:after="0"/>
              <w:rPr>
                <w:sz w:val="17"/>
                <w:szCs w:val="17"/>
                <w:color w:val="auto"/>
              </w:rPr>
            </w:pPr>
          </w:p>
        </w:tc>
        <w:tc>
          <w:tcPr>
            <w:tcW w:w="13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1"/>
              </w:rPr>
              <w:t>September 30, 2022</w:t>
            </w:r>
          </w:p>
        </w:tc>
        <w:tc>
          <w:tcPr>
            <w:tcW w:w="220" w:type="dxa"/>
            <w:vAlign w:val="bottom"/>
          </w:tcPr>
          <w:p>
            <w:pPr>
              <w:spacing w:after="0"/>
              <w:rPr>
                <w:sz w:val="17"/>
                <w:szCs w:val="17"/>
                <w:color w:val="auto"/>
              </w:rPr>
            </w:pPr>
          </w:p>
        </w:tc>
        <w:tc>
          <w:tcPr>
            <w:tcW w:w="1140" w:type="dxa"/>
            <w:vAlign w:val="bottom"/>
          </w:tcPr>
          <w:p>
            <w:pPr>
              <w:jc w:val="right"/>
              <w:ind w:right="195"/>
              <w:spacing w:after="0"/>
              <w:rPr>
                <w:sz w:val="20"/>
                <w:szCs w:val="20"/>
                <w:color w:val="auto"/>
              </w:rPr>
            </w:pPr>
            <w:r>
              <w:rPr>
                <w:rFonts w:ascii="Arial" w:cs="Arial" w:eastAsia="Arial" w:hAnsi="Arial"/>
                <w:sz w:val="14"/>
                <w:szCs w:val="14"/>
                <w:b w:val="1"/>
                <w:bCs w:val="1"/>
                <w:color w:val="auto"/>
                <w:w w:val="92"/>
              </w:rPr>
              <w:t>June 30, 2022</w:t>
            </w:r>
          </w:p>
        </w:tc>
        <w:tc>
          <w:tcPr>
            <w:tcW w:w="180" w:type="dxa"/>
            <w:vAlign w:val="bottom"/>
          </w:tcPr>
          <w:p>
            <w:pPr>
              <w:spacing w:after="0"/>
              <w:rPr>
                <w:sz w:val="17"/>
                <w:szCs w:val="17"/>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2"/>
              </w:rPr>
              <w:t>March 31, 2022</w:t>
            </w:r>
          </w:p>
        </w:tc>
        <w:tc>
          <w:tcPr>
            <w:tcW w:w="13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6"/>
              </w:rPr>
              <w:t>December 31, 2021</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2021</w:t>
            </w:r>
          </w:p>
        </w:tc>
      </w:tr>
      <w:tr>
        <w:trPr>
          <w:trHeight w:val="24"/>
        </w:trPr>
        <w:tc>
          <w:tcPr>
            <w:tcW w:w="4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2"/>
        </w:trPr>
        <w:tc>
          <w:tcPr>
            <w:tcW w:w="4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60" w:type="dxa"/>
            <w:vAlign w:val="bottom"/>
            <w:gridSpan w:val="5"/>
          </w:tcPr>
          <w:p>
            <w:pPr>
              <w:jc w:val="center"/>
              <w:ind w:right="112"/>
              <w:spacing w:after="0"/>
              <w:rPr>
                <w:sz w:val="20"/>
                <w:szCs w:val="20"/>
                <w:color w:val="auto"/>
              </w:rPr>
            </w:pPr>
            <w:r>
              <w:rPr>
                <w:rFonts w:ascii="Arial" w:cs="Arial" w:eastAsia="Arial" w:hAnsi="Arial"/>
                <w:sz w:val="14"/>
                <w:szCs w:val="14"/>
                <w:i w:val="1"/>
                <w:iCs w:val="1"/>
                <w:color w:val="auto"/>
                <w:w w:val="91"/>
              </w:rPr>
              <w:t>($ Values In Millions, except as noted below)</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3"/>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insurance written</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17,239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16,611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14,165</w:t>
            </w:r>
          </w:p>
        </w:tc>
        <w:tc>
          <w:tcPr>
            <w:tcW w:w="4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18,342</w:t>
            </w:r>
          </w:p>
        </w:tc>
        <w:tc>
          <w:tcPr>
            <w:tcW w:w="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18,084</w:t>
            </w:r>
          </w:p>
        </w:tc>
      </w:tr>
      <w:tr>
        <w:trPr>
          <w:trHeight w:val="224"/>
        </w:trPr>
        <w:tc>
          <w:tcPr>
            <w:tcW w:w="4520" w:type="dxa"/>
            <w:vAlign w:val="bottom"/>
          </w:tcPr>
          <w:p>
            <w:pPr>
              <w:ind w:left="660"/>
              <w:spacing w:after="0"/>
              <w:rPr>
                <w:sz w:val="20"/>
                <w:szCs w:val="20"/>
                <w:color w:val="auto"/>
              </w:rPr>
            </w:pPr>
            <w:r>
              <w:rPr>
                <w:rFonts w:ascii="Arial" w:cs="Arial" w:eastAsia="Arial" w:hAnsi="Arial"/>
                <w:sz w:val="18"/>
                <w:szCs w:val="18"/>
                <w:color w:val="auto"/>
              </w:rPr>
              <w:t>Percentage of monthly premium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97 %</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92 %</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93 %</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93 %</w:t>
            </w:r>
          </w:p>
        </w:tc>
      </w:tr>
      <w:tr>
        <w:trPr>
          <w:trHeight w:val="225"/>
        </w:trPr>
        <w:tc>
          <w:tcPr>
            <w:tcW w:w="4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Percentage of single premium</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4"/>
        </w:trPr>
        <w:tc>
          <w:tcPr>
            <w:tcW w:w="4520" w:type="dxa"/>
            <w:vAlign w:val="bottom"/>
          </w:tcPr>
          <w:p>
            <w:pPr>
              <w:ind w:left="220"/>
              <w:spacing w:after="0"/>
              <w:rPr>
                <w:sz w:val="20"/>
                <w:szCs w:val="20"/>
                <w:color w:val="auto"/>
              </w:rPr>
            </w:pPr>
            <w:r>
              <w:rPr>
                <w:rFonts w:ascii="Arial" w:cs="Arial" w:eastAsia="Arial" w:hAnsi="Arial"/>
                <w:sz w:val="18"/>
                <w:szCs w:val="18"/>
                <w:color w:val="auto"/>
              </w:rPr>
              <w:t>New risk written</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4,616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5"/>
              <w:spacing w:after="0"/>
              <w:rPr>
                <w:sz w:val="20"/>
                <w:szCs w:val="20"/>
                <w:color w:val="auto"/>
              </w:rPr>
            </w:pPr>
            <w:r>
              <w:rPr>
                <w:rFonts w:ascii="Arial" w:cs="Arial" w:eastAsia="Arial" w:hAnsi="Arial"/>
                <w:sz w:val="18"/>
                <w:szCs w:val="18"/>
                <w:color w:val="auto"/>
              </w:rPr>
              <w:t>4,386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3,721</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4,786</w:t>
            </w:r>
          </w:p>
        </w:tc>
        <w:tc>
          <w:tcPr>
            <w:tcW w:w="3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4,640</w:t>
            </w:r>
          </w:p>
        </w:tc>
      </w:tr>
      <w:tr>
        <w:trPr>
          <w:trHeight w:val="225"/>
        </w:trPr>
        <w:tc>
          <w:tcPr>
            <w:tcW w:w="4520" w:type="dxa"/>
            <w:vAlign w:val="bottom"/>
            <w:shd w:val="clear" w:color="auto" w:fill="CCEEFF"/>
          </w:tcPr>
          <w:p>
            <w:pPr>
              <w:ind w:left="220"/>
              <w:spacing w:after="0" w:line="225" w:lineRule="exact"/>
              <w:rPr>
                <w:sz w:val="20"/>
                <w:szCs w:val="20"/>
                <w:color w:val="auto"/>
              </w:rPr>
            </w:pPr>
            <w:r>
              <w:rPr>
                <w:rFonts w:ascii="Arial" w:cs="Arial" w:eastAsia="Arial" w:hAnsi="Arial"/>
                <w:sz w:val="18"/>
                <w:szCs w:val="18"/>
                <w:color w:val="auto"/>
              </w:rPr>
              <w:t xml:space="preserve">Insurance-in-force </w:t>
            </w:r>
            <w:r>
              <w:rPr>
                <w:rFonts w:ascii="Arial" w:cs="Arial" w:eastAsia="Arial" w:hAnsi="Arial"/>
                <w:sz w:val="22"/>
                <w:szCs w:val="22"/>
                <w:color w:val="auto"/>
                <w:vertAlign w:val="superscript"/>
              </w:rPr>
              <w:t>(1)</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179,173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168,639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158,877</w:t>
            </w:r>
          </w:p>
        </w:tc>
        <w:tc>
          <w:tcPr>
            <w:tcW w:w="4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2"/>
              </w:rPr>
              <w:t>152,343</w:t>
            </w:r>
          </w:p>
        </w:tc>
        <w:tc>
          <w:tcPr>
            <w:tcW w:w="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143,618</w:t>
            </w:r>
          </w:p>
        </w:tc>
      </w:tr>
      <w:tr>
        <w:trPr>
          <w:trHeight w:val="224"/>
        </w:trPr>
        <w:tc>
          <w:tcPr>
            <w:tcW w:w="4520" w:type="dxa"/>
            <w:vAlign w:val="bottom"/>
          </w:tcPr>
          <w:p>
            <w:pPr>
              <w:ind w:left="660"/>
              <w:spacing w:after="0"/>
              <w:rPr>
                <w:sz w:val="20"/>
                <w:szCs w:val="20"/>
                <w:color w:val="auto"/>
              </w:rPr>
            </w:pPr>
            <w:r>
              <w:rPr>
                <w:rFonts w:ascii="Arial" w:cs="Arial" w:eastAsia="Arial" w:hAnsi="Arial"/>
                <w:sz w:val="18"/>
                <w:szCs w:val="18"/>
                <w:color w:val="auto"/>
              </w:rPr>
              <w:t>Percentage of monthly premium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89 %</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88 %</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87 %</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25"/>
        </w:trPr>
        <w:tc>
          <w:tcPr>
            <w:tcW w:w="4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Percentage of single premium</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4"/>
        </w:trPr>
        <w:tc>
          <w:tcPr>
            <w:tcW w:w="4520" w:type="dxa"/>
            <w:vAlign w:val="bottom"/>
          </w:tcPr>
          <w:p>
            <w:pPr>
              <w:ind w:left="220"/>
              <w:spacing w:after="0" w:line="224" w:lineRule="exact"/>
              <w:rPr>
                <w:sz w:val="20"/>
                <w:szCs w:val="20"/>
                <w:color w:val="auto"/>
              </w:rPr>
            </w:pPr>
            <w:r>
              <w:rPr>
                <w:rFonts w:ascii="Arial" w:cs="Arial" w:eastAsia="Arial" w:hAnsi="Arial"/>
                <w:sz w:val="18"/>
                <w:szCs w:val="18"/>
                <w:color w:val="auto"/>
              </w:rPr>
              <w:t xml:space="preserve">Risk-in-force </w:t>
            </w:r>
            <w:r>
              <w:rPr>
                <w:rFonts w:ascii="Arial" w:cs="Arial" w:eastAsia="Arial" w:hAnsi="Arial"/>
                <w:sz w:val="22"/>
                <w:szCs w:val="22"/>
                <w:color w:val="auto"/>
                <w:vertAlign w:val="superscript"/>
              </w:rPr>
              <w:t>(1)</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46,259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5"/>
              <w:spacing w:after="0"/>
              <w:rPr>
                <w:sz w:val="20"/>
                <w:szCs w:val="20"/>
                <w:color w:val="auto"/>
              </w:rPr>
            </w:pPr>
            <w:r>
              <w:rPr>
                <w:rFonts w:ascii="Arial" w:cs="Arial" w:eastAsia="Arial" w:hAnsi="Arial"/>
                <w:sz w:val="18"/>
                <w:szCs w:val="18"/>
                <w:color w:val="auto"/>
              </w:rPr>
              <w:t>43,260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40,522</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38,661</w:t>
            </w:r>
          </w:p>
        </w:tc>
        <w:tc>
          <w:tcPr>
            <w:tcW w:w="3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36,253</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 xml:space="preserve">Policies in force (count) </w:t>
            </w:r>
            <w:r>
              <w:rPr>
                <w:rFonts w:ascii="Arial" w:cs="Arial" w:eastAsia="Arial" w:hAnsi="Arial"/>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580,525</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551,543</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526,976</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2"/>
              </w:rPr>
              <w:t>512,316</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490,714</w:t>
            </w:r>
          </w:p>
        </w:tc>
      </w:tr>
      <w:tr>
        <w:trPr>
          <w:trHeight w:val="237"/>
        </w:trPr>
        <w:tc>
          <w:tcPr>
            <w:tcW w:w="4520" w:type="dxa"/>
            <w:vAlign w:val="bottom"/>
          </w:tcPr>
          <w:p>
            <w:pPr>
              <w:ind w:left="220"/>
              <w:spacing w:after="0" w:line="238" w:lineRule="exact"/>
              <w:rPr>
                <w:sz w:val="20"/>
                <w:szCs w:val="20"/>
                <w:color w:val="auto"/>
              </w:rPr>
            </w:pPr>
            <w:r>
              <w:rPr>
                <w:rFonts w:ascii="Arial" w:cs="Arial" w:eastAsia="Arial" w:hAnsi="Arial"/>
                <w:sz w:val="18"/>
                <w:szCs w:val="18"/>
                <w:color w:val="auto"/>
              </w:rPr>
              <w:t xml:space="preserve">Average loan size </w:t>
            </w:r>
            <w:r>
              <w:rPr>
                <w:rFonts w:ascii="Arial" w:cs="Arial" w:eastAsia="Arial" w:hAnsi="Arial"/>
                <w:sz w:val="14"/>
                <w:szCs w:val="14"/>
                <w:i w:val="1"/>
                <w:iCs w:val="1"/>
                <w:color w:val="auto"/>
              </w:rPr>
              <w:t>($ value in thousands)</w:t>
            </w:r>
            <w:r>
              <w:rPr>
                <w:rFonts w:ascii="Arial" w:cs="Arial" w:eastAsia="Arial" w:hAnsi="Arial"/>
                <w:sz w:val="18"/>
                <w:szCs w:val="18"/>
                <w:color w:val="auto"/>
              </w:rPr>
              <w:t xml:space="preserve"> </w:t>
            </w:r>
            <w:r>
              <w:rPr>
                <w:rFonts w:ascii="Arial" w:cs="Arial" w:eastAsia="Arial" w:hAnsi="Arial"/>
                <w:sz w:val="22"/>
                <w:szCs w:val="22"/>
                <w:color w:val="auto"/>
                <w:vertAlign w:val="superscript"/>
              </w:rPr>
              <w:t>(1)</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309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5"/>
              <w:spacing w:after="0"/>
              <w:rPr>
                <w:sz w:val="20"/>
                <w:szCs w:val="20"/>
                <w:color w:val="auto"/>
              </w:rPr>
            </w:pPr>
            <w:r>
              <w:rPr>
                <w:rFonts w:ascii="Arial" w:cs="Arial" w:eastAsia="Arial" w:hAnsi="Arial"/>
                <w:sz w:val="18"/>
                <w:szCs w:val="18"/>
                <w:color w:val="auto"/>
              </w:rPr>
              <w:t>306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301</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297</w:t>
            </w:r>
          </w:p>
        </w:tc>
        <w:tc>
          <w:tcPr>
            <w:tcW w:w="3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293</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 xml:space="preserve">Coverage percentage </w:t>
            </w:r>
            <w:r>
              <w:rPr>
                <w:rFonts w:ascii="Arial" w:cs="Arial" w:eastAsia="Arial" w:hAnsi="Arial"/>
                <w:sz w:val="22"/>
                <w:szCs w:val="22"/>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25.2 %</w:t>
            </w:r>
          </w:p>
        </w:tc>
      </w:tr>
      <w:tr>
        <w:trPr>
          <w:trHeight w:val="224"/>
        </w:trPr>
        <w:tc>
          <w:tcPr>
            <w:tcW w:w="4520" w:type="dxa"/>
            <w:vAlign w:val="bottom"/>
          </w:tcPr>
          <w:p>
            <w:pPr>
              <w:ind w:left="220"/>
              <w:spacing w:after="0" w:line="224" w:lineRule="exact"/>
              <w:rPr>
                <w:sz w:val="20"/>
                <w:szCs w:val="20"/>
                <w:color w:val="auto"/>
              </w:rPr>
            </w:pPr>
            <w:r>
              <w:rPr>
                <w:rFonts w:ascii="Arial" w:cs="Arial" w:eastAsia="Arial" w:hAnsi="Arial"/>
                <w:sz w:val="18"/>
                <w:szCs w:val="18"/>
                <w:color w:val="auto"/>
              </w:rPr>
              <w:t xml:space="preserve">Loans in default (count) </w:t>
            </w:r>
            <w:r>
              <w:rPr>
                <w:rFonts w:ascii="Arial" w:cs="Arial" w:eastAsia="Arial" w:hAnsi="Arial"/>
                <w:sz w:val="22"/>
                <w:szCs w:val="22"/>
                <w:color w:val="auto"/>
                <w:vertAlign w:val="superscript"/>
              </w:rPr>
              <w:t>(1)</w:t>
            </w:r>
          </w:p>
        </w:tc>
        <w:tc>
          <w:tcPr>
            <w:tcW w:w="300" w:type="dxa"/>
            <w:vAlign w:val="bottom"/>
          </w:tcPr>
          <w:p>
            <w:pPr>
              <w:spacing w:after="0"/>
              <w:rPr>
                <w:sz w:val="19"/>
                <w:szCs w:val="19"/>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4,096</w:t>
            </w:r>
          </w:p>
        </w:tc>
        <w:tc>
          <w:tcPr>
            <w:tcW w:w="220" w:type="dxa"/>
            <w:vAlign w:val="bottom"/>
          </w:tcPr>
          <w:p>
            <w:pPr>
              <w:spacing w:after="0"/>
              <w:rPr>
                <w:sz w:val="19"/>
                <w:szCs w:val="19"/>
                <w:color w:val="auto"/>
              </w:rPr>
            </w:pPr>
          </w:p>
        </w:tc>
        <w:tc>
          <w:tcPr>
            <w:tcW w:w="1140" w:type="dxa"/>
            <w:vAlign w:val="bottom"/>
          </w:tcPr>
          <w:p>
            <w:pPr>
              <w:jc w:val="right"/>
              <w:ind w:right="175"/>
              <w:spacing w:after="0"/>
              <w:rPr>
                <w:sz w:val="20"/>
                <w:szCs w:val="20"/>
                <w:color w:val="auto"/>
              </w:rPr>
            </w:pPr>
            <w:r>
              <w:rPr>
                <w:rFonts w:ascii="Arial" w:cs="Arial" w:eastAsia="Arial" w:hAnsi="Arial"/>
                <w:sz w:val="18"/>
                <w:szCs w:val="18"/>
                <w:color w:val="auto"/>
              </w:rPr>
              <w:t>4,271</w:t>
            </w:r>
          </w:p>
        </w:tc>
        <w:tc>
          <w:tcPr>
            <w:tcW w:w="18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5,238</w:t>
            </w:r>
          </w:p>
        </w:tc>
        <w:tc>
          <w:tcPr>
            <w:tcW w:w="480" w:type="dxa"/>
            <w:vAlign w:val="bottom"/>
          </w:tcPr>
          <w:p>
            <w:pPr>
              <w:spacing w:after="0"/>
              <w:rPr>
                <w:sz w:val="19"/>
                <w:szCs w:val="19"/>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6,227</w:t>
            </w:r>
          </w:p>
        </w:tc>
        <w:tc>
          <w:tcPr>
            <w:tcW w:w="34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7,670</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 xml:space="preserve">Default rate </w:t>
            </w:r>
            <w:r>
              <w:rPr>
                <w:rFonts w:ascii="Arial" w:cs="Arial" w:eastAsia="Arial" w:hAnsi="Arial"/>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1.56 %</w:t>
            </w:r>
          </w:p>
        </w:tc>
      </w:tr>
      <w:tr>
        <w:trPr>
          <w:trHeight w:val="224"/>
        </w:trPr>
        <w:tc>
          <w:tcPr>
            <w:tcW w:w="4520" w:type="dxa"/>
            <w:vAlign w:val="bottom"/>
          </w:tcPr>
          <w:p>
            <w:pPr>
              <w:ind w:left="220"/>
              <w:spacing w:after="0" w:line="224" w:lineRule="exact"/>
              <w:rPr>
                <w:sz w:val="20"/>
                <w:szCs w:val="20"/>
                <w:color w:val="auto"/>
              </w:rPr>
            </w:pPr>
            <w:r>
              <w:rPr>
                <w:rFonts w:ascii="Arial" w:cs="Arial" w:eastAsia="Arial" w:hAnsi="Arial"/>
                <w:sz w:val="18"/>
                <w:szCs w:val="18"/>
                <w:color w:val="auto"/>
              </w:rPr>
              <w:t xml:space="preserve">Risk-in-force on defaulted loans </w:t>
            </w:r>
            <w:r>
              <w:rPr>
                <w:rFonts w:ascii="Arial" w:cs="Arial" w:eastAsia="Arial" w:hAnsi="Arial"/>
                <w:sz w:val="22"/>
                <w:szCs w:val="22"/>
                <w:color w:val="auto"/>
                <w:vertAlign w:val="superscript"/>
              </w:rPr>
              <w:t>(1)</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284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5"/>
              <w:spacing w:after="0"/>
              <w:rPr>
                <w:sz w:val="20"/>
                <w:szCs w:val="20"/>
                <w:color w:val="auto"/>
              </w:rPr>
            </w:pPr>
            <w:r>
              <w:rPr>
                <w:rFonts w:ascii="Arial" w:cs="Arial" w:eastAsia="Arial" w:hAnsi="Arial"/>
                <w:sz w:val="18"/>
                <w:szCs w:val="18"/>
                <w:color w:val="auto"/>
              </w:rPr>
              <w:t>295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362</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435</w:t>
            </w:r>
          </w:p>
        </w:tc>
        <w:tc>
          <w:tcPr>
            <w:tcW w:w="3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546</w:t>
            </w:r>
          </w:p>
        </w:tc>
      </w:tr>
      <w:tr>
        <w:trPr>
          <w:trHeight w:val="224"/>
        </w:trPr>
        <w:tc>
          <w:tcPr>
            <w:tcW w:w="4520" w:type="dxa"/>
            <w:vAlign w:val="bottom"/>
            <w:shd w:val="clear" w:color="auto" w:fill="CCEEFF"/>
          </w:tcPr>
          <w:p>
            <w:pPr>
              <w:ind w:left="220"/>
              <w:spacing w:after="0" w:line="224" w:lineRule="exact"/>
              <w:rPr>
                <w:sz w:val="20"/>
                <w:szCs w:val="20"/>
                <w:color w:val="auto"/>
              </w:rPr>
            </w:pPr>
            <w:r>
              <w:rPr>
                <w:rFonts w:ascii="Arial" w:cs="Arial" w:eastAsia="Arial" w:hAnsi="Arial"/>
                <w:sz w:val="18"/>
                <w:szCs w:val="18"/>
                <w:color w:val="auto"/>
              </w:rPr>
              <w:t xml:space="preserve">Net premium yield </w:t>
            </w:r>
            <w:r>
              <w:rPr>
                <w:rFonts w:ascii="Arial" w:cs="Arial" w:eastAsia="Arial" w:hAnsi="Arial"/>
                <w:sz w:val="22"/>
                <w:szCs w:val="22"/>
                <w:color w:val="auto"/>
                <w:vertAlign w:val="superscript"/>
              </w:rPr>
              <w:t>(3)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0.31 %</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0.32 %</w:t>
            </w:r>
          </w:p>
        </w:tc>
      </w:tr>
      <w:tr>
        <w:trPr>
          <w:trHeight w:val="224"/>
        </w:trPr>
        <w:tc>
          <w:tcPr>
            <w:tcW w:w="4520" w:type="dxa"/>
            <w:vAlign w:val="bottom"/>
          </w:tcPr>
          <w:p>
            <w:pPr>
              <w:ind w:left="220"/>
              <w:spacing w:after="0"/>
              <w:rPr>
                <w:sz w:val="20"/>
                <w:szCs w:val="20"/>
                <w:color w:val="auto"/>
              </w:rPr>
            </w:pPr>
            <w:r>
              <w:rPr>
                <w:rFonts w:ascii="Arial" w:cs="Arial" w:eastAsia="Arial" w:hAnsi="Arial"/>
                <w:sz w:val="18"/>
                <w:szCs w:val="18"/>
                <w:color w:val="auto"/>
              </w:rPr>
              <w:t>Earnings from cancellations</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5"/>
              <w:spacing w:after="0"/>
              <w:rPr>
                <w:sz w:val="20"/>
                <w:szCs w:val="20"/>
                <w:color w:val="auto"/>
              </w:rPr>
            </w:pPr>
            <w:r>
              <w:rPr>
                <w:rFonts w:ascii="Arial" w:cs="Arial" w:eastAsia="Arial" w:hAnsi="Arial"/>
                <w:sz w:val="18"/>
                <w:szCs w:val="18"/>
                <w:color w:val="auto"/>
              </w:rPr>
              <w:t>2.2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2.9</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5.1</w:t>
            </w:r>
          </w:p>
        </w:tc>
        <w:tc>
          <w:tcPr>
            <w:tcW w:w="3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7.7</w:t>
            </w:r>
          </w:p>
        </w:tc>
      </w:tr>
      <w:tr>
        <w:trPr>
          <w:trHeight w:val="225"/>
        </w:trPr>
        <w:tc>
          <w:tcPr>
            <w:tcW w:w="4520" w:type="dxa"/>
            <w:vAlign w:val="bottom"/>
            <w:shd w:val="clear" w:color="auto" w:fill="CCEEFF"/>
          </w:tcPr>
          <w:p>
            <w:pPr>
              <w:ind w:left="220"/>
              <w:spacing w:after="0" w:line="225" w:lineRule="exact"/>
              <w:rPr>
                <w:sz w:val="20"/>
                <w:szCs w:val="20"/>
                <w:color w:val="auto"/>
              </w:rPr>
            </w:pPr>
            <w:r>
              <w:rPr>
                <w:rFonts w:ascii="Arial" w:cs="Arial" w:eastAsia="Arial" w:hAnsi="Arial"/>
                <w:sz w:val="18"/>
                <w:szCs w:val="18"/>
                <w:color w:val="auto"/>
              </w:rPr>
              <w:t xml:space="preserve">Annual persistency </w:t>
            </w:r>
            <w:r>
              <w:rPr>
                <w:rFonts w:ascii="Arial" w:cs="Arial" w:eastAsia="Arial" w:hAnsi="Arial"/>
                <w:sz w:val="22"/>
                <w:szCs w:val="22"/>
                <w:color w:val="auto"/>
                <w:vertAlign w:val="superscript"/>
              </w:rPr>
              <w:t>(4)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80.1 %</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71.5 %</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63.8 %</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58.1 %</w:t>
            </w:r>
          </w:p>
        </w:tc>
      </w:tr>
      <w:tr>
        <w:trPr>
          <w:trHeight w:val="305"/>
        </w:trPr>
        <w:tc>
          <w:tcPr>
            <w:tcW w:w="4520" w:type="dxa"/>
            <w:vAlign w:val="bottom"/>
          </w:tcPr>
          <w:p>
            <w:pPr>
              <w:ind w:left="220"/>
              <w:spacing w:after="0"/>
              <w:rPr>
                <w:sz w:val="20"/>
                <w:szCs w:val="20"/>
                <w:color w:val="auto"/>
              </w:rPr>
            </w:pPr>
            <w:r>
              <w:rPr>
                <w:rFonts w:ascii="Arial" w:cs="Arial" w:eastAsia="Arial" w:hAnsi="Arial"/>
                <w:sz w:val="18"/>
                <w:szCs w:val="18"/>
                <w:color w:val="auto"/>
              </w:rPr>
              <w:t xml:space="preserve">Quarterly run-off </w:t>
            </w:r>
            <w:r>
              <w:rPr>
                <w:rFonts w:ascii="Arial" w:cs="Arial" w:eastAsia="Arial" w:hAnsi="Arial"/>
                <w:sz w:val="22"/>
                <w:szCs w:val="22"/>
                <w:color w:val="auto"/>
                <w:vertAlign w:val="superscript"/>
              </w:rPr>
              <w:t>(5)</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4.0 %</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4.3 %</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5.0 %</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6.7 %</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8.1 %</w:t>
            </w:r>
          </w:p>
        </w:tc>
      </w:tr>
    </w:tbl>
    <w:p>
      <w:pPr>
        <w:spacing w:after="0" w:line="123" w:lineRule="exact"/>
        <w:rPr>
          <w:sz w:val="20"/>
          <w:szCs w:val="20"/>
          <w:color w:val="auto"/>
        </w:rPr>
      </w:pPr>
    </w:p>
    <w:p>
      <w:pPr>
        <w:ind w:left="200" w:hanging="194"/>
        <w:spacing w:after="0"/>
        <w:tabs>
          <w:tab w:leader="none" w:pos="20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Reported as of the end of the period.</w:t>
      </w:r>
    </w:p>
    <w:p>
      <w:pPr>
        <w:spacing w:after="0" w:line="4" w:lineRule="exact"/>
        <w:rPr>
          <w:rFonts w:ascii="Arial" w:cs="Arial" w:eastAsia="Arial" w:hAnsi="Arial"/>
          <w:sz w:val="18"/>
          <w:szCs w:val="18"/>
          <w:color w:val="auto"/>
          <w:vertAlign w:val="superscript"/>
        </w:rPr>
      </w:pPr>
    </w:p>
    <w:p>
      <w:pPr>
        <w:ind w:left="200" w:hanging="194"/>
        <w:spacing w:after="0" w:line="183" w:lineRule="auto"/>
        <w:tabs>
          <w:tab w:leader="none" w:pos="20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Calculated as end of period RIF divided by end of period IIF.</w:t>
      </w:r>
    </w:p>
    <w:p>
      <w:pPr>
        <w:ind w:left="200" w:hanging="194"/>
        <w:spacing w:after="0"/>
        <w:tabs>
          <w:tab w:leader="none" w:pos="200" w:val="left"/>
        </w:tabs>
        <w:numPr>
          <w:ilvl w:val="0"/>
          <w:numId w:val="17"/>
        </w:numPr>
        <w:rPr>
          <w:rFonts w:ascii="Arial" w:cs="Arial" w:eastAsia="Arial" w:hAnsi="Arial"/>
          <w:sz w:val="9"/>
          <w:szCs w:val="9"/>
          <w:color w:val="auto"/>
        </w:rPr>
      </w:pPr>
      <w:r>
        <w:rPr>
          <w:rFonts w:ascii="Arial" w:cs="Arial" w:eastAsia="Arial" w:hAnsi="Arial"/>
          <w:sz w:val="14"/>
          <w:szCs w:val="14"/>
          <w:color w:val="auto"/>
        </w:rPr>
        <w:t>Calculated as net premiums earned divided by average primary IIF for the period, annualized.</w:t>
      </w:r>
    </w:p>
    <w:p>
      <w:pPr>
        <w:spacing w:after="0" w:line="6" w:lineRule="exact"/>
        <w:rPr>
          <w:rFonts w:ascii="Arial" w:cs="Arial" w:eastAsia="Arial" w:hAnsi="Arial"/>
          <w:sz w:val="9"/>
          <w:szCs w:val="9"/>
          <w:color w:val="auto"/>
        </w:rPr>
      </w:pPr>
    </w:p>
    <w:p>
      <w:pPr>
        <w:ind w:left="200" w:hanging="194"/>
        <w:spacing w:after="0"/>
        <w:tabs>
          <w:tab w:leader="none" w:pos="200" w:val="left"/>
        </w:tabs>
        <w:numPr>
          <w:ilvl w:val="0"/>
          <w:numId w:val="17"/>
        </w:numPr>
        <w:rPr>
          <w:rFonts w:ascii="Arial" w:cs="Arial" w:eastAsia="Arial" w:hAnsi="Arial"/>
          <w:sz w:val="9"/>
          <w:szCs w:val="9"/>
          <w:color w:val="auto"/>
        </w:rPr>
      </w:pPr>
      <w:r>
        <w:rPr>
          <w:rFonts w:ascii="Arial" w:cs="Arial" w:eastAsia="Arial" w:hAnsi="Arial"/>
          <w:sz w:val="14"/>
          <w:szCs w:val="14"/>
          <w:color w:val="auto"/>
        </w:rPr>
        <w:t>Defined as the percentage of IIF that remains on our books after a given twelve-month period.</w:t>
      </w:r>
    </w:p>
    <w:p>
      <w:pPr>
        <w:spacing w:after="0" w:line="10" w:lineRule="exact"/>
        <w:rPr>
          <w:rFonts w:ascii="Arial" w:cs="Arial" w:eastAsia="Arial" w:hAnsi="Arial"/>
          <w:sz w:val="9"/>
          <w:szCs w:val="9"/>
          <w:color w:val="auto"/>
        </w:rPr>
      </w:pPr>
    </w:p>
    <w:p>
      <w:pPr>
        <w:ind w:left="200" w:hanging="194"/>
        <w:spacing w:after="0" w:line="198" w:lineRule="auto"/>
        <w:tabs>
          <w:tab w:leader="none" w:pos="20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Defined as the percentage of IIF that is no longer on our books after a given three-month period.</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a summary of the change in total primary IIF for the dates and periods indicated.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Primary IIF</w:t>
            </w:r>
          </w:p>
        </w:tc>
        <w:tc>
          <w:tcPr>
            <w:tcW w:w="100" w:type="dxa"/>
            <w:vAlign w:val="bottom"/>
          </w:tcPr>
          <w:p>
            <w:pPr>
              <w:spacing w:after="0"/>
              <w:rPr>
                <w:sz w:val="15"/>
                <w:szCs w:val="15"/>
                <w:color w:val="auto"/>
              </w:rPr>
            </w:pPr>
          </w:p>
        </w:tc>
        <w:tc>
          <w:tcPr>
            <w:tcW w:w="2860" w:type="dxa"/>
            <w:vAlign w:val="bottom"/>
            <w:gridSpan w:val="5"/>
          </w:tcPr>
          <w:p>
            <w:pPr>
              <w:ind w:left="220"/>
              <w:spacing w:after="0"/>
              <w:rPr>
                <w:sz w:val="20"/>
                <w:szCs w:val="20"/>
                <w:color w:val="auto"/>
              </w:rPr>
            </w:pPr>
            <w:r>
              <w:rPr>
                <w:rFonts w:ascii="Arial" w:cs="Arial" w:eastAsia="Arial" w:hAnsi="Arial"/>
                <w:sz w:val="14"/>
                <w:szCs w:val="14"/>
                <w:b w:val="1"/>
                <w:bCs w:val="1"/>
                <w:color w:val="auto"/>
              </w:rPr>
              <w:t>As of and for the three months ended</w:t>
            </w:r>
          </w:p>
        </w:tc>
        <w:tc>
          <w:tcPr>
            <w:tcW w:w="120" w:type="dxa"/>
            <w:vAlign w:val="bottom"/>
          </w:tcPr>
          <w:p>
            <w:pPr>
              <w:spacing w:after="0"/>
              <w:rPr>
                <w:sz w:val="15"/>
                <w:szCs w:val="15"/>
                <w:color w:val="auto"/>
              </w:rPr>
            </w:pPr>
          </w:p>
        </w:tc>
        <w:tc>
          <w:tcPr>
            <w:tcW w:w="280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w w:val="99"/>
              </w:rPr>
              <w:t>As of and for the nine months ended</w:t>
            </w:r>
          </w:p>
        </w:tc>
      </w:tr>
      <w:tr>
        <w:trPr>
          <w:trHeight w:val="24"/>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4"/>
        </w:trPr>
        <w:tc>
          <w:tcPr>
            <w:tcW w:w="53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8"/>
              </w:rPr>
              <w:t>September 30, 2021</w:t>
            </w:r>
          </w:p>
        </w:tc>
        <w:tc>
          <w:tcPr>
            <w:tcW w:w="8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8"/>
              </w:rPr>
              <w:t>September 30, 2021</w:t>
            </w:r>
          </w:p>
        </w:tc>
      </w:tr>
      <w:tr>
        <w:trPr>
          <w:trHeight w:val="189"/>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ind w:left="98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IIF,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168,639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136,598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152,343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111,252</w:t>
            </w:r>
          </w:p>
        </w:tc>
      </w:tr>
      <w:tr>
        <w:trPr>
          <w:trHeight w:val="224"/>
        </w:trPr>
        <w:tc>
          <w:tcPr>
            <w:tcW w:w="5360" w:type="dxa"/>
            <w:vAlign w:val="bottom"/>
          </w:tcPr>
          <w:p>
            <w:pPr>
              <w:ind w:left="220"/>
              <w:spacing w:after="0"/>
              <w:rPr>
                <w:sz w:val="20"/>
                <w:szCs w:val="20"/>
                <w:color w:val="auto"/>
              </w:rPr>
            </w:pPr>
            <w:r>
              <w:rPr>
                <w:rFonts w:ascii="Arial" w:cs="Arial" w:eastAsia="Arial" w:hAnsi="Arial"/>
                <w:sz w:val="18"/>
                <w:szCs w:val="18"/>
                <w:color w:val="auto"/>
              </w:rPr>
              <w:t>NIW</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48,015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67,232</w:t>
            </w:r>
          </w:p>
        </w:tc>
      </w:tr>
      <w:tr>
        <w:trPr>
          <w:trHeight w:val="224"/>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Cancellations, principal repayments and other reductions</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(34,866)</w:t>
            </w:r>
          </w:p>
        </w:tc>
      </w:tr>
      <w:tr>
        <w:trPr>
          <w:trHeight w:val="218"/>
        </w:trPr>
        <w:tc>
          <w:tcPr>
            <w:tcW w:w="5360" w:type="dxa"/>
            <w:vAlign w:val="bottom"/>
          </w:tcPr>
          <w:p>
            <w:pPr>
              <w:ind w:left="20"/>
              <w:spacing w:after="0"/>
              <w:rPr>
                <w:sz w:val="20"/>
                <w:szCs w:val="20"/>
                <w:color w:val="auto"/>
              </w:rPr>
            </w:pPr>
            <w:r>
              <w:rPr>
                <w:rFonts w:ascii="Arial" w:cs="Arial" w:eastAsia="Arial" w:hAnsi="Arial"/>
                <w:sz w:val="18"/>
                <w:szCs w:val="18"/>
                <w:color w:val="auto"/>
              </w:rPr>
              <w:t>IIF,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179,173</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143,618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179,173</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143,618</w:t>
            </w: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36" w:name="page37"/>
    <w:bookmarkEnd w:id="36"/>
    <w:p>
      <w:pPr>
        <w:jc w:val="both"/>
        <w:ind w:firstLine="633"/>
        <w:spacing w:after="0" w:line="287" w:lineRule="auto"/>
        <w:rPr>
          <w:sz w:val="20"/>
          <w:szCs w:val="20"/>
          <w:color w:val="auto"/>
        </w:rPr>
      </w:pPr>
      <w:r>
        <w:rPr>
          <w:rFonts w:ascii="Arial" w:cs="Arial" w:eastAsia="Arial" w:hAnsi="Arial"/>
          <w:sz w:val="16"/>
          <w:szCs w:val="16"/>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a summary of our primary IIF and RIF by book year as of the dates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Primary IIF and RIF</w:t>
            </w:r>
          </w:p>
        </w:tc>
        <w:tc>
          <w:tcPr>
            <w:tcW w:w="940" w:type="dxa"/>
            <w:vAlign w:val="bottom"/>
          </w:tcPr>
          <w:p>
            <w:pPr>
              <w:spacing w:after="0"/>
              <w:rPr>
                <w:sz w:val="15"/>
                <w:szCs w:val="15"/>
                <w:color w:val="auto"/>
              </w:rPr>
            </w:pPr>
          </w:p>
        </w:tc>
        <w:tc>
          <w:tcPr>
            <w:tcW w:w="1840" w:type="dxa"/>
            <w:vAlign w:val="bottom"/>
            <w:gridSpan w:val="3"/>
          </w:tcPr>
          <w:p>
            <w:pPr>
              <w:jc w:val="right"/>
              <w:ind w:right="238"/>
              <w:spacing w:after="0"/>
              <w:rPr>
                <w:sz w:val="20"/>
                <w:szCs w:val="20"/>
                <w:color w:val="auto"/>
              </w:rPr>
            </w:pPr>
            <w:r>
              <w:rPr>
                <w:rFonts w:ascii="Arial" w:cs="Arial" w:eastAsia="Arial" w:hAnsi="Arial"/>
                <w:sz w:val="14"/>
                <w:szCs w:val="14"/>
                <w:b w:val="1"/>
                <w:bCs w:val="1"/>
                <w:color w:val="auto"/>
                <w:w w:val="88"/>
              </w:rPr>
              <w:t>As of September 30, 2022</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September 30, 2021</w:t>
            </w:r>
          </w:p>
        </w:tc>
        <w:tc>
          <w:tcPr>
            <w:tcW w:w="960" w:type="dxa"/>
            <w:vAlign w:val="bottom"/>
          </w:tcPr>
          <w:p>
            <w:pPr>
              <w:spacing w:after="0"/>
              <w:rPr>
                <w:sz w:val="15"/>
                <w:szCs w:val="15"/>
                <w:color w:val="auto"/>
              </w:rPr>
            </w:pPr>
          </w:p>
        </w:tc>
      </w:tr>
      <w:tr>
        <w:trPr>
          <w:trHeight w:val="24"/>
        </w:trPr>
        <w:tc>
          <w:tcPr>
            <w:tcW w:w="4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42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IIF</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RIF</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IIF</w:t>
            </w:r>
          </w:p>
        </w:tc>
        <w:tc>
          <w:tcPr>
            <w:tcW w:w="7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w w:val="97"/>
              </w:rPr>
              <w:t>RIF</w:t>
            </w:r>
          </w:p>
        </w:tc>
      </w:tr>
      <w:tr>
        <w:trPr>
          <w:trHeight w:val="189"/>
        </w:trPr>
        <w:tc>
          <w:tcPr>
            <w:tcW w:w="4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gridSpan w:val="3"/>
          </w:tcPr>
          <w:p>
            <w:pPr>
              <w:jc w:val="right"/>
              <w:ind w:right="132"/>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2022</w:t>
            </w: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46,695</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12,385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200" w:type="dxa"/>
            <w:vAlign w:val="bottom"/>
          </w:tcPr>
          <w:p>
            <w:pPr>
              <w:ind w:left="20"/>
              <w:spacing w:after="0"/>
              <w:rPr>
                <w:sz w:val="20"/>
                <w:szCs w:val="20"/>
                <w:color w:val="auto"/>
              </w:rPr>
            </w:pPr>
            <w:r>
              <w:rPr>
                <w:rFonts w:ascii="Arial" w:cs="Arial" w:eastAsia="Arial" w:hAnsi="Arial"/>
                <w:sz w:val="18"/>
                <w:szCs w:val="18"/>
                <w:color w:val="auto"/>
              </w:rPr>
              <w:t>2021</w:t>
            </w:r>
          </w:p>
        </w:tc>
        <w:tc>
          <w:tcPr>
            <w:tcW w:w="9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74,507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19,025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64,885</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16,274</w:t>
            </w:r>
          </w:p>
        </w:tc>
      </w:tr>
      <w:tr>
        <w:trPr>
          <w:trHeight w:val="225"/>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11,848</w:t>
            </w:r>
          </w:p>
        </w:tc>
      </w:tr>
      <w:tr>
        <w:trPr>
          <w:trHeight w:val="224"/>
        </w:trPr>
        <w:tc>
          <w:tcPr>
            <w:tcW w:w="4200" w:type="dxa"/>
            <w:vAlign w:val="bottom"/>
          </w:tcPr>
          <w:p>
            <w:pPr>
              <w:ind w:left="20"/>
              <w:spacing w:after="0"/>
              <w:rPr>
                <w:sz w:val="20"/>
                <w:szCs w:val="20"/>
                <w:color w:val="auto"/>
              </w:rPr>
            </w:pPr>
            <w:r>
              <w:rPr>
                <w:rFonts w:ascii="Arial" w:cs="Arial" w:eastAsia="Arial" w:hAnsi="Arial"/>
                <w:sz w:val="18"/>
                <w:szCs w:val="18"/>
                <w:color w:val="auto"/>
              </w:rPr>
              <w:t>2019</w:t>
            </w:r>
          </w:p>
        </w:tc>
        <w:tc>
          <w:tcPr>
            <w:tcW w:w="9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9,621</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14,502</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3,800</w:t>
            </w:r>
          </w:p>
        </w:tc>
      </w:tr>
      <w:tr>
        <w:trPr>
          <w:trHeight w:val="225"/>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r>
      <w:tr>
        <w:trPr>
          <w:trHeight w:val="224"/>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2017 and before</w:t>
            </w: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7,726</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11,360</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179,173</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8"/>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46,259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143,618</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36,253</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37" w:name="page38"/>
    <w:bookmarkEnd w:id="37"/>
    <w:p>
      <w:pPr>
        <w:ind w:firstLine="633"/>
        <w:spacing w:after="0" w:line="262" w:lineRule="auto"/>
        <w:rPr>
          <w:sz w:val="20"/>
          <w:szCs w:val="20"/>
          <w:color w:val="auto"/>
        </w:rPr>
      </w:pPr>
      <w:r>
        <w:rPr>
          <w:rFonts w:ascii="Arial" w:cs="Arial" w:eastAsia="Arial" w:hAnsi="Arial"/>
          <w:sz w:val="18"/>
          <w:szCs w:val="18"/>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60" w:type="dxa"/>
            <w:vAlign w:val="bottom"/>
          </w:tcPr>
          <w:p>
            <w:pPr>
              <w:ind w:left="20"/>
              <w:spacing w:after="0"/>
              <w:rPr>
                <w:sz w:val="20"/>
                <w:szCs w:val="20"/>
                <w:color w:val="auto"/>
              </w:rPr>
            </w:pPr>
            <w:r>
              <w:rPr>
                <w:rFonts w:ascii="Arial" w:cs="Arial" w:eastAsia="Arial" w:hAnsi="Arial"/>
                <w:sz w:val="14"/>
                <w:szCs w:val="14"/>
                <w:b w:val="1"/>
                <w:bCs w:val="1"/>
                <w:color w:val="auto"/>
              </w:rPr>
              <w:t>Primary NIW by FICO</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gridSpan w:val="7"/>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80" w:type="dxa"/>
            <w:vAlign w:val="bottom"/>
            <w:gridSpan w:val="8"/>
          </w:tcPr>
          <w:p>
            <w:pPr>
              <w:jc w:val="right"/>
              <w:ind w:right="815"/>
              <w:spacing w:after="0"/>
              <w:rPr>
                <w:sz w:val="20"/>
                <w:szCs w:val="20"/>
                <w:color w:val="auto"/>
              </w:rPr>
            </w:pPr>
            <w:r>
              <w:rPr>
                <w:rFonts w:ascii="Arial" w:cs="Arial" w:eastAsia="Arial" w:hAnsi="Arial"/>
                <w:sz w:val="14"/>
                <w:szCs w:val="14"/>
                <w:b w:val="1"/>
                <w:bCs w:val="1"/>
                <w:color w:val="auto"/>
              </w:rPr>
              <w:t>For the nine months ended</w:t>
            </w:r>
          </w:p>
        </w:tc>
      </w:tr>
      <w:tr>
        <w:trPr>
          <w:trHeight w:val="24"/>
        </w:trPr>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4"/>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1"/>
              </w:rPr>
              <w:t>September 30, 2022</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September 30, 2021</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6"/>
              </w:rPr>
              <w:t>September 30, 2022</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4"/>
              </w:rPr>
              <w:t>September 30, 2021</w:t>
            </w:r>
          </w:p>
        </w:tc>
      </w:tr>
      <w:tr>
        <w:trPr>
          <w:trHeight w:val="189"/>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0" w:type="dxa"/>
            <w:vAlign w:val="bottom"/>
            <w:gridSpan w:val="8"/>
          </w:tcPr>
          <w:p>
            <w:pPr>
              <w:jc w:val="center"/>
              <w:ind w:right="840"/>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3"/>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8,073</w:t>
            </w:r>
          </w:p>
        </w:tc>
        <w:tc>
          <w:tcPr>
            <w:tcW w:w="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21,177</w:t>
            </w:r>
          </w:p>
        </w:tc>
        <w:tc>
          <w:tcPr>
            <w:tcW w:w="80" w:type="dxa"/>
            <w:vAlign w:val="bottom"/>
            <w:shd w:val="clear" w:color="auto" w:fill="CCEEFF"/>
          </w:tcPr>
          <w:p>
            <w:pPr>
              <w:spacing w:after="0"/>
              <w:rPr>
                <w:sz w:val="20"/>
                <w:szCs w:val="20"/>
                <w:color w:val="auto"/>
              </w:rPr>
            </w:pPr>
          </w:p>
        </w:tc>
        <w:tc>
          <w:tcPr>
            <w:tcW w:w="2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32,377</w:t>
            </w:r>
          </w:p>
        </w:tc>
      </w:tr>
      <w:tr>
        <w:trPr>
          <w:trHeight w:val="224"/>
        </w:trPr>
        <w:tc>
          <w:tcPr>
            <w:tcW w:w="4060" w:type="dxa"/>
            <w:vAlign w:val="bottom"/>
          </w:tcPr>
          <w:p>
            <w:pPr>
              <w:ind w:left="220"/>
              <w:spacing w:after="0"/>
              <w:rPr>
                <w:sz w:val="20"/>
                <w:szCs w:val="20"/>
                <w:color w:val="auto"/>
              </w:rPr>
            </w:pPr>
            <w:r>
              <w:rPr>
                <w:rFonts w:ascii="Arial" w:cs="Arial" w:eastAsia="Arial" w:hAnsi="Arial"/>
                <w:sz w:val="18"/>
                <w:szCs w:val="18"/>
                <w:color w:val="auto"/>
              </w:rPr>
              <w:t>740-759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3,663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3,254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8,951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12,812</w:t>
            </w:r>
          </w:p>
        </w:tc>
      </w:tr>
      <w:tr>
        <w:trPr>
          <w:trHeight w:val="225"/>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9,678</w:t>
            </w:r>
          </w:p>
        </w:tc>
      </w:tr>
      <w:tr>
        <w:trPr>
          <w:trHeight w:val="224"/>
        </w:trPr>
        <w:tc>
          <w:tcPr>
            <w:tcW w:w="4060" w:type="dxa"/>
            <w:vAlign w:val="bottom"/>
          </w:tcPr>
          <w:p>
            <w:pPr>
              <w:ind w:left="220"/>
              <w:spacing w:after="0"/>
              <w:rPr>
                <w:sz w:val="20"/>
                <w:szCs w:val="20"/>
                <w:color w:val="auto"/>
              </w:rPr>
            </w:pPr>
            <w:r>
              <w:rPr>
                <w:rFonts w:ascii="Arial" w:cs="Arial" w:eastAsia="Arial" w:hAnsi="Arial"/>
                <w:sz w:val="18"/>
                <w:szCs w:val="18"/>
                <w:color w:val="auto"/>
              </w:rPr>
              <w:t>700-719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2,245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2,099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5,534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6,255</w:t>
            </w:r>
          </w:p>
        </w:tc>
      </w:tr>
      <w:tr>
        <w:trPr>
          <w:trHeight w:val="225"/>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w:t>
            </w:r>
          </w:p>
        </w:tc>
      </w:tr>
      <w:tr>
        <w:trPr>
          <w:trHeight w:val="224"/>
        </w:trPr>
        <w:tc>
          <w:tcPr>
            <w:tcW w:w="4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&lt;=679</w:t>
            </w:r>
          </w:p>
        </w:tc>
        <w:tc>
          <w:tcPr>
            <w:tcW w:w="2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288</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608</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r>
      <w:tr>
        <w:trPr>
          <w:trHeight w:val="21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17,239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18,084</w:t>
            </w:r>
          </w:p>
        </w:tc>
        <w:tc>
          <w:tcPr>
            <w:tcW w:w="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48,015</w:t>
            </w:r>
          </w:p>
        </w:tc>
        <w:tc>
          <w:tcPr>
            <w:tcW w:w="80" w:type="dxa"/>
            <w:vAlign w:val="bottom"/>
            <w:shd w:val="clear" w:color="auto" w:fill="CCEEFF"/>
          </w:tcPr>
          <w:p>
            <w:pPr>
              <w:spacing w:after="0"/>
              <w:rPr>
                <w:sz w:val="18"/>
                <w:szCs w:val="18"/>
                <w:color w:val="auto"/>
              </w:rPr>
            </w:pPr>
          </w:p>
        </w:tc>
        <w:tc>
          <w:tcPr>
            <w:tcW w:w="2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67,232</w:t>
            </w:r>
          </w:p>
        </w:tc>
      </w:tr>
      <w:tr>
        <w:trPr>
          <w:trHeight w:val="218"/>
        </w:trPr>
        <w:tc>
          <w:tcPr>
            <w:tcW w:w="4060" w:type="dxa"/>
            <w:vAlign w:val="bottom"/>
          </w:tcPr>
          <w:p>
            <w:pPr>
              <w:ind w:left="20"/>
              <w:spacing w:after="0"/>
              <w:rPr>
                <w:sz w:val="20"/>
                <w:szCs w:val="20"/>
                <w:color w:val="auto"/>
              </w:rPr>
            </w:pPr>
            <w:r>
              <w:rPr>
                <w:rFonts w:ascii="Arial" w:cs="Arial" w:eastAsia="Arial" w:hAnsi="Arial"/>
                <w:sz w:val="18"/>
                <w:szCs w:val="18"/>
                <w:color w:val="auto"/>
              </w:rPr>
              <w:t>Weighted average FICO</w:t>
            </w:r>
          </w:p>
        </w:tc>
        <w:tc>
          <w:tcPr>
            <w:tcW w:w="2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748</w:t>
            </w: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749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444"/>
        </w:trPr>
        <w:tc>
          <w:tcPr>
            <w:tcW w:w="4060" w:type="dxa"/>
            <w:vAlign w:val="bottom"/>
          </w:tcPr>
          <w:p>
            <w:pPr>
              <w:ind w:left="20"/>
              <w:spacing w:after="0"/>
              <w:rPr>
                <w:sz w:val="20"/>
                <w:szCs w:val="20"/>
                <w:color w:val="auto"/>
              </w:rPr>
            </w:pPr>
            <w:r>
              <w:rPr>
                <w:rFonts w:ascii="Arial" w:cs="Arial" w:eastAsia="Arial" w:hAnsi="Arial"/>
                <w:sz w:val="14"/>
                <w:szCs w:val="14"/>
                <w:b w:val="1"/>
                <w:bCs w:val="1"/>
                <w:color w:val="auto"/>
              </w:rPr>
              <w:t>Primary NIW by LTV</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7"/>
          </w:tcPr>
          <w:p>
            <w:pPr>
              <w:jc w:val="right"/>
              <w:ind w:right="150"/>
              <w:spacing w:after="0"/>
              <w:rPr>
                <w:sz w:val="20"/>
                <w:szCs w:val="20"/>
                <w:color w:val="auto"/>
              </w:rPr>
            </w:pPr>
            <w:r>
              <w:rPr>
                <w:rFonts w:ascii="Arial" w:cs="Arial" w:eastAsia="Arial" w:hAnsi="Arial"/>
                <w:sz w:val="14"/>
                <w:szCs w:val="14"/>
                <w:b w:val="1"/>
                <w:bCs w:val="1"/>
                <w:color w:val="auto"/>
              </w:rPr>
              <w:t>For the three months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8"/>
          </w:tcPr>
          <w:p>
            <w:pPr>
              <w:jc w:val="right"/>
              <w:ind w:right="875"/>
              <w:spacing w:after="0"/>
              <w:rPr>
                <w:sz w:val="20"/>
                <w:szCs w:val="20"/>
                <w:color w:val="auto"/>
              </w:rPr>
            </w:pPr>
            <w:r>
              <w:rPr>
                <w:rFonts w:ascii="Arial" w:cs="Arial" w:eastAsia="Arial" w:hAnsi="Arial"/>
                <w:sz w:val="14"/>
                <w:szCs w:val="14"/>
                <w:b w:val="1"/>
                <w:bCs w:val="1"/>
                <w:color w:val="auto"/>
              </w:rPr>
              <w:t>For the nine months ended</w:t>
            </w:r>
          </w:p>
        </w:tc>
      </w:tr>
      <w:tr>
        <w:trPr>
          <w:trHeight w:val="24"/>
        </w:trPr>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84"/>
        </w:trPr>
        <w:tc>
          <w:tcPr>
            <w:tcW w:w="406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1"/>
              </w:rPr>
              <w:t>September 30, 2022</w:t>
            </w: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2"/>
          </w:tcPr>
          <w:p>
            <w:pPr>
              <w:jc w:val="right"/>
              <w:ind w:right="195"/>
              <w:spacing w:after="0"/>
              <w:rPr>
                <w:sz w:val="20"/>
                <w:szCs w:val="20"/>
                <w:color w:val="auto"/>
              </w:rPr>
            </w:pPr>
            <w:r>
              <w:rPr>
                <w:rFonts w:ascii="Arial" w:cs="Arial" w:eastAsia="Arial" w:hAnsi="Arial"/>
                <w:sz w:val="14"/>
                <w:szCs w:val="14"/>
                <w:b w:val="1"/>
                <w:bCs w:val="1"/>
                <w:color w:val="auto"/>
                <w:w w:val="93"/>
              </w:rPr>
              <w:t>September 30, 2021</w:t>
            </w:r>
          </w:p>
        </w:tc>
        <w:tc>
          <w:tcPr>
            <w:tcW w:w="100" w:type="dxa"/>
            <w:vAlign w:val="bottom"/>
            <w:tcBorders>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88"/>
              </w:rPr>
              <w:t>September 30, 2022</w:t>
            </w: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1"/>
              </w:rPr>
              <w:t>September 30, 2021</w:t>
            </w:r>
          </w:p>
        </w:tc>
      </w:tr>
      <w:tr>
        <w:trPr>
          <w:trHeight w:val="189"/>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0" w:type="dxa"/>
            <w:vAlign w:val="bottom"/>
            <w:gridSpan w:val="8"/>
          </w:tcPr>
          <w:p>
            <w:pPr>
              <w:jc w:val="right"/>
              <w:ind w:right="1480"/>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3"/>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1,610</w:t>
            </w:r>
          </w:p>
        </w:tc>
        <w:tc>
          <w:tcPr>
            <w:tcW w:w="12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1,957</w:t>
            </w: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4,553</w:t>
            </w:r>
          </w:p>
        </w:tc>
        <w:tc>
          <w:tcPr>
            <w:tcW w:w="80" w:type="dxa"/>
            <w:vAlign w:val="bottom"/>
            <w:shd w:val="clear" w:color="auto" w:fill="CCEEFF"/>
          </w:tcPr>
          <w:p>
            <w:pPr>
              <w:spacing w:after="0"/>
              <w:rPr>
                <w:sz w:val="20"/>
                <w:szCs w:val="20"/>
                <w:color w:val="auto"/>
              </w:rPr>
            </w:pPr>
          </w:p>
        </w:tc>
        <w:tc>
          <w:tcPr>
            <w:tcW w:w="2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6,585</w:t>
            </w:r>
          </w:p>
        </w:tc>
      </w:tr>
      <w:tr>
        <w:trPr>
          <w:trHeight w:val="224"/>
        </w:trPr>
        <w:tc>
          <w:tcPr>
            <w:tcW w:w="406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16"/>
              <w:spacing w:after="0"/>
              <w:rPr>
                <w:sz w:val="20"/>
                <w:szCs w:val="20"/>
                <w:color w:val="auto"/>
              </w:rPr>
            </w:pPr>
            <w:r>
              <w:rPr>
                <w:rFonts w:ascii="Arial" w:cs="Arial" w:eastAsia="Arial" w:hAnsi="Arial"/>
                <w:sz w:val="18"/>
                <w:szCs w:val="18"/>
                <w:color w:val="auto"/>
              </w:rPr>
              <w:t>9,398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jc w:val="right"/>
              <w:ind w:right="135"/>
              <w:spacing w:after="0"/>
              <w:rPr>
                <w:sz w:val="20"/>
                <w:szCs w:val="20"/>
                <w:color w:val="auto"/>
              </w:rPr>
            </w:pPr>
            <w:r>
              <w:rPr>
                <w:rFonts w:ascii="Arial" w:cs="Arial" w:eastAsia="Arial" w:hAnsi="Arial"/>
                <w:sz w:val="18"/>
                <w:szCs w:val="18"/>
                <w:color w:val="auto"/>
              </w:rPr>
              <w:t>8,344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17"/>
              <w:spacing w:after="0"/>
              <w:rPr>
                <w:sz w:val="20"/>
                <w:szCs w:val="20"/>
                <w:color w:val="auto"/>
              </w:rPr>
            </w:pPr>
            <w:r>
              <w:rPr>
                <w:rFonts w:ascii="Arial" w:cs="Arial" w:eastAsia="Arial" w:hAnsi="Arial"/>
                <w:sz w:val="18"/>
                <w:szCs w:val="18"/>
                <w:color w:val="auto"/>
              </w:rPr>
              <w:t>24,706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ind w:right="135"/>
              <w:spacing w:after="0"/>
              <w:rPr>
                <w:sz w:val="20"/>
                <w:szCs w:val="20"/>
                <w:color w:val="auto"/>
              </w:rPr>
            </w:pPr>
            <w:r>
              <w:rPr>
                <w:rFonts w:ascii="Arial" w:cs="Arial" w:eastAsia="Arial" w:hAnsi="Arial"/>
                <w:sz w:val="18"/>
                <w:szCs w:val="18"/>
                <w:color w:val="auto"/>
              </w:rPr>
              <w:t>29,336</w:t>
            </w:r>
          </w:p>
        </w:tc>
      </w:tr>
      <w:tr>
        <w:trPr>
          <w:trHeight w:val="225"/>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4,505</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4,961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13,145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19,071</w:t>
            </w:r>
          </w:p>
        </w:tc>
      </w:tr>
      <w:tr>
        <w:trPr>
          <w:trHeight w:val="224"/>
        </w:trPr>
        <w:tc>
          <w:tcPr>
            <w:tcW w:w="4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85.00% and below</w:t>
            </w: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1,726</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5,611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12,240</w:t>
            </w:r>
          </w:p>
        </w:tc>
      </w:tr>
      <w:tr>
        <w:trPr>
          <w:trHeight w:val="21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17,239</w:t>
            </w: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87"/>
              </w:rPr>
              <w:t>18,084</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48,015</w:t>
            </w:r>
          </w:p>
        </w:tc>
        <w:tc>
          <w:tcPr>
            <w:tcW w:w="80" w:type="dxa"/>
            <w:vAlign w:val="bottom"/>
            <w:shd w:val="clear" w:color="auto" w:fill="CCEEFF"/>
          </w:tcPr>
          <w:p>
            <w:pPr>
              <w:spacing w:after="0"/>
              <w:rPr>
                <w:sz w:val="18"/>
                <w:szCs w:val="18"/>
                <w:color w:val="auto"/>
              </w:rPr>
            </w:pPr>
          </w:p>
        </w:tc>
        <w:tc>
          <w:tcPr>
            <w:tcW w:w="2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67,232</w:t>
            </w:r>
          </w:p>
        </w:tc>
      </w:tr>
      <w:tr>
        <w:trPr>
          <w:trHeight w:val="218"/>
        </w:trPr>
        <w:tc>
          <w:tcPr>
            <w:tcW w:w="4060" w:type="dxa"/>
            <w:vAlign w:val="bottom"/>
          </w:tcPr>
          <w:p>
            <w:pPr>
              <w:ind w:left="20"/>
              <w:spacing w:after="0"/>
              <w:rPr>
                <w:sz w:val="20"/>
                <w:szCs w:val="20"/>
                <w:color w:val="auto"/>
              </w:rPr>
            </w:pPr>
            <w:r>
              <w:rPr>
                <w:rFonts w:ascii="Arial" w:cs="Arial" w:eastAsia="Arial" w:hAnsi="Arial"/>
                <w:sz w:val="18"/>
                <w:szCs w:val="18"/>
                <w:color w:val="auto"/>
              </w:rPr>
              <w:t>Weighted average LTV</w:t>
            </w:r>
          </w:p>
        </w:tc>
        <w:tc>
          <w:tcPr>
            <w:tcW w:w="2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92.6 %</w:t>
            </w:r>
          </w:p>
        </w:tc>
        <w:tc>
          <w:tcPr>
            <w:tcW w:w="1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91.8 %</w:t>
            </w:r>
          </w:p>
        </w:tc>
        <w:tc>
          <w:tcPr>
            <w:tcW w:w="1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91.3 %</w:t>
            </w:r>
          </w:p>
        </w:tc>
      </w:tr>
      <w:tr>
        <w:trPr>
          <w:trHeight w:val="20"/>
        </w:trPr>
        <w:tc>
          <w:tcPr>
            <w:tcW w:w="4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444"/>
        </w:trPr>
        <w:tc>
          <w:tcPr>
            <w:tcW w:w="4060" w:type="dxa"/>
            <w:vAlign w:val="bottom"/>
          </w:tcPr>
          <w:p>
            <w:pPr>
              <w:ind w:left="20"/>
              <w:spacing w:after="0"/>
              <w:rPr>
                <w:sz w:val="20"/>
                <w:szCs w:val="20"/>
                <w:color w:val="auto"/>
              </w:rPr>
            </w:pPr>
            <w:r>
              <w:rPr>
                <w:rFonts w:ascii="Arial" w:cs="Arial" w:eastAsia="Arial" w:hAnsi="Arial"/>
                <w:sz w:val="14"/>
                <w:szCs w:val="14"/>
                <w:b w:val="1"/>
                <w:bCs w:val="1"/>
                <w:color w:val="auto"/>
              </w:rPr>
              <w:t>Primary NIW by purchase/refinance mix</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7"/>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8"/>
          </w:tcPr>
          <w:p>
            <w:pPr>
              <w:jc w:val="right"/>
              <w:ind w:right="815"/>
              <w:spacing w:after="0"/>
              <w:rPr>
                <w:sz w:val="20"/>
                <w:szCs w:val="20"/>
                <w:color w:val="auto"/>
              </w:rPr>
            </w:pPr>
            <w:r>
              <w:rPr>
                <w:rFonts w:ascii="Arial" w:cs="Arial" w:eastAsia="Arial" w:hAnsi="Arial"/>
                <w:sz w:val="14"/>
                <w:szCs w:val="14"/>
                <w:b w:val="1"/>
                <w:bCs w:val="1"/>
                <w:color w:val="auto"/>
              </w:rPr>
              <w:t>For the nine months ended</w:t>
            </w:r>
          </w:p>
        </w:tc>
      </w:tr>
      <w:tr>
        <w:trPr>
          <w:trHeight w:val="24"/>
        </w:trPr>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4"/>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4"/>
              </w:rPr>
              <w:t>September 30, 2022</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September 30, 2021</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7"/>
              </w:rPr>
              <w:t>September 30, 2022</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4"/>
              </w:rPr>
              <w:t>September 30, 2021</w:t>
            </w:r>
          </w:p>
        </w:tc>
      </w:tr>
      <w:tr>
        <w:trPr>
          <w:trHeight w:val="189"/>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0" w:type="dxa"/>
            <w:vAlign w:val="bottom"/>
            <w:gridSpan w:val="8"/>
          </w:tcPr>
          <w:p>
            <w:pPr>
              <w:jc w:val="right"/>
              <w:ind w:right="1340"/>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3"/>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16,944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16,400</w:t>
            </w:r>
          </w:p>
        </w:tc>
        <w:tc>
          <w:tcPr>
            <w:tcW w:w="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46,545</w:t>
            </w:r>
          </w:p>
        </w:tc>
        <w:tc>
          <w:tcPr>
            <w:tcW w:w="2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53,220</w:t>
            </w:r>
          </w:p>
        </w:tc>
      </w:tr>
      <w:tr>
        <w:trPr>
          <w:trHeight w:val="224"/>
        </w:trPr>
        <w:tc>
          <w:tcPr>
            <w:tcW w:w="4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Refinance</w:t>
            </w:r>
          </w:p>
        </w:tc>
        <w:tc>
          <w:tcPr>
            <w:tcW w:w="2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295</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1,684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1,470</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14,012</w:t>
            </w:r>
          </w:p>
        </w:tc>
      </w:tr>
      <w:tr>
        <w:trPr>
          <w:trHeight w:val="238"/>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17,239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18,084</w:t>
            </w:r>
          </w:p>
        </w:tc>
        <w:tc>
          <w:tcPr>
            <w:tcW w:w="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48,015</w:t>
            </w:r>
          </w:p>
        </w:tc>
        <w:tc>
          <w:tcPr>
            <w:tcW w:w="2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67,232</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38" w:name="page39"/>
    <w:bookmarkEnd w:id="38"/>
    <w:p>
      <w:pPr>
        <w:ind w:left="640"/>
        <w:spacing w:after="0"/>
        <w:rPr>
          <w:sz w:val="20"/>
          <w:szCs w:val="20"/>
          <w:color w:val="auto"/>
        </w:rPr>
      </w:pPr>
      <w:r>
        <w:rPr>
          <w:rFonts w:ascii="Arial" w:cs="Arial" w:eastAsia="Arial" w:hAnsi="Arial"/>
          <w:sz w:val="16"/>
          <w:szCs w:val="16"/>
          <w:color w:val="auto"/>
        </w:rPr>
        <w:t>The tables below present our total primary IIF and RIF by FICO and LTV, and total primary RIF by loan type as of the dates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Primary IIF by FICO</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As of</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
        </w:trPr>
        <w:tc>
          <w:tcPr>
            <w:tcW w:w="4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4"/>
        </w:trPr>
        <w:tc>
          <w:tcPr>
            <w:tcW w:w="4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September 30, 2022</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September 30, 2021</w:t>
            </w:r>
          </w:p>
        </w:tc>
        <w:tc>
          <w:tcPr>
            <w:tcW w:w="740" w:type="dxa"/>
            <w:vAlign w:val="bottom"/>
            <w:tcBorders>
              <w:bottom w:val="single" w:sz="8" w:color="auto"/>
            </w:tcBorders>
          </w:tcPr>
          <w:p>
            <w:pPr>
              <w:spacing w:after="0"/>
              <w:rPr>
                <w:sz w:val="16"/>
                <w:szCs w:val="16"/>
                <w:color w:val="auto"/>
              </w:rPr>
            </w:pPr>
          </w:p>
        </w:tc>
      </w:tr>
      <w:tr>
        <w:trPr>
          <w:trHeight w:val="189"/>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80" w:type="dxa"/>
            <w:vAlign w:val="bottom"/>
            <w:gridSpan w:val="5"/>
          </w:tcPr>
          <w:p>
            <w:pPr>
              <w:jc w:val="right"/>
              <w:ind w:right="140"/>
              <w:spacing w:after="0"/>
              <w:rPr>
                <w:sz w:val="20"/>
                <w:szCs w:val="20"/>
                <w:color w:val="auto"/>
              </w:rPr>
            </w:pPr>
            <w:r>
              <w:rPr>
                <w:rFonts w:ascii="Arial" w:cs="Arial" w:eastAsia="Arial" w:hAnsi="Arial"/>
                <w:sz w:val="14"/>
                <w:szCs w:val="14"/>
                <w:i w:val="1"/>
                <w:iCs w:val="1"/>
                <w:color w:val="auto"/>
              </w:rPr>
              <w:t>($ Values 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3"/>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73,080</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24"/>
        </w:trPr>
        <w:tc>
          <w:tcPr>
            <w:tcW w:w="4720" w:type="dxa"/>
            <w:vAlign w:val="bottom"/>
          </w:tcPr>
          <w:p>
            <w:pPr>
              <w:ind w:left="220"/>
              <w:spacing w:after="0"/>
              <w:rPr>
                <w:sz w:val="20"/>
                <w:szCs w:val="20"/>
                <w:color w:val="auto"/>
              </w:rPr>
            </w:pPr>
            <w:r>
              <w:rPr>
                <w:rFonts w:ascii="Arial" w:cs="Arial" w:eastAsia="Arial" w:hAnsi="Arial"/>
                <w:sz w:val="18"/>
                <w:szCs w:val="18"/>
                <w:color w:val="auto"/>
              </w:rPr>
              <w:t>740-759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jc w:val="right"/>
              <w:ind w:right="116"/>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24,676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17</w:t>
            </w:r>
          </w:p>
        </w:tc>
      </w:tr>
      <w:tr>
        <w:trPr>
          <w:trHeight w:val="225"/>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r>
      <w:tr>
        <w:trPr>
          <w:trHeight w:val="224"/>
        </w:trPr>
        <w:tc>
          <w:tcPr>
            <w:tcW w:w="4720" w:type="dxa"/>
            <w:vAlign w:val="bottom"/>
          </w:tcPr>
          <w:p>
            <w:pPr>
              <w:ind w:left="220"/>
              <w:spacing w:after="0"/>
              <w:rPr>
                <w:sz w:val="20"/>
                <w:szCs w:val="20"/>
                <w:color w:val="auto"/>
              </w:rPr>
            </w:pPr>
            <w:r>
              <w:rPr>
                <w:rFonts w:ascii="Arial" w:cs="Arial" w:eastAsia="Arial" w:hAnsi="Arial"/>
                <w:sz w:val="18"/>
                <w:szCs w:val="18"/>
                <w:color w:val="auto"/>
              </w:rPr>
              <w:t>700-719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jc w:val="right"/>
              <w:ind w:right="116"/>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13,206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9</w:t>
            </w:r>
          </w:p>
        </w:tc>
      </w:tr>
      <w:tr>
        <w:trPr>
          <w:trHeight w:val="225"/>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w:t>
            </w:r>
          </w:p>
        </w:tc>
      </w:tr>
      <w:tr>
        <w:trPr>
          <w:trHeight w:val="224"/>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&lt;=679</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w:t>
            </w:r>
          </w:p>
        </w:tc>
      </w:tr>
      <w:tr>
        <w:trPr>
          <w:trHeight w:val="24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179,173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143,618</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397"/>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Primary RIF by FICO</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
        </w:trPr>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4"/>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September 30, 2022</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September 30, 2021</w:t>
            </w:r>
          </w:p>
        </w:tc>
        <w:tc>
          <w:tcPr>
            <w:tcW w:w="740" w:type="dxa"/>
            <w:vAlign w:val="bottom"/>
            <w:tcBorders>
              <w:bottom w:val="single" w:sz="8" w:color="auto"/>
            </w:tcBorders>
          </w:tcPr>
          <w:p>
            <w:pPr>
              <w:spacing w:after="0"/>
              <w:rPr>
                <w:sz w:val="16"/>
                <w:szCs w:val="16"/>
                <w:color w:val="auto"/>
              </w:rPr>
            </w:pPr>
          </w:p>
        </w:tc>
      </w:tr>
      <w:tr>
        <w:trPr>
          <w:trHeight w:val="189"/>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80" w:type="dxa"/>
            <w:vAlign w:val="bottom"/>
            <w:gridSpan w:val="5"/>
          </w:tcPr>
          <w:p>
            <w:pPr>
              <w:jc w:val="right"/>
              <w:ind w:right="140"/>
              <w:spacing w:after="0"/>
              <w:rPr>
                <w:sz w:val="20"/>
                <w:szCs w:val="20"/>
                <w:color w:val="auto"/>
              </w:rPr>
            </w:pPr>
            <w:r>
              <w:rPr>
                <w:rFonts w:ascii="Arial" w:cs="Arial" w:eastAsia="Arial" w:hAnsi="Arial"/>
                <w:sz w:val="14"/>
                <w:szCs w:val="14"/>
                <w:i w:val="1"/>
                <w:iCs w:val="1"/>
                <w:color w:val="auto"/>
              </w:rPr>
              <w:t>($ Values 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3"/>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&gt;= 760</w:t>
            </w: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24"/>
        </w:trPr>
        <w:tc>
          <w:tcPr>
            <w:tcW w:w="4720" w:type="dxa"/>
            <w:vAlign w:val="bottom"/>
          </w:tcPr>
          <w:p>
            <w:pPr>
              <w:ind w:left="220"/>
              <w:spacing w:after="0"/>
              <w:rPr>
                <w:sz w:val="20"/>
                <w:szCs w:val="20"/>
                <w:color w:val="auto"/>
              </w:rPr>
            </w:pPr>
            <w:r>
              <w:rPr>
                <w:rFonts w:ascii="Arial" w:cs="Arial" w:eastAsia="Arial" w:hAnsi="Arial"/>
                <w:sz w:val="18"/>
                <w:szCs w:val="18"/>
                <w:color w:val="auto"/>
              </w:rPr>
              <w:t>740-759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jc w:val="right"/>
              <w:ind w:right="116"/>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6,280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17</w:t>
            </w:r>
          </w:p>
        </w:tc>
      </w:tr>
      <w:tr>
        <w:trPr>
          <w:trHeight w:val="225"/>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720-739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r>
      <w:tr>
        <w:trPr>
          <w:trHeight w:val="224"/>
        </w:trPr>
        <w:tc>
          <w:tcPr>
            <w:tcW w:w="4720" w:type="dxa"/>
            <w:vAlign w:val="bottom"/>
          </w:tcPr>
          <w:p>
            <w:pPr>
              <w:ind w:left="220"/>
              <w:spacing w:after="0"/>
              <w:rPr>
                <w:sz w:val="20"/>
                <w:szCs w:val="20"/>
                <w:color w:val="auto"/>
              </w:rPr>
            </w:pPr>
            <w:r>
              <w:rPr>
                <w:rFonts w:ascii="Arial" w:cs="Arial" w:eastAsia="Arial" w:hAnsi="Arial"/>
                <w:sz w:val="18"/>
                <w:szCs w:val="18"/>
                <w:color w:val="auto"/>
              </w:rPr>
              <w:t>700-719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jc w:val="right"/>
              <w:ind w:right="116"/>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9</w:t>
            </w:r>
          </w:p>
        </w:tc>
      </w:tr>
      <w:tr>
        <w:trPr>
          <w:trHeight w:val="225"/>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680-699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w:t>
            </w:r>
          </w:p>
        </w:tc>
      </w:tr>
      <w:tr>
        <w:trPr>
          <w:trHeight w:val="224"/>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&lt;=679</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w:t>
            </w:r>
          </w:p>
        </w:tc>
      </w:tr>
      <w:tr>
        <w:trPr>
          <w:trHeight w:val="238"/>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36,253</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397"/>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Primary IIF by LTV</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As of</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
        </w:trPr>
        <w:tc>
          <w:tcPr>
            <w:tcW w:w="4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4"/>
        </w:trPr>
        <w:tc>
          <w:tcPr>
            <w:tcW w:w="4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September 30, 2022</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September 30, 2021</w:t>
            </w:r>
          </w:p>
        </w:tc>
        <w:tc>
          <w:tcPr>
            <w:tcW w:w="740" w:type="dxa"/>
            <w:vAlign w:val="bottom"/>
            <w:tcBorders>
              <w:bottom w:val="single" w:sz="8" w:color="auto"/>
            </w:tcBorders>
          </w:tcPr>
          <w:p>
            <w:pPr>
              <w:spacing w:after="0"/>
              <w:rPr>
                <w:sz w:val="16"/>
                <w:szCs w:val="16"/>
                <w:color w:val="auto"/>
              </w:rPr>
            </w:pPr>
          </w:p>
        </w:tc>
      </w:tr>
      <w:tr>
        <w:trPr>
          <w:trHeight w:val="189"/>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80" w:type="dxa"/>
            <w:vAlign w:val="bottom"/>
            <w:gridSpan w:val="5"/>
          </w:tcPr>
          <w:p>
            <w:pPr>
              <w:jc w:val="right"/>
              <w:ind w:right="140"/>
              <w:spacing w:after="0"/>
              <w:rPr>
                <w:sz w:val="20"/>
                <w:szCs w:val="20"/>
                <w:color w:val="auto"/>
              </w:rPr>
            </w:pPr>
            <w:r>
              <w:rPr>
                <w:rFonts w:ascii="Arial" w:cs="Arial" w:eastAsia="Arial" w:hAnsi="Arial"/>
                <w:sz w:val="14"/>
                <w:szCs w:val="14"/>
                <w:i w:val="1"/>
                <w:iCs w:val="1"/>
                <w:color w:val="auto"/>
              </w:rPr>
              <w:t>($ Values 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3"/>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13,179</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24"/>
        </w:trPr>
        <w:tc>
          <w:tcPr>
            <w:tcW w:w="472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84,396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jc w:val="right"/>
              <w:ind w:right="116"/>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63,828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45</w:t>
            </w:r>
          </w:p>
        </w:tc>
      </w:tr>
      <w:tr>
        <w:trPr>
          <w:trHeight w:val="225"/>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w:t>
            </w:r>
          </w:p>
        </w:tc>
      </w:tr>
      <w:tr>
        <w:trPr>
          <w:trHeight w:val="224"/>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85.00% and below</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w:t>
            </w:r>
          </w:p>
        </w:tc>
      </w:tr>
      <w:tr>
        <w:trPr>
          <w:trHeight w:val="24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179,173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143,618</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384"/>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Primary RIF by LTV</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
        </w:trPr>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4"/>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September 30, 2022</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September 30, 2021</w:t>
            </w:r>
          </w:p>
        </w:tc>
        <w:tc>
          <w:tcPr>
            <w:tcW w:w="740" w:type="dxa"/>
            <w:vAlign w:val="bottom"/>
            <w:tcBorders>
              <w:bottom w:val="single" w:sz="8" w:color="auto"/>
            </w:tcBorders>
          </w:tcPr>
          <w:p>
            <w:pPr>
              <w:spacing w:after="0"/>
              <w:rPr>
                <w:sz w:val="16"/>
                <w:szCs w:val="16"/>
                <w:color w:val="auto"/>
              </w:rPr>
            </w:pPr>
          </w:p>
        </w:tc>
      </w:tr>
      <w:tr>
        <w:trPr>
          <w:trHeight w:val="189"/>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80" w:type="dxa"/>
            <w:vAlign w:val="bottom"/>
            <w:gridSpan w:val="5"/>
          </w:tcPr>
          <w:p>
            <w:pPr>
              <w:jc w:val="right"/>
              <w:ind w:right="140"/>
              <w:spacing w:after="0"/>
              <w:rPr>
                <w:sz w:val="20"/>
                <w:szCs w:val="20"/>
                <w:color w:val="auto"/>
              </w:rPr>
            </w:pPr>
            <w:r>
              <w:rPr>
                <w:rFonts w:ascii="Arial" w:cs="Arial" w:eastAsia="Arial" w:hAnsi="Arial"/>
                <w:sz w:val="14"/>
                <w:szCs w:val="14"/>
                <w:i w:val="1"/>
                <w:iCs w:val="1"/>
                <w:color w:val="auto"/>
              </w:rPr>
              <w:t>($ Values 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3"/>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95.01% and above</w:t>
            </w: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4"/>
        </w:trPr>
        <w:tc>
          <w:tcPr>
            <w:tcW w:w="4720" w:type="dxa"/>
            <w:vAlign w:val="bottom"/>
          </w:tcPr>
          <w:p>
            <w:pPr>
              <w:ind w:left="220"/>
              <w:spacing w:after="0"/>
              <w:rPr>
                <w:sz w:val="20"/>
                <w:szCs w:val="20"/>
                <w:color w:val="auto"/>
              </w:rPr>
            </w:pPr>
            <w:r>
              <w:rPr>
                <w:rFonts w:ascii="Arial" w:cs="Arial" w:eastAsia="Arial" w:hAnsi="Arial"/>
                <w:sz w:val="18"/>
                <w:szCs w:val="18"/>
                <w:color w:val="auto"/>
              </w:rPr>
              <w:t>90.01% to 95.00%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jc w:val="right"/>
              <w:ind w:right="116"/>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18,810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52</w:t>
            </w:r>
          </w:p>
        </w:tc>
      </w:tr>
      <w:tr>
        <w:trPr>
          <w:trHeight w:val="225"/>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85.01% to 90.00%</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r>
      <w:tr>
        <w:trPr>
          <w:trHeight w:val="224"/>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85.00% and below</w:t>
            </w: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w:t>
            </w:r>
          </w:p>
        </w:tc>
      </w:tr>
      <w:tr>
        <w:trPr>
          <w:trHeight w:val="238"/>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36,253</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169" w:right="4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3"/>
        </w:trPr>
        <w:tc>
          <w:tcPr>
            <w:tcW w:w="7380" w:type="dxa"/>
            <w:vAlign w:val="bottom"/>
          </w:tcPr>
          <w:p>
            <w:pPr>
              <w:ind w:left="20"/>
              <w:spacing w:after="0"/>
              <w:rPr>
                <w:sz w:val="20"/>
                <w:szCs w:val="20"/>
                <w:color w:val="auto"/>
              </w:rPr>
            </w:pPr>
            <w:r>
              <w:rPr>
                <w:rFonts w:ascii="Arial" w:cs="Arial" w:eastAsia="Arial" w:hAnsi="Arial"/>
                <w:sz w:val="14"/>
                <w:szCs w:val="14"/>
                <w:b w:val="1"/>
                <w:bCs w:val="1"/>
                <w:color w:val="auto"/>
              </w:rPr>
              <w:t>Primary RIF by Loan Type</w:t>
            </w:r>
          </w:p>
        </w:tc>
        <w:tc>
          <w:tcPr>
            <w:tcW w:w="2160" w:type="dxa"/>
            <w:vAlign w:val="bottom"/>
            <w:gridSpan w:val="3"/>
          </w:tcPr>
          <w:p>
            <w:pPr>
              <w:ind w:left="1740"/>
              <w:spacing w:after="0"/>
              <w:rPr>
                <w:sz w:val="20"/>
                <w:szCs w:val="20"/>
                <w:color w:val="auto"/>
              </w:rPr>
            </w:pPr>
            <w:r>
              <w:rPr>
                <w:rFonts w:ascii="Arial" w:cs="Arial" w:eastAsia="Arial" w:hAnsi="Arial"/>
                <w:sz w:val="14"/>
                <w:szCs w:val="14"/>
                <w:b w:val="1"/>
                <w:bCs w:val="1"/>
                <w:color w:val="auto"/>
              </w:rPr>
              <w:t>As of</w:t>
            </w:r>
          </w:p>
        </w:tc>
        <w:tc>
          <w:tcPr>
            <w:tcW w:w="1640" w:type="dxa"/>
            <w:vAlign w:val="bottom"/>
          </w:tcPr>
          <w:p>
            <w:pPr>
              <w:spacing w:after="0"/>
              <w:rPr>
                <w:sz w:val="15"/>
                <w:szCs w:val="15"/>
                <w:color w:val="auto"/>
              </w:rPr>
            </w:pPr>
          </w:p>
        </w:tc>
      </w:tr>
      <w:tr>
        <w:trPr>
          <w:trHeight w:val="24"/>
        </w:trPr>
        <w:tc>
          <w:tcPr>
            <w:tcW w:w="7380" w:type="dxa"/>
            <w:vAlign w:val="bottom"/>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4"/>
        </w:trPr>
        <w:tc>
          <w:tcPr>
            <w:tcW w:w="7380" w:type="dxa"/>
            <w:vAlign w:val="bottom"/>
          </w:tcPr>
          <w:p>
            <w:pPr>
              <w:spacing w:after="0"/>
              <w:rPr>
                <w:sz w:val="16"/>
                <w:szCs w:val="16"/>
                <w:color w:val="auto"/>
              </w:rPr>
            </w:pPr>
          </w:p>
        </w:tc>
        <w:tc>
          <w:tcPr>
            <w:tcW w:w="2160" w:type="dxa"/>
            <w:vAlign w:val="bottom"/>
            <w:gridSpan w:val="3"/>
          </w:tcPr>
          <w:p>
            <w:pPr>
              <w:ind w:left="340"/>
              <w:spacing w:after="0"/>
              <w:rPr>
                <w:sz w:val="20"/>
                <w:szCs w:val="20"/>
                <w:color w:val="auto"/>
              </w:rPr>
            </w:pPr>
            <w:r>
              <w:rPr>
                <w:rFonts w:ascii="Arial" w:cs="Arial" w:eastAsia="Arial" w:hAnsi="Arial"/>
                <w:sz w:val="14"/>
                <w:szCs w:val="14"/>
                <w:b w:val="1"/>
                <w:bCs w:val="1"/>
                <w:color w:val="auto"/>
              </w:rPr>
              <w:t>September 30, 2022</w:t>
            </w:r>
          </w:p>
        </w:tc>
        <w:tc>
          <w:tcPr>
            <w:tcW w:w="1640" w:type="dxa"/>
            <w:vAlign w:val="bottom"/>
          </w:tcPr>
          <w:p>
            <w:pPr>
              <w:jc w:val="right"/>
              <w:ind w:right="256"/>
              <w:spacing w:after="0"/>
              <w:rPr>
                <w:sz w:val="20"/>
                <w:szCs w:val="20"/>
                <w:color w:val="auto"/>
              </w:rPr>
            </w:pPr>
            <w:r>
              <w:rPr>
                <w:rFonts w:ascii="Arial" w:cs="Arial" w:eastAsia="Arial" w:hAnsi="Arial"/>
                <w:sz w:val="14"/>
                <w:szCs w:val="14"/>
                <w:b w:val="1"/>
                <w:bCs w:val="1"/>
                <w:color w:val="auto"/>
                <w:w w:val="97"/>
              </w:rPr>
              <w:t>September 30, 2021</w:t>
            </w:r>
          </w:p>
        </w:tc>
      </w:tr>
      <w:tr>
        <w:trPr>
          <w:trHeight w:val="224"/>
        </w:trPr>
        <w:tc>
          <w:tcPr>
            <w:tcW w:w="73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Fixed</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99 %</w:t>
            </w:r>
          </w:p>
        </w:tc>
      </w:tr>
      <w:tr>
        <w:trPr>
          <w:trHeight w:val="224"/>
        </w:trPr>
        <w:tc>
          <w:tcPr>
            <w:tcW w:w="7380" w:type="dxa"/>
            <w:vAlign w:val="bottom"/>
          </w:tcPr>
          <w:p>
            <w:pPr>
              <w:ind w:left="140"/>
              <w:spacing w:after="0"/>
              <w:rPr>
                <w:sz w:val="20"/>
                <w:szCs w:val="20"/>
                <w:color w:val="auto"/>
              </w:rPr>
            </w:pPr>
            <w:r>
              <w:rPr>
                <w:rFonts w:ascii="Arial" w:cs="Arial" w:eastAsia="Arial" w:hAnsi="Arial"/>
                <w:sz w:val="18"/>
                <w:szCs w:val="18"/>
                <w:color w:val="auto"/>
              </w:rPr>
              <w:t>Adjustable rate mortgages:</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5"/>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than five years</w:t>
            </w:r>
          </w:p>
        </w:tc>
        <w:tc>
          <w:tcPr>
            <w:tcW w:w="2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r>
      <w:tr>
        <w:trPr>
          <w:trHeight w:val="224"/>
        </w:trPr>
        <w:tc>
          <w:tcPr>
            <w:tcW w:w="7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Five years and longer</w:t>
            </w:r>
          </w:p>
        </w:tc>
        <w:tc>
          <w:tcPr>
            <w:tcW w:w="184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w:t>
            </w:r>
          </w:p>
        </w:tc>
      </w:tr>
      <w:tr>
        <w:trPr>
          <w:trHeight w:val="24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selected primary portfolio statistics, by book year, as of September 30, 2022.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180" w:type="dxa"/>
            <w:vAlign w:val="bottom"/>
            <w:gridSpan w:val="4"/>
          </w:tcPr>
          <w:p>
            <w:pPr>
              <w:ind w:left="600"/>
              <w:spacing w:after="0"/>
              <w:rPr>
                <w:sz w:val="20"/>
                <w:szCs w:val="20"/>
                <w:color w:val="auto"/>
              </w:rPr>
            </w:pPr>
            <w:r>
              <w:rPr>
                <w:rFonts w:ascii="Arial" w:cs="Arial" w:eastAsia="Arial" w:hAnsi="Arial"/>
                <w:sz w:val="14"/>
                <w:szCs w:val="14"/>
                <w:b w:val="1"/>
                <w:bCs w:val="1"/>
                <w:color w:val="auto"/>
                <w:w w:val="91"/>
              </w:rPr>
              <w:t>As of September 30, 2022</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4"/>
              </w:rPr>
              <w:t>Original</w:t>
            </w:r>
          </w:p>
        </w:tc>
        <w:tc>
          <w:tcPr>
            <w:tcW w:w="120" w:type="dxa"/>
            <w:vAlign w:val="bottom"/>
          </w:tcPr>
          <w:p>
            <w:pPr>
              <w:spacing w:after="0"/>
              <w:rPr>
                <w:sz w:val="11"/>
                <w:szCs w:val="11"/>
                <w:color w:val="auto"/>
              </w:rPr>
            </w:pPr>
          </w:p>
        </w:tc>
        <w:tc>
          <w:tcPr>
            <w:tcW w:w="800" w:type="dxa"/>
            <w:vAlign w:val="bottom"/>
          </w:tcPr>
          <w:p>
            <w:pPr>
              <w:jc w:val="center"/>
              <w:ind w:right="35"/>
              <w:spacing w:after="0" w:line="129" w:lineRule="exact"/>
              <w:rPr>
                <w:sz w:val="20"/>
                <w:szCs w:val="20"/>
                <w:color w:val="auto"/>
              </w:rPr>
            </w:pPr>
            <w:r>
              <w:rPr>
                <w:rFonts w:ascii="Arial" w:cs="Arial" w:eastAsia="Arial" w:hAnsi="Arial"/>
                <w:sz w:val="14"/>
                <w:szCs w:val="14"/>
                <w:b w:val="1"/>
                <w:bCs w:val="1"/>
                <w:color w:val="auto"/>
                <w:w w:val="89"/>
              </w:rPr>
              <w:t>Remaining</w:t>
            </w:r>
          </w:p>
        </w:tc>
        <w:tc>
          <w:tcPr>
            <w:tcW w:w="12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 Remaining of</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Policies Ever in</w:t>
            </w:r>
          </w:p>
        </w:tc>
        <w:tc>
          <w:tcPr>
            <w:tcW w:w="10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1"/>
              </w:rPr>
              <w:t>Number of</w:t>
            </w:r>
          </w:p>
        </w:tc>
        <w:tc>
          <w:tcPr>
            <w:tcW w:w="8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 of</w:t>
            </w:r>
          </w:p>
        </w:tc>
        <w:tc>
          <w:tcPr>
            <w:tcW w:w="1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Incurred Loss</w:t>
            </w:r>
          </w:p>
        </w:tc>
        <w:tc>
          <w:tcPr>
            <w:tcW w:w="11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Cumulative</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Current Default</w:t>
            </w:r>
          </w:p>
        </w:tc>
        <w:tc>
          <w:tcPr>
            <w:tcW w:w="0" w:type="dxa"/>
            <w:vAlign w:val="bottom"/>
          </w:tcPr>
          <w:p>
            <w:pPr>
              <w:spacing w:after="0"/>
              <w:rPr>
                <w:sz w:val="1"/>
                <w:szCs w:val="1"/>
                <w:color w:val="auto"/>
              </w:rPr>
            </w:pPr>
          </w:p>
        </w:tc>
      </w:tr>
      <w:tr>
        <w:trPr>
          <w:trHeight w:val="141"/>
        </w:trPr>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Book Year</w:t>
            </w: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90"/>
              </w:rPr>
              <w:t>Insurance</w:t>
            </w:r>
          </w:p>
        </w:tc>
        <w:tc>
          <w:tcPr>
            <w:tcW w:w="9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2"/>
              </w:rPr>
              <w:t>Insurance in</w:t>
            </w:r>
          </w:p>
        </w:tc>
        <w:tc>
          <w:tcPr>
            <w:tcW w:w="12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4"/>
              </w:rPr>
              <w:t>Original</w:t>
            </w:r>
          </w:p>
        </w:tc>
        <w:tc>
          <w:tcPr>
            <w:tcW w:w="1100" w:type="dxa"/>
            <w:vAlign w:val="bottom"/>
            <w:gridSpan w:val="2"/>
            <w:vMerge w:val="continue"/>
          </w:tcPr>
          <w:p>
            <w:pPr>
              <w:spacing w:after="0"/>
              <w:rPr>
                <w:sz w:val="12"/>
                <w:szCs w:val="12"/>
                <w:color w:val="auto"/>
              </w:rPr>
            </w:pPr>
          </w:p>
        </w:tc>
        <w:tc>
          <w:tcPr>
            <w:tcW w:w="108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6"/>
              </w:rPr>
              <w:t>Policies in</w:t>
            </w:r>
          </w:p>
        </w:tc>
        <w:tc>
          <w:tcPr>
            <w:tcW w:w="82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0"/>
              </w:rPr>
              <w:t>Loans in</w:t>
            </w:r>
          </w:p>
        </w:tc>
        <w:tc>
          <w:tcPr>
            <w:tcW w:w="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1"/>
              </w:rPr>
              <w:t>Claims</w:t>
            </w:r>
          </w:p>
        </w:tc>
        <w:tc>
          <w:tcPr>
            <w:tcW w:w="12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2"/>
              </w:rPr>
              <w:t>Ratio (Inception</w:t>
            </w:r>
          </w:p>
        </w:tc>
        <w:tc>
          <w:tcPr>
            <w:tcW w:w="118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78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Written</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Force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Insurance</w:t>
            </w:r>
          </w:p>
        </w:tc>
        <w:tc>
          <w:tcPr>
            <w:tcW w:w="11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Force</w:t>
            </w: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Force</w:t>
            </w:r>
          </w:p>
        </w:tc>
        <w:tc>
          <w:tcPr>
            <w:tcW w:w="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Default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Paid</w:t>
            </w:r>
          </w:p>
        </w:tc>
        <w:tc>
          <w:tcPr>
            <w:tcW w:w="124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4"/>
                <w:szCs w:val="14"/>
                <w:b w:val="1"/>
                <w:bCs w:val="1"/>
                <w:color w:val="auto"/>
                <w:w w:val="87"/>
              </w:rPr>
              <w:t xml:space="preserve">to Date) </w:t>
            </w:r>
            <w:r>
              <w:rPr>
                <w:rFonts w:ascii="Arial" w:cs="Arial" w:eastAsia="Arial" w:hAnsi="Arial"/>
                <w:sz w:val="18"/>
                <w:szCs w:val="18"/>
                <w:b w:val="1"/>
                <w:bCs w:val="1"/>
                <w:color w:val="auto"/>
                <w:w w:val="87"/>
                <w:vertAlign w:val="superscript"/>
              </w:rPr>
              <w:t>(1)</w:t>
            </w:r>
          </w:p>
        </w:tc>
        <w:tc>
          <w:tcPr>
            <w:tcW w:w="1180" w:type="dxa"/>
            <w:vAlign w:val="bottom"/>
            <w:tcBorders>
              <w:bottom w:val="single" w:sz="8" w:color="auto"/>
            </w:tcBorders>
          </w:tcPr>
          <w:p>
            <w:pPr>
              <w:jc w:val="right"/>
              <w:ind w:right="75"/>
              <w:spacing w:after="0" w:line="198" w:lineRule="exact"/>
              <w:rPr>
                <w:sz w:val="20"/>
                <w:szCs w:val="20"/>
                <w:color w:val="auto"/>
              </w:rPr>
            </w:pPr>
            <w:r>
              <w:rPr>
                <w:rFonts w:ascii="Arial" w:cs="Arial" w:eastAsia="Arial" w:hAnsi="Arial"/>
                <w:sz w:val="14"/>
                <w:szCs w:val="14"/>
                <w:b w:val="1"/>
                <w:bCs w:val="1"/>
                <w:color w:val="auto"/>
                <w:w w:val="99"/>
              </w:rPr>
              <w:t xml:space="preserve">Default Rate </w:t>
            </w:r>
            <w:r>
              <w:rPr>
                <w:rFonts w:ascii="Arial" w:cs="Arial" w:eastAsia="Arial" w:hAnsi="Arial"/>
                <w:sz w:val="18"/>
                <w:szCs w:val="18"/>
                <w:b w:val="1"/>
                <w:bCs w:val="1"/>
                <w:color w:val="auto"/>
                <w:w w:val="99"/>
                <w:vertAlign w:val="superscript"/>
              </w:rPr>
              <w:t>(2)</w:t>
            </w:r>
          </w:p>
        </w:tc>
        <w:tc>
          <w:tcPr>
            <w:tcW w:w="1100" w:type="dxa"/>
            <w:vAlign w:val="bottom"/>
            <w:tcBorders>
              <w:bottom w:val="single" w:sz="8" w:color="auto"/>
            </w:tcBorders>
          </w:tcPr>
          <w:p>
            <w:pPr>
              <w:jc w:val="right"/>
              <w:ind w:right="235"/>
              <w:spacing w:after="0" w:line="198" w:lineRule="exact"/>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4"/>
          </w:tcPr>
          <w:p>
            <w:pPr>
              <w:ind w:left="240"/>
              <w:spacing w:after="0"/>
              <w:rPr>
                <w:sz w:val="20"/>
                <w:szCs w:val="20"/>
                <w:color w:val="auto"/>
              </w:rPr>
            </w:pPr>
            <w:r>
              <w:rPr>
                <w:rFonts w:ascii="Arial" w:cs="Arial" w:eastAsia="Arial" w:hAnsi="Arial"/>
                <w:sz w:val="14"/>
                <w:szCs w:val="14"/>
                <w:i w:val="1"/>
                <w:iCs w:val="1"/>
                <w:color w:val="auto"/>
              </w:rPr>
              <w:t>($ Values In Millions)</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6 %</w:t>
            </w:r>
          </w:p>
        </w:tc>
        <w:tc>
          <w:tcPr>
            <w:tcW w:w="1000" w:type="dxa"/>
            <w:vAlign w:val="bottom"/>
          </w:tcPr>
          <w:p>
            <w:pPr>
              <w:jc w:val="right"/>
              <w:spacing w:after="0"/>
              <w:rPr>
                <w:sz w:val="20"/>
                <w:szCs w:val="20"/>
                <w:color w:val="auto"/>
              </w:rPr>
            </w:pPr>
            <w:r>
              <w:rPr>
                <w:rFonts w:ascii="Arial" w:cs="Arial" w:eastAsia="Arial" w:hAnsi="Arial"/>
                <w:sz w:val="18"/>
                <w:szCs w:val="18"/>
                <w:color w:val="auto"/>
              </w:rPr>
              <w:t>14,786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4.0 %</w:t>
            </w:r>
          </w:p>
        </w:tc>
        <w:tc>
          <w:tcPr>
            <w:tcW w:w="1180" w:type="dxa"/>
            <w:vAlign w:val="bottom"/>
          </w:tcPr>
          <w:p>
            <w:pPr>
              <w:jc w:val="right"/>
              <w:spacing w:after="0"/>
              <w:rPr>
                <w:sz w:val="20"/>
                <w:szCs w:val="20"/>
                <w:color w:val="auto"/>
              </w:rPr>
            </w:pPr>
            <w:r>
              <w:rPr>
                <w:rFonts w:ascii="Arial" w:cs="Arial" w:eastAsia="Arial" w:hAnsi="Arial"/>
                <w:sz w:val="18"/>
                <w:szCs w:val="18"/>
                <w:color w:val="auto"/>
              </w:rPr>
              <w:t>0.5 %</w:t>
            </w:r>
          </w:p>
        </w:tc>
        <w:tc>
          <w:tcPr>
            <w:tcW w:w="110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5"/>
        </w:trPr>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2,911</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14 %</w:t>
            </w:r>
          </w:p>
        </w:tc>
        <w:tc>
          <w:tcPr>
            <w:tcW w:w="1000" w:type="dxa"/>
            <w:vAlign w:val="bottom"/>
          </w:tcPr>
          <w:p>
            <w:pPr>
              <w:jc w:val="right"/>
              <w:spacing w:after="0"/>
              <w:rPr>
                <w:sz w:val="20"/>
                <w:szCs w:val="20"/>
                <w:color w:val="auto"/>
              </w:rPr>
            </w:pPr>
            <w:r>
              <w:rPr>
                <w:rFonts w:ascii="Arial" w:cs="Arial" w:eastAsia="Arial" w:hAnsi="Arial"/>
                <w:sz w:val="18"/>
                <w:szCs w:val="18"/>
                <w:color w:val="auto"/>
              </w:rPr>
              <w:t>83,626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15,009</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2.5 %</w:t>
            </w:r>
          </w:p>
        </w:tc>
        <w:tc>
          <w:tcPr>
            <w:tcW w:w="1180" w:type="dxa"/>
            <w:vAlign w:val="bottom"/>
          </w:tcPr>
          <w:p>
            <w:pPr>
              <w:jc w:val="right"/>
              <w:spacing w:after="0"/>
              <w:rPr>
                <w:sz w:val="20"/>
                <w:szCs w:val="20"/>
                <w:color w:val="auto"/>
              </w:rPr>
            </w:pPr>
            <w:r>
              <w:rPr>
                <w:rFonts w:ascii="Arial" w:cs="Arial" w:eastAsia="Arial" w:hAnsi="Arial"/>
                <w:sz w:val="18"/>
                <w:szCs w:val="18"/>
                <w:color w:val="auto"/>
              </w:rPr>
              <w:t>0.5 %</w:t>
            </w:r>
          </w:p>
        </w:tc>
        <w:tc>
          <w:tcPr>
            <w:tcW w:w="110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5"/>
        </w:trPr>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85,897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3.4 %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3,755</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14 %</w:t>
            </w:r>
          </w:p>
        </w:tc>
        <w:tc>
          <w:tcPr>
            <w:tcW w:w="1000" w:type="dxa"/>
            <w:vAlign w:val="bottom"/>
          </w:tcPr>
          <w:p>
            <w:pPr>
              <w:jc w:val="right"/>
              <w:spacing w:after="0"/>
              <w:rPr>
                <w:sz w:val="20"/>
                <w:szCs w:val="20"/>
                <w:color w:val="auto"/>
              </w:rPr>
            </w:pPr>
            <w:r>
              <w:rPr>
                <w:rFonts w:ascii="Arial" w:cs="Arial" w:eastAsia="Arial" w:hAnsi="Arial"/>
                <w:sz w:val="18"/>
                <w:szCs w:val="18"/>
                <w:color w:val="auto"/>
              </w:rPr>
              <w:t>104,043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19,145</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5.5 %</w:t>
            </w:r>
          </w:p>
        </w:tc>
        <w:tc>
          <w:tcPr>
            <w:tcW w:w="1180" w:type="dxa"/>
            <w:vAlign w:val="bottom"/>
          </w:tcPr>
          <w:p>
            <w:pPr>
              <w:jc w:val="right"/>
              <w:spacing w:after="0"/>
              <w:rPr>
                <w:sz w:val="20"/>
                <w:szCs w:val="20"/>
                <w:color w:val="auto"/>
              </w:rPr>
            </w:pPr>
            <w:r>
              <w:rPr>
                <w:rFonts w:ascii="Arial" w:cs="Arial" w:eastAsia="Arial" w:hAnsi="Arial"/>
                <w:sz w:val="18"/>
                <w:szCs w:val="18"/>
                <w:color w:val="auto"/>
              </w:rPr>
              <w:t>0.7 %</w:t>
            </w:r>
          </w:p>
        </w:tc>
        <w:tc>
          <w:tcPr>
            <w:tcW w:w="110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5"/>
        </w:trPr>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9,621</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148,423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6.6 %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62,702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36,869</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59 %</w:t>
            </w:r>
          </w:p>
        </w:tc>
        <w:tc>
          <w:tcPr>
            <w:tcW w:w="1000" w:type="dxa"/>
            <w:vAlign w:val="bottom"/>
          </w:tcPr>
          <w:p>
            <w:pPr>
              <w:jc w:val="right"/>
              <w:spacing w:after="0"/>
              <w:rPr>
                <w:sz w:val="20"/>
                <w:szCs w:val="20"/>
                <w:color w:val="auto"/>
              </w:rPr>
            </w:pPr>
            <w:r>
              <w:rPr>
                <w:rFonts w:ascii="Arial" w:cs="Arial" w:eastAsia="Arial" w:hAnsi="Arial"/>
                <w:sz w:val="18"/>
                <w:szCs w:val="18"/>
                <w:color w:val="auto"/>
              </w:rPr>
              <w:t>186,174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118,938</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3.9 %</w:t>
            </w:r>
          </w:p>
        </w:tc>
        <w:tc>
          <w:tcPr>
            <w:tcW w:w="1180" w:type="dxa"/>
            <w:vAlign w:val="bottom"/>
          </w:tcPr>
          <w:p>
            <w:pPr>
              <w:jc w:val="right"/>
              <w:spacing w:after="0"/>
              <w:rPr>
                <w:sz w:val="20"/>
                <w:szCs w:val="20"/>
                <w:color w:val="auto"/>
              </w:rPr>
            </w:pPr>
            <w:r>
              <w:rPr>
                <w:rFonts w:ascii="Arial" w:cs="Arial" w:eastAsia="Arial" w:hAnsi="Arial"/>
                <w:sz w:val="18"/>
                <w:szCs w:val="18"/>
                <w:color w:val="auto"/>
              </w:rPr>
              <w:t>0.3 %</w:t>
            </w:r>
          </w:p>
        </w:tc>
        <w:tc>
          <w:tcPr>
            <w:tcW w:w="1100" w:type="dxa"/>
            <w:vAlign w:val="bottom"/>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25"/>
        </w:trPr>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74,507</w:t>
            </w:r>
          </w:p>
        </w:tc>
        <w:tc>
          <w:tcPr>
            <w:tcW w:w="1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87 %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257,972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231,306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5.3 %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4"/>
        </w:trPr>
        <w:tc>
          <w:tcPr>
            <w:tcW w:w="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46,695</w:t>
            </w:r>
          </w:p>
        </w:tc>
        <w:tc>
          <w:tcPr>
            <w:tcW w:w="1280" w:type="dxa"/>
            <w:vAlign w:val="bottom"/>
            <w:tcBorders>
              <w:bottom w:val="single" w:sz="8" w:color="CCEEFF"/>
            </w:tcBorders>
          </w:tcPr>
          <w:p>
            <w:pPr>
              <w:jc w:val="right"/>
              <w:ind w:right="36"/>
              <w:spacing w:after="0"/>
              <w:rPr>
                <w:sz w:val="20"/>
                <w:szCs w:val="20"/>
                <w:color w:val="auto"/>
              </w:rPr>
            </w:pPr>
            <w:r>
              <w:rPr>
                <w:rFonts w:ascii="Arial" w:cs="Arial" w:eastAsia="Arial" w:hAnsi="Arial"/>
                <w:sz w:val="18"/>
                <w:szCs w:val="18"/>
                <w:color w:val="auto"/>
              </w:rPr>
              <w:t>97 %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132,911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130,041</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4.9 %</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0.1 %</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3"/>
        </w:trPr>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179,173</w:t>
            </w:r>
          </w:p>
        </w:tc>
        <w:tc>
          <w:tcPr>
            <w:tcW w:w="1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1,067,035</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580,525</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200" w:hanging="194"/>
        <w:spacing w:after="0"/>
        <w:tabs>
          <w:tab w:leader="none" w:pos="20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Calculated as total claims incurred (paid and reserved) divided by cumulative premiums earned, net of reinsurance.</w:t>
      </w:r>
    </w:p>
    <w:p>
      <w:pPr>
        <w:ind w:left="200" w:hanging="194"/>
        <w:spacing w:after="0"/>
        <w:tabs>
          <w:tab w:leader="none" w:pos="200" w:val="left"/>
        </w:tabs>
        <w:numPr>
          <w:ilvl w:val="0"/>
          <w:numId w:val="18"/>
        </w:numPr>
        <w:rPr>
          <w:rFonts w:ascii="Arial" w:cs="Arial" w:eastAsia="Arial" w:hAnsi="Arial"/>
          <w:sz w:val="9"/>
          <w:szCs w:val="9"/>
          <w:color w:val="auto"/>
        </w:rPr>
      </w:pPr>
      <w:r>
        <w:rPr>
          <w:rFonts w:ascii="Arial" w:cs="Arial" w:eastAsia="Arial" w:hAnsi="Arial"/>
          <w:sz w:val="14"/>
          <w:szCs w:val="14"/>
          <w:color w:val="auto"/>
        </w:rPr>
        <w:t>Calculated as the sum of the number of claims paid ever to date and number of loans in default divided by policies ever in force.</w:t>
      </w:r>
    </w:p>
    <w:p>
      <w:pPr>
        <w:spacing w:after="0" w:line="6" w:lineRule="exact"/>
        <w:rPr>
          <w:rFonts w:ascii="Arial" w:cs="Arial" w:eastAsia="Arial" w:hAnsi="Arial"/>
          <w:sz w:val="9"/>
          <w:szCs w:val="9"/>
          <w:color w:val="auto"/>
        </w:rPr>
      </w:pPr>
    </w:p>
    <w:p>
      <w:pPr>
        <w:ind w:left="200" w:hanging="194"/>
        <w:spacing w:after="0" w:line="198" w:lineRule="auto"/>
        <w:tabs>
          <w:tab w:leader="none" w:pos="20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Calculated as the number of loans in default divided by number of policies in force.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Geographic Dispersion</w:t>
      </w:r>
    </w:p>
    <w:p>
      <w:pPr>
        <w:spacing w:after="0" w:line="162" w:lineRule="exact"/>
        <w:rPr>
          <w:sz w:val="20"/>
          <w:szCs w:val="20"/>
          <w:color w:val="auto"/>
        </w:rPr>
      </w:pPr>
    </w:p>
    <w:p>
      <w:pPr>
        <w:ind w:firstLine="633"/>
        <w:spacing w:after="0" w:line="262" w:lineRule="auto"/>
        <w:rPr>
          <w:sz w:val="20"/>
          <w:szCs w:val="20"/>
          <w:color w:val="auto"/>
        </w:rPr>
      </w:pPr>
      <w:r>
        <w:rPr>
          <w:rFonts w:ascii="Arial" w:cs="Arial" w:eastAsia="Arial" w:hAnsi="Arial"/>
          <w:sz w:val="18"/>
          <w:szCs w:val="18"/>
          <w:color w:val="auto"/>
        </w:rPr>
        <w:t>The following table shows the distribution by state of our primary RIF as of the dates indicated. The distribution of our primary RIF as of September 30, 2022 is not necessarily representative of the geographic distribution we expect in the future.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Top 10 primary RIF by state</w:t>
            </w:r>
          </w:p>
        </w:tc>
        <w:tc>
          <w:tcPr>
            <w:tcW w:w="2180" w:type="dxa"/>
            <w:vAlign w:val="bottom"/>
            <w:gridSpan w:val="3"/>
          </w:tcPr>
          <w:p>
            <w:pPr>
              <w:ind w:left="1740"/>
              <w:spacing w:after="0"/>
              <w:rPr>
                <w:sz w:val="20"/>
                <w:szCs w:val="20"/>
                <w:color w:val="auto"/>
              </w:rPr>
            </w:pPr>
            <w:r>
              <w:rPr>
                <w:rFonts w:ascii="Arial" w:cs="Arial" w:eastAsia="Arial" w:hAnsi="Arial"/>
                <w:sz w:val="14"/>
                <w:szCs w:val="14"/>
                <w:b w:val="1"/>
                <w:bCs w:val="1"/>
                <w:color w:val="auto"/>
              </w:rPr>
              <w:t>As of</w:t>
            </w:r>
          </w:p>
        </w:tc>
        <w:tc>
          <w:tcPr>
            <w:tcW w:w="1620" w:type="dxa"/>
            <w:vAlign w:val="bottom"/>
          </w:tcPr>
          <w:p>
            <w:pPr>
              <w:spacing w:after="0"/>
              <w:rPr>
                <w:sz w:val="15"/>
                <w:szCs w:val="15"/>
                <w:color w:val="auto"/>
              </w:rPr>
            </w:pPr>
          </w:p>
        </w:tc>
      </w:tr>
      <w:tr>
        <w:trPr>
          <w:trHeight w:val="24"/>
        </w:trPr>
        <w:tc>
          <w:tcPr>
            <w:tcW w:w="7440" w:type="dxa"/>
            <w:vAlign w:val="bottom"/>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4"/>
        </w:trPr>
        <w:tc>
          <w:tcPr>
            <w:tcW w:w="7440" w:type="dxa"/>
            <w:vAlign w:val="bottom"/>
          </w:tcPr>
          <w:p>
            <w:pPr>
              <w:spacing w:after="0"/>
              <w:rPr>
                <w:sz w:val="16"/>
                <w:szCs w:val="16"/>
                <w:color w:val="auto"/>
              </w:rPr>
            </w:pPr>
          </w:p>
        </w:tc>
        <w:tc>
          <w:tcPr>
            <w:tcW w:w="2180" w:type="dxa"/>
            <w:vAlign w:val="bottom"/>
            <w:gridSpan w:val="3"/>
          </w:tcPr>
          <w:p>
            <w:pPr>
              <w:ind w:left="340"/>
              <w:spacing w:after="0"/>
              <w:rPr>
                <w:sz w:val="20"/>
                <w:szCs w:val="20"/>
                <w:color w:val="auto"/>
              </w:rPr>
            </w:pPr>
            <w:r>
              <w:rPr>
                <w:rFonts w:ascii="Arial" w:cs="Arial" w:eastAsia="Arial" w:hAnsi="Arial"/>
                <w:sz w:val="14"/>
                <w:szCs w:val="14"/>
                <w:b w:val="1"/>
                <w:bCs w:val="1"/>
                <w:color w:val="auto"/>
              </w:rPr>
              <w:t>September 30, 2022</w:t>
            </w:r>
          </w:p>
        </w:tc>
        <w:tc>
          <w:tcPr>
            <w:tcW w:w="1620" w:type="dxa"/>
            <w:vAlign w:val="bottom"/>
          </w:tcPr>
          <w:p>
            <w:pPr>
              <w:jc w:val="right"/>
              <w:ind w:right="254"/>
              <w:spacing w:after="0"/>
              <w:rPr>
                <w:sz w:val="20"/>
                <w:szCs w:val="20"/>
                <w:color w:val="auto"/>
              </w:rPr>
            </w:pPr>
            <w:r>
              <w:rPr>
                <w:rFonts w:ascii="Arial" w:cs="Arial" w:eastAsia="Arial" w:hAnsi="Arial"/>
                <w:sz w:val="14"/>
                <w:szCs w:val="14"/>
                <w:b w:val="1"/>
                <w:bCs w:val="1"/>
                <w:color w:val="auto"/>
                <w:w w:val="96"/>
              </w:rPr>
              <w:t>September 30, 2021</w:t>
            </w:r>
          </w:p>
        </w:tc>
      </w:tr>
      <w:tr>
        <w:trPr>
          <w:trHeight w:val="224"/>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r>
      <w:tr>
        <w:trPr>
          <w:trHeight w:val="224"/>
        </w:trPr>
        <w:tc>
          <w:tcPr>
            <w:tcW w:w="7440" w:type="dxa"/>
            <w:vAlign w:val="bottom"/>
          </w:tcPr>
          <w:p>
            <w:pPr>
              <w:ind w:left="20"/>
              <w:spacing w:after="0"/>
              <w:rPr>
                <w:sz w:val="20"/>
                <w:szCs w:val="20"/>
                <w:color w:val="auto"/>
              </w:rPr>
            </w:pPr>
            <w:r>
              <w:rPr>
                <w:rFonts w:ascii="Arial" w:cs="Arial" w:eastAsia="Arial" w:hAnsi="Arial"/>
                <w:sz w:val="18"/>
                <w:szCs w:val="18"/>
                <w:color w:val="auto"/>
              </w:rPr>
              <w:t>Texas</w:t>
            </w:r>
          </w:p>
        </w:tc>
        <w:tc>
          <w:tcPr>
            <w:tcW w:w="1860" w:type="dxa"/>
            <w:vAlign w:val="bottom"/>
          </w:tcPr>
          <w:p>
            <w:pPr>
              <w:jc w:val="right"/>
              <w:ind w:right="135"/>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ind w:right="134"/>
              <w:spacing w:after="0"/>
              <w:rPr>
                <w:sz w:val="20"/>
                <w:szCs w:val="20"/>
                <w:color w:val="auto"/>
              </w:rPr>
            </w:pPr>
            <w:r>
              <w:rPr>
                <w:rFonts w:ascii="Arial" w:cs="Arial" w:eastAsia="Arial" w:hAnsi="Arial"/>
                <w:sz w:val="18"/>
                <w:szCs w:val="18"/>
                <w:color w:val="auto"/>
              </w:rPr>
              <w:t>9.9</w:t>
            </w:r>
          </w:p>
        </w:tc>
      </w:tr>
      <w:tr>
        <w:trPr>
          <w:trHeight w:val="22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18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8.6</w:t>
            </w:r>
          </w:p>
        </w:tc>
      </w:tr>
      <w:tr>
        <w:trPr>
          <w:trHeight w:val="224"/>
        </w:trPr>
        <w:tc>
          <w:tcPr>
            <w:tcW w:w="7440" w:type="dxa"/>
            <w:vAlign w:val="bottom"/>
          </w:tcPr>
          <w:p>
            <w:pPr>
              <w:ind w:left="20"/>
              <w:spacing w:after="0"/>
              <w:rPr>
                <w:sz w:val="20"/>
                <w:szCs w:val="20"/>
                <w:color w:val="auto"/>
              </w:rPr>
            </w:pPr>
            <w:r>
              <w:rPr>
                <w:rFonts w:ascii="Arial" w:cs="Arial" w:eastAsia="Arial" w:hAnsi="Arial"/>
                <w:sz w:val="18"/>
                <w:szCs w:val="18"/>
                <w:color w:val="auto"/>
              </w:rPr>
              <w:t>Virginia</w:t>
            </w:r>
          </w:p>
        </w:tc>
        <w:tc>
          <w:tcPr>
            <w:tcW w:w="1860" w:type="dxa"/>
            <w:vAlign w:val="bottom"/>
          </w:tcPr>
          <w:p>
            <w:pPr>
              <w:jc w:val="right"/>
              <w:ind w:right="135"/>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ind w:right="134"/>
              <w:spacing w:after="0"/>
              <w:rPr>
                <w:sz w:val="20"/>
                <w:szCs w:val="20"/>
                <w:color w:val="auto"/>
              </w:rPr>
            </w:pPr>
            <w:r>
              <w:rPr>
                <w:rFonts w:ascii="Arial" w:cs="Arial" w:eastAsia="Arial" w:hAnsi="Arial"/>
                <w:sz w:val="18"/>
                <w:szCs w:val="18"/>
                <w:color w:val="auto"/>
              </w:rPr>
              <w:t>4.9</w:t>
            </w:r>
          </w:p>
        </w:tc>
      </w:tr>
      <w:tr>
        <w:trPr>
          <w:trHeight w:val="22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Georgia</w:t>
            </w:r>
          </w:p>
        </w:tc>
        <w:tc>
          <w:tcPr>
            <w:tcW w:w="18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w:t>
            </w:r>
          </w:p>
        </w:tc>
      </w:tr>
      <w:tr>
        <w:trPr>
          <w:trHeight w:val="224"/>
        </w:trPr>
        <w:tc>
          <w:tcPr>
            <w:tcW w:w="7440" w:type="dxa"/>
            <w:vAlign w:val="bottom"/>
          </w:tcPr>
          <w:p>
            <w:pPr>
              <w:ind w:left="20"/>
              <w:spacing w:after="0"/>
              <w:rPr>
                <w:sz w:val="20"/>
                <w:szCs w:val="20"/>
                <w:color w:val="auto"/>
              </w:rPr>
            </w:pPr>
            <w:r>
              <w:rPr>
                <w:rFonts w:ascii="Arial" w:cs="Arial" w:eastAsia="Arial" w:hAnsi="Arial"/>
                <w:sz w:val="18"/>
                <w:szCs w:val="18"/>
                <w:color w:val="auto"/>
              </w:rPr>
              <w:t>Illinois</w:t>
            </w:r>
          </w:p>
        </w:tc>
        <w:tc>
          <w:tcPr>
            <w:tcW w:w="1860" w:type="dxa"/>
            <w:vAlign w:val="bottom"/>
          </w:tcPr>
          <w:p>
            <w:pPr>
              <w:jc w:val="right"/>
              <w:ind w:right="135"/>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ind w:right="134"/>
              <w:spacing w:after="0"/>
              <w:rPr>
                <w:sz w:val="20"/>
                <w:szCs w:val="20"/>
                <w:color w:val="auto"/>
              </w:rPr>
            </w:pPr>
            <w:r>
              <w:rPr>
                <w:rFonts w:ascii="Arial" w:cs="Arial" w:eastAsia="Arial" w:hAnsi="Arial"/>
                <w:sz w:val="18"/>
                <w:szCs w:val="18"/>
                <w:color w:val="auto"/>
              </w:rPr>
              <w:t>3.7</w:t>
            </w:r>
          </w:p>
        </w:tc>
      </w:tr>
      <w:tr>
        <w:trPr>
          <w:trHeight w:val="22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Washington</w:t>
            </w:r>
          </w:p>
        </w:tc>
        <w:tc>
          <w:tcPr>
            <w:tcW w:w="18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w:t>
            </w:r>
          </w:p>
        </w:tc>
      </w:tr>
      <w:tr>
        <w:trPr>
          <w:trHeight w:val="224"/>
        </w:trPr>
        <w:tc>
          <w:tcPr>
            <w:tcW w:w="7440" w:type="dxa"/>
            <w:vAlign w:val="bottom"/>
          </w:tcPr>
          <w:p>
            <w:pPr>
              <w:ind w:left="20"/>
              <w:spacing w:after="0"/>
              <w:rPr>
                <w:sz w:val="20"/>
                <w:szCs w:val="20"/>
                <w:color w:val="auto"/>
              </w:rPr>
            </w:pPr>
            <w:r>
              <w:rPr>
                <w:rFonts w:ascii="Arial" w:cs="Arial" w:eastAsia="Arial" w:hAnsi="Arial"/>
                <w:sz w:val="18"/>
                <w:szCs w:val="18"/>
                <w:color w:val="auto"/>
              </w:rPr>
              <w:t>Colorado</w:t>
            </w:r>
          </w:p>
        </w:tc>
        <w:tc>
          <w:tcPr>
            <w:tcW w:w="1860" w:type="dxa"/>
            <w:vAlign w:val="bottom"/>
          </w:tcPr>
          <w:p>
            <w:pPr>
              <w:jc w:val="right"/>
              <w:ind w:right="135"/>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ind w:right="134"/>
              <w:spacing w:after="0"/>
              <w:rPr>
                <w:sz w:val="20"/>
                <w:szCs w:val="20"/>
                <w:color w:val="auto"/>
              </w:rPr>
            </w:pPr>
            <w:r>
              <w:rPr>
                <w:rFonts w:ascii="Arial" w:cs="Arial" w:eastAsia="Arial" w:hAnsi="Arial"/>
                <w:sz w:val="18"/>
                <w:szCs w:val="18"/>
                <w:color w:val="auto"/>
              </w:rPr>
              <w:t>4.0</w:t>
            </w:r>
          </w:p>
        </w:tc>
      </w:tr>
      <w:tr>
        <w:trPr>
          <w:trHeight w:val="22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Maryland</w:t>
            </w:r>
          </w:p>
        </w:tc>
        <w:tc>
          <w:tcPr>
            <w:tcW w:w="18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3.8</w:t>
            </w:r>
          </w:p>
        </w:tc>
      </w:tr>
      <w:tr>
        <w:trPr>
          <w:trHeight w:val="224"/>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Pennsylvania</w:t>
            </w:r>
          </w:p>
        </w:tc>
        <w:tc>
          <w:tcPr>
            <w:tcW w:w="18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3.2</w:t>
            </w:r>
          </w:p>
        </w:tc>
      </w:tr>
      <w:tr>
        <w:trPr>
          <w:trHeight w:val="24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55.5 %</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40" w:name="page41"/>
    <w:bookmarkEnd w:id="40"/>
    <w:p>
      <w:pPr>
        <w:ind w:left="640"/>
        <w:spacing w:after="0"/>
        <w:rPr>
          <w:sz w:val="20"/>
          <w:szCs w:val="20"/>
          <w:color w:val="auto"/>
        </w:rPr>
      </w:pPr>
      <w:r>
        <w:rPr>
          <w:rFonts w:ascii="Arial" w:cs="Arial" w:eastAsia="Arial" w:hAnsi="Arial"/>
          <w:sz w:val="18"/>
          <w:szCs w:val="18"/>
          <w:b w:val="1"/>
          <w:bCs w:val="1"/>
          <w:i w:val="1"/>
          <w:iCs w:val="1"/>
          <w:color w:val="auto"/>
        </w:rPr>
        <w:t>Insurance Claims and Claim Expenses</w:t>
      </w:r>
    </w:p>
    <w:p>
      <w:pPr>
        <w:spacing w:after="0" w:line="162"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Insurance claims and claim expenses incurred represent estimated future payments on newly defaulted insured loans and any change in our claim estimates for previously existing defaults. Claims incurred are generally affected by a variety of factors, including the macroeconomic environment, national and regional unemployment trends, changes in housing values, borrower risk characteristics, LTV ratios and other loan level risk attributes, the size and type of loans insured, the percentage of coverage on insured loans, and the level of reinsurance coverage maintained against insured exposures.</w:t>
      </w:r>
    </w:p>
    <w:p>
      <w:pPr>
        <w:spacing w:after="0" w:line="107"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Reserves for claims and claim expenses are established for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spacing w:after="0" w:line="114" w:lineRule="exact"/>
        <w:rPr>
          <w:sz w:val="20"/>
          <w:szCs w:val="20"/>
          <w:color w:val="auto"/>
        </w:rPr>
      </w:pPr>
    </w:p>
    <w:p>
      <w:pPr>
        <w:jc w:val="both"/>
        <w:ind w:firstLine="633"/>
        <w:spacing w:after="0" w:line="281" w:lineRule="auto"/>
        <w:rPr>
          <w:sz w:val="20"/>
          <w:szCs w:val="20"/>
          <w:color w:val="auto"/>
        </w:rPr>
      </w:pPr>
      <w:r>
        <w:rPr>
          <w:rFonts w:ascii="Arial" w:cs="Arial" w:eastAsia="Arial" w:hAnsi="Arial"/>
          <w:sz w:val="16"/>
          <w:szCs w:val="16"/>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and ILN Transactions, as applicable under each treaty. We have not yet ceded any reserves under the ILN Transactions as incurred claims and claim expenses on each respective reference pool remain within our retained coverage layer of each transaction. Our pool insurance agreement with Fannie Mae contains a claim deductible through which Fannie Mae absorbs specified losses before we are obligated to pay any claims. We have not established any claims or claim expense reserves for pool exposure to date.</w:t>
      </w:r>
    </w:p>
    <w:p>
      <w:pPr>
        <w:spacing w:after="0" w:line="119"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spacing w:after="0" w:line="107"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Our reserve setting process considers the beneficial impact of forbearance, foreclosure moratorium and other assistance programs available to defaulted borrowers.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 during the forbearance period over an extended length of time.</w:t>
      </w:r>
    </w:p>
    <w:p>
      <w:pPr>
        <w:spacing w:after="0" w:line="140"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In response to the COVID-19 pandemic, politicians, regulators, lenders, loan servicers and others have offered extraordinary assistance to dislocated borrowers through, among other programs, the forbearance, foreclosure moratorium and other assistance programs codified under the Coronavirus Aid, Relief, and Economic Security Act (CARES Act). The FHFA and GSEs have offered further assistance by introducing new repayment and loan modification options to assist borrowers with their transition out of forbearance programs and default status. We generally observe that forbearance, repayment and modification, and other assistance programs aid affected borrowers and drive higher cure rates on defaults than would otherwise be expected on similarly situated loans that did not benefit from broad-based assistance programs.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41" w:name="page42"/>
    <w:bookmarkEnd w:id="41"/>
    <w:p>
      <w:pPr>
        <w:ind w:left="640"/>
        <w:spacing w:after="0"/>
        <w:rPr>
          <w:sz w:val="20"/>
          <w:szCs w:val="20"/>
          <w:color w:val="auto"/>
        </w:rPr>
      </w:pPr>
      <w:r>
        <w:rPr>
          <w:rFonts w:ascii="Arial" w:cs="Arial" w:eastAsia="Arial" w:hAnsi="Arial"/>
          <w:sz w:val="16"/>
          <w:szCs w:val="16"/>
          <w:color w:val="auto"/>
        </w:rPr>
        <w:t>The following table provides a reconciliation of the beginning and ending gross reserve balances for primary insurance claims and claim (benefits)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gridSpan w:val="5"/>
          </w:tcPr>
          <w:p>
            <w:pPr>
              <w:ind w:left="52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5"/>
                <w:szCs w:val="15"/>
                <w:color w:val="auto"/>
              </w:rPr>
            </w:pPr>
          </w:p>
        </w:tc>
        <w:tc>
          <w:tcPr>
            <w:tcW w:w="282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For the nine months ended</w:t>
            </w:r>
          </w:p>
        </w:tc>
      </w:tr>
      <w:tr>
        <w:trPr>
          <w:trHeight w:val="24"/>
        </w:trPr>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4"/>
        </w:trPr>
        <w:tc>
          <w:tcPr>
            <w:tcW w:w="53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0"/>
              </w:rPr>
              <w:t>September 30, 2021</w:t>
            </w:r>
          </w:p>
        </w:tc>
        <w:tc>
          <w:tcPr>
            <w:tcW w:w="1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8"/>
              </w:rPr>
              <w:t>September 30, 2021</w:t>
            </w:r>
          </w:p>
        </w:tc>
      </w:tr>
      <w:tr>
        <w:trPr>
          <w:trHeight w:val="189"/>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ind w:left="9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98,462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101,235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90,567</w:t>
            </w:r>
          </w:p>
        </w:tc>
      </w:tr>
      <w:tr>
        <w:trPr>
          <w:trHeight w:val="224"/>
        </w:trPr>
        <w:tc>
          <w:tcPr>
            <w:tcW w:w="530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2"/>
                <w:szCs w:val="22"/>
                <w:color w:val="auto"/>
                <w:vertAlign w:val="superscript"/>
              </w:rPr>
              <w:t>(1)</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(17,608)</w:t>
            </w:r>
          </w:p>
        </w:tc>
      </w:tr>
      <w:tr>
        <w:trPr>
          <w:trHeight w:val="217"/>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net of reinsurance recoverables</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78,874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81,509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72,959</w:t>
            </w:r>
          </w:p>
        </w:tc>
      </w:tr>
      <w:tr>
        <w:trPr>
          <w:trHeight w:val="244"/>
        </w:trPr>
        <w:tc>
          <w:tcPr>
            <w:tcW w:w="5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claims incurred:</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4"/>
        </w:trPr>
        <w:tc>
          <w:tcPr>
            <w:tcW w:w="5300" w:type="dxa"/>
            <w:vAlign w:val="bottom"/>
          </w:tcPr>
          <w:p>
            <w:pPr>
              <w:ind w:left="220"/>
              <w:spacing w:after="0"/>
              <w:rPr>
                <w:sz w:val="20"/>
                <w:szCs w:val="20"/>
                <w:color w:val="auto"/>
              </w:rPr>
            </w:pPr>
            <w:r>
              <w:rPr>
                <w:rFonts w:ascii="Arial" w:cs="Arial" w:eastAsia="Arial" w:hAnsi="Arial"/>
                <w:sz w:val="18"/>
                <w:szCs w:val="18"/>
                <w:color w:val="auto"/>
              </w:rPr>
              <w:t>Claims and claim (benefits) expenses incurred:</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5"/>
        </w:trPr>
        <w:tc>
          <w:tcPr>
            <w:tcW w:w="5300" w:type="dxa"/>
            <w:vAlign w:val="bottom"/>
            <w:shd w:val="clear" w:color="auto" w:fill="CCEEFF"/>
          </w:tcPr>
          <w:p>
            <w:pPr>
              <w:ind w:left="460"/>
              <w:spacing w:after="0" w:line="225"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19,275</w:t>
            </w:r>
          </w:p>
        </w:tc>
      </w:tr>
      <w:tr>
        <w:trPr>
          <w:trHeight w:val="224"/>
        </w:trPr>
        <w:tc>
          <w:tcPr>
            <w:tcW w:w="5300" w:type="dxa"/>
            <w:vAlign w:val="bottom"/>
            <w:tcBorders>
              <w:bottom w:val="single" w:sz="8" w:color="CCEEFF"/>
            </w:tcBorders>
          </w:tcPr>
          <w:p>
            <w:pPr>
              <w:ind w:left="460"/>
              <w:spacing w:after="0" w:line="224"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2"/>
                <w:szCs w:val="22"/>
                <w:color w:val="auto"/>
                <w:vertAlign w:val="superscript"/>
              </w:rPr>
              <w:t>(3)</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(6,469)</w:t>
            </w:r>
          </w:p>
        </w:tc>
      </w:tr>
      <w:tr>
        <w:trPr>
          <w:trHeight w:val="217"/>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claims and claim (benefits) expenses incurred</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12,806</w:t>
            </w:r>
          </w:p>
        </w:tc>
      </w:tr>
      <w:tr>
        <w:trPr>
          <w:trHeight w:val="244"/>
        </w:trPr>
        <w:tc>
          <w:tcPr>
            <w:tcW w:w="5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claims paid:</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4"/>
        </w:trPr>
        <w:tc>
          <w:tcPr>
            <w:tcW w:w="5300" w:type="dxa"/>
            <w:vAlign w:val="bottom"/>
          </w:tcPr>
          <w:p>
            <w:pPr>
              <w:ind w:left="220"/>
              <w:spacing w:after="0"/>
              <w:rPr>
                <w:sz w:val="20"/>
                <w:szCs w:val="20"/>
                <w:color w:val="auto"/>
              </w:rPr>
            </w:pPr>
            <w:r>
              <w:rPr>
                <w:rFonts w:ascii="Arial" w:cs="Arial" w:eastAsia="Arial" w:hAnsi="Arial"/>
                <w:sz w:val="18"/>
                <w:szCs w:val="18"/>
                <w:color w:val="auto"/>
              </w:rPr>
              <w:t>Claims and claim expenses paid:</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5"/>
        </w:trPr>
        <w:tc>
          <w:tcPr>
            <w:tcW w:w="5300" w:type="dxa"/>
            <w:vAlign w:val="bottom"/>
            <w:shd w:val="clear" w:color="auto" w:fill="CCEEFF"/>
          </w:tcPr>
          <w:p>
            <w:pPr>
              <w:ind w:left="460"/>
              <w:spacing w:after="0" w:line="225"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4"/>
        </w:trPr>
        <w:tc>
          <w:tcPr>
            <w:tcW w:w="5300" w:type="dxa"/>
            <w:vAlign w:val="bottom"/>
            <w:tcBorders>
              <w:bottom w:val="single" w:sz="8" w:color="CCEEFF"/>
            </w:tcBorders>
          </w:tcPr>
          <w:p>
            <w:pPr>
              <w:ind w:left="460"/>
              <w:spacing w:after="0" w:line="224"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2"/>
                <w:szCs w:val="22"/>
                <w:color w:val="auto"/>
                <w:vertAlign w:val="superscript"/>
              </w:rPr>
              <w:t>(3)</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r>
      <w:tr>
        <w:trPr>
          <w:trHeight w:val="217"/>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claims and claim expenses paid</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r>
      <w:tr>
        <w:trPr>
          <w:trHeight w:val="244"/>
        </w:trPr>
        <w:tc>
          <w:tcPr>
            <w:tcW w:w="5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at end of period, net of reinsurance recoverables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84,184</w:t>
            </w:r>
          </w:p>
        </w:tc>
      </w:tr>
      <w:tr>
        <w:trPr>
          <w:trHeight w:val="224"/>
        </w:trPr>
        <w:tc>
          <w:tcPr>
            <w:tcW w:w="530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2"/>
                <w:szCs w:val="22"/>
                <w:color w:val="auto"/>
                <w:vertAlign w:val="superscript"/>
              </w:rPr>
              <w:t>(1)</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20,420</w:t>
            </w:r>
          </w:p>
        </w:tc>
      </w:tr>
      <w:tr>
        <w:trPr>
          <w:trHeight w:val="242"/>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104,604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104,604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320" w:hanging="314"/>
        <w:spacing w:after="0" w:line="222" w:lineRule="auto"/>
        <w:tabs>
          <w:tab w:leader="none" w:pos="201"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Related to ceded losses recoverable under the QSR Transactions. See Item 1, "</w:t>
      </w:r>
      <w:r>
        <w:rPr>
          <w:rFonts w:ascii="Arial" w:cs="Arial" w:eastAsia="Arial" w:hAnsi="Arial"/>
          <w:sz w:val="14"/>
          <w:szCs w:val="14"/>
          <w:i w:val="1"/>
          <w:iCs w:val="1"/>
          <w:color w:val="auto"/>
        </w:rPr>
        <w:t>Financial Statements - Notes to Condensed Consolidated Financial Statements - Note 5, Reinsurance</w:t>
      </w:r>
      <w:r>
        <w:rPr>
          <w:rFonts w:ascii="Arial" w:cs="Arial" w:eastAsia="Arial" w:hAnsi="Arial"/>
          <w:sz w:val="14"/>
          <w:szCs w:val="14"/>
          <w:color w:val="auto"/>
        </w:rPr>
        <w:t>" for additional information.</w:t>
      </w:r>
    </w:p>
    <w:p>
      <w:pPr>
        <w:spacing w:after="0" w:line="1" w:lineRule="exact"/>
        <w:rPr>
          <w:rFonts w:ascii="Arial" w:cs="Arial" w:eastAsia="Arial" w:hAnsi="Arial"/>
          <w:sz w:val="18"/>
          <w:szCs w:val="18"/>
          <w:color w:val="auto"/>
          <w:vertAlign w:val="superscript"/>
        </w:rPr>
      </w:pPr>
    </w:p>
    <w:p>
      <w:pPr>
        <w:ind w:left="320" w:hanging="314"/>
        <w:spacing w:after="0" w:line="254" w:lineRule="auto"/>
        <w:tabs>
          <w:tab w:leader="none" w:pos="133" w:val="left"/>
        </w:tabs>
        <w:numPr>
          <w:ilvl w:val="0"/>
          <w:numId w:val="19"/>
        </w:numPr>
        <w:rPr>
          <w:rFonts w:ascii="Arial" w:cs="Arial" w:eastAsia="Arial" w:hAnsi="Arial"/>
          <w:sz w:val="9"/>
          <w:szCs w:val="9"/>
          <w:color w:val="auto"/>
        </w:rPr>
      </w:pPr>
      <w:r>
        <w:rPr>
          <w:rFonts w:ascii="Arial" w:cs="Arial" w:eastAsia="Arial" w:hAnsi="Arial"/>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$23.3 million attributed to net case reserves and $4.2 million attributed to net IBNR reserves for the nine months ended September 30, 2022 and $14.0 million attributed to net case reserves and $4.8 million attributed to net IBNR reserves for the nine months ended September 30, 2021.</w:t>
      </w:r>
    </w:p>
    <w:p>
      <w:pPr>
        <w:ind w:left="320" w:hanging="314"/>
        <w:spacing w:after="0" w:line="280" w:lineRule="auto"/>
        <w:tabs>
          <w:tab w:leader="none" w:pos="133" w:val="left"/>
        </w:tabs>
        <w:numPr>
          <w:ilvl w:val="0"/>
          <w:numId w:val="19"/>
        </w:numPr>
        <w:rPr>
          <w:rFonts w:ascii="Arial" w:cs="Arial" w:eastAsia="Arial" w:hAnsi="Arial"/>
          <w:sz w:val="15"/>
          <w:szCs w:val="15"/>
          <w:color w:val="auto"/>
          <w:vertAlign w:val="superscript"/>
        </w:rPr>
      </w:pPr>
      <w:r>
        <w:rPr>
          <w:rFonts w:ascii="Arial" w:cs="Arial" w:eastAsia="Arial" w:hAnsi="Arial"/>
          <w:sz w:val="12"/>
          <w:szCs w:val="12"/>
          <w:color w:val="auto"/>
        </w:rPr>
        <w:t>Related to insured loans with defaults occurring in prior years, which have been continuously in default before the start of the current year. Amounts are presented net of reinsurance and included $29.2 million attributed to net case reserves and $4.7 million attributed to net IBNR reserves for the nine months ended September 30, 2022 and $1.8 million attributed to net case reserves and $5.0 million attributed to net IBNR reserves for the nine months ended September 30, 2021.</w:t>
      </w:r>
    </w:p>
    <w:p>
      <w:pPr>
        <w:spacing w:after="0" w:line="372"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The "claims incurred" section of the table above shows claims and claim (benefits)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$58.9 million related to prior year defaults remained as of September 30, 2022.</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42" w:name="page43"/>
    <w:bookmarkEnd w:id="42"/>
    <w:p>
      <w:pPr>
        <w:ind w:left="640"/>
        <w:spacing w:after="0"/>
        <w:rPr>
          <w:sz w:val="20"/>
          <w:szCs w:val="20"/>
          <w:color w:val="auto"/>
        </w:rPr>
      </w:pPr>
      <w:r>
        <w:rPr>
          <w:rFonts w:ascii="Arial" w:cs="Arial" w:eastAsia="Arial" w:hAnsi="Arial"/>
          <w:sz w:val="18"/>
          <w:szCs w:val="18"/>
          <w:color w:val="auto"/>
        </w:rPr>
        <w:t>The following table provides a reconciliation of the beginning and ending count of loans in default: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60" w:type="dxa"/>
            <w:vAlign w:val="bottom"/>
          </w:tcPr>
          <w:p>
            <w:pPr>
              <w:spacing w:after="0"/>
              <w:rPr>
                <w:sz w:val="15"/>
                <w:szCs w:val="15"/>
                <w:color w:val="auto"/>
              </w:rPr>
            </w:pPr>
          </w:p>
        </w:tc>
        <w:tc>
          <w:tcPr>
            <w:tcW w:w="3180" w:type="dxa"/>
            <w:vAlign w:val="bottom"/>
            <w:gridSpan w:val="4"/>
          </w:tcPr>
          <w:p>
            <w:pPr>
              <w:ind w:left="720"/>
              <w:spacing w:after="0"/>
              <w:rPr>
                <w:sz w:val="20"/>
                <w:szCs w:val="20"/>
                <w:color w:val="auto"/>
              </w:rPr>
            </w:pPr>
            <w:r>
              <w:rPr>
                <w:rFonts w:ascii="Arial" w:cs="Arial" w:eastAsia="Arial" w:hAnsi="Arial"/>
                <w:sz w:val="14"/>
                <w:szCs w:val="14"/>
                <w:b w:val="1"/>
                <w:bCs w:val="1"/>
                <w:color w:val="auto"/>
              </w:rPr>
              <w:t>For the three months ended</w:t>
            </w:r>
          </w:p>
        </w:tc>
        <w:tc>
          <w:tcPr>
            <w:tcW w:w="3100" w:type="dxa"/>
            <w:vAlign w:val="bottom"/>
            <w:gridSpan w:val="3"/>
          </w:tcPr>
          <w:p>
            <w:pPr>
              <w:jc w:val="right"/>
              <w:ind w:right="655"/>
              <w:spacing w:after="0"/>
              <w:rPr>
                <w:sz w:val="20"/>
                <w:szCs w:val="20"/>
                <w:color w:val="auto"/>
              </w:rPr>
            </w:pPr>
            <w:r>
              <w:rPr>
                <w:rFonts w:ascii="Arial" w:cs="Arial" w:eastAsia="Arial" w:hAnsi="Arial"/>
                <w:sz w:val="14"/>
                <w:szCs w:val="14"/>
                <w:b w:val="1"/>
                <w:bCs w:val="1"/>
                <w:color w:val="auto"/>
              </w:rPr>
              <w:t>For the nine months ended</w:t>
            </w:r>
          </w:p>
        </w:tc>
      </w:tr>
      <w:tr>
        <w:trPr>
          <w:trHeight w:val="24"/>
        </w:trPr>
        <w:tc>
          <w:tcPr>
            <w:tcW w:w="49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184"/>
        </w:trPr>
        <w:tc>
          <w:tcPr>
            <w:tcW w:w="4960" w:type="dxa"/>
            <w:vAlign w:val="bottom"/>
          </w:tcPr>
          <w:p>
            <w:pPr>
              <w:spacing w:after="0"/>
              <w:rPr>
                <w:sz w:val="16"/>
                <w:szCs w:val="16"/>
                <w:color w:val="auto"/>
              </w:rPr>
            </w:pPr>
          </w:p>
        </w:tc>
        <w:tc>
          <w:tcPr>
            <w:tcW w:w="158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September 30, 2022</w:t>
            </w:r>
          </w:p>
        </w:tc>
        <w:tc>
          <w:tcPr>
            <w:tcW w:w="1520" w:type="dxa"/>
            <w:vAlign w:val="bottom"/>
            <w:tcBorders>
              <w:top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16"/>
                <w:szCs w:val="16"/>
                <w:color w:val="auto"/>
              </w:rPr>
            </w:pPr>
          </w:p>
        </w:tc>
        <w:tc>
          <w:tcPr>
            <w:tcW w:w="160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September 30, 2022</w:t>
            </w:r>
          </w:p>
        </w:tc>
        <w:tc>
          <w:tcPr>
            <w:tcW w:w="1500" w:type="dxa"/>
            <w:vAlign w:val="bottom"/>
            <w:tcBorders>
              <w:top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September 30, 2021</w:t>
            </w:r>
          </w:p>
        </w:tc>
      </w:tr>
      <w:tr>
        <w:trPr>
          <w:trHeight w:val="224"/>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default inventory</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8,764</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12,209</w:t>
            </w:r>
          </w:p>
        </w:tc>
      </w:tr>
      <w:tr>
        <w:trPr>
          <w:trHeight w:val="224"/>
        </w:trPr>
        <w:tc>
          <w:tcPr>
            <w:tcW w:w="4960" w:type="dxa"/>
            <w:vAlign w:val="bottom"/>
          </w:tcPr>
          <w:p>
            <w:pPr>
              <w:ind w:left="20"/>
              <w:spacing w:after="0"/>
              <w:rPr>
                <w:sz w:val="20"/>
                <w:szCs w:val="20"/>
                <w:color w:val="auto"/>
              </w:rPr>
            </w:pPr>
            <w:r>
              <w:rPr>
                <w:rFonts w:ascii="Arial" w:cs="Arial" w:eastAsia="Arial" w:hAnsi="Arial"/>
                <w:sz w:val="18"/>
                <w:szCs w:val="18"/>
                <w:color w:val="auto"/>
              </w:rPr>
              <w:t>Plus: new defaults</w:t>
            </w:r>
          </w:p>
        </w:tc>
        <w:tc>
          <w:tcPr>
            <w:tcW w:w="1500" w:type="dxa"/>
            <w:vAlign w:val="bottom"/>
          </w:tcPr>
          <w:p>
            <w:pPr>
              <w:jc w:val="right"/>
              <w:spacing w:after="0"/>
              <w:rPr>
                <w:sz w:val="20"/>
                <w:szCs w:val="20"/>
                <w:color w:val="auto"/>
              </w:rPr>
            </w:pPr>
            <w:r>
              <w:rPr>
                <w:rFonts w:ascii="Arial" w:cs="Arial" w:eastAsia="Arial" w:hAnsi="Arial"/>
                <w:sz w:val="18"/>
                <w:szCs w:val="18"/>
                <w:color w:val="auto"/>
              </w:rPr>
              <w:t>1,354</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1,624</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3,586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4,486</w:t>
            </w:r>
          </w:p>
        </w:tc>
      </w:tr>
      <w:tr>
        <w:trPr>
          <w:trHeight w:val="225"/>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cures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w:t>
            </w:r>
          </w:p>
        </w:tc>
      </w:tr>
      <w:tr>
        <w:trPr>
          <w:trHeight w:val="224"/>
        </w:trPr>
        <w:tc>
          <w:tcPr>
            <w:tcW w:w="4960" w:type="dxa"/>
            <w:vAlign w:val="bottom"/>
          </w:tcPr>
          <w:p>
            <w:pPr>
              <w:ind w:left="20"/>
              <w:spacing w:after="0"/>
              <w:rPr>
                <w:sz w:val="20"/>
                <w:szCs w:val="20"/>
                <w:color w:val="auto"/>
              </w:rPr>
            </w:pPr>
            <w:r>
              <w:rPr>
                <w:rFonts w:ascii="Arial" w:cs="Arial" w:eastAsia="Arial" w:hAnsi="Arial"/>
                <w:sz w:val="18"/>
                <w:szCs w:val="18"/>
                <w:color w:val="auto"/>
              </w:rPr>
              <w:t>Less: claims paid</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5"/>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rescission and claims denied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7"/>
        </w:trPr>
        <w:tc>
          <w:tcPr>
            <w:tcW w:w="4960" w:type="dxa"/>
            <w:vAlign w:val="bottom"/>
          </w:tcPr>
          <w:p>
            <w:pPr>
              <w:ind w:left="20"/>
              <w:spacing w:after="0"/>
              <w:rPr>
                <w:sz w:val="20"/>
                <w:szCs w:val="20"/>
                <w:color w:val="auto"/>
              </w:rPr>
            </w:pPr>
            <w:r>
              <w:rPr>
                <w:rFonts w:ascii="Arial" w:cs="Arial" w:eastAsia="Arial" w:hAnsi="Arial"/>
                <w:sz w:val="18"/>
                <w:szCs w:val="18"/>
                <w:color w:val="auto"/>
              </w:rPr>
              <w:t>Ending default inventory</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4,096</w:t>
            </w:r>
          </w:p>
        </w:tc>
        <w:tc>
          <w:tcPr>
            <w:tcW w:w="8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7,670</w:t>
            </w:r>
          </w:p>
        </w:tc>
        <w:tc>
          <w:tcPr>
            <w:tcW w:w="8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4,096</w:t>
            </w:r>
          </w:p>
        </w:tc>
        <w:tc>
          <w:tcPr>
            <w:tcW w:w="1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7,670</w:t>
            </w:r>
          </w:p>
        </w:tc>
      </w:tr>
    </w:tbl>
    <w:p>
      <w:pPr>
        <w:spacing w:after="0" w:line="238"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Ending default inventory declined from September 30, 2021 to September 30, 2022 as borrowers initially impacted by the COVID-19 pandemic continued to cure their delinquencies, and fewer new defaults emerged as the acute economic stress of the pandemic crisis continued to recede. While our default population declined from September 30, 2021 to September 30, 2022, our default inventory remains elevated compared to historical experience due to the continued challenges certain borrowers are facing related to the COVID-19 pandemic and their decision to access the forbearance program for federally backed loans codified under the CARES Act or similar programs made available by private lenders. As of September 30, 2022, 2,145 of our 4,096 defaulted loans were in a COVID-19 related forbearance program.</w:t>
      </w:r>
    </w:p>
    <w:p>
      <w:pPr>
        <w:spacing w:after="0" w:line="193"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 following table provides details of our claims paid, before giving effect to claims ceded under the QSR Transactions and ILN Transactions,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20" w:type="dxa"/>
            <w:vAlign w:val="bottom"/>
            <w:gridSpan w:val="4"/>
          </w:tcPr>
          <w:p>
            <w:pPr>
              <w:ind w:left="66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5"/>
                <w:szCs w:val="15"/>
                <w:color w:val="auto"/>
              </w:rPr>
            </w:pPr>
          </w:p>
        </w:tc>
        <w:tc>
          <w:tcPr>
            <w:tcW w:w="3080" w:type="dxa"/>
            <w:vAlign w:val="bottom"/>
            <w:gridSpan w:val="3"/>
          </w:tcPr>
          <w:p>
            <w:pPr>
              <w:jc w:val="right"/>
              <w:ind w:right="716"/>
              <w:spacing w:after="0"/>
              <w:rPr>
                <w:sz w:val="20"/>
                <w:szCs w:val="20"/>
                <w:color w:val="auto"/>
              </w:rPr>
            </w:pPr>
            <w:r>
              <w:rPr>
                <w:rFonts w:ascii="Arial" w:cs="Arial" w:eastAsia="Arial" w:hAnsi="Arial"/>
                <w:sz w:val="14"/>
                <w:szCs w:val="14"/>
                <w:b w:val="1"/>
                <w:bCs w:val="1"/>
                <w:color w:val="auto"/>
              </w:rPr>
              <w:t>For the nine months ended</w:t>
            </w:r>
          </w:p>
        </w:tc>
      </w:tr>
      <w:tr>
        <w:trPr>
          <w:trHeight w:val="24"/>
        </w:trPr>
        <w:tc>
          <w:tcPr>
            <w:tcW w:w="4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4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w w:val="91"/>
              </w:rPr>
              <w:t>September 30, 2022</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91"/>
              </w:rPr>
              <w:t>September 30, 2022</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1"/>
              </w:rPr>
              <w:t>September 30, 2021</w:t>
            </w:r>
          </w:p>
        </w:tc>
      </w:tr>
      <w:tr>
        <w:trPr>
          <w:trHeight w:val="189"/>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4"/>
          </w:tcPr>
          <w:p>
            <w:pPr>
              <w:jc w:val="right"/>
              <w:ind w:right="1118"/>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3"/>
        </w:trPr>
        <w:tc>
          <w:tcPr>
            <w:tcW w:w="464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 xml:space="preserve">Number of claims paid </w:t>
            </w:r>
            <w:r>
              <w:rPr>
                <w:rFonts w:ascii="Arial" w:cs="Arial" w:eastAsia="Arial" w:hAnsi="Arial"/>
                <w:sz w:val="22"/>
                <w:szCs w:val="22"/>
                <w:color w:val="auto"/>
                <w:vertAlign w:val="superscript"/>
              </w:rPr>
              <w:t>(1)</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59</w:t>
            </w:r>
          </w:p>
        </w:tc>
      </w:tr>
      <w:tr>
        <w:trPr>
          <w:trHeight w:val="224"/>
        </w:trPr>
        <w:tc>
          <w:tcPr>
            <w:tcW w:w="4640" w:type="dxa"/>
            <w:vAlign w:val="bottom"/>
          </w:tcPr>
          <w:p>
            <w:pPr>
              <w:ind w:left="20"/>
              <w:spacing w:after="0"/>
              <w:rPr>
                <w:sz w:val="20"/>
                <w:szCs w:val="20"/>
                <w:color w:val="auto"/>
              </w:rPr>
            </w:pPr>
            <w:r>
              <w:rPr>
                <w:rFonts w:ascii="Arial" w:cs="Arial" w:eastAsia="Arial" w:hAnsi="Arial"/>
                <w:sz w:val="18"/>
                <w:szCs w:val="18"/>
                <w:color w:val="auto"/>
              </w:rPr>
              <w:t>Total amount paid for claims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78"/>
              <w:spacing w:after="0"/>
              <w:rPr>
                <w:sz w:val="20"/>
                <w:szCs w:val="20"/>
                <w:color w:val="auto"/>
              </w:rPr>
            </w:pPr>
            <w:r>
              <w:rPr>
                <w:rFonts w:ascii="Arial" w:cs="Arial" w:eastAsia="Arial" w:hAnsi="Arial"/>
                <w:sz w:val="18"/>
                <w:szCs w:val="18"/>
                <w:color w:val="auto"/>
              </w:rPr>
              <w:t>376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8"/>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78"/>
              <w:spacing w:after="0"/>
              <w:rPr>
                <w:sz w:val="20"/>
                <w:szCs w:val="20"/>
                <w:color w:val="auto"/>
              </w:rPr>
            </w:pPr>
            <w:r>
              <w:rPr>
                <w:rFonts w:ascii="Arial" w:cs="Arial" w:eastAsia="Arial" w:hAnsi="Arial"/>
                <w:sz w:val="18"/>
                <w:szCs w:val="18"/>
                <w:color w:val="auto"/>
              </w:rPr>
              <w:t>1,249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6"/>
              <w:spacing w:after="0"/>
              <w:rPr>
                <w:sz w:val="20"/>
                <w:szCs w:val="20"/>
                <w:color w:val="auto"/>
              </w:rPr>
            </w:pPr>
            <w:r>
              <w:rPr>
                <w:rFonts w:ascii="Arial" w:cs="Arial" w:eastAsia="Arial" w:hAnsi="Arial"/>
                <w:sz w:val="18"/>
                <w:szCs w:val="18"/>
                <w:color w:val="auto"/>
              </w:rPr>
              <w:t>1,982</w:t>
            </w:r>
          </w:p>
        </w:tc>
      </w:tr>
      <w:tr>
        <w:trPr>
          <w:trHeight w:val="225"/>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amount paid per claim</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34</w:t>
            </w:r>
          </w:p>
        </w:tc>
      </w:tr>
      <w:tr>
        <w:trPr>
          <w:trHeight w:val="298"/>
        </w:trPr>
        <w:tc>
          <w:tcPr>
            <w:tcW w:w="4640" w:type="dxa"/>
            <w:vAlign w:val="bottom"/>
          </w:tcPr>
          <w:p>
            <w:pPr>
              <w:ind w:left="20"/>
              <w:spacing w:after="0"/>
              <w:rPr>
                <w:sz w:val="20"/>
                <w:szCs w:val="20"/>
                <w:color w:val="auto"/>
              </w:rPr>
            </w:pPr>
            <w:r>
              <w:rPr>
                <w:rFonts w:ascii="Arial" w:cs="Arial" w:eastAsia="Arial" w:hAnsi="Arial"/>
                <w:sz w:val="18"/>
                <w:szCs w:val="18"/>
                <w:color w:val="auto"/>
              </w:rPr>
              <w:t xml:space="preserve">Severity </w:t>
            </w:r>
            <w:r>
              <w:rPr>
                <w:rFonts w:ascii="Arial" w:cs="Arial" w:eastAsia="Arial" w:hAnsi="Arial"/>
                <w:sz w:val="22"/>
                <w:szCs w:val="22"/>
                <w:color w:val="auto"/>
                <w:vertAlign w:val="superscript"/>
              </w:rPr>
              <w:t>(2)</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55 %</w:t>
            </w: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46 %</w:t>
            </w: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60 %</w:t>
            </w:r>
          </w:p>
        </w:tc>
      </w:tr>
    </w:tbl>
    <w:p>
      <w:pPr>
        <w:spacing w:after="0" w:line="197" w:lineRule="exact"/>
        <w:rPr>
          <w:sz w:val="20"/>
          <w:szCs w:val="20"/>
          <w:color w:val="auto"/>
        </w:rPr>
      </w:pPr>
    </w:p>
    <w:p>
      <w:pPr>
        <w:ind w:left="320" w:hanging="314"/>
        <w:spacing w:after="0" w:line="222" w:lineRule="auto"/>
        <w:tabs>
          <w:tab w:leader="none" w:pos="261"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Count includes three and 19 claims settled without payment during the three and nine months ended September 30, 2022, respectively, and six and ten claims settled without payment during the three and nine months ended September 30, 2021, respectively.</w:t>
      </w:r>
    </w:p>
    <w:p>
      <w:pPr>
        <w:spacing w:after="0" w:line="1" w:lineRule="exact"/>
        <w:rPr>
          <w:rFonts w:ascii="Arial" w:cs="Arial" w:eastAsia="Arial" w:hAnsi="Arial"/>
          <w:sz w:val="18"/>
          <w:szCs w:val="18"/>
          <w:color w:val="auto"/>
          <w:vertAlign w:val="superscript"/>
        </w:rPr>
      </w:pPr>
    </w:p>
    <w:p>
      <w:pPr>
        <w:ind w:left="320" w:hanging="314"/>
        <w:spacing w:after="0" w:line="264" w:lineRule="auto"/>
        <w:tabs>
          <w:tab w:leader="none" w:pos="281" w:val="left"/>
        </w:tabs>
        <w:numPr>
          <w:ilvl w:val="0"/>
          <w:numId w:val="20"/>
        </w:numPr>
        <w:rPr>
          <w:rFonts w:ascii="Arial" w:cs="Arial" w:eastAsia="Arial" w:hAnsi="Arial"/>
          <w:sz w:val="9"/>
          <w:szCs w:val="9"/>
          <w:color w:val="auto"/>
        </w:rPr>
      </w:pPr>
      <w:r>
        <w:rPr>
          <w:rFonts w:ascii="Arial" w:cs="Arial" w:eastAsia="Arial" w:hAnsi="Arial"/>
          <w:sz w:val="14"/>
          <w:szCs w:val="14"/>
          <w:color w:val="auto"/>
        </w:rPr>
        <w:t>Severity represents the total amount of claims paid including claim expenses divided by the related RIF on the loan at the time the claim is perfected, and is calculated including claims settled without payment.</w:t>
      </w:r>
    </w:p>
    <w:p>
      <w:pPr>
        <w:spacing w:after="0" w:line="220" w:lineRule="exact"/>
        <w:rPr>
          <w:sz w:val="20"/>
          <w:szCs w:val="20"/>
          <w:color w:val="auto"/>
        </w:rPr>
      </w:pPr>
    </w:p>
    <w:p>
      <w:pPr>
        <w:jc w:val="both"/>
        <w:ind w:firstLine="633"/>
        <w:spacing w:after="0" w:line="283" w:lineRule="auto"/>
        <w:rPr>
          <w:sz w:val="20"/>
          <w:szCs w:val="20"/>
          <w:color w:val="auto"/>
        </w:rPr>
      </w:pPr>
      <w:r>
        <w:rPr>
          <w:rFonts w:ascii="Arial" w:cs="Arial" w:eastAsia="Arial" w:hAnsi="Arial"/>
          <w:sz w:val="16"/>
          <w:szCs w:val="16"/>
          <w:color w:val="auto"/>
        </w:rPr>
        <w:t>We paid 16 and 59 claims during the three and nine months ended September 30, 2022, respectively, and 24 and 59 claims during the three and nine months ended September 30, 2021, respectively. The number of claims paid was modest relative to the size of our insured portfolio and number of defaulted loans we reported in each period, primarily due to the forbearance program and foreclosure moratorium implemented by the GSEs in response to the COVID-19 pandemic and codified under the CARES Act. Such forbearance and foreclosure programs have extended, and may ultimately interrupt, the timeline over which loans would otherwise progress through the default cycle to a paid claim. Our claims paid experience for the three and nine months ended September 30, 2022 and 2021, further benefited from broad national house price appreciation. An increase in the value of the homes collateralizing the mortgages we insure provides defaulted borrowers with alternative paths and incentives to cure their loan prior to the development of a claim.</w:t>
      </w:r>
    </w:p>
    <w:p>
      <w:pPr>
        <w:spacing w:after="0" w:line="196"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Our claims severity for the three and nine months ended September 30, 2022 was 55% and 46%, respectively, compared to 55% and 60% for the three and nine months ended September 30, 2021, respectively. Claims severity for the three and nine months ended September 30, 2022 and 2021 remained low compared to historical industry experience, primarily because of the same broad national house price appreciation that our claims paid benefit from. An increase in the value of the homes collateralizing the mortgages we insure provides additional equity support to our risk exposure and raises the prospect of a third-party sale of a foreclosed property, which can mitigate the severity of our settled claims.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43" w:name="page44"/>
    <w:bookmarkEnd w:id="43"/>
    <w:p>
      <w:pPr>
        <w:ind w:firstLine="633"/>
        <w:spacing w:after="0" w:line="262" w:lineRule="auto"/>
        <w:rPr>
          <w:sz w:val="20"/>
          <w:szCs w:val="20"/>
          <w:color w:val="auto"/>
        </w:rPr>
      </w:pPr>
      <w:r>
        <w:rPr>
          <w:rFonts w:ascii="Arial" w:cs="Arial" w:eastAsia="Arial" w:hAnsi="Arial"/>
          <w:sz w:val="18"/>
          <w:szCs w:val="18"/>
          <w:color w:val="auto"/>
        </w:rPr>
        <w:t>The following table provides detail on our average reserve per default, before giving effect to reserves ceded under the QSR Transactions, as of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Average reserve per default:</w:t>
            </w:r>
          </w:p>
        </w:tc>
        <w:tc>
          <w:tcPr>
            <w:tcW w:w="200" w:type="dxa"/>
            <w:vAlign w:val="bottom"/>
          </w:tcPr>
          <w:p>
            <w:pPr>
              <w:spacing w:after="0"/>
              <w:rPr>
                <w:sz w:val="15"/>
                <w:szCs w:val="15"/>
                <w:color w:val="auto"/>
              </w:rPr>
            </w:pPr>
          </w:p>
        </w:tc>
        <w:tc>
          <w:tcPr>
            <w:tcW w:w="2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 September 30, 2022</w:t>
            </w:r>
          </w:p>
        </w:tc>
        <w:tc>
          <w:tcPr>
            <w:tcW w:w="220" w:type="dxa"/>
            <w:vAlign w:val="bottom"/>
          </w:tcPr>
          <w:p>
            <w:pPr>
              <w:spacing w:after="0"/>
              <w:rPr>
                <w:sz w:val="15"/>
                <w:szCs w:val="15"/>
                <w:color w:val="auto"/>
              </w:rPr>
            </w:pPr>
          </w:p>
        </w:tc>
        <w:tc>
          <w:tcPr>
            <w:tcW w:w="1940" w:type="dxa"/>
            <w:vAlign w:val="bottom"/>
          </w:tcPr>
          <w:p>
            <w:pPr>
              <w:jc w:val="right"/>
              <w:ind w:right="236"/>
              <w:spacing w:after="0"/>
              <w:rPr>
                <w:sz w:val="20"/>
                <w:szCs w:val="20"/>
                <w:color w:val="auto"/>
              </w:rPr>
            </w:pPr>
            <w:r>
              <w:rPr>
                <w:rFonts w:ascii="Arial" w:cs="Arial" w:eastAsia="Arial" w:hAnsi="Arial"/>
                <w:sz w:val="14"/>
                <w:szCs w:val="14"/>
                <w:b w:val="1"/>
                <w:bCs w:val="1"/>
                <w:color w:val="auto"/>
                <w:w w:val="94"/>
              </w:rPr>
              <w:t>As of September 30, 2021</w:t>
            </w:r>
          </w:p>
        </w:tc>
      </w:tr>
      <w:tr>
        <w:trPr>
          <w:trHeight w:val="24"/>
        </w:trPr>
        <w:tc>
          <w:tcPr>
            <w:tcW w:w="6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gridSpan w:val="4"/>
          </w:tcPr>
          <w:p>
            <w:pPr>
              <w:spacing w:after="0"/>
              <w:rPr>
                <w:sz w:val="2"/>
                <w:szCs w:val="2"/>
                <w:color w:val="auto"/>
              </w:rPr>
            </w:pPr>
          </w:p>
        </w:tc>
      </w:tr>
      <w:tr>
        <w:trPr>
          <w:trHeight w:val="182"/>
        </w:trPr>
        <w:tc>
          <w:tcPr>
            <w:tcW w:w="6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0" w:type="dxa"/>
            <w:vAlign w:val="bottom"/>
            <w:gridSpan w:val="4"/>
          </w:tcPr>
          <w:p>
            <w:pPr>
              <w:jc w:val="right"/>
              <w:ind w:right="1696"/>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682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 xml:space="preserve">Case </w:t>
            </w:r>
            <w:r>
              <w:rPr>
                <w:rFonts w:ascii="Arial" w:cs="Arial" w:eastAsia="Arial" w:hAnsi="Arial"/>
                <w:sz w:val="22"/>
                <w:szCs w:val="22"/>
                <w:color w:val="auto"/>
                <w:vertAlign w:val="superscript"/>
              </w:rPr>
              <w:t>(1)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4"/>
        </w:trPr>
        <w:tc>
          <w:tcPr>
            <w:tcW w:w="682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25"/>
                <w:szCs w:val="25"/>
                <w:color w:val="auto"/>
                <w:vertAlign w:val="subscript"/>
              </w:rPr>
              <w:t>IBNR</w:t>
            </w:r>
            <w:r>
              <w:rPr>
                <w:rFonts w:ascii="Arial" w:cs="Arial" w:eastAsia="Arial" w:hAnsi="Arial"/>
                <w:sz w:val="10"/>
                <w:szCs w:val="10"/>
                <w:color w:val="auto"/>
              </w:rPr>
              <w:t xml:space="preserve"> (1)(2)</w:t>
            </w: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bl>
    <w:p>
      <w:pPr>
        <w:spacing w:after="0" w:line="204" w:lineRule="exact"/>
        <w:rPr>
          <w:sz w:val="20"/>
          <w:szCs w:val="20"/>
          <w:color w:val="auto"/>
        </w:rPr>
      </w:pPr>
    </w:p>
    <w:p>
      <w:pPr>
        <w:ind w:left="200" w:hanging="194"/>
        <w:spacing w:after="0"/>
        <w:tabs>
          <w:tab w:leader="none" w:pos="20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Defined as the gross reserve per insured loan in default.</w:t>
      </w:r>
    </w:p>
    <w:p>
      <w:pPr>
        <w:spacing w:after="0" w:line="4" w:lineRule="exact"/>
        <w:rPr>
          <w:rFonts w:ascii="Arial" w:cs="Arial" w:eastAsia="Arial" w:hAnsi="Arial"/>
          <w:sz w:val="18"/>
          <w:szCs w:val="18"/>
          <w:color w:val="auto"/>
          <w:vertAlign w:val="superscript"/>
        </w:rPr>
      </w:pPr>
    </w:p>
    <w:p>
      <w:pPr>
        <w:ind w:left="200" w:hanging="194"/>
        <w:spacing w:after="0" w:line="193" w:lineRule="auto"/>
        <w:tabs>
          <w:tab w:leader="none" w:pos="20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Amount includes claims adjustment expenses.</w:t>
      </w:r>
    </w:p>
    <w:p>
      <w:pPr>
        <w:spacing w:after="0" w:line="144"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Average reserve per default increased from September 30, 2021 to September 30, 2022 primarily due to the “aging” of early COVID-related defaults. While we have generally established lower reserves for defaults that we consider to be connected to the COVID-19 pandemic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 we have increased such reserves over time as individual defaults remain outstanding or “age.” The increased average reserve per default at September 30, 2022 also reflects an incrementally conservative set of assumptions about future macroeconomic and housing market conditions compared to those assumed at September 30, 2021.</w:t>
      </w:r>
    </w:p>
    <w:p>
      <w:pPr>
        <w:spacing w:after="0" w:line="193" w:lineRule="exact"/>
        <w:rPr>
          <w:sz w:val="20"/>
          <w:szCs w:val="20"/>
          <w:color w:val="auto"/>
        </w:rPr>
      </w:pPr>
    </w:p>
    <w:p>
      <w:pPr>
        <w:jc w:val="both"/>
        <w:ind w:firstLine="673"/>
        <w:spacing w:after="0" w:line="262" w:lineRule="auto"/>
        <w:rPr>
          <w:sz w:val="20"/>
          <w:szCs w:val="20"/>
          <w:color w:val="auto"/>
        </w:rPr>
      </w:pPr>
      <w:r>
        <w:rPr>
          <w:rFonts w:ascii="Arial" w:cs="Arial" w:eastAsia="Arial" w:hAnsi="Arial"/>
          <w:sz w:val="18"/>
          <w:szCs w:val="18"/>
          <w:color w:val="auto"/>
        </w:rPr>
        <w:t>While average reserve per default increased from September 30, 2021 to September 30, 2022, our aggregate gross reserve position declined in the intervening period due to the significant decline in our total default inventory.</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GSE Oversight</w:t>
      </w:r>
    </w:p>
    <w:p>
      <w:pPr>
        <w:spacing w:after="0" w:line="162" w:lineRule="exact"/>
        <w:rPr>
          <w:sz w:val="20"/>
          <w:szCs w:val="20"/>
          <w:color w:val="auto"/>
        </w:rPr>
      </w:pPr>
    </w:p>
    <w:p>
      <w:pPr>
        <w:jc w:val="both"/>
        <w:ind w:firstLine="673"/>
        <w:spacing w:after="0" w:line="287" w:lineRule="auto"/>
        <w:rPr>
          <w:sz w:val="20"/>
          <w:szCs w:val="20"/>
          <w:color w:val="auto"/>
        </w:rPr>
      </w:pPr>
      <w:r>
        <w:rPr>
          <w:rFonts w:ascii="Arial" w:cs="Arial" w:eastAsia="Arial" w:hAnsi="Arial"/>
          <w:sz w:val="16"/>
          <w:szCs w:val="16"/>
          <w:color w:val="auto"/>
        </w:rPr>
        <w:t xml:space="preserve">As an </w:t>
      </w:r>
      <w:r>
        <w:rPr>
          <w:rFonts w:ascii="Arial" w:cs="Arial" w:eastAsia="Arial" w:hAnsi="Arial"/>
          <w:sz w:val="16"/>
          <w:szCs w:val="16"/>
          <w:i w:val="1"/>
          <w:iCs w:val="1"/>
          <w:color w:val="auto"/>
        </w:rPr>
        <w:t>approved insurer</w:t>
      </w:r>
      <w:r>
        <w:rPr>
          <w:rFonts w:ascii="Arial" w:cs="Arial" w:eastAsia="Arial" w:hAnsi="Arial"/>
          <w:sz w:val="16"/>
          <w:szCs w:val="16"/>
          <w:color w:val="auto"/>
        </w:rPr>
        <w:t>, NMIC is subject to ongoing compliance with the PMIERs established by each of the GSEs (</w:t>
      </w:r>
      <w:r>
        <w:rPr>
          <w:rFonts w:ascii="Arial" w:cs="Arial" w:eastAsia="Arial" w:hAnsi="Arial"/>
          <w:sz w:val="16"/>
          <w:szCs w:val="16"/>
          <w:i w:val="1"/>
          <w:iCs w:val="1"/>
          <w:color w:val="auto"/>
        </w:rPr>
        <w:t>italicized</w:t>
      </w:r>
      <w:r>
        <w:rPr>
          <w:rFonts w:ascii="Arial" w:cs="Arial" w:eastAsia="Arial" w:hAnsi="Arial"/>
          <w:sz w:val="16"/>
          <w:szCs w:val="16"/>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6"/>
          <w:szCs w:val="16"/>
          <w:i w:val="1"/>
          <w:iCs w:val="1"/>
          <w:color w:val="auto"/>
        </w:rPr>
        <w:t>approved insurers</w:t>
      </w:r>
      <w:r>
        <w:rPr>
          <w:rFonts w:ascii="Arial" w:cs="Arial" w:eastAsia="Arial" w:hAnsi="Arial"/>
          <w:sz w:val="16"/>
          <w:szCs w:val="16"/>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Arial" w:cs="Arial" w:eastAsia="Arial" w:hAnsi="Arial"/>
          <w:sz w:val="16"/>
          <w:szCs w:val="16"/>
          <w:i w:val="1"/>
          <w:iCs w:val="1"/>
          <w:color w:val="auto"/>
        </w:rPr>
        <w:t>i.e.,</w:t>
      </w:r>
      <w:r>
        <w:rPr>
          <w:rFonts w:ascii="Arial" w:cs="Arial" w:eastAsia="Arial" w:hAnsi="Arial"/>
          <w:sz w:val="16"/>
          <w:szCs w:val="16"/>
          <w:color w:val="auto"/>
        </w:rPr>
        <w:t xml:space="preserve"> current vs. delinquent), LTV ratio and other risk features. In general, higher quality loans carry lower asset charges.</w:t>
      </w:r>
    </w:p>
    <w:p>
      <w:pPr>
        <w:spacing w:after="0" w:line="113" w:lineRule="exact"/>
        <w:rPr>
          <w:sz w:val="20"/>
          <w:szCs w:val="20"/>
          <w:color w:val="auto"/>
        </w:rPr>
      </w:pPr>
    </w:p>
    <w:p>
      <w:pPr>
        <w:jc w:val="both"/>
        <w:ind w:firstLine="673"/>
        <w:spacing w:after="0" w:line="307" w:lineRule="auto"/>
        <w:rPr>
          <w:sz w:val="20"/>
          <w:szCs w:val="20"/>
          <w:color w:val="auto"/>
        </w:rPr>
      </w:pPr>
      <w:r>
        <w:rPr>
          <w:rFonts w:ascii="Arial" w:cs="Arial" w:eastAsia="Arial" w:hAnsi="Arial"/>
          <w:sz w:val="15"/>
          <w:szCs w:val="15"/>
          <w:color w:val="auto"/>
        </w:rPr>
        <w:t xml:space="preserve">Under the PMIERs, </w:t>
      </w:r>
      <w:r>
        <w:rPr>
          <w:rFonts w:ascii="Arial" w:cs="Arial" w:eastAsia="Arial" w:hAnsi="Arial"/>
          <w:sz w:val="15"/>
          <w:szCs w:val="15"/>
          <w:i w:val="1"/>
          <w:iCs w:val="1"/>
          <w:color w:val="auto"/>
        </w:rPr>
        <w:t>approved insurers</w:t>
      </w:r>
      <w:r>
        <w:rPr>
          <w:rFonts w:ascii="Arial" w:cs="Arial" w:eastAsia="Arial" w:hAnsi="Arial"/>
          <w:sz w:val="15"/>
          <w:szCs w:val="15"/>
          <w:color w:val="auto"/>
        </w:rPr>
        <w:t xml:space="preserve"> must maintain </w:t>
      </w:r>
      <w:r>
        <w:rPr>
          <w:rFonts w:ascii="Arial" w:cs="Arial" w:eastAsia="Arial" w:hAnsi="Arial"/>
          <w:sz w:val="15"/>
          <w:szCs w:val="15"/>
          <w:i w:val="1"/>
          <w:iCs w:val="1"/>
          <w:color w:val="auto"/>
        </w:rPr>
        <w:t>available assets</w:t>
      </w:r>
      <w:r>
        <w:rPr>
          <w:rFonts w:ascii="Arial" w:cs="Arial" w:eastAsia="Arial" w:hAnsi="Arial"/>
          <w:sz w:val="15"/>
          <w:szCs w:val="15"/>
          <w:color w:val="auto"/>
        </w:rPr>
        <w:t xml:space="preserve"> that equal or exceed </w:t>
      </w:r>
      <w:r>
        <w:rPr>
          <w:rFonts w:ascii="Arial" w:cs="Arial" w:eastAsia="Arial" w:hAnsi="Arial"/>
          <w:sz w:val="15"/>
          <w:szCs w:val="15"/>
          <w:i w:val="1"/>
          <w:iCs w:val="1"/>
          <w:color w:val="auto"/>
        </w:rPr>
        <w:t>minimum required assets</w:t>
      </w:r>
      <w:r>
        <w:rPr>
          <w:rFonts w:ascii="Arial" w:cs="Arial" w:eastAsia="Arial" w:hAnsi="Arial"/>
          <w:sz w:val="15"/>
          <w:szCs w:val="15"/>
          <w:color w:val="auto"/>
        </w:rPr>
        <w:t xml:space="preserve">, which is an amount equal to the greater of (i) $400 million or (ii) a total </w:t>
      </w:r>
      <w:r>
        <w:rPr>
          <w:rFonts w:ascii="Arial" w:cs="Arial" w:eastAsia="Arial" w:hAnsi="Arial"/>
          <w:sz w:val="15"/>
          <w:szCs w:val="15"/>
          <w:i w:val="1"/>
          <w:iCs w:val="1"/>
          <w:color w:val="auto"/>
        </w:rPr>
        <w:t>risk-based required asset amount</w:t>
      </w:r>
      <w:r>
        <w:rPr>
          <w:rFonts w:ascii="Arial" w:cs="Arial" w:eastAsia="Arial" w:hAnsi="Arial"/>
          <w:sz w:val="15"/>
          <w:szCs w:val="15"/>
          <w:color w:val="auto"/>
        </w:rPr>
        <w:t xml:space="preserve">. The </w:t>
      </w:r>
      <w:r>
        <w:rPr>
          <w:rFonts w:ascii="Arial" w:cs="Arial" w:eastAsia="Arial" w:hAnsi="Arial"/>
          <w:sz w:val="15"/>
          <w:szCs w:val="15"/>
          <w:i w:val="1"/>
          <w:iCs w:val="1"/>
          <w:color w:val="auto"/>
        </w:rPr>
        <w:t>risk-based required asset amount</w:t>
      </w:r>
      <w:r>
        <w:rPr>
          <w:rFonts w:ascii="Arial" w:cs="Arial" w:eastAsia="Arial" w:hAnsi="Arial"/>
          <w:sz w:val="15"/>
          <w:szCs w:val="15"/>
          <w:color w:val="auto"/>
        </w:rPr>
        <w:t xml:space="preserve"> is a function of the risk profile of an </w:t>
      </w:r>
      <w:r>
        <w:rPr>
          <w:rFonts w:ascii="Arial" w:cs="Arial" w:eastAsia="Arial" w:hAnsi="Arial"/>
          <w:sz w:val="15"/>
          <w:szCs w:val="15"/>
          <w:i w:val="1"/>
          <w:iCs w:val="1"/>
          <w:color w:val="auto"/>
        </w:rPr>
        <w:t>approved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insurer's </w:t>
      </w:r>
      <w:r>
        <w:rPr>
          <w:rFonts w:ascii="Arial" w:cs="Arial" w:eastAsia="Arial" w:hAnsi="Arial"/>
          <w:sz w:val="15"/>
          <w:szCs w:val="15"/>
          <w:color w:val="auto"/>
        </w:rPr>
        <w:t>RIF, assessed on a loan-by-loan basis and considered against certain risk-based factors derived from tables set out in the PMIERs, which is then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adjusted on an aggregate basis for reinsurance transactions approved by the GSEs, such as with respect to our ILN Transactions and QSR Transactions. The </w:t>
      </w:r>
      <w:r>
        <w:rPr>
          <w:rFonts w:ascii="Arial" w:cs="Arial" w:eastAsia="Arial" w:hAnsi="Arial"/>
          <w:sz w:val="15"/>
          <w:szCs w:val="15"/>
          <w:i w:val="1"/>
          <w:iCs w:val="1"/>
          <w:color w:val="auto"/>
        </w:rPr>
        <w:t xml:space="preserve">aggregate gross risk-based required asset amount </w:t>
      </w:r>
      <w:r>
        <w:rPr>
          <w:rFonts w:ascii="Arial" w:cs="Arial" w:eastAsia="Arial" w:hAnsi="Arial"/>
          <w:sz w:val="15"/>
          <w:szCs w:val="15"/>
          <w:color w:val="auto"/>
        </w:rPr>
        <w:t>for performing, primary insurance is subject to a floor of 5.6% of</w:t>
      </w:r>
      <w:r>
        <w:rPr>
          <w:rFonts w:ascii="Arial" w:cs="Arial" w:eastAsia="Arial" w:hAnsi="Arial"/>
          <w:sz w:val="15"/>
          <w:szCs w:val="15"/>
          <w:i w:val="1"/>
          <w:iCs w:val="1"/>
          <w:color w:val="auto"/>
        </w:rPr>
        <w:t xml:space="preserve"> performing primary adjusted RIF</w:t>
      </w:r>
      <w:r>
        <w:rPr>
          <w:rFonts w:ascii="Arial" w:cs="Arial" w:eastAsia="Arial" w:hAnsi="Arial"/>
          <w:sz w:val="15"/>
          <w:szCs w:val="15"/>
          <w:color w:val="auto"/>
        </w:rPr>
        <w:t>, and the</w:t>
      </w:r>
      <w:r>
        <w:rPr>
          <w:rFonts w:ascii="Arial" w:cs="Arial" w:eastAsia="Arial" w:hAnsi="Arial"/>
          <w:sz w:val="15"/>
          <w:szCs w:val="15"/>
          <w:i w:val="1"/>
          <w:iCs w:val="1"/>
          <w:color w:val="auto"/>
        </w:rPr>
        <w:t xml:space="preserve"> risk-based required asset amount </w:t>
      </w:r>
      <w:r>
        <w:rPr>
          <w:rFonts w:ascii="Arial" w:cs="Arial" w:eastAsia="Arial" w:hAnsi="Arial"/>
          <w:sz w:val="15"/>
          <w:szCs w:val="15"/>
          <w:color w:val="auto"/>
        </w:rPr>
        <w:t>for pool insurance considers both factors in the PMIERs tables and the</w:t>
      </w:r>
      <w:r>
        <w:rPr>
          <w:rFonts w:ascii="Arial" w:cs="Arial" w:eastAsia="Arial" w:hAnsi="Arial"/>
          <w:sz w:val="15"/>
          <w:szCs w:val="15"/>
          <w:i w:val="1"/>
          <w:iCs w:val="1"/>
          <w:color w:val="auto"/>
        </w:rPr>
        <w:t xml:space="preserve"> net remaining stop loss </w:t>
      </w:r>
      <w:r>
        <w:rPr>
          <w:rFonts w:ascii="Arial" w:cs="Arial" w:eastAsia="Arial" w:hAnsi="Arial"/>
          <w:sz w:val="15"/>
          <w:szCs w:val="15"/>
          <w:color w:val="auto"/>
        </w:rPr>
        <w:t>for each pool insurance policy.</w:t>
      </w:r>
    </w:p>
    <w:p>
      <w:pPr>
        <w:spacing w:after="0" w:line="101"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By April 15th of each year, NMIC must certify it met all PMIERs requirements as of December 31st of the prior year. We certified to the GSEs by April 15, 2022 that NMIC was in full compliance with the PMIERs as of December 31, 2021. NMIC also has an ongoing obligation to immediately notify the GSEs in writing upon discovery of a failure to meet one or more of the PMIERs requirements. We continuously monitor NMIC's compliance with the PMIERs.</w:t>
      </w:r>
    </w:p>
    <w:p>
      <w:pPr>
        <w:spacing w:after="0" w:line="101"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 xml:space="preserve">The following table provides a comparison of the PMIERs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and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as reported by NMIC as of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520" w:type="dxa"/>
            <w:vAlign w:val="bottom"/>
          </w:tcPr>
          <w:p>
            <w:pPr>
              <w:spacing w:after="0"/>
              <w:rPr>
                <w:sz w:val="15"/>
                <w:szCs w:val="15"/>
                <w:color w:val="auto"/>
              </w:rPr>
            </w:pPr>
          </w:p>
        </w:tc>
      </w:tr>
      <w:tr>
        <w:trPr>
          <w:trHeight w:val="24"/>
        </w:trPr>
        <w:tc>
          <w:tcPr>
            <w:tcW w:w="7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4"/>
        </w:trPr>
        <w:tc>
          <w:tcPr>
            <w:tcW w:w="7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w w:val="94"/>
              </w:rPr>
              <w:t>September 30, 2022</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w w:val="93"/>
              </w:rPr>
              <w:t>September 30, 2021</w:t>
            </w:r>
          </w:p>
        </w:tc>
      </w:tr>
      <w:tr>
        <w:trPr>
          <w:trHeight w:val="189"/>
        </w:trPr>
        <w:tc>
          <w:tcPr>
            <w:tcW w:w="7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40" w:type="dxa"/>
            <w:vAlign w:val="bottom"/>
            <w:gridSpan w:val="3"/>
          </w:tcPr>
          <w:p>
            <w:pPr>
              <w:jc w:val="right"/>
              <w:ind w:right="1258"/>
              <w:spacing w:after="0"/>
              <w:rPr>
                <w:sz w:val="20"/>
                <w:szCs w:val="20"/>
                <w:color w:val="auto"/>
              </w:rPr>
            </w:pPr>
            <w:r>
              <w:rPr>
                <w:rFonts w:ascii="Arial" w:cs="Arial" w:eastAsia="Arial" w:hAnsi="Arial"/>
                <w:sz w:val="14"/>
                <w:szCs w:val="14"/>
                <w:i w:val="1"/>
                <w:iCs w:val="1"/>
                <w:color w:val="auto"/>
              </w:rPr>
              <w:t>(In Thousands)</w:t>
            </w:r>
          </w:p>
        </w:tc>
      </w:tr>
      <w:tr>
        <w:trPr>
          <w:trHeight w:val="23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2,275,487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1,992,964</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Risk-based required assets</w:t>
            </w:r>
          </w:p>
        </w:tc>
        <w:tc>
          <w:tcPr>
            <w:tcW w:w="180" w:type="dxa"/>
            <w:vAlign w:val="bottom"/>
          </w:tcPr>
          <w:p>
            <w:pPr>
              <w:spacing w:after="0"/>
              <w:rPr>
                <w:sz w:val="19"/>
                <w:szCs w:val="19"/>
                <w:color w:val="auto"/>
              </w:rPr>
            </w:pPr>
          </w:p>
        </w:tc>
        <w:tc>
          <w:tcPr>
            <w:tcW w:w="1560" w:type="dxa"/>
            <w:vAlign w:val="bottom"/>
          </w:tcPr>
          <w:p>
            <w:pPr>
              <w:jc w:val="right"/>
              <w:ind w:right="23"/>
              <w:spacing w:after="0"/>
              <w:rPr>
                <w:sz w:val="20"/>
                <w:szCs w:val="20"/>
                <w:color w:val="auto"/>
              </w:rPr>
            </w:pPr>
            <w:r>
              <w:rPr>
                <w:rFonts w:ascii="Arial" w:cs="Arial" w:eastAsia="Arial" w:hAnsi="Arial"/>
                <w:sz w:val="18"/>
                <w:szCs w:val="18"/>
                <w:color w:val="auto"/>
              </w:rPr>
              <w:t>1,172,581</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1,365,656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44" w:name="page45"/>
    <w:bookmarkEnd w:id="44"/>
    <w:p>
      <w:pPr>
        <w:jc w:val="both"/>
        <w:ind w:firstLine="633"/>
        <w:spacing w:after="0" w:line="250" w:lineRule="auto"/>
        <w:rPr>
          <w:sz w:val="20"/>
          <w:szCs w:val="20"/>
          <w:color w:val="auto"/>
        </w:rPr>
      </w:pPr>
      <w:r>
        <w:rPr>
          <w:rFonts w:ascii="Arial" w:cs="Arial" w:eastAsia="Arial" w:hAnsi="Arial"/>
          <w:sz w:val="18"/>
          <w:szCs w:val="18"/>
          <w:i w:val="1"/>
          <w:iCs w:val="1"/>
          <w:color w:val="auto"/>
        </w:rPr>
        <w:t xml:space="preserve">Available assets </w:t>
      </w:r>
      <w:r>
        <w:rPr>
          <w:rFonts w:ascii="Arial" w:cs="Arial" w:eastAsia="Arial" w:hAnsi="Arial"/>
          <w:sz w:val="18"/>
          <w:szCs w:val="18"/>
          <w:color w:val="auto"/>
        </w:rPr>
        <w:t>were $2.3 billion at September 30, 2022, compared to $2.0 billion at September 30, 2021. The $283 million increase in</w:t>
      </w:r>
      <w:r>
        <w:rPr>
          <w:rFonts w:ascii="Arial" w:cs="Arial" w:eastAsia="Arial" w:hAnsi="Arial"/>
          <w:sz w:val="18"/>
          <w:szCs w:val="18"/>
          <w:i w:val="1"/>
          <w:iCs w:val="1"/>
          <w:color w:val="auto"/>
        </w:rPr>
        <w:t xml:space="preserve"> available assets </w:t>
      </w:r>
      <w:r>
        <w:rPr>
          <w:rFonts w:ascii="Arial" w:cs="Arial" w:eastAsia="Arial" w:hAnsi="Arial"/>
          <w:sz w:val="18"/>
          <w:szCs w:val="18"/>
          <w:color w:val="auto"/>
        </w:rPr>
        <w:t>between the dates presented was primarily driven by NMIC's positive cash flow from operations during the intervening period, partially offset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an ordinary course dividend by NMIC to NMIH in April 2022 and the extraordinary dividend paid from Re One to NMIH following the termination and commutation of the reinsurance agreement between NMIC and Re One in December 2021.</w:t>
      </w:r>
    </w:p>
    <w:p>
      <w:pPr>
        <w:spacing w:after="0" w:line="140" w:lineRule="exact"/>
        <w:rPr>
          <w:sz w:val="20"/>
          <w:szCs w:val="20"/>
          <w:color w:val="auto"/>
        </w:rPr>
      </w:pPr>
    </w:p>
    <w:p>
      <w:pPr>
        <w:jc w:val="both"/>
        <w:ind w:right="20" w:firstLine="633"/>
        <w:spacing w:after="0" w:line="325" w:lineRule="auto"/>
        <w:rPr>
          <w:sz w:val="20"/>
          <w:szCs w:val="20"/>
          <w:color w:val="auto"/>
        </w:rPr>
      </w:pPr>
      <w:r>
        <w:rPr>
          <w:rFonts w:ascii="Arial" w:cs="Arial" w:eastAsia="Arial" w:hAnsi="Arial"/>
          <w:sz w:val="16"/>
          <w:szCs w:val="16"/>
          <w:color w:val="auto"/>
        </w:rPr>
        <w:t xml:space="preserve">The decrease in the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between the dates presented was primarily due to an increase in the risk ceded under our third-party reinsurance agreements, partially offset by the growth in our gross RIF and aggregate gross-risk based required asset amount.</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Competition</w:t>
      </w:r>
    </w:p>
    <w:p>
      <w:pPr>
        <w:spacing w:after="0" w:line="162"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The MI industry is highly competitive and currently consists of six private mortgage insurers, including NMIC, as well as government MIs such as the FHA, USDA or VA. Private MI companies compete based on service, customer relationships, underwriting and other factors, including price, credit risk tolerance and IT capabilities. We expect the private MI market to remain competitive, with pressure for industry participants to maintain or grow their market share.</w:t>
      </w:r>
    </w:p>
    <w:p>
      <w:pPr>
        <w:spacing w:after="0" w:line="140"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The private MI industry overall competes more broadly with government MIs who significantly increased their share in the MI market following the 2008 Financial Crisis. Although there has been broad policy consensus toward the need for increasing private capital participation and decreasing government exposure to credit risk in the U.S. housing finance system, it remains difficult to predict whether the combined market share of government MIs will recede to pre-2008 levels. A range of factors influence a lender's and borrower's decision to choose private over government MI, including among others, premium rates and other charges, loan eligibility requirements, the cancelability of private coverage, loan size limits and the relative ease of use of private MI products compared to government MI alternatives.</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LIBOR Transition</w:t>
      </w:r>
    </w:p>
    <w:p>
      <w:pPr>
        <w:spacing w:after="0" w:line="162"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On March 5, 2021, ICE Benchmark Administration Limited (IBA), the administrator for LIBOR, confirmed it would permanently cease the publication of overnight, one-month, three-month, six-month and twelve-month USD LIBOR settings in their current form after June 30, 2023. The U.K. Financial Conduct Authority, the regulator of IBA, announced on the same day that it intends to stop requiring panel banks to continue to submit to LIBOR and all USD LIBOR settings in their current form will either cease to be provided by any administrator or no longer be representative after June 30, 2023. We have exposure to USD LIBOR-based financial instruments, such as LIBOR-based securities held in our investment portfolio and certain ILN Transactions that require LIBOR-based payments. We are in the process of reviewing our LIBOR-based contracts and transitioning, as necessary and applicable, to a set of alternative reference rates. We will continue to monitor, assess and plan for the phase out of LIBOR; however, we do not expect the impact of such transition to be material to our operations or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Consolidated statements of operations</w:t>
            </w:r>
          </w:p>
        </w:tc>
        <w:tc>
          <w:tcPr>
            <w:tcW w:w="120" w:type="dxa"/>
            <w:vAlign w:val="bottom"/>
          </w:tcPr>
          <w:p>
            <w:pPr>
              <w:spacing w:after="0"/>
              <w:rPr>
                <w:sz w:val="15"/>
                <w:szCs w:val="15"/>
                <w:color w:val="auto"/>
              </w:rPr>
            </w:pPr>
          </w:p>
        </w:tc>
        <w:tc>
          <w:tcPr>
            <w:tcW w:w="2840" w:type="dxa"/>
            <w:vAlign w:val="bottom"/>
            <w:gridSpan w:val="5"/>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276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Nine months ended</w:t>
            </w:r>
          </w:p>
        </w:tc>
      </w:tr>
      <w:tr>
        <w:trPr>
          <w:trHeight w:val="24"/>
        </w:trPr>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4"/>
        </w:trPr>
        <w:tc>
          <w:tcPr>
            <w:tcW w:w="54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8"/>
              </w:rPr>
              <w:t>September 30, 2021</w:t>
            </w:r>
          </w:p>
        </w:tc>
        <w:tc>
          <w:tcPr>
            <w:tcW w:w="10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8"/>
              </w:rPr>
              <w:t>September 30, 2021</w:t>
            </w:r>
          </w:p>
        </w:tc>
      </w:tr>
      <w:tr>
        <w:trPr>
          <w:trHeight w:val="211"/>
        </w:trPr>
        <w:tc>
          <w:tcPr>
            <w:tcW w:w="5420" w:type="dxa"/>
            <w:vAlign w:val="bottom"/>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ind w:left="120"/>
              <w:spacing w:after="0"/>
              <w:rPr>
                <w:sz w:val="20"/>
                <w:szCs w:val="20"/>
                <w:color w:val="auto"/>
              </w:rPr>
            </w:pPr>
            <w:r>
              <w:rPr>
                <w:rFonts w:ascii="Arial" w:cs="Arial" w:eastAsia="Arial" w:hAnsi="Arial"/>
                <w:sz w:val="14"/>
                <w:szCs w:val="14"/>
                <w:i w:val="1"/>
                <w:iCs w:val="1"/>
                <w:color w:val="auto"/>
              </w:rPr>
              <w:t>($ In Thousands, except for per share data)</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5"/>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118,317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113,594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355,682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330,361</w:t>
            </w:r>
          </w:p>
        </w:tc>
      </w:tr>
      <w:tr>
        <w:trPr>
          <w:trHeight w:val="224"/>
        </w:trPr>
        <w:tc>
          <w:tcPr>
            <w:tcW w:w="5420" w:type="dxa"/>
            <w:vAlign w:val="bottom"/>
          </w:tcPr>
          <w:p>
            <w:pPr>
              <w:ind w:left="220"/>
              <w:spacing w:after="0"/>
              <w:rPr>
                <w:sz w:val="20"/>
                <w:szCs w:val="20"/>
                <w:color w:val="auto"/>
              </w:rPr>
            </w:pPr>
            <w:r>
              <w:rPr>
                <w:rFonts w:ascii="Arial" w:cs="Arial" w:eastAsia="Arial" w:hAnsi="Arial"/>
                <w:sz w:val="18"/>
                <w:szCs w:val="18"/>
                <w:color w:val="auto"/>
              </w:rPr>
              <w:t>Net investment income</w:t>
            </w:r>
          </w:p>
        </w:tc>
        <w:tc>
          <w:tcPr>
            <w:tcW w:w="12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11,945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9,831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33,065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28,027</w:t>
            </w:r>
          </w:p>
        </w:tc>
      </w:tr>
      <w:tr>
        <w:trPr>
          <w:trHeight w:val="225"/>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realized investment gains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w:t>
            </w:r>
          </w:p>
        </w:tc>
      </w:tr>
      <w:tr>
        <w:trPr>
          <w:trHeight w:val="224"/>
        </w:trPr>
        <w:tc>
          <w:tcPr>
            <w:tcW w:w="5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revenues</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301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1,597</w:t>
            </w:r>
          </w:p>
        </w:tc>
      </w:tr>
      <w:tr>
        <w:trPr>
          <w:trHeight w:val="21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130,577</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124,041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390,238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360,000</w:t>
            </w:r>
          </w:p>
        </w:tc>
      </w:tr>
      <w:tr>
        <w:trPr>
          <w:trHeight w:val="204"/>
        </w:trPr>
        <w:tc>
          <w:tcPr>
            <w:tcW w:w="5420" w:type="dxa"/>
            <w:vAlign w:val="bottom"/>
          </w:tcPr>
          <w:p>
            <w:pPr>
              <w:ind w:left="20"/>
              <w:spacing w:after="0" w:line="203" w:lineRule="exact"/>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5"/>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Insurance claims and claim (benefits) expenses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(3,389)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3,204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(7,044)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12,806</w:t>
            </w:r>
          </w:p>
        </w:tc>
      </w:tr>
      <w:tr>
        <w:trPr>
          <w:trHeight w:val="224"/>
        </w:trPr>
        <w:tc>
          <w:tcPr>
            <w:tcW w:w="5420" w:type="dxa"/>
            <w:vAlign w:val="bottom"/>
          </w:tcPr>
          <w:p>
            <w:pPr>
              <w:ind w:left="220"/>
              <w:spacing w:after="0"/>
              <w:rPr>
                <w:sz w:val="20"/>
                <w:szCs w:val="20"/>
                <w:color w:val="auto"/>
              </w:rPr>
            </w:pPr>
            <w:r>
              <w:rPr>
                <w:rFonts w:ascii="Arial" w:cs="Arial" w:eastAsia="Arial" w:hAnsi="Arial"/>
                <w:sz w:val="18"/>
                <w:szCs w:val="18"/>
                <w:color w:val="auto"/>
              </w:rPr>
              <w:t>Underwriting and operating expenses</w:t>
            </w:r>
          </w:p>
        </w:tc>
        <w:tc>
          <w:tcPr>
            <w:tcW w:w="12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27,144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34,669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90,779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103,460</w:t>
            </w:r>
          </w:p>
        </w:tc>
      </w:tr>
      <w:tr>
        <w:trPr>
          <w:trHeight w:val="225"/>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expenses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1,859</w:t>
            </w:r>
          </w:p>
        </w:tc>
      </w:tr>
      <w:tr>
        <w:trPr>
          <w:trHeight w:val="224"/>
        </w:trPr>
        <w:tc>
          <w:tcPr>
            <w:tcW w:w="54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8,036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7,930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24,128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23,767</w:t>
            </w:r>
          </w:p>
        </w:tc>
      </w:tr>
      <w:tr>
        <w:trPr>
          <w:trHeight w:val="225"/>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from change in fair value of warrant liability</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(454)</w:t>
            </w:r>
          </w:p>
        </w:tc>
      </w:tr>
      <w:tr>
        <w:trPr>
          <w:trHeight w:val="21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rPr>
              <w:t>31,988</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rPr>
              <w:t>46,590</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rPr>
              <w:t>107,713</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141,438</w:t>
            </w:r>
          </w:p>
        </w:tc>
      </w:tr>
      <w:tr>
        <w:trPr>
          <w:trHeight w:val="244"/>
        </w:trPr>
        <w:tc>
          <w:tcPr>
            <w:tcW w:w="5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4"/>
        </w:trPr>
        <w:tc>
          <w:tcPr>
            <w:tcW w:w="54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98,589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77,451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282,525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218,562</w:t>
            </w:r>
          </w:p>
        </w:tc>
      </w:tr>
      <w:tr>
        <w:trPr>
          <w:trHeight w:val="224"/>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21,751</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17,258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62,563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47,956</w:t>
            </w:r>
          </w:p>
        </w:tc>
      </w:tr>
      <w:tr>
        <w:trPr>
          <w:trHeight w:val="218"/>
        </w:trPr>
        <w:tc>
          <w:tcPr>
            <w:tcW w:w="5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76,838</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60,193</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219,962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170,606</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25"/>
        </w:trPr>
        <w:tc>
          <w:tcPr>
            <w:tcW w:w="5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r>
      <w:tr>
        <w:trPr>
          <w:trHeight w:val="224"/>
        </w:trPr>
        <w:tc>
          <w:tcPr>
            <w:tcW w:w="5420" w:type="dxa"/>
            <w:vAlign w:val="bottom"/>
          </w:tcPr>
          <w:p>
            <w:pPr>
              <w:ind w:left="20"/>
              <w:spacing w:after="0"/>
              <w:rPr>
                <w:sz w:val="20"/>
                <w:szCs w:val="20"/>
                <w:color w:val="auto"/>
              </w:rPr>
            </w:pPr>
            <w:r>
              <w:rPr>
                <w:rFonts w:ascii="Arial" w:cs="Arial" w:eastAsia="Arial" w:hAnsi="Arial"/>
                <w:sz w:val="18"/>
                <w:szCs w:val="18"/>
                <w:color w:val="auto"/>
              </w:rPr>
              <w:t>Earnings per share - Basic</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0.91</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1.99</w:t>
            </w:r>
          </w:p>
        </w:tc>
      </w:tr>
      <w:tr>
        <w:trPr>
          <w:trHeight w:val="22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0.90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1.96</w:t>
            </w:r>
          </w:p>
        </w:tc>
      </w:tr>
      <w:tr>
        <w:trPr>
          <w:trHeight w:val="158"/>
        </w:trPr>
        <w:tc>
          <w:tcPr>
            <w:tcW w:w="5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24"/>
        </w:trPr>
        <w:tc>
          <w:tcPr>
            <w:tcW w:w="54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Loss ratio</w:t>
            </w:r>
            <w:r>
              <w:rPr>
                <w:rFonts w:ascii="Arial" w:cs="Arial" w:eastAsia="Arial" w:hAnsi="Arial"/>
                <w:sz w:val="22"/>
                <w:szCs w:val="22"/>
                <w:color w:val="auto"/>
                <w:vertAlign w:val="superscript"/>
              </w:rPr>
              <w:t>(1)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24"/>
        </w:trPr>
        <w:tc>
          <w:tcPr>
            <w:tcW w:w="542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Expense ratio</w:t>
            </w:r>
            <w:r>
              <w:rPr>
                <w:rFonts w:ascii="Arial" w:cs="Arial" w:eastAsia="Arial" w:hAnsi="Arial"/>
                <w:sz w:val="22"/>
                <w:szCs w:val="22"/>
                <w:color w:val="auto"/>
                <w:vertAlign w:val="superscript"/>
              </w:rPr>
              <w:t>(2)</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22.9 %</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31.3 %</w:t>
            </w:r>
          </w:p>
        </w:tc>
      </w:tr>
      <w:tr>
        <w:trPr>
          <w:trHeight w:val="217"/>
        </w:trPr>
        <w:tc>
          <w:tcPr>
            <w:tcW w:w="5420" w:type="dxa"/>
            <w:vAlign w:val="bottom"/>
            <w:shd w:val="clear" w:color="auto" w:fill="CCEEFF"/>
          </w:tcPr>
          <w:p>
            <w:pPr>
              <w:ind w:left="20"/>
              <w:spacing w:after="0" w:line="218" w:lineRule="exact"/>
              <w:rPr>
                <w:sz w:val="20"/>
                <w:szCs w:val="20"/>
                <w:color w:val="auto"/>
              </w:rPr>
            </w:pPr>
            <w:r>
              <w:rPr>
                <w:rFonts w:ascii="Arial" w:cs="Arial" w:eastAsia="Arial" w:hAnsi="Arial"/>
                <w:sz w:val="18"/>
                <w:szCs w:val="18"/>
                <w:color w:val="auto"/>
              </w:rPr>
              <w:t xml:space="preserve">Combined ratio </w:t>
            </w:r>
            <w:r>
              <w:rPr>
                <w:rFonts w:ascii="Arial" w:cs="Arial" w:eastAsia="Arial" w:hAnsi="Arial"/>
                <w:sz w:val="22"/>
                <w:szCs w:val="22"/>
                <w:color w:val="auto"/>
                <w:vertAlign w:val="superscript"/>
              </w:rPr>
              <w:t>(3)</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20.1 %</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33.3 %</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35.2 %</w:t>
            </w: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gridSpan w:val="4"/>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2880" w:type="dxa"/>
            <w:vAlign w:val="bottom"/>
            <w:gridSpan w:val="3"/>
          </w:tcPr>
          <w:p>
            <w:pPr>
              <w:jc w:val="right"/>
              <w:ind w:right="83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Non-GAAP financial measures </w:t>
            </w:r>
            <w:r>
              <w:rPr>
                <w:rFonts w:ascii="Arial" w:cs="Arial" w:eastAsia="Arial" w:hAnsi="Arial"/>
                <w:sz w:val="18"/>
                <w:szCs w:val="18"/>
                <w:b w:val="1"/>
                <w:bCs w:val="1"/>
                <w:color w:val="auto"/>
                <w:vertAlign w:val="superscript"/>
              </w:rPr>
              <w:t>(4)</w:t>
            </w: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84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8"/>
              </w:rPr>
              <w:t>September 30, 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0"/>
              </w:rPr>
              <w:t>September 30, 2022</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September 30, 2021</w:t>
            </w:r>
          </w:p>
        </w:tc>
        <w:tc>
          <w:tcPr>
            <w:tcW w:w="0" w:type="dxa"/>
            <w:vAlign w:val="bottom"/>
          </w:tcPr>
          <w:p>
            <w:pPr>
              <w:spacing w:after="0"/>
              <w:rPr>
                <w:sz w:val="1"/>
                <w:szCs w:val="1"/>
                <w:color w:val="auto"/>
              </w:rPr>
            </w:pPr>
          </w:p>
        </w:tc>
      </w:tr>
      <w:tr>
        <w:trPr>
          <w:trHeight w:val="182"/>
        </w:trPr>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20" w:type="dxa"/>
            <w:vAlign w:val="bottom"/>
            <w:gridSpan w:val="4"/>
          </w:tcPr>
          <w:p>
            <w:pPr>
              <w:jc w:val="right"/>
              <w:ind w:right="239"/>
              <w:spacing w:after="0"/>
              <w:rPr>
                <w:sz w:val="20"/>
                <w:szCs w:val="20"/>
                <w:color w:val="auto"/>
              </w:rPr>
            </w:pPr>
            <w:r>
              <w:rPr>
                <w:rFonts w:ascii="Arial" w:cs="Arial" w:eastAsia="Arial" w:hAnsi="Arial"/>
                <w:sz w:val="14"/>
                <w:szCs w:val="14"/>
                <w:i w:val="1"/>
                <w:iCs w:val="1"/>
                <w:color w:val="auto"/>
                <w:w w:val="95"/>
              </w:rPr>
              <w:t>($ In Thousands, except for per share data)</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income before tax</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98,575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281,142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221,856</w:t>
            </w:r>
          </w:p>
        </w:tc>
        <w:tc>
          <w:tcPr>
            <w:tcW w:w="0" w:type="dxa"/>
            <w:vAlign w:val="bottom"/>
          </w:tcPr>
          <w:p>
            <w:pPr>
              <w:spacing w:after="0"/>
              <w:rPr>
                <w:sz w:val="1"/>
                <w:szCs w:val="1"/>
                <w:color w:val="auto"/>
              </w:rPr>
            </w:pPr>
          </w:p>
        </w:tc>
      </w:tr>
      <w:tr>
        <w:trPr>
          <w:trHeight w:val="224"/>
        </w:trPr>
        <w:tc>
          <w:tcPr>
            <w:tcW w:w="484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120" w:type="dxa"/>
            <w:vAlign w:val="bottom"/>
          </w:tcPr>
          <w:p>
            <w:pPr>
              <w:spacing w:after="0"/>
              <w:rPr>
                <w:sz w:val="19"/>
                <w:szCs w:val="19"/>
                <w:color w:val="auto"/>
              </w:rPr>
            </w:pPr>
          </w:p>
        </w:tc>
        <w:tc>
          <w:tcPr>
            <w:tcW w:w="1360" w:type="dxa"/>
            <w:vAlign w:val="bottom"/>
          </w:tcPr>
          <w:p>
            <w:pPr>
              <w:ind w:left="760"/>
              <w:spacing w:after="0"/>
              <w:rPr>
                <w:sz w:val="20"/>
                <w:szCs w:val="20"/>
                <w:color w:val="auto"/>
              </w:rPr>
            </w:pPr>
            <w:r>
              <w:rPr>
                <w:rFonts w:ascii="Arial" w:cs="Arial" w:eastAsia="Arial" w:hAnsi="Arial"/>
                <w:sz w:val="18"/>
                <w:szCs w:val="18"/>
                <w:color w:val="auto"/>
              </w:rPr>
              <w:t>76,827</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61,821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8"/>
                <w:szCs w:val="18"/>
                <w:color w:val="auto"/>
              </w:rPr>
              <w:t>218,636</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173,345</w:t>
            </w: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diluted EPS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6"/>
              </w:rPr>
              <w:t>0.90</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20" w:hanging="214"/>
        <w:spacing w:after="0"/>
        <w:tabs>
          <w:tab w:leader="none" w:pos="22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Loss ratio is calculated by dividing insurance claims and claim (benefits) expenses by net premiums earned.</w:t>
      </w:r>
    </w:p>
    <w:p>
      <w:pPr>
        <w:ind w:left="280" w:hanging="274"/>
        <w:spacing w:after="0" w:line="183" w:lineRule="auto"/>
        <w:tabs>
          <w:tab w:leader="none" w:pos="28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Expense ratio is calculated by dividing underwriting and operating expenses by net premiums earned.</w:t>
      </w:r>
    </w:p>
    <w:p>
      <w:pPr>
        <w:ind w:left="320" w:hanging="314"/>
        <w:spacing w:after="0" w:line="185" w:lineRule="auto"/>
        <w:tabs>
          <w:tab w:leader="none" w:pos="32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Combined ratio may not foot due to rounding.</w:t>
      </w:r>
    </w:p>
    <w:p>
      <w:pPr>
        <w:spacing w:after="0" w:line="11" w:lineRule="exact"/>
        <w:rPr>
          <w:rFonts w:ascii="Arial" w:cs="Arial" w:eastAsia="Arial" w:hAnsi="Arial"/>
          <w:sz w:val="21"/>
          <w:szCs w:val="21"/>
          <w:color w:val="auto"/>
          <w:vertAlign w:val="superscript"/>
        </w:rPr>
      </w:pPr>
    </w:p>
    <w:p>
      <w:pPr>
        <w:ind w:left="220" w:hanging="214"/>
        <w:spacing w:after="0" w:line="185" w:lineRule="auto"/>
        <w:tabs>
          <w:tab w:leader="none" w:pos="22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See "</w:t>
      </w:r>
      <w:r>
        <w:rPr>
          <w:rFonts w:ascii="Arial" w:cs="Arial" w:eastAsia="Arial" w:hAnsi="Arial"/>
          <w:sz w:val="16"/>
          <w:szCs w:val="16"/>
          <w:i w:val="1"/>
          <w:iCs w:val="1"/>
          <w:color w:val="auto"/>
        </w:rPr>
        <w:t>Explanation and Reconciliation of Our Use of Non-GAAP Financial Measures,</w:t>
      </w:r>
      <w:r>
        <w:rPr>
          <w:rFonts w:ascii="Arial" w:cs="Arial" w:eastAsia="Arial" w:hAnsi="Arial"/>
          <w:sz w:val="16"/>
          <w:szCs w:val="16"/>
          <w:color w:val="auto"/>
        </w:rPr>
        <w:t>" below.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62"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Net premiums earned were $118.3 million and $355.7 million for the three and nine months ended September 30, 2022, respectively, compared to $113.6 million and $330.4 million for the three and nine months ended September 30, 2021, respectively. The year-on-year increase in net premiums earned in each respective period was primarily driven by the growth of our IIF, partially offset by a decline in the contribution from single premium policy cancellations and an increase in total premiums ceded under our reinsurance transactions.</w:t>
      </w:r>
    </w:p>
    <w:p>
      <w:pPr>
        <w:spacing w:after="0" w:line="140"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Net investment income was $11.9 million and $33.1 million for the three and nine months ended September 30, 2022, respectively, compared to $9.8 million and $28.0 million for the three and nine months ended September 30, 2021, respectively.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46" w:name="page47"/>
    <w:bookmarkEnd w:id="46"/>
    <w:p>
      <w:pPr>
        <w:jc w:val="both"/>
        <w:spacing w:after="0" w:line="325" w:lineRule="auto"/>
        <w:rPr>
          <w:sz w:val="20"/>
          <w:szCs w:val="20"/>
          <w:color w:val="auto"/>
        </w:rPr>
      </w:pPr>
      <w:r>
        <w:rPr>
          <w:rFonts w:ascii="Arial" w:cs="Arial" w:eastAsia="Arial" w:hAnsi="Arial"/>
          <w:sz w:val="16"/>
          <w:szCs w:val="16"/>
          <w:color w:val="auto"/>
        </w:rPr>
        <w:t>The year-on-year increase in net investment income in each respective period was primarily driven by the growth in the size of our total investment portfolio, excluding unrealized gains and losses and an increase in book yield tied to the prevailing interest rate and credit spread environment.</w:t>
      </w:r>
    </w:p>
    <w:p>
      <w:pPr>
        <w:spacing w:after="0" w:line="82"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Other revenues were $0.3 million and $1.0 million for the three and nine months ended September 30, 2022, respectively, compared to $0.6 million and $1.6 million for the three and nine months ended September 30, 2021, respectively. Other revenues represent underwriting fee revenue generated by our subsidiary, NMIS, which provides outsourced loan review services to mortgage loan originators. The year-on-year decline in other revenues in each respective period relates to a decrease in NMIS' outsourced loan review volume. Amounts recognized in other revenues generally correspond with amounts incurred as service expenses for outsourced loan review activities in the same periods.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62"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101"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Insurance claims and claim expenses were a benefit of $3.4 million and $7.0 million for the three and nine months ended September 30, 2022, respectively, compared to insurance claims and claim expenses of $3.2 million and $12.8 million for the three and nine months ended September 30, 2021, respectively. Insurance claims and claim expenses during the three and nine months ended September 30, 2022 benefited from cure activity and the associated release of a portion of the reserves we established for anticipated claims payments in prior periods.</w:t>
      </w:r>
    </w:p>
    <w:p>
      <w:pPr>
        <w:spacing w:after="0" w:line="107"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Underwriting and operating expenses were $27.1 million and $90.8 million for the three and nine months ended September 30, 2022, respectively, compared to $34.7 million and $103.5 million for the three and nine months ended September 30, 2021, respectively. The year-on-year decline in underwriting and operating expenses in each respective period was driven by a decrease in the amortization of deferred policy acquisition costs tied to the increased persistency of our IIF, a step-down in technology costs related to our agreement with Tata Consultancy Services (TCS) and a decline in capital markets transaction costs, partially offset by an increase in travel and entertainment expenses tied to the easing of COVID-19 related restrictions, as well as an increase in depreciation and amortization incurred in connection with the completion and implementation of certain software and equipment initiatives. Underwriting and operating expenses during the three and nine months ended September 30, 2022 further benefited from an increase in ceding commissions received upon the introduction of the 2022 Seasoned QSR Transaction effective July 1, 2022.</w:t>
      </w:r>
    </w:p>
    <w:p>
      <w:pPr>
        <w:spacing w:after="0" w:line="117"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Service expenses were $0.2 million and $1.0 million for the three and nine months ended September 30, 2022, respectively, compared to $0.8 million and $1.9 million for the three and nine months ended September 30, 2021, respectively. Service expenses represent third-party costs incurred by NMIS in connection with the services it provides. The year-on-year decline in service expenses in each respective period was primarily driven by a decrease in NMIS' outsourced loan review volume. Amounts incurred as service expenses generally correspond with amounts recognized in other revenues in the same periods.</w:t>
      </w:r>
    </w:p>
    <w:p>
      <w:pPr>
        <w:spacing w:after="0" w:line="107"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Interest expense was $8.0 million and $24.1 million for the three and nine months ended September 30, 2022, respectively, compared to $7.9 million and $23.8 million for the three and nine months ended September 30, 2021, respectively. Interest expense primarily reflects the carrying costs of the Notes. The increase in interest expense period-to-period was due to an increase in commitment fees associated with the 2021 Revolving Credit Facility which had extended its borrowing capacity from $110 million to $250 million in November 2021. See Item 1, "</w:t>
      </w:r>
      <w:r>
        <w:rPr>
          <w:rFonts w:ascii="Arial" w:cs="Arial" w:eastAsia="Arial" w:hAnsi="Arial"/>
          <w:sz w:val="18"/>
          <w:szCs w:val="18"/>
          <w:i w:val="1"/>
          <w:iCs w:val="1"/>
          <w:color w:val="auto"/>
        </w:rPr>
        <w:t>Financial Statements - Notes to Condensed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 Note 4, Debt.</w:t>
      </w:r>
      <w:r>
        <w:rPr>
          <w:rFonts w:ascii="Arial" w:cs="Arial" w:eastAsia="Arial" w:hAnsi="Arial"/>
          <w:sz w:val="18"/>
          <w:szCs w:val="18"/>
          <w:color w:val="auto"/>
        </w:rPr>
        <w:t>"</w:t>
      </w:r>
    </w:p>
    <w:p>
      <w:pPr>
        <w:spacing w:after="0" w:line="140" w:lineRule="exact"/>
        <w:rPr>
          <w:sz w:val="20"/>
          <w:szCs w:val="20"/>
          <w:color w:val="auto"/>
        </w:rPr>
      </w:pPr>
    </w:p>
    <w:p>
      <w:pPr>
        <w:jc w:val="both"/>
        <w:ind w:firstLine="633"/>
        <w:spacing w:after="0" w:line="281" w:lineRule="auto"/>
        <w:rPr>
          <w:sz w:val="20"/>
          <w:szCs w:val="20"/>
          <w:color w:val="auto"/>
        </w:rPr>
      </w:pPr>
      <w:r>
        <w:rPr>
          <w:rFonts w:ascii="Arial" w:cs="Arial" w:eastAsia="Arial" w:hAnsi="Arial"/>
          <w:sz w:val="16"/>
          <w:szCs w:val="16"/>
          <w:color w:val="auto"/>
        </w:rPr>
        <w:t xml:space="preserve">Income tax expense was $21.8 million and $62.6 million for the three and nine months ended September 30, 2022, respectively, compared to $17.3 million and $48.0 million for the three and nine months ended September 30, 2021, respectively. The year-on-year increase in income tax expense in each respective period was primarily driven by growth in our pre-tax income. Our effective tax rate on pre-tax income was 22.1% for the three and nine months ended September 30, 2022, respectively, compared to 22.3% and 21.9% for the three and nine months ended September 30, 2021, respectively. As a U.S. taxpayer, we are subject to a statutory U.S. federal corporate income tax rate of 21%. Our provision for income taxes for interim periods is established based on our estimated annual effective tax rate for a given year and reflects the impact of discrete tax effects in the period in which they occur. Our effective tax rates for the three and nine months ended September 30, 2022 and 2021 reflect the discrete tax effects of the vesting of RSUs and exercise of options, and the change in fair value of our warrant liability in each period. See Item 1, </w:t>
      </w:r>
      <w:r>
        <w:rPr>
          <w:rFonts w:ascii="Arial" w:cs="Arial" w:eastAsia="Arial" w:hAnsi="Arial"/>
          <w:sz w:val="16"/>
          <w:szCs w:val="16"/>
          <w:i w:val="1"/>
          <w:iCs w:val="1"/>
          <w:color w:val="auto"/>
        </w:rPr>
        <w:t>"Financial Statements - Notes to Condensed Consolidated Financial Statements - Note</w:t>
      </w:r>
      <w:r>
        <w:rPr>
          <w:rFonts w:ascii="Arial" w:cs="Arial" w:eastAsia="Arial" w:hAnsi="Arial"/>
          <w:sz w:val="16"/>
          <w:szCs w:val="16"/>
          <w:color w:val="auto"/>
        </w:rPr>
        <w:t xml:space="preserve"> </w:t>
      </w:r>
      <w:r>
        <w:rPr>
          <w:rFonts w:ascii="Arial" w:cs="Arial" w:eastAsia="Arial" w:hAnsi="Arial"/>
          <w:sz w:val="16"/>
          <w:szCs w:val="16"/>
          <w:i w:val="1"/>
          <w:iCs w:val="1"/>
          <w:color w:val="auto"/>
        </w:rPr>
        <w:t>9, Income Taxes.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Net Income</w:t>
      </w:r>
    </w:p>
    <w:p>
      <w:pPr>
        <w:spacing w:after="0" w:line="162"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Net income was $76.8 million and $220.0 million for the three and nine months ended September 30, 2022, respectively, compared to $60.2 million and $170.6 million for the three and nine months ended September 30, 2021, respectively. Adjusted net income was $76.8 million and $218.6 million for the three and nine months ended September 30, 2022, respectively, compared to $61.8 million and $173.3 million for the three and nine months ended September 30, 2021, respectively. The year-on-year increases in net income and adjusted net income in each respective period were primarily driven by growth in our total revenues, as well as declines in our insurance claims and claim expenses and underwriting and operating expenses, partially offset by an increase in our income tax expense.</w:t>
      </w:r>
    </w:p>
    <w:p>
      <w:pPr>
        <w:spacing w:after="0" w:line="141"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Diluted EPS was $0.90 and $2.53 for the three and nine months ended September 30, 2022, respectively, compared to $0.69 and $1.96 for the three and nine months ended September 30, 2021, respectively. Adjusted diluted EPS was $0.90 and $2.53 for the three and nine months ended September 30, 2022, respectively, compared to $0.71 and $2.00 for the three and nine months ended September 30, 2021, respectively. Diluted and adjusted diluted EPS increased primarily due to growth in net income and adjusted net income, as well as a decline in the number of weighted average diluted shares outstanding tied to share repurchase activity.</w:t>
      </w:r>
    </w:p>
    <w:p>
      <w:pPr>
        <w:spacing w:after="0" w:line="140"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 non-GAAP financial measures adjusted income before tax, adjusted net income and adjusted diluted EPS are presented to enhance the comparability of financial results between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Non-GAAP Financial Measure Reconciliations</w:t>
            </w:r>
          </w:p>
        </w:tc>
        <w:tc>
          <w:tcPr>
            <w:tcW w:w="140" w:type="dxa"/>
            <w:vAlign w:val="bottom"/>
          </w:tcPr>
          <w:p>
            <w:pPr>
              <w:spacing w:after="0"/>
              <w:rPr>
                <w:sz w:val="18"/>
                <w:szCs w:val="18"/>
                <w:color w:val="auto"/>
              </w:rPr>
            </w:pPr>
          </w:p>
        </w:tc>
        <w:tc>
          <w:tcPr>
            <w:tcW w:w="2840" w:type="dxa"/>
            <w:vAlign w:val="bottom"/>
            <w:gridSpan w:val="5"/>
          </w:tcPr>
          <w:p>
            <w:pPr>
              <w:ind w:left="40"/>
              <w:spacing w:after="0"/>
              <w:rPr>
                <w:sz w:val="20"/>
                <w:szCs w:val="20"/>
                <w:color w:val="auto"/>
              </w:rPr>
            </w:pPr>
            <w:r>
              <w:rPr>
                <w:rFonts w:ascii="Arial" w:cs="Arial" w:eastAsia="Arial" w:hAnsi="Arial"/>
                <w:sz w:val="14"/>
                <w:szCs w:val="14"/>
                <w:b w:val="1"/>
                <w:bCs w:val="1"/>
                <w:color w:val="auto"/>
                <w:w w:val="97"/>
              </w:rPr>
              <w:t>For the three months ended September 30,</w:t>
            </w:r>
          </w:p>
        </w:tc>
        <w:tc>
          <w:tcPr>
            <w:tcW w:w="160" w:type="dxa"/>
            <w:vAlign w:val="bottom"/>
          </w:tcPr>
          <w:p>
            <w:pPr>
              <w:spacing w:after="0"/>
              <w:rPr>
                <w:sz w:val="18"/>
                <w:szCs w:val="18"/>
                <w:color w:val="auto"/>
              </w:rPr>
            </w:pPr>
          </w:p>
        </w:tc>
        <w:tc>
          <w:tcPr>
            <w:tcW w:w="276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w w:val="90"/>
              </w:rPr>
              <w:t>For the nine months ended September 30,</w:t>
            </w:r>
          </w:p>
        </w:tc>
      </w:tr>
      <w:tr>
        <w:trPr>
          <w:trHeight w:val="188"/>
        </w:trPr>
        <w:tc>
          <w:tcPr>
            <w:tcW w:w="53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r>
      <w:tr>
        <w:trPr>
          <w:trHeight w:val="211"/>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tcPr>
          <w:p>
            <w:pPr>
              <w:ind w:left="80"/>
              <w:spacing w:after="0"/>
              <w:rPr>
                <w:sz w:val="20"/>
                <w:szCs w:val="20"/>
                <w:color w:val="auto"/>
              </w:rPr>
            </w:pPr>
            <w:r>
              <w:rPr>
                <w:rFonts w:ascii="Arial" w:cs="Arial" w:eastAsia="Arial" w:hAnsi="Arial"/>
                <w:sz w:val="14"/>
                <w:szCs w:val="14"/>
                <w:i w:val="1"/>
                <w:iCs w:val="1"/>
                <w:color w:val="auto"/>
              </w:rPr>
              <w:t>($ In Thousands, except for per share data)</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5"/>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218,562</w:t>
            </w:r>
          </w:p>
        </w:tc>
      </w:tr>
      <w:tr>
        <w:trPr>
          <w:trHeight w:val="224"/>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47,956</w:t>
            </w:r>
          </w:p>
        </w:tc>
      </w:tr>
      <w:tr>
        <w:trPr>
          <w:trHeight w:val="21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170,606</w:t>
            </w:r>
          </w:p>
        </w:tc>
      </w:tr>
      <w:tr>
        <w:trPr>
          <w:trHeight w:val="264"/>
        </w:trPr>
        <w:tc>
          <w:tcPr>
            <w:tcW w:w="5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4"/>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4"/>
        </w:trPr>
        <w:tc>
          <w:tcPr>
            <w:tcW w:w="5340" w:type="dxa"/>
            <w:vAlign w:val="bottom"/>
          </w:tcPr>
          <w:p>
            <w:pPr>
              <w:ind w:left="20"/>
              <w:spacing w:after="0"/>
              <w:rPr>
                <w:sz w:val="20"/>
                <w:szCs w:val="20"/>
                <w:color w:val="auto"/>
              </w:rPr>
            </w:pPr>
            <w:r>
              <w:rPr>
                <w:rFonts w:ascii="Arial" w:cs="Arial" w:eastAsia="Arial" w:hAnsi="Arial"/>
                <w:sz w:val="18"/>
                <w:szCs w:val="18"/>
                <w:color w:val="auto"/>
              </w:rPr>
              <w:t>Net realized investment gains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change in fair value warrant liability</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24"/>
        </w:trPr>
        <w:tc>
          <w:tcPr>
            <w:tcW w:w="5340" w:type="dxa"/>
            <w:vAlign w:val="bottom"/>
          </w:tcPr>
          <w:p>
            <w:pPr>
              <w:ind w:left="20"/>
              <w:spacing w:after="0"/>
              <w:rPr>
                <w:sz w:val="20"/>
                <w:szCs w:val="20"/>
                <w:color w:val="auto"/>
              </w:rPr>
            </w:pPr>
            <w:r>
              <w:rPr>
                <w:rFonts w:ascii="Arial" w:cs="Arial" w:eastAsia="Arial" w:hAnsi="Arial"/>
                <w:sz w:val="18"/>
                <w:szCs w:val="18"/>
                <w:color w:val="auto"/>
              </w:rPr>
              <w:t>Capital market transaction costs</w:t>
            </w: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2,474</w:t>
            </w:r>
          </w:p>
        </w:tc>
      </w:tr>
      <w:tr>
        <w:trPr>
          <w:trHeight w:val="225"/>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infrequent, unusual or non-operating items</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17"/>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Adjusted income before tax</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98,575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79,218</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281,142</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221,856</w:t>
            </w:r>
          </w:p>
        </w:tc>
      </w:tr>
      <w:tr>
        <w:trPr>
          <w:trHeight w:val="198"/>
        </w:trPr>
        <w:tc>
          <w:tcPr>
            <w:tcW w:w="5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4"/>
        </w:trPr>
        <w:tc>
          <w:tcPr>
            <w:tcW w:w="534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 xml:space="preserve">Income tax (benefit) expense on adjustments </w:t>
            </w:r>
            <w:r>
              <w:rPr>
                <w:rFonts w:ascii="Arial" w:cs="Arial" w:eastAsia="Arial" w:hAnsi="Arial"/>
                <w:sz w:val="22"/>
                <w:szCs w:val="22"/>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r>
      <w:tr>
        <w:trPr>
          <w:trHeight w:val="217"/>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173,345</w:t>
            </w:r>
          </w:p>
        </w:tc>
      </w:tr>
      <w:tr>
        <w:trPr>
          <w:trHeight w:val="211"/>
        </w:trPr>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4"/>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86,794</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Adjusted diluted EPS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0.71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r>
    </w:tbl>
    <w:p>
      <w:pPr>
        <w:spacing w:after="0" w:line="94" w:lineRule="exact"/>
        <w:rPr>
          <w:sz w:val="20"/>
          <w:szCs w:val="20"/>
          <w:color w:val="auto"/>
        </w:rPr>
      </w:pPr>
    </w:p>
    <w:p>
      <w:pPr>
        <w:ind w:left="200" w:hanging="194"/>
        <w:spacing w:after="0"/>
        <w:tabs>
          <w:tab w:leader="none" w:pos="20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Marginal tax impact of non-GAAP adjustments is calculated based on our statutory U.S. federal corporate income tax rate of 21%, except for those</w:t>
      </w:r>
    </w:p>
    <w:p>
      <w:pPr>
        <w:spacing w:after="0" w:line="4" w:lineRule="exact"/>
        <w:rPr>
          <w:sz w:val="20"/>
          <w:szCs w:val="20"/>
          <w:color w:val="auto"/>
        </w:rPr>
      </w:pPr>
    </w:p>
    <w:p>
      <w:pPr>
        <w:jc w:val="both"/>
        <w:ind w:left="320" w:hanging="315"/>
        <w:spacing w:after="0" w:line="245" w:lineRule="auto"/>
        <w:rPr>
          <w:sz w:val="20"/>
          <w:szCs w:val="20"/>
          <w:color w:val="auto"/>
        </w:rPr>
      </w:pPr>
      <w:r>
        <w:rPr>
          <w:rFonts w:ascii="Arial" w:cs="Arial" w:eastAsia="Arial" w:hAnsi="Arial"/>
          <w:sz w:val="14"/>
          <w:szCs w:val="14"/>
          <w:color w:val="auto"/>
        </w:rPr>
        <w:t>items that are not eligible for an income tax deduction. Such non-deductible items include gains or losses from the change in the fair value of our warrant liability and certain costs incurred in connection with the CEO transition, which are limited under Section 162(m) of the Internal Revenue Code.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and Reconciliation of Our Use of Non-GAAP Financial Measures</w:t>
      </w:r>
    </w:p>
    <w:p>
      <w:pPr>
        <w:spacing w:after="0" w:line="168"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We believe the use of the non-GAAP measures of adjusted income before tax, adjusted net income and adjusted diluted EPS enhances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48" w:name="page49"/>
    <w:bookmarkEnd w:id="48"/>
    <w:p>
      <w:pPr>
        <w:jc w:val="both"/>
        <w:ind w:firstLine="633"/>
        <w:spacing w:after="0" w:line="257" w:lineRule="auto"/>
        <w:rPr>
          <w:sz w:val="20"/>
          <w:szCs w:val="20"/>
          <w:color w:val="auto"/>
        </w:rPr>
      </w:pPr>
      <w:r>
        <w:rPr>
          <w:rFonts w:ascii="Arial" w:cs="Arial" w:eastAsia="Arial" w:hAnsi="Arial"/>
          <w:sz w:val="18"/>
          <w:szCs w:val="18"/>
          <w:b w:val="1"/>
          <w:bCs w:val="1"/>
          <w:color w:val="auto"/>
        </w:rPr>
        <w:t xml:space="preserve">Adjusted income before tax </w:t>
      </w:r>
      <w:r>
        <w:rPr>
          <w:rFonts w:ascii="Arial" w:cs="Arial" w:eastAsia="Arial" w:hAnsi="Arial"/>
          <w:sz w:val="18"/>
          <w:szCs w:val="18"/>
          <w:color w:val="auto"/>
        </w:rPr>
        <w:t>is defined as GAAP income before tax, excluding the pre-tax effects of the gain or loss related to the change in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our warrant liability, periodic costs incurred in connection with capital markets transactions, net realized gains or losses from our investment portfolio, and other infrequent, unusual or non-operating items in the periods in which such items are incurred.</w:t>
      </w:r>
    </w:p>
    <w:p>
      <w:pPr>
        <w:spacing w:after="0" w:line="126"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is defined as GAAP net income, excluding the after-tax effects of the gain or loss related to the change in fair value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liability, periodic costs incurred in connection with capital markets transactions, net realized gains or losses from our investment portfolio, and other infrequent, unusual or non-operating items in the periods in which such items are incurred. Adjustments to components of pre-tax income are tax effected using the applicable federal statutory tax rate for the respective periods.</w:t>
      </w:r>
    </w:p>
    <w:p>
      <w:pPr>
        <w:spacing w:after="0" w:line="130" w:lineRule="exact"/>
        <w:rPr>
          <w:sz w:val="20"/>
          <w:szCs w:val="20"/>
          <w:color w:val="auto"/>
        </w:rPr>
      </w:pPr>
    </w:p>
    <w:p>
      <w:pPr>
        <w:jc w:val="both"/>
        <w:ind w:firstLine="633"/>
        <w:spacing w:after="0" w:line="294" w:lineRule="auto"/>
        <w:rPr>
          <w:sz w:val="20"/>
          <w:szCs w:val="20"/>
          <w:color w:val="auto"/>
        </w:rPr>
      </w:pPr>
      <w:r>
        <w:rPr>
          <w:rFonts w:ascii="Arial" w:cs="Arial" w:eastAsia="Arial" w:hAnsi="Arial"/>
          <w:sz w:val="16"/>
          <w:szCs w:val="16"/>
          <w:b w:val="1"/>
          <w:bCs w:val="1"/>
          <w:color w:val="auto"/>
        </w:rPr>
        <w:t xml:space="preserve">Adjusted diluted EPS </w:t>
      </w:r>
      <w:r>
        <w:rPr>
          <w:rFonts w:ascii="Arial" w:cs="Arial" w:eastAsia="Arial" w:hAnsi="Arial"/>
          <w:sz w:val="16"/>
          <w:szCs w:val="16"/>
          <w:color w:val="auto"/>
        </w:rPr>
        <w:t>is defined as adjusted net income divided by adjusted weighted average diluted shares outstanding. Adjusted weighted average</w:t>
      </w:r>
      <w:r>
        <w:rPr>
          <w:rFonts w:ascii="Arial" w:cs="Arial" w:eastAsia="Arial" w:hAnsi="Arial"/>
          <w:sz w:val="16"/>
          <w:szCs w:val="16"/>
          <w:b w:val="1"/>
          <w:bCs w:val="1"/>
          <w:color w:val="auto"/>
        </w:rPr>
        <w:t xml:space="preserve"> </w:t>
      </w:r>
      <w:r>
        <w:rPr>
          <w:rFonts w:ascii="Arial" w:cs="Arial" w:eastAsia="Arial" w:hAnsi="Arial"/>
          <w:sz w:val="16"/>
          <w:szCs w:val="16"/>
          <w:color w:val="auto"/>
        </w:rPr>
        <w:t>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spacing w:after="0" w:line="107"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140" w:lineRule="exact"/>
        <w:rPr>
          <w:sz w:val="20"/>
          <w:szCs w:val="20"/>
          <w:color w:val="auto"/>
        </w:rPr>
      </w:pPr>
    </w:p>
    <w:p>
      <w:pPr>
        <w:jc w:val="both"/>
        <w:ind w:left="640" w:hanging="318"/>
        <w:spacing w:after="0" w:line="248"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Change in fair value of warrant liability</w:t>
      </w:r>
      <w:r>
        <w:rPr>
          <w:rFonts w:ascii="Arial" w:cs="Arial" w:eastAsia="Arial" w:hAnsi="Arial"/>
          <w:sz w:val="18"/>
          <w:szCs w:val="18"/>
          <w:color w:val="auto"/>
        </w:rPr>
        <w:t>. Outstanding warrants at the end of each reporting period are revalued, and any change in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the statement of operations in the period in which the change occurred. The change in fair value of our warrant liability can vary significantly across periods and is influenced principally by equity market and general economic factors that do not impact or reflect our current period operating results. Furthermore, all unexercised warrants expired in April 2022 and, as such, no change in fair value will be recognized in future reporting periods. We believe trends in our operating performance can be more clearly identified by excluding fluctuations related to the change in fair value of our warrant liability.</w:t>
      </w:r>
    </w:p>
    <w:p>
      <w:pPr>
        <w:spacing w:after="0" w:line="141" w:lineRule="exact"/>
        <w:rPr>
          <w:rFonts w:ascii="Arial" w:cs="Arial" w:eastAsia="Arial" w:hAnsi="Arial"/>
          <w:sz w:val="18"/>
          <w:szCs w:val="18"/>
          <w:color w:val="auto"/>
        </w:rPr>
      </w:pPr>
    </w:p>
    <w:p>
      <w:pPr>
        <w:jc w:val="both"/>
        <w:ind w:left="640" w:hanging="318"/>
        <w:spacing w:after="0" w:line="253"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Capital markets transaction costs</w:t>
      </w:r>
      <w:r>
        <w:rPr>
          <w:rFonts w:ascii="Arial" w:cs="Arial" w:eastAsia="Arial" w:hAnsi="Arial"/>
          <w:sz w:val="18"/>
          <w:szCs w:val="18"/>
          <w:color w:val="auto"/>
        </w:rPr>
        <w:t>. Capital markets transaction costs result from activities that are undertaken to improve our debt profile or enhance</w:t>
      </w:r>
      <w:r>
        <w:rPr>
          <w:rFonts w:ascii="Arial" w:cs="Arial" w:eastAsia="Arial" w:hAnsi="Arial"/>
          <w:sz w:val="18"/>
          <w:szCs w:val="18"/>
          <w:i w:val="1"/>
          <w:iCs w:val="1"/>
          <w:color w:val="auto"/>
        </w:rPr>
        <w:t xml:space="preserve"> </w:t>
      </w:r>
      <w:r>
        <w:rPr>
          <w:rFonts w:ascii="Arial" w:cs="Arial" w:eastAsia="Arial" w:hAnsi="Arial"/>
          <w:sz w:val="18"/>
          <w:szCs w:val="18"/>
          <w:color w:val="auto"/>
        </w:rPr>
        <w:t>our capital position through activities such as debt refinancing and capital markets reinsurance transactions that may vary in their size and timing due to factors such as market opportunities, tax and capital profile, and overall market cycles.</w:t>
      </w:r>
    </w:p>
    <w:p>
      <w:pPr>
        <w:spacing w:after="0" w:line="136" w:lineRule="exact"/>
        <w:rPr>
          <w:rFonts w:ascii="Arial" w:cs="Arial" w:eastAsia="Arial" w:hAnsi="Arial"/>
          <w:sz w:val="18"/>
          <w:szCs w:val="18"/>
          <w:color w:val="auto"/>
        </w:rPr>
      </w:pPr>
    </w:p>
    <w:p>
      <w:pPr>
        <w:jc w:val="both"/>
        <w:ind w:left="640" w:hanging="318"/>
        <w:spacing w:after="0" w:line="253"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Net realized investment gains and losses</w:t>
      </w:r>
      <w:r>
        <w:rPr>
          <w:rFonts w:ascii="Arial" w:cs="Arial" w:eastAsia="Arial" w:hAnsi="Arial"/>
          <w:sz w:val="18"/>
          <w:szCs w:val="18"/>
          <w:color w:val="auto"/>
        </w:rPr>
        <w:t>. The recognition of the net realized investment gains or losses can vary significantly across periods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is highly discretionary and is influenced by factors such as market opportunities, tax and capital profile, and overall market cycles that do not reflect our current period operating results.</w:t>
      </w:r>
    </w:p>
    <w:p>
      <w:pPr>
        <w:spacing w:after="0" w:line="136" w:lineRule="exact"/>
        <w:rPr>
          <w:rFonts w:ascii="Arial" w:cs="Arial" w:eastAsia="Arial" w:hAnsi="Arial"/>
          <w:sz w:val="18"/>
          <w:szCs w:val="18"/>
          <w:color w:val="auto"/>
        </w:rPr>
      </w:pPr>
    </w:p>
    <w:p>
      <w:pPr>
        <w:jc w:val="both"/>
        <w:ind w:left="640" w:hanging="318"/>
        <w:spacing w:after="0" w:line="283" w:lineRule="auto"/>
        <w:tabs>
          <w:tab w:leader="none" w:pos="635"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Other infrequent, unusual or non-operating items</w:t>
      </w:r>
      <w:r>
        <w:rPr>
          <w:rFonts w:ascii="Arial" w:cs="Arial" w:eastAsia="Arial" w:hAnsi="Arial"/>
          <w:sz w:val="16"/>
          <w:szCs w:val="16"/>
          <w:color w:val="auto"/>
        </w:rPr>
        <w:t>. Items that are the result of unforeseen or uncommon events, and are not expected to recur with</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in the future. Identification and exclusion of these items provides 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announced in September 2021 and the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3"/>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Consolidated balance sheets</w:t>
            </w:r>
          </w:p>
        </w:tc>
        <w:tc>
          <w:tcPr>
            <w:tcW w:w="180" w:type="dxa"/>
            <w:vAlign w:val="bottom"/>
          </w:tcPr>
          <w:p>
            <w:pPr>
              <w:spacing w:after="0"/>
              <w:rPr>
                <w:sz w:val="15"/>
                <w:szCs w:val="15"/>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5"/>
                <w:szCs w:val="15"/>
                <w:color w:val="auto"/>
              </w:rPr>
            </w:pPr>
          </w:p>
        </w:tc>
        <w:tc>
          <w:tcPr>
            <w:tcW w:w="1480" w:type="dxa"/>
            <w:vAlign w:val="bottom"/>
          </w:tcPr>
          <w:p>
            <w:pPr>
              <w:jc w:val="right"/>
              <w:ind w:right="193"/>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4"/>
        </w:trPr>
        <w:tc>
          <w:tcPr>
            <w:tcW w:w="7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60" w:type="dxa"/>
            <w:vAlign w:val="bottom"/>
            <w:gridSpan w:val="4"/>
          </w:tcPr>
          <w:p>
            <w:pPr>
              <w:jc w:val="right"/>
              <w:ind w:right="1213"/>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3"/>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 portfolio</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1,973,931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2,085,931</w:t>
            </w:r>
          </w:p>
        </w:tc>
        <w:tc>
          <w:tcPr>
            <w:tcW w:w="0" w:type="dxa"/>
            <w:vAlign w:val="bottom"/>
          </w:tcPr>
          <w:p>
            <w:pPr>
              <w:spacing w:after="0"/>
              <w:rPr>
                <w:sz w:val="1"/>
                <w:szCs w:val="1"/>
                <w:color w:val="auto"/>
              </w:rPr>
            </w:pPr>
          </w:p>
        </w:tc>
      </w:tr>
      <w:tr>
        <w:trPr>
          <w:trHeight w:val="224"/>
        </w:trPr>
        <w:tc>
          <w:tcPr>
            <w:tcW w:w="76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125,812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76,646</w:t>
            </w:r>
          </w:p>
        </w:tc>
        <w:tc>
          <w:tcPr>
            <w:tcW w:w="0" w:type="dxa"/>
            <w:vAlign w:val="bottom"/>
          </w:tcPr>
          <w:p>
            <w:pPr>
              <w:spacing w:after="0"/>
              <w:rPr>
                <w:sz w:val="1"/>
                <w:szCs w:val="1"/>
                <w:color w:val="auto"/>
              </w:rPr>
            </w:pPr>
          </w:p>
        </w:tc>
      </w:tr>
      <w:tr>
        <w:trPr>
          <w:trHeight w:val="225"/>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 receivable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60,358</w:t>
            </w:r>
          </w:p>
        </w:tc>
        <w:tc>
          <w:tcPr>
            <w:tcW w:w="0" w:type="dxa"/>
            <w:vAlign w:val="bottom"/>
          </w:tcPr>
          <w:p>
            <w:pPr>
              <w:spacing w:after="0"/>
              <w:rPr>
                <w:sz w:val="1"/>
                <w:szCs w:val="1"/>
                <w:color w:val="auto"/>
              </w:rPr>
            </w:pPr>
          </w:p>
        </w:tc>
      </w:tr>
      <w:tr>
        <w:trPr>
          <w:trHeight w:val="224"/>
        </w:trPr>
        <w:tc>
          <w:tcPr>
            <w:tcW w:w="7600" w:type="dxa"/>
            <w:vAlign w:val="bottom"/>
          </w:tcPr>
          <w:p>
            <w:pPr>
              <w:ind w:left="220"/>
              <w:spacing w:after="0"/>
              <w:rPr>
                <w:sz w:val="20"/>
                <w:szCs w:val="20"/>
                <w:color w:val="auto"/>
              </w:rPr>
            </w:pPr>
            <w:r>
              <w:rPr>
                <w:rFonts w:ascii="Arial" w:cs="Arial" w:eastAsia="Arial" w:hAnsi="Arial"/>
                <w:sz w:val="18"/>
                <w:szCs w:val="18"/>
                <w:color w:val="auto"/>
              </w:rPr>
              <w:t>Deferred policy acquisition costs, net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59,483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59,584</w:t>
            </w:r>
          </w:p>
        </w:tc>
        <w:tc>
          <w:tcPr>
            <w:tcW w:w="0" w:type="dxa"/>
            <w:vAlign w:val="bottom"/>
          </w:tcPr>
          <w:p>
            <w:pPr>
              <w:spacing w:after="0"/>
              <w:rPr>
                <w:sz w:val="1"/>
                <w:szCs w:val="1"/>
                <w:color w:val="auto"/>
              </w:rPr>
            </w:pPr>
          </w:p>
        </w:tc>
      </w:tr>
      <w:tr>
        <w:trPr>
          <w:trHeight w:val="225"/>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Software and equipment, net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32,047</w:t>
            </w:r>
          </w:p>
        </w:tc>
        <w:tc>
          <w:tcPr>
            <w:tcW w:w="0" w:type="dxa"/>
            <w:vAlign w:val="bottom"/>
          </w:tcPr>
          <w:p>
            <w:pPr>
              <w:spacing w:after="0"/>
              <w:rPr>
                <w:sz w:val="1"/>
                <w:szCs w:val="1"/>
                <w:color w:val="auto"/>
              </w:rPr>
            </w:pPr>
          </w:p>
        </w:tc>
      </w:tr>
      <w:tr>
        <w:trPr>
          <w:trHeight w:val="224"/>
        </w:trPr>
        <w:tc>
          <w:tcPr>
            <w:tcW w:w="7600" w:type="dxa"/>
            <w:vAlign w:val="bottom"/>
          </w:tcPr>
          <w:p>
            <w:pPr>
              <w:ind w:left="220"/>
              <w:spacing w:after="0"/>
              <w:rPr>
                <w:sz w:val="20"/>
                <w:szCs w:val="20"/>
                <w:color w:val="auto"/>
              </w:rPr>
            </w:pPr>
            <w:r>
              <w:rPr>
                <w:rFonts w:ascii="Arial" w:cs="Arial" w:eastAsia="Arial" w:hAnsi="Arial"/>
                <w:sz w:val="18"/>
                <w:szCs w:val="18"/>
                <w:color w:val="auto"/>
              </w:rPr>
              <w:t>Prepaid reinsurance premiums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25"/>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Reinsurance recoverable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20,320</w:t>
            </w:r>
          </w:p>
        </w:tc>
        <w:tc>
          <w:tcPr>
            <w:tcW w:w="0" w:type="dxa"/>
            <w:vAlign w:val="bottom"/>
          </w:tcPr>
          <w:p>
            <w:pPr>
              <w:spacing w:after="0"/>
              <w:rPr>
                <w:sz w:val="1"/>
                <w:szCs w:val="1"/>
                <w:color w:val="auto"/>
              </w:rPr>
            </w:pPr>
          </w:p>
        </w:tc>
      </w:tr>
      <w:tr>
        <w:trPr>
          <w:trHeight w:val="224"/>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113,302</w:t>
            </w:r>
          </w:p>
        </w:tc>
        <w:tc>
          <w:tcPr>
            <w:tcW w:w="0" w:type="dxa"/>
            <w:vAlign w:val="bottom"/>
          </w:tcPr>
          <w:p>
            <w:pPr>
              <w:spacing w:after="0"/>
              <w:rPr>
                <w:sz w:val="1"/>
                <w:szCs w:val="1"/>
                <w:color w:val="auto"/>
              </w:rPr>
            </w:pP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2,403,843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2,450,581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Debt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395,683</w:t>
            </w:r>
          </w:p>
        </w:tc>
        <w:tc>
          <w:tcPr>
            <w:tcW w:w="10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394,623</w:t>
            </w:r>
          </w:p>
        </w:tc>
        <w:tc>
          <w:tcPr>
            <w:tcW w:w="0" w:type="dxa"/>
            <w:vAlign w:val="bottom"/>
          </w:tcPr>
          <w:p>
            <w:pPr>
              <w:spacing w:after="0"/>
              <w:rPr>
                <w:sz w:val="1"/>
                <w:szCs w:val="1"/>
                <w:color w:val="auto"/>
              </w:rPr>
            </w:pPr>
          </w:p>
        </w:tc>
      </w:tr>
      <w:tr>
        <w:trPr>
          <w:trHeight w:val="225"/>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premiums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139,237</w:t>
            </w:r>
          </w:p>
        </w:tc>
        <w:tc>
          <w:tcPr>
            <w:tcW w:w="0" w:type="dxa"/>
            <w:vAlign w:val="bottom"/>
          </w:tcPr>
          <w:p>
            <w:pPr>
              <w:spacing w:after="0"/>
              <w:rPr>
                <w:sz w:val="1"/>
                <w:szCs w:val="1"/>
                <w:color w:val="auto"/>
              </w:rPr>
            </w:pPr>
          </w:p>
        </w:tc>
      </w:tr>
      <w:tr>
        <w:trPr>
          <w:trHeight w:val="224"/>
        </w:trPr>
        <w:tc>
          <w:tcPr>
            <w:tcW w:w="7600" w:type="dxa"/>
            <w:vAlign w:val="bottom"/>
          </w:tcPr>
          <w:p>
            <w:pPr>
              <w:ind w:left="2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73,945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72,000</w:t>
            </w:r>
          </w:p>
        </w:tc>
        <w:tc>
          <w:tcPr>
            <w:tcW w:w="0" w:type="dxa"/>
            <w:vAlign w:val="bottom"/>
          </w:tcPr>
          <w:p>
            <w:pPr>
              <w:spacing w:after="0"/>
              <w:rPr>
                <w:sz w:val="1"/>
                <w:szCs w:val="1"/>
                <w:color w:val="auto"/>
              </w:rPr>
            </w:pPr>
          </w:p>
        </w:tc>
      </w:tr>
      <w:tr>
        <w:trPr>
          <w:trHeight w:val="225"/>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for insurance claims and claim expenses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103,551</w:t>
            </w:r>
          </w:p>
        </w:tc>
        <w:tc>
          <w:tcPr>
            <w:tcW w:w="0" w:type="dxa"/>
            <w:vAlign w:val="bottom"/>
          </w:tcPr>
          <w:p>
            <w:pPr>
              <w:spacing w:after="0"/>
              <w:rPr>
                <w:sz w:val="1"/>
                <w:szCs w:val="1"/>
                <w:color w:val="auto"/>
              </w:rPr>
            </w:pPr>
          </w:p>
        </w:tc>
      </w:tr>
      <w:tr>
        <w:trPr>
          <w:trHeight w:val="224"/>
        </w:trPr>
        <w:tc>
          <w:tcPr>
            <w:tcW w:w="7600" w:type="dxa"/>
            <w:vAlign w:val="bottom"/>
          </w:tcPr>
          <w:p>
            <w:pPr>
              <w:ind w:left="220"/>
              <w:spacing w:after="0"/>
              <w:rPr>
                <w:sz w:val="20"/>
                <w:szCs w:val="20"/>
                <w:color w:val="auto"/>
              </w:rPr>
            </w:pPr>
            <w:r>
              <w:rPr>
                <w:rFonts w:ascii="Arial" w:cs="Arial" w:eastAsia="Arial" w:hAnsi="Arial"/>
                <w:sz w:val="18"/>
                <w:szCs w:val="18"/>
                <w:color w:val="auto"/>
              </w:rPr>
              <w:t>Reinsurance funds withheld</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5,601</w:t>
            </w:r>
          </w:p>
        </w:tc>
        <w:tc>
          <w:tcPr>
            <w:tcW w:w="0" w:type="dxa"/>
            <w:vAlign w:val="bottom"/>
          </w:tcPr>
          <w:p>
            <w:pPr>
              <w:spacing w:after="0"/>
              <w:rPr>
                <w:sz w:val="1"/>
                <w:szCs w:val="1"/>
                <w:color w:val="auto"/>
              </w:rPr>
            </w:pPr>
          </w:p>
        </w:tc>
      </w:tr>
      <w:tr>
        <w:trPr>
          <w:trHeight w:val="225"/>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 liability</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24"/>
        </w:trPr>
        <w:tc>
          <w:tcPr>
            <w:tcW w:w="7600" w:type="dxa"/>
            <w:vAlign w:val="bottom"/>
          </w:tcPr>
          <w:p>
            <w:pPr>
              <w:ind w:left="220"/>
              <w:spacing w:after="0"/>
              <w:rPr>
                <w:sz w:val="20"/>
                <w:szCs w:val="20"/>
                <w:color w:val="auto"/>
              </w:rPr>
            </w:pPr>
            <w:r>
              <w:rPr>
                <w:rFonts w:ascii="Arial" w:cs="Arial" w:eastAsia="Arial" w:hAnsi="Arial"/>
                <w:sz w:val="18"/>
                <w:szCs w:val="18"/>
                <w:color w:val="auto"/>
              </w:rPr>
              <w:t>Deferred tax liability, net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166,609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164,175</w:t>
            </w:r>
          </w:p>
        </w:tc>
        <w:tc>
          <w:tcPr>
            <w:tcW w:w="0" w:type="dxa"/>
            <w:vAlign w:val="bottom"/>
          </w:tcPr>
          <w:p>
            <w:pPr>
              <w:spacing w:after="0"/>
              <w:rPr>
                <w:sz w:val="1"/>
                <w:szCs w:val="1"/>
                <w:color w:val="auto"/>
              </w:rPr>
            </w:pPr>
          </w:p>
        </w:tc>
      </w:tr>
      <w:tr>
        <w:trPr>
          <w:trHeight w:val="225"/>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17"/>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877,977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884,795</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1,525,866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1,565,786</w:t>
            </w:r>
          </w:p>
        </w:tc>
        <w:tc>
          <w:tcPr>
            <w:tcW w:w="0" w:type="dxa"/>
            <w:vAlign w:val="bottom"/>
          </w:tcPr>
          <w:p>
            <w:pPr>
              <w:spacing w:after="0"/>
              <w:rPr>
                <w:sz w:val="1"/>
                <w:szCs w:val="1"/>
                <w:color w:val="auto"/>
              </w:rPr>
            </w:pPr>
          </w:p>
        </w:tc>
      </w:tr>
      <w:tr>
        <w:trPr>
          <w:trHeight w:val="218"/>
        </w:trPr>
        <w:tc>
          <w:tcPr>
            <w:tcW w:w="760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2,403,843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2,450,581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80" w:firstLine="475"/>
        <w:spacing w:after="0" w:line="250" w:lineRule="auto"/>
        <w:rPr>
          <w:sz w:val="20"/>
          <w:szCs w:val="20"/>
          <w:color w:val="auto"/>
        </w:rPr>
      </w:pPr>
      <w:r>
        <w:rPr>
          <w:rFonts w:ascii="Arial" w:cs="Arial" w:eastAsia="Arial" w:hAnsi="Arial"/>
          <w:sz w:val="18"/>
          <w:szCs w:val="18"/>
          <w:color w:val="auto"/>
        </w:rPr>
        <w:t>Total cash and investments were $2.1 billion as of September 30, 2022, compared to $2.2 billion as of December 31, 2021. Cash and investments at September 30, 2022 included $97.4 million held by NMIH. The decrease in total cash and investments reflects an increase in the unrealized loss positions of our fixed income portfolio tied to the prevailing interest rate and credit spread environment and share repurchases during the nine months ended September 30, 2022, partially offset by cash generated from operations.</w:t>
      </w:r>
    </w:p>
    <w:p>
      <w:pPr>
        <w:spacing w:after="0" w:line="140"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Premiums receivable was $67.2 million as of September 30, 2022, compared to $60.4 million as December 31, 2021. The increase was primarily driven by growth in our monthly premium policies in force, where premiums are generally paid one month in arrears.</w:t>
      </w:r>
    </w:p>
    <w:p>
      <w:pPr>
        <w:spacing w:after="0" w:line="128"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Net deferred policy acquisition costs were $59.5 million as of September 30, 2022, compared to $59.6 million as of December 31, 2021. The decrease was primarily driven by the recognition of previously deferred policy acquisition costs and was largely offset by the deferral of certain costs associated with the origination of new policies between the respective balance sheet dates.</w:t>
      </w:r>
    </w:p>
    <w:p>
      <w:pPr>
        <w:spacing w:after="0" w:line="137"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Prepaid reinsurance premiums were $1.5 million as of September 30, 2022, compared to $2.4 million as of December 31, 2021. Prepaid reinsurance premiums, which represent the unearned premiums on single premium policies ceded under the 2016 QSR Transaction, decreased due to the continued amortization of previously ceded unearned premiums.</w:t>
      </w:r>
    </w:p>
    <w:p>
      <w:pPr>
        <w:spacing w:after="0" w:line="137"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Reinsurance recoverable was $19.8 million as of September 30, 2022, compared to $20.3 million as of December 31, 2021. The decrease was driven by a decrease in ceded losses recoverable associated with our QSR Transactions.</w:t>
      </w:r>
    </w:p>
    <w:p>
      <w:pPr>
        <w:spacing w:after="0" w:line="128"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Other assets increased to $124.1 million as of September 30, 2022, compared to $113.3 million as of December 31, 2021. The increase was primarily driven by the recognition of incremental ROU assets in connection with the modification of the operating lease for our corporate headquarters in January 2022. Other assets included $89.2 million of tax and loss bonds held by the Company at both September 30, 2022 and December 31, 2021. See Item 1,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 Notes to Condensed Consolidated Financial Statements - Note 9, Income Taxes.</w:t>
      </w:r>
      <w:r>
        <w:rPr>
          <w:rFonts w:ascii="Arial" w:cs="Arial" w:eastAsia="Arial" w:hAnsi="Arial"/>
          <w:sz w:val="16"/>
          <w:szCs w:val="16"/>
          <w:color w:val="auto"/>
        </w:rPr>
        <w:t>"</w:t>
      </w:r>
    </w:p>
    <w:p>
      <w:pPr>
        <w:spacing w:after="0" w:line="107"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Unearned premiums were $130.7 million as of September 30, 2022, compared to $139.2 million as of December 31, 2021. The decrease was driven by the amortization of existing unearned premiums through earnings in accordance with the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50" w:name="page51"/>
    <w:bookmarkEnd w:id="50"/>
    <w:p>
      <w:pPr>
        <w:jc w:val="both"/>
        <w:spacing w:after="0" w:line="262" w:lineRule="auto"/>
        <w:rPr>
          <w:sz w:val="20"/>
          <w:szCs w:val="20"/>
          <w:color w:val="auto"/>
        </w:rPr>
      </w:pPr>
      <w:r>
        <w:rPr>
          <w:rFonts w:ascii="Arial" w:cs="Arial" w:eastAsia="Arial" w:hAnsi="Arial"/>
          <w:sz w:val="18"/>
          <w:szCs w:val="18"/>
          <w:color w:val="auto"/>
        </w:rPr>
        <w:t>expiration of risk on related single premium policies and the cancellations of other single premium policies, partially offset by single premium policy originations during the nine months ended September 30, 2022.</w:t>
      </w:r>
    </w:p>
    <w:p>
      <w:pPr>
        <w:spacing w:after="0" w:line="128"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Accounts payable and accrued expenses were $73.9 million as of September 30, 2022, compared to $72.0 million as of December 31, 2021. The increase was primarily driven by accrued and unpaid interest on the Notes which is payable semi-annually in June and December and reinsurance premiums payable, partially offset by the settlement of previously accrued compensation expenses, premium taxes and other contractual payables during the nine months ended September 30, 2022.</w:t>
      </w:r>
    </w:p>
    <w:p>
      <w:pPr>
        <w:spacing w:after="0" w:line="140"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Reserve for insurance claims and claim expenses was $94.9 million as of September 30, 2022, compared to $103.6 million as of December 31, 2021. The decrease was primarily driven by a release of a portion of the reserves we established for anticipated claims payments in prior periods, cure activity, and a decline in the total size of our default population. The decrease was partially offset by an increase in the average reserve carried per default. While we have generally established lower reserves per default for loans that we consider to be impaired in connection with the COVID-19 pandemic, we have increased the initial reserves held for such loans as they have aged in default status. See "</w:t>
      </w:r>
      <w:r>
        <w:rPr>
          <w:rFonts w:ascii="Arial" w:cs="Arial" w:eastAsia="Arial" w:hAnsi="Arial"/>
          <w:sz w:val="16"/>
          <w:szCs w:val="16"/>
          <w:i w:val="1"/>
          <w:iCs w:val="1"/>
          <w:color w:val="auto"/>
        </w:rPr>
        <w:t>Insurance Claims and Claim Expenses</w:t>
      </w:r>
      <w:r>
        <w:rPr>
          <w:rFonts w:ascii="Arial" w:cs="Arial" w:eastAsia="Arial" w:hAnsi="Arial"/>
          <w:sz w:val="16"/>
          <w:szCs w:val="16"/>
          <w:color w:val="auto"/>
        </w:rPr>
        <w:t>," above for further details.</w:t>
      </w:r>
    </w:p>
    <w:p>
      <w:pPr>
        <w:spacing w:after="0" w:line="113"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Reinsurance funds withheld, which represents our ceded reinsurance premiums written, less our profit and ceding commission receivables related to the 2016 QSR Transaction was $3.7 million as of September 30, 2022, compared to $5.6 million as of December 31, 2021. The decrease relates to the continued decline in ceded premiums written on single premium policies, due to the end of the reinsurance coverage period for new business under the 2016 QSR Transaction at December 31, 2017. See Item 1, "</w:t>
      </w:r>
      <w:r>
        <w:rPr>
          <w:rFonts w:ascii="Arial" w:cs="Arial" w:eastAsia="Arial" w:hAnsi="Arial"/>
          <w:sz w:val="16"/>
          <w:szCs w:val="16"/>
          <w:i w:val="1"/>
          <w:iCs w:val="1"/>
          <w:color w:val="auto"/>
        </w:rPr>
        <w:t>Financial Statements - Notes to Condensed Consolidated Financial Statements - Note 5, Reinsurance</w:t>
      </w:r>
      <w:r>
        <w:rPr>
          <w:rFonts w:ascii="Arial" w:cs="Arial" w:eastAsia="Arial" w:hAnsi="Arial"/>
          <w:sz w:val="16"/>
          <w:szCs w:val="16"/>
          <w:color w:val="auto"/>
        </w:rPr>
        <w:t>."</w:t>
      </w:r>
    </w:p>
    <w:p>
      <w:pPr>
        <w:spacing w:after="0" w:line="107"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All unexercised warrants expired at their contractual maturity in April 2022. No warrants or warrant liability remained at September 30, 2022. Warrant liability was $2.4 million at December 31, 2021. For further information regarding the valuation of our warrant liability and its impact on our results of operations and financial position, see Item 1, "</w:t>
      </w:r>
      <w:r>
        <w:rPr>
          <w:rFonts w:ascii="Arial" w:cs="Arial" w:eastAsia="Arial" w:hAnsi="Arial"/>
          <w:sz w:val="18"/>
          <w:szCs w:val="18"/>
          <w:i w:val="1"/>
          <w:iCs w:val="1"/>
          <w:color w:val="auto"/>
        </w:rPr>
        <w:t>Financial Statements - Notes to Condensed Consolidated Financial Statements - Note 3, Fair Value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w:t>
      </w:r>
    </w:p>
    <w:p>
      <w:pPr>
        <w:spacing w:after="0" w:line="140"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Net deferred tax liability was $166.6 million at September 30, 2022, compared to $164.2 million at December 31, 2021. The increase was primarily due to an increase in the claimed deductibility of our statutory contingency reserve and was largely offset by the increase in unrealized losses recorded in other comprehensive income. For further information regarding income taxes and their impact on our results of operations and financial position, see Item 1, "</w:t>
      </w:r>
      <w:r>
        <w:rPr>
          <w:rFonts w:ascii="Arial" w:cs="Arial" w:eastAsia="Arial" w:hAnsi="Arial"/>
          <w:sz w:val="16"/>
          <w:szCs w:val="16"/>
          <w:i w:val="1"/>
          <w:iCs w:val="1"/>
          <w:color w:val="auto"/>
        </w:rPr>
        <w:t>Financial Statements - Notes to Condensed Consolidated Financial Statements - Note 9, Income Taxes</w:t>
      </w:r>
      <w:r>
        <w:rPr>
          <w:rFonts w:ascii="Arial" w:cs="Arial" w:eastAsia="Arial" w:hAnsi="Arial"/>
          <w:sz w:val="16"/>
          <w:szCs w:val="16"/>
          <w:color w:val="auto"/>
        </w:rPr>
        <w:t>."</w:t>
      </w:r>
    </w:p>
    <w:p>
      <w:pPr>
        <w:spacing w:after="0" w:line="107"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Other liabilities increased to $12.4 million as of September 30, 2022, compared to $3.2 million as of December 31, 2021. The increase was primarily driven by the recognition of an incremental lease liability in connection with the modification of the operating lease for our corporate headquarters in January 2022.</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Consolidated cash flows</w:t>
            </w:r>
          </w:p>
        </w:tc>
        <w:tc>
          <w:tcPr>
            <w:tcW w:w="320" w:type="dxa"/>
            <w:vAlign w:val="bottom"/>
          </w:tcPr>
          <w:p>
            <w:pPr>
              <w:spacing w:after="0"/>
              <w:rPr>
                <w:sz w:val="15"/>
                <w:szCs w:val="15"/>
                <w:color w:val="auto"/>
              </w:rPr>
            </w:pPr>
          </w:p>
        </w:tc>
        <w:tc>
          <w:tcPr>
            <w:tcW w:w="3240" w:type="dxa"/>
            <w:vAlign w:val="bottom"/>
            <w:gridSpan w:val="4"/>
          </w:tcPr>
          <w:p>
            <w:pPr>
              <w:jc w:val="right"/>
              <w:ind w:right="436"/>
              <w:spacing w:after="0"/>
              <w:rPr>
                <w:sz w:val="20"/>
                <w:szCs w:val="20"/>
                <w:color w:val="auto"/>
              </w:rPr>
            </w:pPr>
            <w:r>
              <w:rPr>
                <w:rFonts w:ascii="Arial" w:cs="Arial" w:eastAsia="Arial" w:hAnsi="Arial"/>
                <w:sz w:val="14"/>
                <w:szCs w:val="14"/>
                <w:b w:val="1"/>
                <w:bCs w:val="1"/>
                <w:color w:val="auto"/>
                <w:w w:val="96"/>
              </w:rPr>
              <w:t>For the nine months ended September 30,</w:t>
            </w:r>
          </w:p>
        </w:tc>
      </w:tr>
      <w:tr>
        <w:trPr>
          <w:trHeight w:val="24"/>
        </w:trPr>
        <w:tc>
          <w:tcPr>
            <w:tcW w:w="7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7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2021</w:t>
            </w:r>
          </w:p>
        </w:tc>
      </w:tr>
      <w:tr>
        <w:trPr>
          <w:trHeight w:val="211"/>
        </w:trPr>
        <w:tc>
          <w:tcPr>
            <w:tcW w:w="748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tcPr>
          <w:p>
            <w:pPr>
              <w:spacing w:after="0"/>
              <w:rPr>
                <w:sz w:val="18"/>
                <w:szCs w:val="18"/>
                <w:color w:val="auto"/>
              </w:rPr>
            </w:pPr>
          </w:p>
        </w:tc>
        <w:tc>
          <w:tcPr>
            <w:tcW w:w="2060" w:type="dxa"/>
            <w:vAlign w:val="bottom"/>
            <w:gridSpan w:val="3"/>
          </w:tcPr>
          <w:p>
            <w:pPr>
              <w:jc w:val="right"/>
              <w:ind w:right="72"/>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18"/>
                <w:szCs w:val="18"/>
                <w:color w:val="auto"/>
              </w:rPr>
            </w:pPr>
          </w:p>
        </w:tc>
      </w:tr>
      <w:tr>
        <w:trPr>
          <w:trHeight w:val="225"/>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281,603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281,381</w:t>
            </w:r>
          </w:p>
        </w:tc>
      </w:tr>
      <w:tr>
        <w:trPr>
          <w:trHeight w:val="224"/>
        </w:trPr>
        <w:tc>
          <w:tcPr>
            <w:tcW w:w="748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(182,111)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(310,520)</w:t>
            </w:r>
          </w:p>
        </w:tc>
      </w:tr>
      <w:tr>
        <w:trPr>
          <w:trHeight w:val="224"/>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18"/>
        </w:trPr>
        <w:tc>
          <w:tcPr>
            <w:tcW w:w="74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49,166</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(29,677)</w:t>
            </w:r>
          </w:p>
        </w:tc>
      </w:tr>
      <w:tr>
        <w:trPr>
          <w:trHeight w:val="20"/>
        </w:trPr>
        <w:tc>
          <w:tcPr>
            <w:tcW w:w="7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Net cash provided by operating activities was $281.6 million for the nine months ended September 30, 2022, compared to $281.4 million for the nine months ended September 30, 2021. Cash provided by operating activities during the nine months ended September 30, 2022 reflects a reduction in technology service costs paid under our long-term IT services agreement with TCS, largely offset by a decline in premium written tied to a decrease in single premium policies written during the period.</w:t>
      </w:r>
    </w:p>
    <w:p>
      <w:pPr>
        <w:spacing w:after="0" w:line="140"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Cash used in investing activities for the nine months ended September 30, 2022 and 2021 reflects the purchase of fixed and short-term maturities with cash provided by operating activities, and the reinvestment of coupon payments, maturities and sale proceeds within our investment portfolio.</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51" w:name="page52"/>
    <w:bookmarkEnd w:id="51"/>
    <w:p>
      <w:pPr>
        <w:jc w:val="both"/>
        <w:ind w:firstLine="633"/>
        <w:spacing w:after="0" w:line="253" w:lineRule="auto"/>
        <w:rPr>
          <w:sz w:val="20"/>
          <w:szCs w:val="20"/>
          <w:color w:val="auto"/>
        </w:rPr>
      </w:pPr>
      <w:r>
        <w:rPr>
          <w:rFonts w:ascii="Arial" w:cs="Arial" w:eastAsia="Arial" w:hAnsi="Arial"/>
          <w:sz w:val="18"/>
          <w:szCs w:val="18"/>
          <w:color w:val="auto"/>
        </w:rPr>
        <w:t>Cash used in financing activities was $50.3 million for the nine months ended September 30, 2022, compared to $0.5 million for the nine months ended September 30, 2021. Cash used in financing activities during the nine months ended September 30, 2022 primarily relates to the repurchase of common stock.</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8"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Notes and 2021 Revolving Credit Facility; (iv) tax payments to the Internal Revenue Service; (v) capital support for its subsidiaries; (vi) repurchase of its common stock; and (vii)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114"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As of September 30, 2022, NMIH had $97.4 million of cash and investments. NMIH's principal sources of net cash are dividends from its subsidiaries and investment income. NMIC paid a $34.9 million ordinary course dividend to NMIH in April 2022, representing its full ordinary course dividend capacity payable under Wisconsin law for the twelve-month period ending December 31, 2022. NMIH also has access to $250 million of undrawn revolving credit capacity under the 2021 Revolving Credit Facility. See Item 1, "</w:t>
      </w:r>
      <w:r>
        <w:rPr>
          <w:rFonts w:ascii="Arial" w:cs="Arial" w:eastAsia="Arial" w:hAnsi="Arial"/>
          <w:sz w:val="16"/>
          <w:szCs w:val="16"/>
          <w:i w:val="1"/>
          <w:iCs w:val="1"/>
          <w:color w:val="auto"/>
        </w:rPr>
        <w:t>Financial Statements - Notes to Condensed Consolidated Financial Statements - Note 4, Debt."</w:t>
      </w:r>
    </w:p>
    <w:p>
      <w:pPr>
        <w:spacing w:after="0" w:line="107"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On February 10, 2022, our Board of Directors approved a $125 million share repurchase program through December 31, 2023, that enables the company to repurchase its common stock. The authorization provides NMIH the flexibility to repurchase stock from time to time in the open market or in privately negotiated transactions, based on market and business conditions, stock price and other factors. During the nine months ended September 30, 2022, NMIH repurchased 2.7 million shares of common stock pursuant to a trading plans under Rule 10b-18 and Rule 10b5-1 of the Exchange Act, at a total cost of $51.2 million, including associated costs. As of September 30, 2022, $73.8 million of repurchase authority remained available under the program.</w:t>
      </w:r>
    </w:p>
    <w:p>
      <w:pPr>
        <w:spacing w:after="0" w:line="113"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Notes and the 2021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107" w:lineRule="exact"/>
        <w:rPr>
          <w:sz w:val="20"/>
          <w:szCs w:val="20"/>
          <w:color w:val="auto"/>
        </w:rPr>
      </w:pPr>
    </w:p>
    <w:p>
      <w:pPr>
        <w:jc w:val="both"/>
        <w:ind w:firstLine="633"/>
        <w:spacing w:after="0" w:line="247" w:lineRule="auto"/>
        <w:rPr>
          <w:sz w:val="20"/>
          <w:szCs w:val="20"/>
          <w:color w:val="auto"/>
        </w:rPr>
      </w:pPr>
      <w:r>
        <w:rPr>
          <w:rFonts w:ascii="Arial" w:cs="Arial" w:eastAsia="Arial" w:hAnsi="Arial"/>
          <w:sz w:val="18"/>
          <w:szCs w:val="18"/>
          <w:color w:val="auto"/>
        </w:rPr>
        <w:t>The Notes mature on June 1, 2025 and bear interest at a rate of 7.375%, payable semi-annually on June 1 and December 1. The 2021 Revolving Credit Facility matures on the earlier of (x) November 29, 2025 or (y) if any existing senior secured notes remain outstanding on such date, February 28, 2025, and accrues interest at a variable rate equal to, at our discretion, (i) a Base Rate (as defined in the 2021 Revolving Credit Facility, subject to a floor of 1.00% per annum) plus a margin of 0.375% to 1.875% per annum or (ii) the Adjusted Term Secured Overnight Financing Rate (SOFR) (as defined in the 2021 Revolving Credit Facility) plus a margin of 1.375% to 2.875% per annum, with the margin in each of (i) or (ii) based on our applicable corporate credit rating at the time. Borrowings under the 2021 Revolving Credit Facility may be used for general corporate purposes, including to support the growth of our new business production and operations.</w:t>
      </w:r>
    </w:p>
    <w:p>
      <w:pPr>
        <w:spacing w:after="0" w:line="144"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Under the 2021 Revolving Credit Facility, NMIH is required to pay a quarterly commitment fee on the average daily undrawn amount of 0.175% to 0.525%, based on the applicable corporate credit rating at the time. As of September 30, 2022, the applicable commitment fee was 0.30%.</w:t>
      </w:r>
    </w:p>
    <w:p>
      <w:pPr>
        <w:spacing w:after="0" w:line="82"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We are subject to certain covenants under the 2021 Revolving Credit Facility, including: a maximum debt-to-total capitalization ratio of 35%, a requirement to maintain compliance with the PMIERs financial requirements (subject to any GSE approved waivers), and minimum consolidated net worth and statutory capital requirements (respectively, as defined therein). We were in compliance with all covenants at September 30, 2022.</w:t>
      </w:r>
    </w:p>
    <w:p>
      <w:pPr>
        <w:spacing w:after="0" w:line="101" w:lineRule="exact"/>
        <w:rPr>
          <w:sz w:val="20"/>
          <w:szCs w:val="20"/>
          <w:color w:val="auto"/>
        </w:rPr>
      </w:pPr>
    </w:p>
    <w:p>
      <w:pPr>
        <w:jc w:val="both"/>
        <w:ind w:firstLine="633"/>
        <w:spacing w:after="0" w:line="285" w:lineRule="auto"/>
        <w:rPr>
          <w:sz w:val="20"/>
          <w:szCs w:val="20"/>
          <w:color w:val="auto"/>
        </w:rPr>
      </w:pPr>
      <w:r>
        <w:rPr>
          <w:rFonts w:ascii="Arial" w:cs="Arial" w:eastAsia="Arial" w:hAnsi="Arial"/>
          <w:sz w:val="16"/>
          <w:szCs w:val="16"/>
          <w:color w:val="auto"/>
        </w:rPr>
        <w:t>NMIC and Re One are subject to certain capital and dividend rules and regulations prescribed by jurisdictions in which they are authorized to operate and the GSEs. Under Wisconsin law, NMIC and Re One may pay dividends up to specified levels (</w:t>
      </w:r>
      <w:r>
        <w:rPr>
          <w:rFonts w:ascii="Arial" w:cs="Arial" w:eastAsia="Arial" w:hAnsi="Arial"/>
          <w:sz w:val="16"/>
          <w:szCs w:val="16"/>
          <w:i w:val="1"/>
          <w:iCs w:val="1"/>
          <w:color w:val="auto"/>
        </w:rPr>
        <w:t>i.e.</w:t>
      </w:r>
      <w:r>
        <w:rPr>
          <w:rFonts w:ascii="Arial" w:cs="Arial" w:eastAsia="Arial" w:hAnsi="Arial"/>
          <w:sz w:val="16"/>
          <w:szCs w:val="16"/>
          <w:color w:val="auto"/>
        </w:rPr>
        <w:t>,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On April 1, 2022, NMIC paid 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$34.9 million ordinary course dividend to NMIH.</w:t>
      </w:r>
    </w:p>
    <w:p>
      <w:pPr>
        <w:spacing w:after="0" w:line="162" w:lineRule="exact"/>
        <w:rPr>
          <w:sz w:val="20"/>
          <w:szCs w:val="20"/>
          <w:color w:val="auto"/>
        </w:rPr>
      </w:pPr>
    </w:p>
    <w:p>
      <w:pPr>
        <w:jc w:val="both"/>
        <w:ind w:firstLine="633"/>
        <w:spacing w:after="0" w:line="291" w:lineRule="auto"/>
        <w:rPr>
          <w:sz w:val="20"/>
          <w:szCs w:val="20"/>
          <w:color w:val="auto"/>
        </w:rPr>
      </w:pPr>
      <w:r>
        <w:rPr>
          <w:rFonts w:ascii="Arial" w:cs="Arial" w:eastAsia="Arial" w:hAnsi="Arial"/>
          <w:sz w:val="16"/>
          <w:szCs w:val="16"/>
          <w:color w:val="auto"/>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Arial" w:cs="Arial" w:eastAsia="Arial" w:hAnsi="Arial"/>
          <w:sz w:val="16"/>
          <w:szCs w:val="16"/>
          <w:i w:val="1"/>
          <w:iCs w:val="1"/>
          <w:color w:val="auto"/>
        </w:rPr>
        <w:t xml:space="preserve">minimum required asset </w:t>
      </w:r>
      <w:r>
        <w:rPr>
          <w:rFonts w:ascii="Arial" w:cs="Arial" w:eastAsia="Arial" w:hAnsi="Arial"/>
          <w:sz w:val="16"/>
          <w:szCs w:val="16"/>
          <w:color w:val="auto"/>
        </w:rPr>
        <w:t>thresholds under the PMIERs and minimum state capital requirements (respectively, as defined therein).</w:t>
      </w:r>
    </w:p>
    <w:p>
      <w:pPr>
        <w:spacing w:after="0" w:line="96"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available assets that are equal to or exceed a minimum risk-based required asset amount, subject to a minimum floor of $400 million. At September 30, 2022, NMIC reported $2,275 million available assets against $1,173 million risk-based required assets, for a $1,102 million "excess" funding position.</w:t>
      </w:r>
    </w:p>
    <w:p>
      <w:pPr>
        <w:spacing w:after="0" w:line="140" w:lineRule="exact"/>
        <w:rPr>
          <w:sz w:val="20"/>
          <w:szCs w:val="20"/>
          <w:color w:val="auto"/>
        </w:rPr>
      </w:pPr>
    </w:p>
    <w:p>
      <w:pPr>
        <w:jc w:val="both"/>
        <w:ind w:firstLine="633"/>
        <w:spacing w:after="0" w:line="282" w:lineRule="auto"/>
        <w:rPr>
          <w:sz w:val="20"/>
          <w:szCs w:val="20"/>
          <w:color w:val="auto"/>
        </w:rPr>
      </w:pPr>
      <w:r>
        <w:rPr>
          <w:rFonts w:ascii="Arial" w:cs="Arial" w:eastAsia="Arial" w:hAnsi="Arial"/>
          <w:sz w:val="16"/>
          <w:szCs w:val="16"/>
          <w:color w:val="auto"/>
        </w:rPr>
        <w:t>The risk-based required asset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FEMA to be a Major Disaster zone eligible for Individual Assistance. In June 2020, the GSEs issued guidance (which was subsequently amended and restated) on the risk-based treatment of loans affected by the COVID-19 pandemic. Under the guidance, non-performing loans that are subject to a forbearance program granted in response to a financial hardship related to COVID-19 will benefit from a permanent 70% risk-based required asset haircut for the duration of the forbearance period and subsequent repayment plan or trial modification period.</w:t>
      </w:r>
    </w:p>
    <w:p>
      <w:pPr>
        <w:spacing w:after="0" w:line="117"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NMIC's PMIERs minimum risk-based required asset amount is also adjusted for its reinsurance transactions (as approved by the GSEs). Under NMIC's quota share reinsurance treaties, it receives credit for the PMIERs risk-based required asset amount on ceded RIF. As its gross PMIERs risk-based required asset amount on ceded RIF increases, the PMIERS credit for ceded RIF automatically increases as well (in an unlimited amount). Under NMIC's ILN Transactions, it generally receives credit for the PMIERs risk-based required asset amount on ceded RIF to the extent such requirement is within the subordinated coverage (excess of loss detachment threshold) afforded by the transaction.</w:t>
      </w:r>
    </w:p>
    <w:p>
      <w:pPr>
        <w:spacing w:after="0" w:line="113"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September 30, 2022, NMIC's performing primary RIF, net of reinsurance, was approximately $23.7 billion. NMIC ceded 100% of its pool RIF</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2016 QSR Transaction. Based on NMIC's total statutory capital of $2.2 billion (including contingency reserves) as of September 30, 2022, NMIC's RTC ratio was 10.9:1. Re One has no risk in force remaining and no longer reports a RTC ratio.</w:t>
      </w:r>
    </w:p>
    <w:p>
      <w:pPr>
        <w:spacing w:after="0" w:line="128" w:lineRule="exact"/>
        <w:rPr>
          <w:sz w:val="20"/>
          <w:szCs w:val="20"/>
          <w:color w:val="auto"/>
        </w:rPr>
      </w:pPr>
    </w:p>
    <w:p>
      <w:pPr>
        <w:jc w:val="both"/>
        <w:ind w:firstLine="633"/>
        <w:spacing w:after="0" w:line="279" w:lineRule="auto"/>
        <w:rPr>
          <w:sz w:val="20"/>
          <w:szCs w:val="20"/>
          <w:color w:val="auto"/>
        </w:rPr>
      </w:pPr>
      <w:r>
        <w:rPr>
          <w:rFonts w:ascii="Arial" w:cs="Arial" w:eastAsia="Arial" w:hAnsi="Arial"/>
          <w:sz w:val="16"/>
          <w:szCs w:val="16"/>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September 30, 2022, NMIC had $2.0 billion of cash and investments, including $108 million of cash and equivalents. NMIC's principal liquidity demands include funds for the payment of (i) 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September 30, 2022, NMIC generated $272 million of cash flow from operations and received an additional $162 million of cash flow on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Arial" w:cs="Arial" w:eastAsia="Arial" w:hAnsi="Arial"/>
          <w:sz w:val="16"/>
          <w:szCs w:val="16"/>
          <w:i w:val="1"/>
          <w:iCs w:val="1"/>
          <w:color w:val="auto"/>
        </w:rPr>
        <w:t>i.e.</w:t>
      </w:r>
      <w:r>
        <w:rPr>
          <w:rFonts w:ascii="Arial" w:cs="Arial" w:eastAsia="Arial" w:hAnsi="Arial"/>
          <w:sz w:val="16"/>
          <w:szCs w:val="16"/>
          <w:color w:val="auto"/>
        </w:rPr>
        <w:t>, are of a contractually predetermined amount and due at a contractually predetermined date). NMIC's only use of cash that develops along an unscheduled path is claims payments. Given the breadth and duration of forbearance programs available to borrowers, separate foreclosure moratoriums that have been enacted at a local, state and federal level, and the general duration of the default to foreclosure to claim cycle, we do not expect NMIC to use a meaningful amount of cash to settle claims in the near-term.</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Debt and Financial Strength Ratings</w:t>
      </w:r>
    </w:p>
    <w:p>
      <w:pPr>
        <w:spacing w:after="0" w:line="168"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NMIC's financial strength is rated "Baa1" by Moody's and "BBB" by S&amp;P. NMIH’s Notes are rated “Ba1” by Moody’s and its long-term counter-party credit profile is rated “BB” by S&amp;P. Moody's outlook for both its ratings is stable and S&amp;P’s outlook for both its ratings is positive.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68"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The primary objectives of our investment activity are to generate investment income and preserve capital,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40" w:lineRule="exact"/>
        <w:rPr>
          <w:sz w:val="20"/>
          <w:szCs w:val="20"/>
          <w:color w:val="auto"/>
        </w:rPr>
      </w:pPr>
    </w:p>
    <w:p>
      <w:pPr>
        <w:jc w:val="both"/>
        <w:ind w:firstLine="633"/>
        <w:spacing w:after="0" w:line="249" w:lineRule="auto"/>
        <w:rPr>
          <w:sz w:val="20"/>
          <w:szCs w:val="20"/>
          <w:color w:val="auto"/>
        </w:rPr>
      </w:pPr>
      <w:r>
        <w:rPr>
          <w:rFonts w:ascii="Arial" w:cs="Arial" w:eastAsia="Arial" w:hAnsi="Arial"/>
          <w:sz w:val="18"/>
          <w:szCs w:val="18"/>
          <w:color w:val="auto"/>
        </w:rPr>
        <w:t>Our investment portfolio is comprised entirely of fixed maturity instruments. As of September 30, 2022, the fair value of our investment portfolio was $2.0 billion and we held an additional $125.8 million of cash and equivalents. Pre-tax book yield on the investment portfolio for the nine months ended September 30, 2022 was 2.0%. Book yield is calculated as period-to-date net investment income divided by the average amortized cost of the investment portfolio. The yield on our investment portfolio is likely to change over time based on movements in interest rates, credit spreads, the duration or mix of our holdings and other factors.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tables present a breakdown of our investment portfolio and cash and cash equivalents by investment type and credit rating: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Percentage of portfolio's fair value</w:t>
            </w:r>
          </w:p>
        </w:tc>
        <w:tc>
          <w:tcPr>
            <w:tcW w:w="1960" w:type="dxa"/>
            <w:vAlign w:val="bottom"/>
            <w:gridSpan w:val="2"/>
          </w:tcPr>
          <w:p>
            <w:pPr>
              <w:ind w:left="340"/>
              <w:spacing w:after="0"/>
              <w:rPr>
                <w:sz w:val="20"/>
                <w:szCs w:val="20"/>
                <w:color w:val="auto"/>
              </w:rPr>
            </w:pPr>
            <w:r>
              <w:rPr>
                <w:rFonts w:ascii="Arial" w:cs="Arial" w:eastAsia="Arial" w:hAnsi="Arial"/>
                <w:sz w:val="14"/>
                <w:szCs w:val="14"/>
                <w:b w:val="1"/>
                <w:bCs w:val="1"/>
                <w:color w:val="auto"/>
              </w:rPr>
              <w:t>September 30, 2022</w:t>
            </w:r>
          </w:p>
        </w:tc>
        <w:tc>
          <w:tcPr>
            <w:tcW w:w="184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74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24"/>
        </w:trPr>
        <w:tc>
          <w:tcPr>
            <w:tcW w:w="7440" w:type="dxa"/>
            <w:vAlign w:val="bottom"/>
          </w:tcPr>
          <w:p>
            <w:pPr>
              <w:ind w:left="20"/>
              <w:spacing w:after="0"/>
              <w:rPr>
                <w:sz w:val="20"/>
                <w:szCs w:val="20"/>
                <w:color w:val="auto"/>
              </w:rPr>
            </w:pPr>
            <w:r>
              <w:rPr>
                <w:rFonts w:ascii="Arial" w:cs="Arial" w:eastAsia="Arial" w:hAnsi="Arial"/>
                <w:sz w:val="18"/>
                <w:szCs w:val="18"/>
                <w:color w:val="auto"/>
              </w:rPr>
              <w:t>Municipal debt securities</w:t>
            </w:r>
          </w:p>
        </w:tc>
        <w:tc>
          <w:tcPr>
            <w:tcW w:w="1860" w:type="dxa"/>
            <w:vAlign w:val="bottom"/>
          </w:tcPr>
          <w:p>
            <w:pPr>
              <w:jc w:val="right"/>
              <w:ind w:right="135"/>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short-term investments</w:t>
            </w:r>
          </w:p>
        </w:tc>
        <w:tc>
          <w:tcPr>
            <w:tcW w:w="18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7440" w:type="dxa"/>
            <w:vAlign w:val="bottom"/>
          </w:tcPr>
          <w:p>
            <w:pPr>
              <w:ind w:left="2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860" w:type="dxa"/>
            <w:vAlign w:val="bottom"/>
          </w:tcPr>
          <w:p>
            <w:pPr>
              <w:jc w:val="right"/>
              <w:ind w:right="1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18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8"/>
        </w:trPr>
        <w:tc>
          <w:tcPr>
            <w:tcW w:w="7440" w:type="dxa"/>
            <w:vAlign w:val="bottom"/>
          </w:tcPr>
          <w:p>
            <w:pPr>
              <w:ind w:left="2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Investment portfolio ratings at fair value </w:t>
            </w:r>
            <w:r>
              <w:rPr>
                <w:rFonts w:ascii="Arial" w:cs="Arial" w:eastAsia="Arial" w:hAnsi="Arial"/>
                <w:sz w:val="18"/>
                <w:szCs w:val="18"/>
                <w:b w:val="1"/>
                <w:bCs w:val="1"/>
                <w:color w:val="auto"/>
                <w:vertAlign w:val="superscript"/>
              </w:rPr>
              <w:t>(1)</w:t>
            </w: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7440" w:type="dxa"/>
            <w:vAlign w:val="bottom"/>
            <w:vMerge w:val="continue"/>
          </w:tcPr>
          <w:p>
            <w:pPr>
              <w:spacing w:after="0"/>
              <w:rPr>
                <w:sz w:val="24"/>
                <w:szCs w:val="24"/>
                <w:color w:val="auto"/>
              </w:rPr>
            </w:pPr>
          </w:p>
        </w:tc>
        <w:tc>
          <w:tcPr>
            <w:tcW w:w="1960" w:type="dxa"/>
            <w:vAlign w:val="bottom"/>
            <w:gridSpan w:val="2"/>
          </w:tcPr>
          <w:p>
            <w:pPr>
              <w:ind w:left="340"/>
              <w:spacing w:after="0"/>
              <w:rPr>
                <w:sz w:val="20"/>
                <w:szCs w:val="20"/>
                <w:color w:val="auto"/>
              </w:rPr>
            </w:pPr>
            <w:r>
              <w:rPr>
                <w:rFonts w:ascii="Arial" w:cs="Arial" w:eastAsia="Arial" w:hAnsi="Arial"/>
                <w:sz w:val="14"/>
                <w:szCs w:val="14"/>
                <w:b w:val="1"/>
                <w:bCs w:val="1"/>
                <w:color w:val="auto"/>
              </w:rPr>
              <w:t>September 30, 2022</w:t>
            </w:r>
          </w:p>
        </w:tc>
        <w:tc>
          <w:tcPr>
            <w:tcW w:w="184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17"/>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4"/>
        </w:trPr>
        <w:tc>
          <w:tcPr>
            <w:tcW w:w="7440" w:type="dxa"/>
            <w:vAlign w:val="bottom"/>
          </w:tcPr>
          <w:p>
            <w:pPr>
              <w:ind w:left="20"/>
              <w:spacing w:after="0" w:line="224" w:lineRule="exact"/>
              <w:rPr>
                <w:sz w:val="20"/>
                <w:szCs w:val="20"/>
                <w:color w:val="auto"/>
              </w:rPr>
            </w:pPr>
            <w:r>
              <w:rPr>
                <w:rFonts w:ascii="Arial" w:cs="Arial" w:eastAsia="Arial" w:hAnsi="Arial"/>
                <w:sz w:val="25"/>
                <w:szCs w:val="25"/>
                <w:color w:val="auto"/>
                <w:vertAlign w:val="subscript"/>
              </w:rPr>
              <w:t>AA</w:t>
            </w:r>
            <w:r>
              <w:rPr>
                <w:rFonts w:ascii="Arial" w:cs="Arial" w:eastAsia="Arial" w:hAnsi="Arial"/>
                <w:sz w:val="10"/>
                <w:szCs w:val="10"/>
                <w:color w:val="auto"/>
              </w:rPr>
              <w:t>(2)</w:t>
            </w:r>
          </w:p>
        </w:tc>
        <w:tc>
          <w:tcPr>
            <w:tcW w:w="1860" w:type="dxa"/>
            <w:vAlign w:val="bottom"/>
          </w:tcPr>
          <w:p>
            <w:pPr>
              <w:jc w:val="right"/>
              <w:ind w:right="13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20"/>
              <w:spacing w:after="0" w:line="224" w:lineRule="exact"/>
              <w:rPr>
                <w:sz w:val="20"/>
                <w:szCs w:val="20"/>
                <w:color w:val="auto"/>
              </w:rPr>
            </w:pPr>
            <w:r>
              <w:rPr>
                <w:rFonts w:ascii="Arial" w:cs="Arial" w:eastAsia="Arial" w:hAnsi="Arial"/>
                <w:sz w:val="25"/>
                <w:szCs w:val="25"/>
                <w:color w:val="auto"/>
                <w:vertAlign w:val="subscript"/>
              </w:rPr>
              <w:t>A</w:t>
            </w:r>
            <w:r>
              <w:rPr>
                <w:rFonts w:ascii="Arial" w:cs="Arial" w:eastAsia="Arial" w:hAnsi="Arial"/>
                <w:sz w:val="10"/>
                <w:szCs w:val="10"/>
                <w:color w:val="auto"/>
              </w:rPr>
              <w:t>(2)</w:t>
            </w:r>
          </w:p>
        </w:tc>
        <w:tc>
          <w:tcPr>
            <w:tcW w:w="18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4"/>
        </w:trPr>
        <w:tc>
          <w:tcPr>
            <w:tcW w:w="7440" w:type="dxa"/>
            <w:vAlign w:val="bottom"/>
          </w:tcPr>
          <w:p>
            <w:pPr>
              <w:ind w:left="20"/>
              <w:spacing w:after="0" w:line="224" w:lineRule="exact"/>
              <w:rPr>
                <w:sz w:val="20"/>
                <w:szCs w:val="20"/>
                <w:color w:val="auto"/>
              </w:rPr>
            </w:pPr>
            <w:r>
              <w:rPr>
                <w:rFonts w:ascii="Arial" w:cs="Arial" w:eastAsia="Arial" w:hAnsi="Arial"/>
                <w:sz w:val="18"/>
                <w:szCs w:val="18"/>
                <w:color w:val="auto"/>
              </w:rPr>
              <w:t>BBB</w:t>
            </w:r>
            <w:r>
              <w:rPr>
                <w:rFonts w:ascii="Arial" w:cs="Arial" w:eastAsia="Arial" w:hAnsi="Arial"/>
                <w:sz w:val="22"/>
                <w:szCs w:val="22"/>
                <w:color w:val="auto"/>
                <w:vertAlign w:val="superscript"/>
              </w:rPr>
              <w:t>(2)</w:t>
            </w:r>
          </w:p>
        </w:tc>
        <w:tc>
          <w:tcPr>
            <w:tcW w:w="1860" w:type="dxa"/>
            <w:vAlign w:val="bottom"/>
          </w:tcPr>
          <w:p>
            <w:pPr>
              <w:jc w:val="right"/>
              <w:ind w:right="1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20"/>
              <w:spacing w:after="0" w:line="224" w:lineRule="exact"/>
              <w:rPr>
                <w:sz w:val="20"/>
                <w:szCs w:val="20"/>
                <w:color w:val="auto"/>
              </w:rPr>
            </w:pPr>
            <w:r>
              <w:rPr>
                <w:rFonts w:ascii="Arial" w:cs="Arial" w:eastAsia="Arial" w:hAnsi="Arial"/>
                <w:sz w:val="25"/>
                <w:szCs w:val="25"/>
                <w:color w:val="auto"/>
                <w:vertAlign w:val="subscript"/>
              </w:rPr>
              <w:t>BB</w:t>
            </w:r>
            <w:r>
              <w:rPr>
                <w:rFonts w:ascii="Arial" w:cs="Arial" w:eastAsia="Arial" w:hAnsi="Arial"/>
                <w:sz w:val="10"/>
                <w:szCs w:val="10"/>
                <w:color w:val="auto"/>
              </w:rPr>
              <w:t xml:space="preserve"> (3)</w:t>
            </w: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440" w:type="dxa"/>
            <w:vAlign w:val="bottom"/>
          </w:tcPr>
          <w:p>
            <w:pPr>
              <w:ind w:left="20"/>
              <w:spacing w:after="0"/>
              <w:rPr>
                <w:sz w:val="20"/>
                <w:szCs w:val="20"/>
                <w:color w:val="auto"/>
              </w:rPr>
            </w:pPr>
            <w:r>
              <w:rPr>
                <w:rFonts w:ascii="Arial" w:cs="Arial" w:eastAsia="Arial" w:hAnsi="Arial"/>
                <w:sz w:val="18"/>
                <w:szCs w:val="18"/>
                <w:color w:val="auto"/>
              </w:rPr>
              <w:t>Total</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260" w:hanging="254"/>
        <w:spacing w:after="0"/>
        <w:tabs>
          <w:tab w:leader="none" w:pos="2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Excluding certain operating cash accounts.</w:t>
      </w:r>
    </w:p>
    <w:p>
      <w:pPr>
        <w:ind w:left="260" w:hanging="254"/>
        <w:spacing w:after="0"/>
        <w:tabs>
          <w:tab w:leader="none" w:pos="260" w:val="left"/>
        </w:tabs>
        <w:numPr>
          <w:ilvl w:val="0"/>
          <w:numId w:val="25"/>
        </w:numPr>
        <w:rPr>
          <w:rFonts w:ascii="Arial" w:cs="Arial" w:eastAsia="Arial" w:hAnsi="Arial"/>
          <w:sz w:val="9"/>
          <w:szCs w:val="9"/>
          <w:color w:val="auto"/>
        </w:rPr>
      </w:pPr>
      <w:r>
        <w:rPr>
          <w:rFonts w:ascii="Arial" w:cs="Arial" w:eastAsia="Arial" w:hAnsi="Arial"/>
          <w:sz w:val="14"/>
          <w:szCs w:val="14"/>
          <w:color w:val="auto"/>
        </w:rPr>
        <w:t>Includes +/– ratings.</w:t>
      </w:r>
    </w:p>
    <w:p>
      <w:pPr>
        <w:spacing w:after="0" w:line="6" w:lineRule="exact"/>
        <w:rPr>
          <w:rFonts w:ascii="Arial" w:cs="Arial" w:eastAsia="Arial" w:hAnsi="Arial"/>
          <w:sz w:val="9"/>
          <w:szCs w:val="9"/>
          <w:color w:val="auto"/>
        </w:rPr>
      </w:pPr>
    </w:p>
    <w:p>
      <w:pPr>
        <w:ind w:left="240" w:hanging="234"/>
        <w:spacing w:after="0" w:line="198" w:lineRule="auto"/>
        <w:tabs>
          <w:tab w:leader="none" w:pos="24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We held one security with a BB+ rating at September 30, 2022, which is not identifiable in the table due to rounding.</w:t>
      </w:r>
    </w:p>
    <w:p>
      <w:pPr>
        <w:spacing w:after="0" w:line="236"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All of our investments are rated by one or more nationally recognized statistical rating organizations. If three or more ratings are available, we assign the middle rating for classification purposes, otherwise we assign the lowest rating.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 Allowance for credit losses</w:t>
      </w:r>
    </w:p>
    <w:p>
      <w:pPr>
        <w:spacing w:after="0" w:line="162" w:lineRule="exact"/>
        <w:rPr>
          <w:sz w:val="20"/>
          <w:szCs w:val="20"/>
          <w:color w:val="auto"/>
        </w:rPr>
      </w:pPr>
    </w:p>
    <w:p>
      <w:pPr>
        <w:jc w:val="both"/>
        <w:ind w:firstLine="633"/>
        <w:spacing w:after="0" w:line="325" w:lineRule="auto"/>
        <w:rPr>
          <w:sz w:val="20"/>
          <w:szCs w:val="20"/>
          <w:color w:val="auto"/>
        </w:rPr>
      </w:pPr>
      <w:r>
        <w:rPr>
          <w:rFonts w:ascii="Arial" w:cs="Arial" w:eastAsia="Arial" w:hAnsi="Arial"/>
          <w:sz w:val="16"/>
          <w:szCs w:val="16"/>
          <w:color w:val="auto"/>
        </w:rPr>
        <w:t>We did not recognize an allowance for credit loss for any security in the investment portfolio as of September 30, 2022 or December 31, 2021, and we did not record any provision for credit loss for investment securities during the three or nine-month periods ended September 30, 2022 or 2021.</w:t>
      </w:r>
    </w:p>
    <w:p>
      <w:pPr>
        <w:spacing w:after="0" w:line="82"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As of September 30, 2022, the investment portfolio had gross unrealized losses of $275.2 million, of which $173.4 million had been in an unrealized loss position for a period of twelve months or longer. As of December 31, 2021, the investment portfolio had gross unrealized losses of $23.2 million, of which $6.5 million had been in an unrealized loss position for a period of twelve months or longer.</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increase in the aggregate size of the unrealized loss position as of September 30, 2022, was primarily driven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54" w:name="page55"/>
    <w:bookmarkEnd w:id="54"/>
    <w:p>
      <w:pPr>
        <w:jc w:val="both"/>
        <w:spacing w:after="0" w:line="292" w:lineRule="auto"/>
        <w:rPr>
          <w:sz w:val="20"/>
          <w:szCs w:val="20"/>
          <w:color w:val="auto"/>
        </w:rPr>
      </w:pPr>
      <w:r>
        <w:rPr>
          <w:rFonts w:ascii="Arial" w:cs="Arial" w:eastAsia="Arial" w:hAnsi="Arial"/>
          <w:sz w:val="16"/>
          <w:szCs w:val="16"/>
          <w:color w:val="auto"/>
        </w:rPr>
        <w:t>fluctuations in interest rates and, to a lesser extent, movements in credit spreads following the purchase date of certain securities. We evaluated the securities in an unrealized loss position as of September 30, 2022, assessing their credit ratings as well as any adverse conditions specifically related to the security. Based upon our estimate of the amount and timing of cash flows to be collected over the remaining life of each instrument, we believe the unrealized losses as of September 30, 2022 are not indicative of the ultimate collectability of the current amortized cost of the securities.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68"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40"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We believe that the assumptions and estimates associated with revenue recognition, our investment portfolio, deferred policy acquisition costs, premium deficiency reserves, and reserves for insurance claims and claim expenses have the greatest potential impact on our consolidated financial statements. Therefore, we consider these to be our critical accounting estimates. There have not been any material changes to our critical accounting policies and estimates as compared to the critical accounting policies and estimates described in our 2021 10-K.</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8" w:lineRule="exact"/>
        <w:rPr>
          <w:sz w:val="20"/>
          <w:szCs w:val="20"/>
          <w:color w:val="auto"/>
        </w:rPr>
      </w:pPr>
    </w:p>
    <w:p>
      <w:pPr>
        <w:ind w:firstLine="633"/>
        <w:spacing w:after="0" w:line="325" w:lineRule="auto"/>
        <w:rPr>
          <w:sz w:val="20"/>
          <w:szCs w:val="20"/>
          <w:color w:val="auto"/>
        </w:rPr>
      </w:pPr>
      <w:r>
        <w:rPr>
          <w:rFonts w:ascii="Arial" w:cs="Arial" w:eastAsia="Arial" w:hAnsi="Arial"/>
          <w:sz w:val="16"/>
          <w:szCs w:val="16"/>
          <w:color w:val="auto"/>
        </w:rPr>
        <w:t>We own and manage a large investment portfolio of various holdings, types and maturities. NMIH's principal source of operating cash is investment income. The assets within the investment portfolio are exposed to the same factors that affect overall financial market performance.</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manage market risk via a defined investment policy implemented by our treasury function with oversight from our Board's Risk Committee.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Important drivers of our market risk exposure monitored and managed by us include but are not limited to:</w:t>
      </w:r>
    </w:p>
    <w:p>
      <w:pPr>
        <w:spacing w:after="0" w:line="151" w:lineRule="exact"/>
        <w:rPr>
          <w:sz w:val="20"/>
          <w:szCs w:val="20"/>
          <w:color w:val="auto"/>
        </w:rPr>
      </w:pPr>
    </w:p>
    <w:p>
      <w:pPr>
        <w:jc w:val="both"/>
        <w:ind w:left="960" w:hanging="321"/>
        <w:spacing w:after="0" w:line="248"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Changes to the level of interest rates</w:t>
      </w:r>
      <w:r>
        <w:rPr>
          <w:rFonts w:ascii="Arial" w:cs="Arial" w:eastAsia="Arial" w:hAnsi="Arial"/>
          <w:sz w:val="18"/>
          <w:szCs w:val="18"/>
          <w:color w:val="auto"/>
        </w:rPr>
        <w:t>. Increasing interest rates may reduce the value of certain fixed-rate bonds held in the investment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141" w:lineRule="exact"/>
        <w:rPr>
          <w:rFonts w:ascii="Arial" w:cs="Arial" w:eastAsia="Arial" w:hAnsi="Arial"/>
          <w:sz w:val="18"/>
          <w:szCs w:val="18"/>
          <w:color w:val="auto"/>
        </w:rPr>
      </w:pPr>
    </w:p>
    <w:p>
      <w:pPr>
        <w:ind w:left="960" w:hanging="321"/>
        <w:spacing w:after="0" w:line="262" w:lineRule="auto"/>
        <w:tabs>
          <w:tab w:leader="none" w:pos="955"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28" w:lineRule="exact"/>
        <w:rPr>
          <w:rFonts w:ascii="Arial" w:cs="Arial" w:eastAsia="Arial" w:hAnsi="Arial"/>
          <w:sz w:val="18"/>
          <w:szCs w:val="18"/>
          <w:i w:val="1"/>
          <w:iCs w:val="1"/>
          <w:color w:val="auto"/>
        </w:rPr>
      </w:pPr>
    </w:p>
    <w:p>
      <w:pPr>
        <w:ind w:left="960" w:hanging="321"/>
        <w:spacing w:after="0" w:line="325" w:lineRule="auto"/>
        <w:tabs>
          <w:tab w:leader="none" w:pos="955"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Market volatility/changes in the real or perceived credit quality of investments</w:t>
      </w:r>
      <w:r>
        <w:rPr>
          <w:rFonts w:ascii="Arial" w:cs="Arial" w:eastAsia="Arial" w:hAnsi="Arial"/>
          <w:sz w:val="16"/>
          <w:szCs w:val="16"/>
          <w:color w:val="auto"/>
        </w:rPr>
        <w:t>. 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w:t>
      </w:r>
      <w:r>
        <w:rPr>
          <w:rFonts w:ascii="Arial" w:cs="Arial" w:eastAsia="Arial" w:hAnsi="Arial"/>
          <w:sz w:val="16"/>
          <w:szCs w:val="16"/>
          <w:i w:val="1"/>
          <w:iCs w:val="1"/>
          <w:color w:val="auto"/>
        </w:rPr>
        <w:t>e.g.</w:t>
      </w:r>
      <w:r>
        <w:rPr>
          <w:rFonts w:ascii="Arial" w:cs="Arial" w:eastAsia="Arial" w:hAnsi="Arial"/>
          <w:sz w:val="16"/>
          <w:szCs w:val="16"/>
          <w:color w:val="auto"/>
        </w:rPr>
        <w:t>, rating agency) assessments, will reduce the value and potentially the liquidity of investments.</w:t>
      </w:r>
    </w:p>
    <w:p>
      <w:pPr>
        <w:spacing w:after="0" w:line="82" w:lineRule="exact"/>
        <w:rPr>
          <w:rFonts w:ascii="Arial" w:cs="Arial" w:eastAsia="Arial" w:hAnsi="Arial"/>
          <w:sz w:val="16"/>
          <w:szCs w:val="16"/>
          <w:color w:val="auto"/>
        </w:rPr>
      </w:pPr>
    </w:p>
    <w:p>
      <w:pPr>
        <w:ind w:left="960" w:hanging="321"/>
        <w:spacing w:after="0" w:line="325" w:lineRule="auto"/>
        <w:tabs>
          <w:tab w:leader="none" w:pos="955"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Concentration Risk</w:t>
      </w:r>
      <w:r>
        <w:rPr>
          <w:rFonts w:ascii="Arial" w:cs="Arial" w:eastAsia="Arial" w:hAnsi="Arial"/>
          <w:sz w:val="16"/>
          <w:szCs w:val="16"/>
          <w:color w:val="auto"/>
        </w:rPr>
        <w:t>. 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82" w:lineRule="exact"/>
        <w:rPr>
          <w:rFonts w:ascii="Arial" w:cs="Arial" w:eastAsia="Arial" w:hAnsi="Arial"/>
          <w:sz w:val="16"/>
          <w:szCs w:val="16"/>
          <w:color w:val="auto"/>
        </w:rPr>
      </w:pPr>
    </w:p>
    <w:p>
      <w:pPr>
        <w:ind w:left="960" w:hanging="321"/>
        <w:spacing w:after="0" w:line="262"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28"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The carrying value of our investment portfolio as of September 30, 2022 and December 31, 2021 was $2.0 billion and $2.1 billion, respectively, all of which were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40" w:lineRule="exact"/>
        <w:rPr>
          <w:sz w:val="20"/>
          <w:szCs w:val="20"/>
          <w:color w:val="auto"/>
        </w:rPr>
      </w:pPr>
    </w:p>
    <w:p>
      <w:pPr>
        <w:jc w:val="both"/>
        <w:ind w:firstLine="633"/>
        <w:spacing w:after="0" w:line="292" w:lineRule="auto"/>
        <w:rPr>
          <w:sz w:val="20"/>
          <w:szCs w:val="20"/>
          <w:color w:val="auto"/>
        </w:rPr>
      </w:pPr>
      <w:r>
        <w:rPr>
          <w:rFonts w:ascii="Arial" w:cs="Arial" w:eastAsia="Arial" w:hAnsi="Arial"/>
          <w:sz w:val="16"/>
          <w:szCs w:val="16"/>
          <w:color w:val="auto"/>
        </w:rPr>
        <w:t>As of September 30, 2022, the duration of our fixed income portfolio, including cash and cash equivalents, was 3.90 years, which means that an instantaneous parallel shift (movement up or down) in the yield curve of 100 basis points would result in a change of 3.90% in fair value of our fixed income portfolio. Excluding cash, our fixed income portfolio duration was 4.06 years, which means that an instantaneous parallel shift (movement up or down) in the yield curve of 100 basis points would result in a change of 4.06% in fair value of our fixed income portfolio.</w:t>
      </w:r>
    </w:p>
    <w:p>
      <w:pPr>
        <w:spacing w:after="0" w:line="107" w:lineRule="exact"/>
        <w:rPr>
          <w:sz w:val="20"/>
          <w:szCs w:val="20"/>
          <w:color w:val="auto"/>
        </w:rPr>
      </w:pPr>
    </w:p>
    <w:p>
      <w:pPr>
        <w:jc w:val="both"/>
        <w:ind w:firstLine="633"/>
        <w:spacing w:after="0" w:line="253" w:lineRule="auto"/>
        <w:rPr>
          <w:sz w:val="20"/>
          <w:szCs w:val="20"/>
          <w:color w:val="auto"/>
        </w:rPr>
      </w:pPr>
      <w:r>
        <w:rPr>
          <w:rFonts w:ascii="Arial" w:cs="Arial" w:eastAsia="Arial" w:hAnsi="Arial"/>
          <w:sz w:val="18"/>
          <w:szCs w:val="18"/>
          <w:color w:val="auto"/>
        </w:rPr>
        <w:t>We are also subject to market risk related to the Notes and the ILN Transactions. As discussed in Item 1, "</w:t>
      </w:r>
      <w:r>
        <w:rPr>
          <w:rFonts w:ascii="Arial" w:cs="Arial" w:eastAsia="Arial" w:hAnsi="Arial"/>
          <w:sz w:val="18"/>
          <w:szCs w:val="18"/>
          <w:i w:val="1"/>
          <w:iCs w:val="1"/>
          <w:color w:val="auto"/>
        </w:rPr>
        <w:t>Financial Statements - Notes to Condensed</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 - Note 4, Debt</w:t>
      </w:r>
      <w:r>
        <w:rPr>
          <w:rFonts w:ascii="Arial" w:cs="Arial" w:eastAsia="Arial" w:hAnsi="Arial"/>
          <w:sz w:val="18"/>
          <w:szCs w:val="18"/>
          <w:color w:val="auto"/>
        </w:rPr>
        <w:t>" the Notes bear interest at a variable rate and, as a result, increases in market interest rates would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result in increased interest expense on our outstanding principal.</w:t>
      </w:r>
    </w:p>
    <w:p>
      <w:pPr>
        <w:spacing w:after="0" w:line="137"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The risk premium amounts under the ILN Transactions are calculated by multiplying the outstanding reinsurance coverage amount at the beginning of any payment period by a coupon rate, which is the sum of one-month LIBOR or SOFR, as applicable, and a risk margin, and then subtracting actual investment income earned on the trust balance during that payment period. An increase in one-month LIBOR or SOFR, as applicable,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68" w:lineRule="exact"/>
        <w:rPr>
          <w:sz w:val="20"/>
          <w:szCs w:val="20"/>
          <w:color w:val="auto"/>
        </w:rPr>
      </w:pPr>
    </w:p>
    <w:p>
      <w:pPr>
        <w:jc w:val="both"/>
        <w:ind w:firstLine="633"/>
        <w:spacing w:after="0" w:line="250"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40"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September 30, 2022,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41" w:lineRule="exact"/>
        <w:rPr>
          <w:sz w:val="20"/>
          <w:szCs w:val="20"/>
          <w:color w:val="auto"/>
        </w:rPr>
      </w:pPr>
    </w:p>
    <w:p>
      <w:pPr>
        <w:jc w:val="both"/>
        <w:ind w:firstLine="633"/>
        <w:spacing w:after="0" w:line="300" w:lineRule="auto"/>
        <w:rPr>
          <w:sz w:val="20"/>
          <w:szCs w:val="20"/>
          <w:color w:val="auto"/>
        </w:rPr>
      </w:pPr>
      <w:r>
        <w:rPr>
          <w:rFonts w:ascii="Arial" w:cs="Arial" w:eastAsia="Arial" w:hAnsi="Arial"/>
          <w:sz w:val="16"/>
          <w:szCs w:val="16"/>
          <w:color w:val="auto"/>
        </w:rPr>
        <w:t>Based upon that evaluation, our Chief Executive Officer and Chief Financial Officer concluded that, as of September 30, 2022,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68" w:lineRule="exact"/>
        <w:rPr>
          <w:sz w:val="20"/>
          <w:szCs w:val="20"/>
          <w:color w:val="auto"/>
        </w:rPr>
      </w:pPr>
    </w:p>
    <w:p>
      <w:pPr>
        <w:jc w:val="both"/>
        <w:ind w:firstLine="633"/>
        <w:spacing w:after="0" w:line="262"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PART II</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8"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41" w:lineRule="exact"/>
        <w:rPr>
          <w:sz w:val="20"/>
          <w:szCs w:val="20"/>
          <w:color w:val="auto"/>
        </w:rPr>
      </w:pPr>
    </w:p>
    <w:p>
      <w:pPr>
        <w:jc w:val="both"/>
        <w:ind w:firstLine="633"/>
        <w:spacing w:after="0" w:line="287" w:lineRule="auto"/>
        <w:rPr>
          <w:sz w:val="20"/>
          <w:szCs w:val="20"/>
          <w:color w:val="auto"/>
        </w:rPr>
      </w:pPr>
      <w:r>
        <w:rPr>
          <w:rFonts w:ascii="Arial" w:cs="Arial" w:eastAsia="Arial" w:hAnsi="Arial"/>
          <w:sz w:val="16"/>
          <w:szCs w:val="16"/>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3" w:lineRule="exact"/>
        <w:rPr>
          <w:sz w:val="20"/>
          <w:szCs w:val="20"/>
          <w:color w:val="auto"/>
        </w:rPr>
      </w:pPr>
    </w:p>
    <w:p>
      <w:pPr>
        <w:jc w:val="both"/>
        <w:ind w:firstLine="633"/>
        <w:spacing w:after="0" w:line="247" w:lineRule="auto"/>
        <w:rPr>
          <w:sz w:val="20"/>
          <w:szCs w:val="20"/>
          <w:color w:val="auto"/>
        </w:rPr>
      </w:pPr>
      <w:r>
        <w:rPr>
          <w:rFonts w:ascii="Arial" w:cs="Arial" w:eastAsia="Arial" w:hAnsi="Arial"/>
          <w:sz w:val="18"/>
          <w:szCs w:val="18"/>
          <w:color w:val="auto"/>
        </w:rPr>
        <w:t>We have been named as a third-party defendant in one litigation case that involves refunds of mortgage insurance premiums under the Homeowners Protection Act. We currently are unable to assess the outcome of this litigation nor whether this litigation may become material over time. 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8"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18"/>
          <w:szCs w:val="18"/>
          <w:color w:val="auto"/>
        </w:rPr>
        <w:t>Risk factors that affect our business and financial results are discussed in Part I, Item 1A of our 2021 10-K. As of the date of this report, we are not aware of any material changes in our risk factors from the risk factors disclosed in our 2021 10-K. You should carefully consider the risks and uncertainties described herein and in our 2021 10-K, which have the potential to affect our business, financial condition, results of operations, cash flows or prospects in a material and adverse manner. The risks described herein and in our 2021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0960"/>
          </w:cols>
          <w:pgMar w:left="320" w:top="1163" w:right="619" w:bottom="1440" w:gutter="0" w:footer="0" w:header="0"/>
        </w:sectPr>
      </w:pPr>
    </w:p>
    <w:p>
      <w:pPr>
        <w:spacing w:after="0" w:line="6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Exhibit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49530</wp:posOffset>
            </wp:positionV>
            <wp:extent cx="6362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ind w:right="4480"/>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69850</wp:posOffset>
            </wp:positionV>
            <wp:extent cx="62642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64275" cy="8255"/>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4900" w:space="720"/>
            <w:col w:w="5340"/>
          </w:cols>
          <w:pgMar w:left="320" w:top="1163" w:right="619" w:bottom="1440" w:gutter="0" w:footer="0" w:header="0"/>
          <w:type w:val="continuous"/>
        </w:sectPr>
      </w:pPr>
    </w:p>
    <w:p>
      <w:pPr>
        <w:spacing w:after="0" w:line="24" w:lineRule="exact"/>
        <w:rPr>
          <w:sz w:val="20"/>
          <w:szCs w:val="20"/>
          <w:color w:val="auto"/>
        </w:rPr>
      </w:pPr>
    </w:p>
    <w:p>
      <w:pPr>
        <w:ind w:left="1140" w:hanging="733"/>
        <w:spacing w:after="0" w:line="236"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71">
        <w:r>
          <w:rPr>
            <w:rFonts w:ascii="Arial" w:cs="Arial" w:eastAsia="Arial" w:hAnsi="Arial"/>
            <w:sz w:val="18"/>
            <w:szCs w:val="18"/>
            <w:u w:val="single" w:color="auto"/>
            <w:color w:val="0000FF"/>
          </w:rPr>
          <w:t xml:space="preserve">Second Amended and Restated Certificate of Incorporation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3.1 to our Form S-1 Registration</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Statement (Registration No. 333-191635), filed on October 9, 2013)</w:t>
      </w:r>
    </w:p>
    <w:p>
      <w:pPr>
        <w:spacing w:after="0" w:line="2" w:lineRule="exact"/>
        <w:rPr>
          <w:sz w:val="20"/>
          <w:szCs w:val="20"/>
          <w:color w:val="auto"/>
        </w:rPr>
      </w:pPr>
    </w:p>
    <w:p>
      <w:pPr>
        <w:ind w:left="400"/>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72">
        <w:r>
          <w:rPr>
            <w:rFonts w:ascii="Arial" w:cs="Arial" w:eastAsia="Arial" w:hAnsi="Arial"/>
            <w:sz w:val="16"/>
            <w:szCs w:val="16"/>
            <w:u w:val="single" w:color="auto"/>
            <w:color w:val="0000FF"/>
          </w:rPr>
          <w:t xml:space="preserve">Third Amended and Restated By-Laws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3.1 to our Form 8-K, filed on December 9, 2014)</w:t>
      </w:r>
    </w:p>
    <w:p>
      <w:pPr>
        <w:spacing w:after="0" w:line="9" w:lineRule="exact"/>
        <w:rPr>
          <w:sz w:val="20"/>
          <w:szCs w:val="20"/>
          <w:color w:val="auto"/>
        </w:rPr>
      </w:pPr>
    </w:p>
    <w:p>
      <w:pPr>
        <w:ind w:left="400"/>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4.1</w:t>
      </w:r>
      <w:r>
        <w:rPr>
          <w:sz w:val="20"/>
          <w:szCs w:val="20"/>
          <w:color w:val="auto"/>
        </w:rPr>
        <w:tab/>
      </w:r>
      <w:hyperlink r:id="rId73">
        <w:r>
          <w:rPr>
            <w:rFonts w:ascii="Arial" w:cs="Arial" w:eastAsia="Arial" w:hAnsi="Arial"/>
            <w:sz w:val="16"/>
            <w:szCs w:val="16"/>
            <w:u w:val="single" w:color="auto"/>
            <w:color w:val="0000FF"/>
          </w:rPr>
          <w:t>Indenture, dated as of June 19, 2020, among NMI Holdings, Inc., NMI Services, Inc. as the Initial Guarantor, and the Bank of New York</w:t>
        </w:r>
      </w:hyperlink>
    </w:p>
    <w:p>
      <w:pPr>
        <w:jc w:val="both"/>
        <w:ind w:left="1140"/>
        <w:spacing w:after="0" w:line="220" w:lineRule="auto"/>
        <w:rPr>
          <w:rFonts w:ascii="Arial" w:cs="Arial" w:eastAsia="Arial" w:hAnsi="Arial"/>
          <w:sz w:val="18"/>
          <w:szCs w:val="18"/>
          <w:color w:val="0000FF"/>
        </w:rPr>
      </w:pPr>
      <w:hyperlink r:id="rId73">
        <w:r>
          <w:rPr>
            <w:rFonts w:ascii="Arial" w:cs="Arial" w:eastAsia="Arial" w:hAnsi="Arial"/>
            <w:sz w:val="18"/>
            <w:szCs w:val="18"/>
            <w:u w:val="single" w:color="auto"/>
            <w:color w:val="0000FF"/>
          </w:rPr>
          <w:t>Mellon Trust Company, N.A. as Trustee and Notes Collateral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4.1 to our Form 8-K, filed</w:t>
        </w:r>
      </w:hyperlink>
      <w:r>
        <w:rPr>
          <w:rFonts w:ascii="Arial" w:cs="Arial" w:eastAsia="Arial" w:hAnsi="Arial"/>
          <w:sz w:val="18"/>
          <w:szCs w:val="18"/>
          <w:color w:val="0000FF"/>
        </w:rPr>
        <w:t xml:space="preserve"> </w:t>
      </w:r>
      <w:r>
        <w:rPr>
          <w:rFonts w:ascii="Arial" w:cs="Arial" w:eastAsia="Arial" w:hAnsi="Arial"/>
          <w:sz w:val="18"/>
          <w:szCs w:val="18"/>
          <w:color w:val="000000"/>
        </w:rPr>
        <w:t>on June 19, 2020)</w:t>
      </w:r>
    </w:p>
    <w:p>
      <w:pPr>
        <w:spacing w:after="0" w:line="2" w:lineRule="exact"/>
        <w:rPr>
          <w:sz w:val="20"/>
          <w:szCs w:val="20"/>
          <w:color w:val="auto"/>
        </w:rPr>
      </w:pPr>
    </w:p>
    <w:p>
      <w:pPr>
        <w:ind w:left="1140" w:hanging="846"/>
        <w:spacing w:after="0" w:line="236"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10.1 ~</w:t>
      </w:r>
      <w:r>
        <w:rPr>
          <w:sz w:val="20"/>
          <w:szCs w:val="20"/>
          <w:color w:val="auto"/>
        </w:rPr>
        <w:tab/>
      </w:r>
      <w:hyperlink r:id="rId74">
        <w:r>
          <w:rPr>
            <w:rFonts w:ascii="Arial" w:cs="Arial" w:eastAsia="Arial" w:hAnsi="Arial"/>
            <w:sz w:val="18"/>
            <w:szCs w:val="18"/>
            <w:u w:val="single" w:color="auto"/>
            <w:color w:val="0000FF"/>
          </w:rPr>
          <w:t xml:space="preserve">Offer Letter by and between NMI Holdings, Inc. and William Leatherberry, dated July 11, 2014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Exhibit 10.10 to our Form 10-Q, filed on April 28, 2016)</w:t>
      </w:r>
    </w:p>
    <w:p>
      <w:pPr>
        <w:ind w:left="280"/>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10.2 ~</w:t>
      </w:r>
      <w:r>
        <w:rPr>
          <w:sz w:val="20"/>
          <w:szCs w:val="20"/>
          <w:color w:val="auto"/>
        </w:rPr>
        <w:tab/>
      </w:r>
      <w:hyperlink r:id="rId75">
        <w:r>
          <w:rPr>
            <w:rFonts w:ascii="Arial" w:cs="Arial" w:eastAsia="Arial" w:hAnsi="Arial"/>
            <w:sz w:val="16"/>
            <w:szCs w:val="16"/>
            <w:u w:val="single" w:color="auto"/>
            <w:color w:val="0000FF"/>
          </w:rPr>
          <w:t xml:space="preserve">Offer Letter by and between NMI Holdings, Inc. and Adam Pollitzer, dated September 9, 2021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w:t>
      </w:r>
    </w:p>
    <w:p>
      <w:pPr>
        <w:ind w:left="1140"/>
        <w:spacing w:after="0"/>
        <w:rPr>
          <w:sz w:val="20"/>
          <w:szCs w:val="20"/>
          <w:color w:val="auto"/>
        </w:rPr>
      </w:pPr>
      <w:r>
        <w:rPr>
          <w:rFonts w:ascii="Arial" w:cs="Arial" w:eastAsia="Arial" w:hAnsi="Arial"/>
          <w:sz w:val="18"/>
          <w:szCs w:val="18"/>
          <w:color w:val="auto"/>
        </w:rPr>
        <w:t>10.1 to our Form 8-K, filed on September 9, 2021)</w:t>
      </w:r>
    </w:p>
    <w:p>
      <w:pPr>
        <w:ind w:left="280"/>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10.3 ~</w:t>
      </w:r>
      <w:r>
        <w:rPr>
          <w:sz w:val="20"/>
          <w:szCs w:val="20"/>
          <w:color w:val="auto"/>
        </w:rPr>
        <w:tab/>
      </w:r>
      <w:hyperlink r:id="rId76">
        <w:r>
          <w:rPr>
            <w:rFonts w:ascii="Arial" w:cs="Arial" w:eastAsia="Arial" w:hAnsi="Arial"/>
            <w:sz w:val="16"/>
            <w:szCs w:val="16"/>
            <w:u w:val="single" w:color="auto"/>
            <w:color w:val="0000FF"/>
          </w:rPr>
          <w:t xml:space="preserve">Offer letter by and between NMI Holdings, Inc. and Ravi Mallela, dated December 20, 2021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w:t>
      </w:r>
    </w:p>
    <w:p>
      <w:pPr>
        <w:ind w:left="1140"/>
        <w:spacing w:after="0"/>
        <w:rPr>
          <w:sz w:val="20"/>
          <w:szCs w:val="20"/>
          <w:color w:val="auto"/>
        </w:rPr>
      </w:pPr>
      <w:r>
        <w:rPr>
          <w:rFonts w:ascii="Arial" w:cs="Arial" w:eastAsia="Arial" w:hAnsi="Arial"/>
          <w:sz w:val="18"/>
          <w:szCs w:val="18"/>
          <w:color w:val="auto"/>
        </w:rPr>
        <w:t>10.1 to our Form 8-K, filed on December 21, 2021)</w:t>
      </w:r>
    </w:p>
    <w:p>
      <w:pPr>
        <w:spacing w:after="0" w:line="3" w:lineRule="exact"/>
        <w:rPr>
          <w:sz w:val="20"/>
          <w:szCs w:val="20"/>
          <w:color w:val="auto"/>
        </w:rPr>
      </w:pPr>
    </w:p>
    <w:p>
      <w:pPr>
        <w:ind w:left="1140" w:hanging="846"/>
        <w:spacing w:after="0" w:line="236"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10.4 ~</w:t>
      </w:r>
      <w:r>
        <w:rPr>
          <w:sz w:val="20"/>
          <w:szCs w:val="20"/>
          <w:color w:val="auto"/>
        </w:rPr>
        <w:tab/>
      </w:r>
      <w:hyperlink r:id="rId77">
        <w:r>
          <w:rPr>
            <w:rFonts w:ascii="Arial" w:cs="Arial" w:eastAsia="Arial" w:hAnsi="Arial"/>
            <w:sz w:val="18"/>
            <w:szCs w:val="18"/>
            <w:u w:val="single" w:color="auto"/>
            <w:color w:val="0000FF"/>
          </w:rPr>
          <w:t xml:space="preserve">Form of Indemnification Agreement between NMI Holdings, Inc. and its directors and certain executive officers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10.1 to our Form 8-K, filed on November 25, 2014)</w:t>
      </w:r>
    </w:p>
    <w:p>
      <w:pPr>
        <w:ind w:left="280"/>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10.5 +</w:t>
      </w:r>
      <w:r>
        <w:rPr>
          <w:sz w:val="20"/>
          <w:szCs w:val="20"/>
          <w:color w:val="auto"/>
        </w:rPr>
        <w:tab/>
      </w:r>
      <w:hyperlink r:id="rId78">
        <w:r>
          <w:rPr>
            <w:rFonts w:ascii="Arial" w:cs="Arial" w:eastAsia="Arial" w:hAnsi="Arial"/>
            <w:sz w:val="16"/>
            <w:szCs w:val="16"/>
            <w:u w:val="single" w:color="auto"/>
            <w:color w:val="0000FF"/>
          </w:rPr>
          <w:t>Commitment Letter dated July 12, 2013 for Bulk Fannie Mae-Paid Loss-on-Sale Mortgage Insurance on the Portfolio of approximately</w:t>
        </w:r>
      </w:hyperlink>
    </w:p>
    <w:p>
      <w:pPr>
        <w:jc w:val="both"/>
        <w:ind w:left="1140"/>
        <w:spacing w:after="0" w:line="213" w:lineRule="auto"/>
        <w:rPr>
          <w:rFonts w:ascii="Arial" w:cs="Arial" w:eastAsia="Arial" w:hAnsi="Arial"/>
          <w:sz w:val="18"/>
          <w:szCs w:val="18"/>
          <w:color w:val="0000FF"/>
        </w:rPr>
      </w:pPr>
      <w:hyperlink r:id="rId78">
        <w:r>
          <w:rPr>
            <w:rFonts w:ascii="Arial" w:cs="Arial" w:eastAsia="Arial" w:hAnsi="Arial"/>
            <w:sz w:val="18"/>
            <w:szCs w:val="18"/>
            <w:u w:val="single" w:color="auto"/>
            <w:color w:val="0000FF"/>
          </w:rPr>
          <w:t>$5.46 billion Purchased by Fannie Mae and Identified by Fannie Mae as Deal No. 2013 MIRT 01 and by the Company as Policy No. P-</w:t>
        </w:r>
      </w:hyperlink>
      <w:hyperlink r:id="rId78">
        <w:r>
          <w:rPr>
            <w:rFonts w:ascii="Arial" w:cs="Arial" w:eastAsia="Arial" w:hAnsi="Arial"/>
            <w:sz w:val="18"/>
            <w:szCs w:val="18"/>
            <w:u w:val="single" w:color="auto"/>
            <w:color w:val="0000FF"/>
          </w:rPr>
          <w:t>0001-01</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10.14 to our Form S-1 Registration Statement (Registration No. 333-191635), filed on</w:t>
        </w:r>
      </w:hyperlink>
      <w:r>
        <w:rPr>
          <w:rFonts w:ascii="Arial" w:cs="Arial" w:eastAsia="Arial" w:hAnsi="Arial"/>
          <w:sz w:val="18"/>
          <w:szCs w:val="18"/>
          <w:color w:val="0000FF"/>
        </w:rPr>
        <w:t xml:space="preserve"> </w:t>
      </w:r>
      <w:r>
        <w:rPr>
          <w:rFonts w:ascii="Arial" w:cs="Arial" w:eastAsia="Arial" w:hAnsi="Arial"/>
          <w:sz w:val="18"/>
          <w:szCs w:val="18"/>
          <w:color w:val="000000"/>
        </w:rPr>
        <w:t>October 9, 2013)</w:t>
      </w:r>
    </w:p>
    <w:p>
      <w:pPr>
        <w:ind w:left="360"/>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10.6</w:t>
      </w:r>
      <w:r>
        <w:rPr>
          <w:sz w:val="20"/>
          <w:szCs w:val="20"/>
          <w:color w:val="auto"/>
        </w:rPr>
        <w:tab/>
      </w:r>
      <w:hyperlink r:id="rId79">
        <w:r>
          <w:rPr>
            <w:rFonts w:ascii="Arial" w:cs="Arial" w:eastAsia="Arial" w:hAnsi="Arial"/>
            <w:sz w:val="16"/>
            <w:szCs w:val="16"/>
            <w:u w:val="single" w:color="auto"/>
            <w:color w:val="0000FF"/>
          </w:rPr>
          <w:t>Amended and Restated Credit Agreement, dated as of November 29, 2021, by and among the Company, the lender parties thereto and</w:t>
        </w:r>
      </w:hyperlink>
    </w:p>
    <w:p>
      <w:pPr>
        <w:spacing w:after="0" w:line="1" w:lineRule="exact"/>
        <w:rPr>
          <w:sz w:val="20"/>
          <w:szCs w:val="20"/>
          <w:color w:val="auto"/>
        </w:rPr>
      </w:pPr>
    </w:p>
    <w:p>
      <w:pPr>
        <w:jc w:val="both"/>
        <w:ind w:left="1140"/>
        <w:spacing w:after="0" w:line="220" w:lineRule="auto"/>
        <w:rPr>
          <w:rFonts w:ascii="Arial" w:cs="Arial" w:eastAsia="Arial" w:hAnsi="Arial"/>
          <w:sz w:val="18"/>
          <w:szCs w:val="18"/>
          <w:color w:val="0000FF"/>
        </w:rPr>
      </w:pPr>
      <w:hyperlink r:id="rId79">
        <w:r>
          <w:rPr>
            <w:rFonts w:ascii="Arial" w:cs="Arial" w:eastAsia="Arial" w:hAnsi="Arial"/>
            <w:sz w:val="18"/>
            <w:szCs w:val="18"/>
            <w:u w:val="single" w:color="auto"/>
            <w:color w:val="0000FF"/>
          </w:rPr>
          <w:t>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 Form 8-K filed on November</w:t>
        </w:r>
      </w:hyperlink>
      <w:r>
        <w:rPr>
          <w:rFonts w:ascii="Arial" w:cs="Arial" w:eastAsia="Arial" w:hAnsi="Arial"/>
          <w:sz w:val="18"/>
          <w:szCs w:val="18"/>
          <w:color w:val="0000FF"/>
        </w:rPr>
        <w:t xml:space="preserve"> </w:t>
      </w:r>
      <w:r>
        <w:rPr>
          <w:rFonts w:ascii="Arial" w:cs="Arial" w:eastAsia="Arial" w:hAnsi="Arial"/>
          <w:sz w:val="18"/>
          <w:szCs w:val="18"/>
          <w:color w:val="000000"/>
        </w:rPr>
        <w:t>30, 2021)</w:t>
      </w:r>
    </w:p>
    <w:p>
      <w:pPr>
        <w:spacing w:after="0" w:line="2" w:lineRule="exact"/>
        <w:rPr>
          <w:sz w:val="20"/>
          <w:szCs w:val="20"/>
          <w:color w:val="auto"/>
        </w:rPr>
      </w:pPr>
    </w:p>
    <w:p>
      <w:pPr>
        <w:ind w:left="1140" w:hanging="846"/>
        <w:spacing w:after="0" w:line="236"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10.7 ~</w:t>
      </w:r>
      <w:r>
        <w:rPr>
          <w:sz w:val="20"/>
          <w:szCs w:val="20"/>
          <w:color w:val="auto"/>
        </w:rPr>
        <w:tab/>
      </w:r>
      <w:hyperlink r:id="rId80">
        <w:r>
          <w:rPr>
            <w:rFonts w:ascii="Arial" w:cs="Arial" w:eastAsia="Arial" w:hAnsi="Arial"/>
            <w:sz w:val="18"/>
            <w:szCs w:val="18"/>
            <w:u w:val="single" w:color="auto"/>
            <w:color w:val="0000FF"/>
          </w:rPr>
          <w:t xml:space="preserve">NMI Holdings, Inc. Amended and Restated 2014 Omnibus Incentive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Appendix A to our 2022</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Annual Proxy Statement, filed on March 29, 2022)</w:t>
      </w:r>
    </w:p>
    <w:p>
      <w:pPr>
        <w:spacing w:after="0" w:line="2" w:lineRule="exact"/>
        <w:rPr>
          <w:sz w:val="20"/>
          <w:szCs w:val="20"/>
          <w:color w:val="auto"/>
        </w:rPr>
      </w:pPr>
    </w:p>
    <w:p>
      <w:pPr>
        <w:ind w:left="1140" w:hanging="846"/>
        <w:spacing w:after="0" w:line="236" w:lineRule="auto"/>
        <w:tabs>
          <w:tab w:leader="none" w:pos="1120" w:val="left"/>
        </w:tabs>
        <w:rPr>
          <w:rFonts w:ascii="Arial" w:cs="Arial" w:eastAsia="Arial" w:hAnsi="Arial"/>
          <w:sz w:val="18"/>
          <w:szCs w:val="18"/>
          <w:color w:val="0000FF"/>
        </w:rPr>
      </w:pPr>
      <w:r>
        <w:rPr>
          <w:rFonts w:ascii="Arial" w:cs="Arial" w:eastAsia="Arial" w:hAnsi="Arial"/>
          <w:sz w:val="18"/>
          <w:szCs w:val="18"/>
          <w:color w:val="auto"/>
        </w:rPr>
        <w:t>10.8 ~</w:t>
      </w:r>
      <w:r>
        <w:rPr>
          <w:sz w:val="20"/>
          <w:szCs w:val="20"/>
          <w:color w:val="auto"/>
        </w:rPr>
        <w:tab/>
      </w:r>
      <w:hyperlink r:id="rId81">
        <w:r>
          <w:rPr>
            <w:rFonts w:ascii="Arial" w:cs="Arial" w:eastAsia="Arial" w:hAnsi="Arial"/>
            <w:sz w:val="18"/>
            <w:szCs w:val="18"/>
            <w:u w:val="single" w:color="auto"/>
            <w:color w:val="0000FF"/>
          </w:rPr>
          <w:t>Form of NMI Holdings, Inc. Amended and Restated 2014 Omnibus Incentive Plan Restricted Stock Unit Award Agreement for Chief</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Executive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10.19 to our Form 10-Q filed on August 1, 2017)</w:t>
        </w:r>
      </w:hyperlink>
    </w:p>
    <w:p>
      <w:pPr>
        <w:spacing w:after="0" w:line="2" w:lineRule="exact"/>
        <w:rPr>
          <w:sz w:val="20"/>
          <w:szCs w:val="20"/>
          <w:color w:val="auto"/>
        </w:rPr>
      </w:pPr>
    </w:p>
    <w:p>
      <w:pPr>
        <w:ind w:left="1140" w:right="20" w:hanging="846"/>
        <w:spacing w:after="0" w:line="236" w:lineRule="auto"/>
        <w:tabs>
          <w:tab w:leader="none" w:pos="1120" w:val="left"/>
        </w:tabs>
        <w:rPr>
          <w:rFonts w:ascii="Arial" w:cs="Arial" w:eastAsia="Arial" w:hAnsi="Arial"/>
          <w:sz w:val="18"/>
          <w:szCs w:val="18"/>
          <w:color w:val="0000FF"/>
        </w:rPr>
      </w:pPr>
      <w:r>
        <w:rPr>
          <w:rFonts w:ascii="Arial" w:cs="Arial" w:eastAsia="Arial" w:hAnsi="Arial"/>
          <w:sz w:val="18"/>
          <w:szCs w:val="18"/>
          <w:color w:val="auto"/>
        </w:rPr>
        <w:t>10.9 ~</w:t>
      </w:r>
      <w:r>
        <w:rPr>
          <w:sz w:val="20"/>
          <w:szCs w:val="20"/>
          <w:color w:val="auto"/>
        </w:rPr>
        <w:tab/>
      </w:r>
      <w:hyperlink r:id="rId82">
        <w:r>
          <w:rPr>
            <w:rFonts w:ascii="Arial" w:cs="Arial" w:eastAsia="Arial" w:hAnsi="Arial"/>
            <w:sz w:val="18"/>
            <w:szCs w:val="18"/>
            <w:u w:val="single" w:color="auto"/>
            <w:color w:val="0000FF"/>
          </w:rPr>
          <w:t>Form of NMI Holdings, Inc. Amended and Restated 2014 Omnibus Incentive Plan Restricted Stock Unit Award Agreement for Executive</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Officers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10.20 to our Form 10-Q filed on August 1, 2017)</w:t>
        </w:r>
      </w:hyperlink>
    </w:p>
    <w:p>
      <w:pPr>
        <w:spacing w:after="0" w:line="2" w:lineRule="exact"/>
        <w:rPr>
          <w:sz w:val="20"/>
          <w:szCs w:val="20"/>
          <w:color w:val="auto"/>
        </w:rPr>
      </w:pPr>
    </w:p>
    <w:p>
      <w:pPr>
        <w:ind w:left="1140" w:hanging="890"/>
        <w:spacing w:after="0" w:line="236"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10.10 ~</w:t>
      </w:r>
      <w:r>
        <w:rPr>
          <w:sz w:val="20"/>
          <w:szCs w:val="20"/>
          <w:color w:val="auto"/>
        </w:rPr>
        <w:tab/>
      </w:r>
      <w:hyperlink r:id="rId83">
        <w:r>
          <w:rPr>
            <w:rFonts w:ascii="Arial" w:cs="Arial" w:eastAsia="Arial" w:hAnsi="Arial"/>
            <w:sz w:val="18"/>
            <w:szCs w:val="18"/>
            <w:u w:val="single" w:color="auto"/>
            <w:color w:val="0000FF"/>
          </w:rPr>
          <w:t>Form of NMI Holdings, Inc. Amended and Restated 2014 Omnibus Incentive Plan Restricted Stock Unit Award Agreement for Employees</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(incorporated herein by reference to Exhibit 10.21 to our Form 10-Q filed on August 1, 2017)</w:t>
      </w:r>
    </w:p>
    <w:p>
      <w:pPr>
        <w:spacing w:after="0" w:line="2" w:lineRule="exact"/>
        <w:rPr>
          <w:sz w:val="20"/>
          <w:szCs w:val="20"/>
          <w:color w:val="auto"/>
        </w:rPr>
      </w:pPr>
    </w:p>
    <w:p>
      <w:pPr>
        <w:ind w:left="1140" w:hanging="887"/>
        <w:spacing w:after="0" w:line="236" w:lineRule="auto"/>
        <w:tabs>
          <w:tab w:leader="none" w:pos="1120" w:val="left"/>
        </w:tabs>
        <w:rPr>
          <w:rFonts w:ascii="Arial" w:cs="Arial" w:eastAsia="Arial" w:hAnsi="Arial"/>
          <w:sz w:val="18"/>
          <w:szCs w:val="18"/>
          <w:color w:val="0000FF"/>
        </w:rPr>
      </w:pPr>
      <w:r>
        <w:rPr>
          <w:rFonts w:ascii="Arial" w:cs="Arial" w:eastAsia="Arial" w:hAnsi="Arial"/>
          <w:sz w:val="18"/>
          <w:szCs w:val="18"/>
          <w:color w:val="auto"/>
        </w:rPr>
        <w:t>10.11 ~</w:t>
      </w:r>
      <w:r>
        <w:rPr>
          <w:sz w:val="20"/>
          <w:szCs w:val="20"/>
          <w:color w:val="auto"/>
        </w:rPr>
        <w:tab/>
      </w:r>
      <w:hyperlink r:id="rId84">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Independent Directors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10.22 to our Form 10-Q filed on August 1, 2017)</w:t>
        </w:r>
      </w:hyperlink>
    </w:p>
    <w:p>
      <w:pPr>
        <w:spacing w:after="0" w:line="2" w:lineRule="exact"/>
        <w:rPr>
          <w:sz w:val="20"/>
          <w:szCs w:val="20"/>
          <w:color w:val="auto"/>
        </w:rPr>
      </w:pPr>
    </w:p>
    <w:p>
      <w:pPr>
        <w:ind w:left="1140" w:hanging="890"/>
        <w:spacing w:after="0" w:line="266" w:lineRule="auto"/>
        <w:tabs>
          <w:tab w:leader="none" w:pos="1120" w:val="left"/>
        </w:tabs>
        <w:rPr>
          <w:rFonts w:ascii="Arial" w:cs="Arial" w:eastAsia="Arial" w:hAnsi="Arial"/>
          <w:sz w:val="16"/>
          <w:szCs w:val="16"/>
          <w:color w:val="0000FF"/>
        </w:rPr>
      </w:pPr>
      <w:r>
        <w:rPr>
          <w:rFonts w:ascii="Arial" w:cs="Arial" w:eastAsia="Arial" w:hAnsi="Arial"/>
          <w:sz w:val="18"/>
          <w:szCs w:val="18"/>
          <w:color w:val="auto"/>
        </w:rPr>
        <w:t>10.12 ~</w:t>
      </w:r>
      <w:r>
        <w:rPr>
          <w:sz w:val="20"/>
          <w:szCs w:val="20"/>
          <w:color w:val="auto"/>
        </w:rPr>
        <w:tab/>
      </w:r>
      <w:hyperlink r:id="rId85">
        <w:r>
          <w:rPr>
            <w:rFonts w:ascii="Arial" w:cs="Arial" w:eastAsia="Arial" w:hAnsi="Arial"/>
            <w:sz w:val="16"/>
            <w:szCs w:val="16"/>
            <w:u w:val="single" w:color="auto"/>
            <w:color w:val="0000FF"/>
          </w:rPr>
          <w:t>Form of NMI Holdings, Inc. Amended and Restated 2014 Omnibus Incentive Plan Nonqualified Stock Option Award Agreement for Chief</w:t>
        </w:r>
      </w:hyperlink>
      <w:r>
        <w:rPr>
          <w:rFonts w:ascii="Arial" w:cs="Arial" w:eastAsia="Arial" w:hAnsi="Arial"/>
          <w:sz w:val="16"/>
          <w:szCs w:val="16"/>
          <w:u w:val="single" w:color="auto"/>
          <w:color w:val="0000FF"/>
        </w:rPr>
        <w:t xml:space="preserve"> </w:t>
      </w:r>
      <w:hyperlink r:id="rId85">
        <w:r>
          <w:rPr>
            <w:rFonts w:ascii="Arial" w:cs="Arial" w:eastAsia="Arial" w:hAnsi="Arial"/>
            <w:sz w:val="16"/>
            <w:szCs w:val="16"/>
            <w:u w:val="single" w:color="auto"/>
            <w:color w:val="0000FF"/>
          </w:rPr>
          <w:t>Executive Officer</w:t>
        </w:r>
        <w:r>
          <w:rPr>
            <w:rFonts w:ascii="Arial" w:cs="Arial" w:eastAsia="Arial" w:hAnsi="Arial"/>
            <w:sz w:val="16"/>
            <w:szCs w:val="16"/>
            <w:color w:val="0000FF"/>
          </w:rPr>
          <w:t xml:space="preserve"> </w:t>
        </w:r>
        <w:r>
          <w:rPr>
            <w:rFonts w:ascii="Arial" w:cs="Arial" w:eastAsia="Arial" w:hAnsi="Arial"/>
            <w:sz w:val="16"/>
            <w:szCs w:val="16"/>
            <w:color w:val="000000"/>
          </w:rPr>
          <w:t>(incorporated herein by reference to Exhibit 10.23 to our Form 10-Q filed on August 1, 2017)</w:t>
        </w:r>
      </w:hyperlink>
    </w:p>
    <w:p>
      <w:pPr>
        <w:spacing w:after="0" w:line="1" w:lineRule="exact"/>
        <w:rPr>
          <w:sz w:val="20"/>
          <w:szCs w:val="20"/>
          <w:color w:val="auto"/>
        </w:rPr>
      </w:pPr>
    </w:p>
    <w:p>
      <w:pPr>
        <w:ind w:left="1140" w:right="20" w:hanging="890"/>
        <w:spacing w:after="0" w:line="266" w:lineRule="auto"/>
        <w:tabs>
          <w:tab w:leader="none" w:pos="1120" w:val="left"/>
        </w:tabs>
        <w:rPr>
          <w:rFonts w:ascii="Arial" w:cs="Arial" w:eastAsia="Arial" w:hAnsi="Arial"/>
          <w:sz w:val="16"/>
          <w:szCs w:val="16"/>
          <w:color w:val="0000FF"/>
        </w:rPr>
      </w:pPr>
      <w:r>
        <w:rPr>
          <w:rFonts w:ascii="Arial" w:cs="Arial" w:eastAsia="Arial" w:hAnsi="Arial"/>
          <w:sz w:val="18"/>
          <w:szCs w:val="18"/>
          <w:color w:val="auto"/>
        </w:rPr>
        <w:t>10.13 ~</w:t>
      </w:r>
      <w:r>
        <w:rPr>
          <w:sz w:val="20"/>
          <w:szCs w:val="20"/>
          <w:color w:val="auto"/>
        </w:rPr>
        <w:tab/>
      </w:r>
      <w:hyperlink r:id="rId86">
        <w:r>
          <w:rPr>
            <w:rFonts w:ascii="Arial" w:cs="Arial" w:eastAsia="Arial" w:hAnsi="Arial"/>
            <w:sz w:val="16"/>
            <w:szCs w:val="16"/>
            <w:u w:val="single" w:color="auto"/>
            <w:color w:val="0000FF"/>
          </w:rPr>
          <w:t>Form of NMI Holdings, Inc. Amended and Restated 2014 Omnibus Incentive Plan Nonqualified Stock Option Award Agreement for</w:t>
        </w:r>
      </w:hyperlink>
      <w:r>
        <w:rPr>
          <w:rFonts w:ascii="Arial" w:cs="Arial" w:eastAsia="Arial" w:hAnsi="Arial"/>
          <w:sz w:val="16"/>
          <w:szCs w:val="16"/>
          <w:u w:val="single" w:color="auto"/>
          <w:color w:val="0000FF"/>
        </w:rPr>
        <w:t xml:space="preserve"> </w:t>
      </w:r>
      <w:hyperlink r:id="rId86">
        <w:r>
          <w:rPr>
            <w:rFonts w:ascii="Arial" w:cs="Arial" w:eastAsia="Arial" w:hAnsi="Arial"/>
            <w:sz w:val="16"/>
            <w:szCs w:val="16"/>
            <w:u w:val="single" w:color="auto"/>
            <w:color w:val="0000FF"/>
          </w:rPr>
          <w:t>Executive Officers and Employees</w:t>
        </w:r>
        <w:r>
          <w:rPr>
            <w:rFonts w:ascii="Arial" w:cs="Arial" w:eastAsia="Arial" w:hAnsi="Arial"/>
            <w:sz w:val="16"/>
            <w:szCs w:val="16"/>
            <w:color w:val="0000FF"/>
          </w:rPr>
          <w:t xml:space="preserve"> </w:t>
        </w:r>
        <w:r>
          <w:rPr>
            <w:rFonts w:ascii="Arial" w:cs="Arial" w:eastAsia="Arial" w:hAnsi="Arial"/>
            <w:sz w:val="16"/>
            <w:szCs w:val="16"/>
            <w:color w:val="000000"/>
          </w:rPr>
          <w:t>(incorporated herein by reference to Exhibit 10.24 to our Form 10-Q filed on August 1, 2017)</w:t>
        </w:r>
      </w:hyperlink>
    </w:p>
    <w:p>
      <w:pPr>
        <w:spacing w:after="0" w:line="1" w:lineRule="exact"/>
        <w:rPr>
          <w:sz w:val="20"/>
          <w:szCs w:val="20"/>
          <w:color w:val="auto"/>
        </w:rPr>
      </w:pPr>
    </w:p>
    <w:p>
      <w:pPr>
        <w:ind w:left="1140" w:hanging="890"/>
        <w:spacing w:after="0" w:line="236" w:lineRule="auto"/>
        <w:tabs>
          <w:tab w:leader="none" w:pos="1120" w:val="left"/>
        </w:tabs>
        <w:rPr>
          <w:rFonts w:ascii="Arial" w:cs="Arial" w:eastAsia="Arial" w:hAnsi="Arial"/>
          <w:sz w:val="18"/>
          <w:szCs w:val="18"/>
          <w:color w:val="0000FF"/>
        </w:rPr>
      </w:pPr>
      <w:r>
        <w:rPr>
          <w:rFonts w:ascii="Arial" w:cs="Arial" w:eastAsia="Arial" w:hAnsi="Arial"/>
          <w:sz w:val="18"/>
          <w:szCs w:val="18"/>
          <w:color w:val="auto"/>
        </w:rPr>
        <w:t>10.14 ~</w:t>
      </w:r>
      <w:r>
        <w:rPr>
          <w:sz w:val="20"/>
          <w:szCs w:val="20"/>
          <w:color w:val="auto"/>
        </w:rPr>
        <w:tab/>
      </w:r>
      <w:hyperlink r:id="rId87">
        <w:r>
          <w:rPr>
            <w:rFonts w:ascii="Arial" w:cs="Arial" w:eastAsia="Arial" w:hAnsi="Arial"/>
            <w:sz w:val="18"/>
            <w:szCs w:val="18"/>
            <w:u w:val="single" w:color="auto"/>
            <w:color w:val="0000FF"/>
          </w:rPr>
          <w:t>Form of NMI Holdings, Inc. 2014 Omnibus Incentive Plan Performance Based Restricted Stock Unit Award Agreement for Chief</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Executive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10.26 to our Form 10-K, filed on February 17, 2017)</w:t>
        </w:r>
      </w:hyperlink>
    </w:p>
    <w:p>
      <w:pPr>
        <w:spacing w:after="0" w:line="2" w:lineRule="exact"/>
        <w:rPr>
          <w:sz w:val="20"/>
          <w:szCs w:val="20"/>
          <w:color w:val="auto"/>
        </w:rPr>
      </w:pPr>
    </w:p>
    <w:p>
      <w:pPr>
        <w:ind w:left="240"/>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10.15 ~</w:t>
      </w:r>
      <w:r>
        <w:rPr>
          <w:sz w:val="20"/>
          <w:szCs w:val="20"/>
          <w:color w:val="auto"/>
        </w:rPr>
        <w:tab/>
      </w:r>
      <w:hyperlink r:id="rId88">
        <w:r>
          <w:rPr>
            <w:rFonts w:ascii="Arial" w:cs="Arial" w:eastAsia="Arial" w:hAnsi="Arial"/>
            <w:sz w:val="16"/>
            <w:szCs w:val="16"/>
            <w:u w:val="single" w:color="auto"/>
            <w:color w:val="0000FF"/>
          </w:rPr>
          <w:t xml:space="preserve">NMI Holdings, Inc. Severance Benefit Plan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10.1 to our Form 8-K, filed on February 17, 2016)</w:t>
      </w:r>
    </w:p>
    <w:p>
      <w:pPr>
        <w:spacing w:after="0" w:line="17" w:lineRule="exact"/>
        <w:rPr>
          <w:sz w:val="20"/>
          <w:szCs w:val="20"/>
          <w:color w:val="auto"/>
        </w:rPr>
      </w:pPr>
    </w:p>
    <w:p>
      <w:pPr>
        <w:ind w:left="1140" w:right="20" w:hanging="890"/>
        <w:spacing w:after="0" w:line="236"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10.16 ~</w:t>
      </w:r>
      <w:r>
        <w:rPr>
          <w:sz w:val="20"/>
          <w:szCs w:val="20"/>
          <w:color w:val="auto"/>
        </w:rPr>
        <w:tab/>
      </w:r>
      <w:hyperlink r:id="rId89">
        <w:r>
          <w:rPr>
            <w:rFonts w:ascii="Arial" w:cs="Arial" w:eastAsia="Arial" w:hAnsi="Arial"/>
            <w:sz w:val="18"/>
            <w:szCs w:val="18"/>
            <w:u w:val="single" w:color="auto"/>
            <w:color w:val="0000FF"/>
          </w:rPr>
          <w:t xml:space="preserve">NMI Holdings, Inc. Amended and Restated Change in Control Severance Benefit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10.30</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to our Form 10-Q, filed on October 30, 2018)</w:t>
      </w:r>
    </w:p>
    <w:p>
      <w:pPr>
        <w:spacing w:after="0" w:line="2" w:lineRule="exact"/>
        <w:rPr>
          <w:sz w:val="20"/>
          <w:szCs w:val="20"/>
          <w:color w:val="auto"/>
        </w:rPr>
      </w:pPr>
    </w:p>
    <w:p>
      <w:pPr>
        <w:ind w:left="240"/>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10.17 ~</w:t>
      </w:r>
      <w:r>
        <w:rPr>
          <w:sz w:val="20"/>
          <w:szCs w:val="20"/>
          <w:color w:val="auto"/>
        </w:rPr>
        <w:tab/>
      </w:r>
      <w:hyperlink r:id="rId90">
        <w:r>
          <w:rPr>
            <w:rFonts w:ascii="Arial" w:cs="Arial" w:eastAsia="Arial" w:hAnsi="Arial"/>
            <w:sz w:val="16"/>
            <w:szCs w:val="16"/>
            <w:u w:val="single" w:color="auto"/>
            <w:color w:val="0000FF"/>
          </w:rPr>
          <w:t xml:space="preserve">NMI Holdings, Inc. Clawback Policy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10.2 to our Form 8-K, filed on February 23, 2017)</w:t>
      </w:r>
    </w:p>
    <w:p>
      <w:pPr>
        <w:spacing w:after="0" w:line="17" w:lineRule="exact"/>
        <w:rPr>
          <w:sz w:val="20"/>
          <w:szCs w:val="20"/>
          <w:color w:val="auto"/>
        </w:rPr>
      </w:pPr>
    </w:p>
    <w:p>
      <w:pPr>
        <w:ind w:left="1140" w:hanging="890"/>
        <w:spacing w:after="0" w:line="236" w:lineRule="auto"/>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10.18 ~</w:t>
      </w:r>
      <w:r>
        <w:rPr>
          <w:sz w:val="20"/>
          <w:szCs w:val="20"/>
          <w:color w:val="auto"/>
        </w:rPr>
        <w:tab/>
      </w:r>
      <w:hyperlink r:id="rId91">
        <w:r>
          <w:rPr>
            <w:rFonts w:ascii="Arial" w:cs="Arial" w:eastAsia="Arial" w:hAnsi="Arial"/>
            <w:sz w:val="18"/>
            <w:szCs w:val="18"/>
            <w:u w:val="single" w:color="auto"/>
            <w:color w:val="0000FF"/>
          </w:rPr>
          <w:t xml:space="preserve">Employment Letter by and between NMI Holdings, Inc. and Bradley M. Shuster, effective as of January 1, 2019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10.1 to our Form 8-K, filed on December 28,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60"/>
          </w:cols>
          <w:pgMar w:left="320" w:top="1163" w:right="619" w:bottom="1440" w:gutter="0" w:footer="0" w:header="0"/>
          <w:type w:val="continuous"/>
        </w:sectPr>
      </w:pPr>
    </w:p>
    <w:bookmarkStart w:id="59" w:name="page60"/>
    <w:bookmarkEnd w:id="59"/>
    <w:p>
      <w:pPr>
        <w:ind w:left="1005" w:hanging="890"/>
        <w:spacing w:after="0" w:line="236" w:lineRule="auto"/>
        <w:tabs>
          <w:tab w:leader="none" w:pos="984" w:val="left"/>
        </w:tabs>
        <w:rPr>
          <w:rFonts w:ascii="Arial" w:cs="Arial" w:eastAsia="Arial" w:hAnsi="Arial"/>
          <w:sz w:val="18"/>
          <w:szCs w:val="18"/>
          <w:color w:val="0000FF"/>
        </w:rPr>
      </w:pPr>
      <w:r>
        <w:rPr>
          <w:rFonts w:ascii="Arial" w:cs="Arial" w:eastAsia="Arial" w:hAnsi="Arial"/>
          <w:sz w:val="18"/>
          <w:szCs w:val="18"/>
          <w:color w:val="auto"/>
        </w:rPr>
        <w:t>10.19 ~</w:t>
      </w:r>
      <w:r>
        <w:rPr>
          <w:sz w:val="20"/>
          <w:szCs w:val="20"/>
          <w:color w:val="auto"/>
        </w:rPr>
        <w:tab/>
      </w:r>
      <w:hyperlink r:id="rId93">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Independent Directors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10.33 to our Form 10-Q, filed on May 2, 2019)</w:t>
        </w:r>
      </w:hyperlink>
    </w:p>
    <w:p>
      <w:pPr>
        <w:spacing w:after="0" w:line="2" w:lineRule="exact"/>
        <w:rPr>
          <w:sz w:val="20"/>
          <w:szCs w:val="20"/>
          <w:color w:val="auto"/>
        </w:rPr>
      </w:pPr>
    </w:p>
    <w:p>
      <w:pPr>
        <w:ind w:left="1005" w:hanging="890"/>
        <w:spacing w:after="0" w:line="236" w:lineRule="auto"/>
        <w:tabs>
          <w:tab w:leader="none" w:pos="984" w:val="left"/>
        </w:tabs>
        <w:rPr>
          <w:rFonts w:ascii="Arial" w:cs="Arial" w:eastAsia="Arial" w:hAnsi="Arial"/>
          <w:sz w:val="18"/>
          <w:szCs w:val="18"/>
          <w:u w:val="single" w:color="auto"/>
          <w:color w:val="0000FF"/>
        </w:rPr>
      </w:pPr>
      <w:r>
        <w:rPr>
          <w:rFonts w:ascii="Arial" w:cs="Arial" w:eastAsia="Arial" w:hAnsi="Arial"/>
          <w:sz w:val="18"/>
          <w:szCs w:val="18"/>
          <w:color w:val="auto"/>
        </w:rPr>
        <w:t>10.20 ~</w:t>
      </w:r>
      <w:r>
        <w:rPr>
          <w:sz w:val="20"/>
          <w:szCs w:val="20"/>
          <w:color w:val="auto"/>
        </w:rPr>
        <w:tab/>
      </w:r>
      <w:hyperlink r:id="rId94">
        <w:r>
          <w:rPr>
            <w:rFonts w:ascii="Arial" w:cs="Arial" w:eastAsia="Arial" w:hAnsi="Arial"/>
            <w:sz w:val="18"/>
            <w:szCs w:val="18"/>
            <w:u w:val="single" w:color="auto"/>
            <w:color w:val="0000FF"/>
          </w:rPr>
          <w:t>Form of NMI Holdings, Inc. Amended and Restated 2014 Omnibus Incentive Plan Restricted Stock Unit Award Agreement for Employees</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(incorporated herein by reference to Exhibit 10.34 to our Form 10-Q, filed on May 2, 2019)</w:t>
      </w:r>
    </w:p>
    <w:p>
      <w:pPr>
        <w:spacing w:after="0" w:line="2" w:lineRule="exact"/>
        <w:rPr>
          <w:sz w:val="20"/>
          <w:szCs w:val="20"/>
          <w:color w:val="auto"/>
        </w:rPr>
      </w:pPr>
    </w:p>
    <w:p>
      <w:pPr>
        <w:ind w:left="1005" w:hanging="890"/>
        <w:spacing w:after="0" w:line="236" w:lineRule="auto"/>
        <w:tabs>
          <w:tab w:leader="none" w:pos="984" w:val="left"/>
        </w:tabs>
        <w:rPr>
          <w:rFonts w:ascii="Arial" w:cs="Arial" w:eastAsia="Arial" w:hAnsi="Arial"/>
          <w:sz w:val="18"/>
          <w:szCs w:val="18"/>
          <w:u w:val="single" w:color="auto"/>
          <w:color w:val="0000FF"/>
        </w:rPr>
      </w:pPr>
      <w:r>
        <w:rPr>
          <w:rFonts w:ascii="Arial" w:cs="Arial" w:eastAsia="Arial" w:hAnsi="Arial"/>
          <w:sz w:val="18"/>
          <w:szCs w:val="18"/>
          <w:color w:val="auto"/>
        </w:rPr>
        <w:t>10.21 ~</w:t>
      </w:r>
      <w:r>
        <w:rPr>
          <w:sz w:val="20"/>
          <w:szCs w:val="20"/>
          <w:color w:val="auto"/>
        </w:rPr>
        <w:tab/>
      </w:r>
      <w:hyperlink r:id="rId95">
        <w:r>
          <w:rPr>
            <w:rFonts w:ascii="Arial" w:cs="Arial" w:eastAsia="Arial" w:hAnsi="Arial"/>
            <w:sz w:val="18"/>
            <w:szCs w:val="18"/>
            <w:u w:val="single" w:color="auto"/>
            <w:color w:val="0000FF"/>
          </w:rPr>
          <w:t>Form of NMI Holdings, Inc. Amended and Restated 2014 Omnibus Incentive Plan Nonqualified Stock Option Agreement for Employees</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(incorporated herein by reference to Exhibit 10.35 to our Form 10-Q, filed on May 2, 2019)</w:t>
      </w:r>
    </w:p>
    <w:p>
      <w:pPr>
        <w:spacing w:after="0" w:line="2" w:lineRule="exact"/>
        <w:rPr>
          <w:sz w:val="20"/>
          <w:szCs w:val="20"/>
          <w:color w:val="auto"/>
        </w:rPr>
      </w:pPr>
    </w:p>
    <w:p>
      <w:pPr>
        <w:ind w:left="1005" w:hanging="890"/>
        <w:spacing w:after="0" w:line="236" w:lineRule="auto"/>
        <w:tabs>
          <w:tab w:leader="none" w:pos="984" w:val="left"/>
        </w:tabs>
        <w:rPr>
          <w:rFonts w:ascii="Arial" w:cs="Arial" w:eastAsia="Arial" w:hAnsi="Arial"/>
          <w:sz w:val="18"/>
          <w:szCs w:val="18"/>
          <w:color w:val="0000FF"/>
        </w:rPr>
      </w:pPr>
      <w:r>
        <w:rPr>
          <w:rFonts w:ascii="Arial" w:cs="Arial" w:eastAsia="Arial" w:hAnsi="Arial"/>
          <w:sz w:val="18"/>
          <w:szCs w:val="18"/>
          <w:color w:val="auto"/>
        </w:rPr>
        <w:t>10.22 ~</w:t>
      </w:r>
      <w:r>
        <w:rPr>
          <w:sz w:val="20"/>
          <w:szCs w:val="20"/>
          <w:color w:val="auto"/>
        </w:rPr>
        <w:tab/>
      </w:r>
      <w:hyperlink r:id="rId96">
        <w:r>
          <w:rPr>
            <w:rFonts w:ascii="Arial" w:cs="Arial" w:eastAsia="Arial" w:hAnsi="Arial"/>
            <w:sz w:val="18"/>
            <w:szCs w:val="18"/>
            <w:u w:val="single" w:color="auto"/>
            <w:color w:val="0000FF"/>
          </w:rPr>
          <w:t>Form of NMI Holdings, Inc. Amended and Restated 2014 Omnibus Incentive Plan Restricted Stock Unit Award Agreement (Performance</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Based)</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10.38 to our Form 10-Q, filed on May 7, 2020)</w:t>
        </w:r>
      </w:hyperlink>
    </w:p>
    <w:p>
      <w:pPr>
        <w:spacing w:after="0" w:line="2" w:lineRule="exact"/>
        <w:rPr>
          <w:sz w:val="20"/>
          <w:szCs w:val="20"/>
          <w:color w:val="auto"/>
        </w:rPr>
      </w:pPr>
    </w:p>
    <w:p>
      <w:pPr>
        <w:ind w:left="225"/>
        <w:spacing w:after="0"/>
        <w:tabs>
          <w:tab w:leader="none" w:pos="984"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r:id="rId97">
        <w:r>
          <w:rPr>
            <w:rFonts w:ascii="Arial" w:cs="Arial" w:eastAsia="Arial" w:hAnsi="Arial"/>
            <w:sz w:val="16"/>
            <w:szCs w:val="16"/>
            <w:u w:val="single" w:color="auto"/>
            <w:color w:val="0000FF"/>
          </w:rPr>
          <w:t xml:space="preserve">Subsidiaries of NMI Holdings, Inc.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21.1 to our Form 10-Q, filed on October 30, 2015)</w:t>
      </w:r>
    </w:p>
    <w:p>
      <w:pPr>
        <w:spacing w:after="0" w:line="9" w:lineRule="exact"/>
        <w:rPr>
          <w:sz w:val="20"/>
          <w:szCs w:val="20"/>
          <w:color w:val="auto"/>
        </w:rPr>
      </w:pPr>
    </w:p>
    <w:p>
      <w:pPr>
        <w:ind w:left="225"/>
        <w:spacing w:after="0"/>
        <w:tabs>
          <w:tab w:leader="none" w:pos="984"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u w:val="single" w:color="auto"/>
          <w:color w:val="0000FF"/>
        </w:rPr>
        <w:t xml:space="preserve">Guaranteed Securities by Subsidiary Guarantor </w:t>
      </w:r>
      <w:r>
        <w:rPr>
          <w:rFonts w:ascii="Arial" w:cs="Arial" w:eastAsia="Arial" w:hAnsi="Arial"/>
          <w:sz w:val="16"/>
          <w:szCs w:val="16"/>
          <w:color w:val="000000"/>
        </w:rPr>
        <w:t>(incorporated herein by reference to Exhibit 22.1 to our Form 10-K, filed on February 16,</w:t>
      </w:r>
    </w:p>
    <w:p>
      <w:pPr>
        <w:ind w:left="1005"/>
        <w:spacing w:after="0"/>
        <w:rPr>
          <w:sz w:val="20"/>
          <w:szCs w:val="20"/>
          <w:color w:val="auto"/>
        </w:rPr>
      </w:pPr>
      <w:r>
        <w:rPr>
          <w:rFonts w:ascii="Arial" w:cs="Arial" w:eastAsia="Arial" w:hAnsi="Arial"/>
          <w:sz w:val="18"/>
          <w:szCs w:val="18"/>
          <w:color w:val="auto"/>
        </w:rPr>
        <w:t>2022)</w:t>
      </w:r>
    </w:p>
    <w:p>
      <w:pPr>
        <w:spacing w:after="0" w:line="3" w:lineRule="exact"/>
        <w:rPr>
          <w:sz w:val="20"/>
          <w:szCs w:val="20"/>
          <w:color w:val="auto"/>
        </w:rPr>
      </w:pPr>
    </w:p>
    <w:p>
      <w:pPr>
        <w:ind w:left="225"/>
        <w:spacing w:after="0"/>
        <w:tabs>
          <w:tab w:leader="none" w:pos="984"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FF"/>
        </w:rPr>
        <w:t>Principal Executive Officer's Certification Pursuant to Section 302 of the Sarbanes-Oxley Act of 2002</w:t>
      </w:r>
    </w:p>
    <w:p>
      <w:pPr>
        <w:spacing w:after="0" w:line="17" w:lineRule="exact"/>
        <w:rPr>
          <w:sz w:val="20"/>
          <w:szCs w:val="20"/>
          <w:color w:val="auto"/>
        </w:rPr>
      </w:pPr>
    </w:p>
    <w:p>
      <w:pPr>
        <w:ind w:left="225"/>
        <w:spacing w:after="0"/>
        <w:tabs>
          <w:tab w:leader="none" w:pos="984"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FF"/>
        </w:rPr>
        <w:t>Principal Financial Officer's Certification Pursuant to Section 302 of the Sarbanes-Oxley Act of 2002</w:t>
      </w:r>
    </w:p>
    <w:p>
      <w:pPr>
        <w:spacing w:after="0" w:line="9" w:lineRule="exact"/>
        <w:rPr>
          <w:sz w:val="20"/>
          <w:szCs w:val="20"/>
          <w:color w:val="auto"/>
        </w:rPr>
      </w:pPr>
    </w:p>
    <w:p>
      <w:pPr>
        <w:ind w:left="145"/>
        <w:spacing w:after="0"/>
        <w:tabs>
          <w:tab w:leader="none" w:pos="984" w:val="left"/>
        </w:tabs>
        <w:rPr>
          <w:sz w:val="20"/>
          <w:szCs w:val="20"/>
          <w:color w:val="auto"/>
        </w:rPr>
      </w:pPr>
      <w:r>
        <w:rPr>
          <w:rFonts w:ascii="Arial" w:cs="Arial" w:eastAsia="Arial" w:hAnsi="Arial"/>
          <w:sz w:val="18"/>
          <w:szCs w:val="18"/>
          <w:color w:val="auto"/>
        </w:rPr>
        <w:t>32.1 #</w:t>
      </w:r>
      <w:r>
        <w:rPr>
          <w:sz w:val="20"/>
          <w:szCs w:val="20"/>
          <w:color w:val="auto"/>
        </w:rPr>
        <w:tab/>
      </w:r>
      <w:r>
        <w:rPr>
          <w:rFonts w:ascii="Arial" w:cs="Arial" w:eastAsia="Arial" w:hAnsi="Arial"/>
          <w:sz w:val="16"/>
          <w:szCs w:val="16"/>
          <w:u w:val="single" w:color="auto"/>
          <w:color w:val="0000FF"/>
        </w:rPr>
        <w:t>Certifications of CEO and CFO Pursuant to 18 U.S.C. Section 1350, as Adopted Pursuant to Section 906 of the Sarbanes-Oxley Act of</w:t>
      </w:r>
    </w:p>
    <w:p>
      <w:pPr>
        <w:ind w:left="1005"/>
        <w:spacing w:after="0"/>
        <w:rPr>
          <w:sz w:val="20"/>
          <w:szCs w:val="20"/>
          <w:color w:val="auto"/>
        </w:rPr>
      </w:pPr>
      <w:r>
        <w:rPr>
          <w:rFonts w:ascii="Arial" w:cs="Arial" w:eastAsia="Arial" w:hAnsi="Arial"/>
          <w:sz w:val="18"/>
          <w:szCs w:val="18"/>
          <w:u w:val="single" w:color="auto"/>
          <w:color w:val="0000FF"/>
        </w:rPr>
        <w:t>2002</w:t>
      </w:r>
    </w:p>
    <w:p>
      <w:pPr>
        <w:spacing w:after="0" w:line="3" w:lineRule="exact"/>
        <w:rPr>
          <w:sz w:val="20"/>
          <w:szCs w:val="20"/>
          <w:color w:val="auto"/>
        </w:rPr>
      </w:pPr>
    </w:p>
    <w:p>
      <w:pPr>
        <w:ind w:left="1005" w:right="120" w:hanging="765"/>
        <w:spacing w:after="0" w:line="236" w:lineRule="auto"/>
        <w:tabs>
          <w:tab w:leader="none" w:pos="10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financial information from NMI Holdings, Inc.'s Quarterly Report on Form 10-Q for the quarter ended September 30, 2022 formatted in XBRL (eXtensible Business Reporting Language):</w:t>
      </w:r>
    </w:p>
    <w:p>
      <w:pPr>
        <w:spacing w:after="0" w:line="1" w:lineRule="exact"/>
        <w:rPr>
          <w:rFonts w:ascii="Arial" w:cs="Arial" w:eastAsia="Arial" w:hAnsi="Arial"/>
          <w:sz w:val="18"/>
          <w:szCs w:val="18"/>
          <w:color w:val="auto"/>
        </w:rPr>
      </w:pPr>
    </w:p>
    <w:p>
      <w:pPr>
        <w:ind w:left="1205" w:hanging="209"/>
        <w:spacing w:after="0"/>
        <w:tabs>
          <w:tab w:leader="none" w:pos="1205"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Condensed Consolidated Balance Sheets as of September 30, 2022 and December 31, 2021;</w:t>
      </w:r>
    </w:p>
    <w:p>
      <w:pPr>
        <w:spacing w:after="0" w:line="17" w:lineRule="exact"/>
        <w:rPr>
          <w:rFonts w:ascii="Arial" w:cs="Arial" w:eastAsia="Arial" w:hAnsi="Arial"/>
          <w:sz w:val="18"/>
          <w:szCs w:val="18"/>
          <w:color w:val="auto"/>
        </w:rPr>
      </w:pPr>
    </w:p>
    <w:p>
      <w:pPr>
        <w:ind w:left="1005" w:right="120" w:hanging="9"/>
        <w:spacing w:after="0" w:line="236" w:lineRule="auto"/>
        <w:tabs>
          <w:tab w:leader="none" w:pos="1264"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Condensed Consolidated Statements of Operations and Comprehensive Income (Loss) for the three and nine months ended September 30, 2022 and 2021;</w:t>
      </w:r>
    </w:p>
    <w:p>
      <w:pPr>
        <w:spacing w:after="0" w:line="1" w:lineRule="exact"/>
        <w:rPr>
          <w:rFonts w:ascii="Arial" w:cs="Arial" w:eastAsia="Arial" w:hAnsi="Arial"/>
          <w:sz w:val="18"/>
          <w:szCs w:val="18"/>
          <w:color w:val="auto"/>
        </w:rPr>
      </w:pPr>
    </w:p>
    <w:p>
      <w:pPr>
        <w:ind w:left="1305" w:hanging="309"/>
        <w:spacing w:after="0"/>
        <w:tabs>
          <w:tab w:leader="none" w:pos="1305" w:val="left"/>
        </w:tabs>
        <w:numPr>
          <w:ilvl w:val="1"/>
          <w:numId w:val="27"/>
        </w:numPr>
        <w:rPr>
          <w:rFonts w:ascii="Arial" w:cs="Arial" w:eastAsia="Arial" w:hAnsi="Arial"/>
          <w:sz w:val="16"/>
          <w:szCs w:val="16"/>
          <w:color w:val="auto"/>
        </w:rPr>
      </w:pPr>
      <w:r>
        <w:rPr>
          <w:rFonts w:ascii="Arial" w:cs="Arial" w:eastAsia="Arial" w:hAnsi="Arial"/>
          <w:sz w:val="16"/>
          <w:szCs w:val="16"/>
          <w:color w:val="auto"/>
        </w:rPr>
        <w:t>Condensed Consolidated Statements of Changes in Shareholders' Equity for the three months ended September 30, 2022 and 2021;</w:t>
      </w:r>
    </w:p>
    <w:p>
      <w:pPr>
        <w:spacing w:after="0" w:line="40" w:lineRule="exact"/>
        <w:rPr>
          <w:rFonts w:ascii="Arial" w:cs="Arial" w:eastAsia="Arial" w:hAnsi="Arial"/>
          <w:sz w:val="16"/>
          <w:szCs w:val="16"/>
          <w:color w:val="auto"/>
        </w:rPr>
      </w:pPr>
    </w:p>
    <w:p>
      <w:pPr>
        <w:ind w:left="1285" w:hanging="289"/>
        <w:spacing w:after="0"/>
        <w:tabs>
          <w:tab w:leader="none" w:pos="1285"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nine months ended September 30, 2022 and 2021; and</w:t>
      </w:r>
    </w:p>
    <w:p>
      <w:pPr>
        <w:spacing w:after="0" w:line="17" w:lineRule="exact"/>
        <w:rPr>
          <w:rFonts w:ascii="Arial" w:cs="Arial" w:eastAsia="Arial" w:hAnsi="Arial"/>
          <w:sz w:val="18"/>
          <w:szCs w:val="18"/>
          <w:color w:val="auto"/>
        </w:rPr>
      </w:pPr>
    </w:p>
    <w:p>
      <w:pPr>
        <w:ind w:left="1005" w:right="280" w:hanging="9"/>
        <w:spacing w:after="0" w:line="236" w:lineRule="auto"/>
        <w:tabs>
          <w:tab w:leader="none" w:pos="1254" w:val="left"/>
        </w:tabs>
        <w:numPr>
          <w:ilvl w:val="1"/>
          <w:numId w:val="27"/>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 The instance document does not appear in the Interactive Data File because XBRL tags are embedded within the Inline XBRL document.</w:t>
      </w:r>
    </w:p>
    <w:p>
      <w:pPr>
        <w:spacing w:after="0" w:line="2" w:lineRule="exact"/>
        <w:rPr>
          <w:sz w:val="20"/>
          <w:szCs w:val="20"/>
          <w:color w:val="auto"/>
        </w:rPr>
      </w:pPr>
    </w:p>
    <w:p>
      <w:pPr>
        <w:ind w:left="1005" w:right="140" w:hanging="765"/>
        <w:spacing w:after="0" w:line="236" w:lineRule="auto"/>
        <w:tabs>
          <w:tab w:leader="none" w:pos="1005"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cover page from NMI Holdings, Inc.'s Quarterly Report on Form 10-Q for the quarter ended September 30, 2022 (formatted as Inline XBRL and contained in Exhibit 101).</w:t>
      </w:r>
    </w:p>
    <w:p>
      <w:pPr>
        <w:spacing w:after="0" w:line="281" w:lineRule="exact"/>
        <w:rPr>
          <w:rFonts w:ascii="Arial" w:cs="Arial" w:eastAsia="Arial" w:hAnsi="Arial"/>
          <w:sz w:val="18"/>
          <w:szCs w:val="18"/>
          <w:color w:val="auto"/>
        </w:rPr>
      </w:pPr>
    </w:p>
    <w:p>
      <w:pPr>
        <w:ind w:left="265" w:hanging="265"/>
        <w:spacing w:after="0"/>
        <w:tabs>
          <w:tab w:leader="none" w:pos="265"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contract.</w:t>
      </w:r>
    </w:p>
    <w:p>
      <w:pPr>
        <w:spacing w:after="0" w:line="27" w:lineRule="exact"/>
        <w:rPr>
          <w:sz w:val="20"/>
          <w:szCs w:val="20"/>
          <w:color w:val="auto"/>
        </w:rPr>
      </w:pPr>
    </w:p>
    <w:p>
      <w:pPr>
        <w:ind w:left="265" w:hanging="265"/>
        <w:spacing w:after="0"/>
        <w:tabs>
          <w:tab w:leader="none" w:pos="2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Confidential treatment granted as to certain portions, which portions have been filed separately with the SEC.</w:t>
      </w:r>
    </w:p>
    <w:p>
      <w:pPr>
        <w:spacing w:after="0" w:line="27" w:lineRule="exact"/>
        <w:rPr>
          <w:sz w:val="20"/>
          <w:szCs w:val="20"/>
          <w:color w:val="auto"/>
        </w:rPr>
      </w:pPr>
    </w:p>
    <w:p>
      <w:pPr>
        <w:ind w:left="265" w:right="100" w:hanging="265"/>
        <w:spacing w:after="0"/>
        <w:tabs>
          <w:tab w:leader="none" w:pos="265"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44"/>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64770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25"/>
          </w:cols>
          <w:pgMar w:left="455" w:top="1209" w:right="61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261" w:lineRule="exact"/>
        <w:rPr>
          <w:sz w:val="20"/>
          <w:szCs w:val="20"/>
          <w:color w:val="auto"/>
        </w:rPr>
      </w:pPr>
    </w:p>
    <w:p>
      <w:pPr>
        <w:ind w:firstLine="633"/>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NMI HOLDINGS,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1, 2022</w:t>
      </w:r>
    </w:p>
    <w:p>
      <w:pPr>
        <w:spacing w:after="0" w:line="26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Ravi Mallela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3115310</wp:posOffset>
            </wp:positionH>
            <wp:positionV relativeFrom="paragraph">
              <wp:posOffset>-13970</wp:posOffset>
            </wp:positionV>
            <wp:extent cx="12153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3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Ravi Mallela</w:t>
      </w:r>
    </w:p>
    <w:p>
      <w:pPr>
        <w:spacing w:after="0" w:line="1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216"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Guaranteed Securities by Subsidiary Guarantor</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securities issued by the Company and guaranteed by NMI Services, Inc., a wholly-owned subsidiary of the Company (Subsidiary</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311150</wp:posOffset>
            </wp:positionV>
            <wp:extent cx="7127240" cy="6362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extLst>
                    </a:blip>
                    <a:srcRect/>
                    <a:stretch>
                      <a:fillRect/>
                    </a:stretch>
                  </pic:blipFill>
                  <pic:spPr bwMode="auto">
                    <a:xfrm>
                      <a:off x="0" y="0"/>
                      <a:ext cx="7127240" cy="636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Description of Securities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7.375% senior secured notes due June 19, 2025.</w:t>
      </w:r>
    </w:p>
    <w:p>
      <w:pPr>
        <w:spacing w:after="0" w:line="57" w:lineRule="exact"/>
        <w:rPr>
          <w:sz w:val="20"/>
          <w:szCs w:val="20"/>
          <w:color w:val="auto"/>
        </w:rPr>
      </w:pPr>
    </w:p>
    <w:p>
      <w:pPr>
        <w:ind w:left="40" w:right="40"/>
        <w:spacing w:after="0" w:line="247" w:lineRule="auto"/>
        <w:rPr>
          <w:sz w:val="20"/>
          <w:szCs w:val="20"/>
          <w:color w:val="auto"/>
        </w:rPr>
      </w:pPr>
      <w:r>
        <w:rPr>
          <w:rFonts w:ascii="Arial" w:cs="Arial" w:eastAsia="Arial" w:hAnsi="Arial"/>
          <w:sz w:val="18"/>
          <w:szCs w:val="18"/>
          <w:color w:val="auto"/>
        </w:rPr>
        <w:t>Variable interest senior secured revolving credit facility due earlier of (x) November 29, 2025 or (y) if any existing senior secured notes remaining outstanding on such date, February 28, 2025.</w:t>
      </w:r>
    </w:p>
    <w:p>
      <w:pPr>
        <w:sectPr>
          <w:pgSz w:w="11900" w:h="16838" w:orient="portrait"/>
          <w:cols w:equalWidth="0" w:num="1">
            <w:col w:w="11240"/>
          </w:cols>
          <w:pgMar w:left="320" w:top="345"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 Adam S. Pollitzer, certify that:</w:t>
      </w:r>
    </w:p>
    <w:p>
      <w:pPr>
        <w:spacing w:after="0" w:line="110" w:lineRule="exact"/>
        <w:rPr>
          <w:sz w:val="20"/>
          <w:szCs w:val="20"/>
          <w:color w:val="auto"/>
        </w:rPr>
      </w:pPr>
    </w:p>
    <w:p>
      <w:pPr>
        <w:ind w:left="320" w:hanging="314"/>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62" w:lineRule="exact"/>
        <w:rPr>
          <w:rFonts w:ascii="Arial" w:cs="Arial" w:eastAsia="Arial" w:hAnsi="Arial"/>
          <w:sz w:val="18"/>
          <w:szCs w:val="18"/>
          <w:color w:val="auto"/>
        </w:rPr>
      </w:pPr>
    </w:p>
    <w:p>
      <w:pPr>
        <w:ind w:left="320" w:hanging="314"/>
        <w:spacing w:after="0" w:line="325" w:lineRule="auto"/>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6"/>
          <w:szCs w:val="16"/>
          <w:color w:val="auto"/>
        </w:rPr>
      </w:pPr>
    </w:p>
    <w:p>
      <w:pPr>
        <w:ind w:left="320" w:hanging="314"/>
        <w:spacing w:after="0" w:line="262" w:lineRule="auto"/>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8"/>
          <w:szCs w:val="18"/>
          <w:color w:val="auto"/>
        </w:rPr>
      </w:pPr>
    </w:p>
    <w:p>
      <w:pPr>
        <w:jc w:val="both"/>
        <w:ind w:left="320" w:hanging="314"/>
        <w:spacing w:after="0" w:line="253" w:lineRule="auto"/>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8"/>
          <w:szCs w:val="18"/>
          <w:color w:val="auto"/>
        </w:rPr>
      </w:pPr>
    </w:p>
    <w:p>
      <w:pPr>
        <w:jc w:val="both"/>
        <w:ind w:left="960" w:hanging="321"/>
        <w:spacing w:after="0" w:line="253" w:lineRule="auto"/>
        <w:tabs>
          <w:tab w:leader="none" w:pos="951"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jc w:val="both"/>
        <w:ind w:left="960" w:hanging="321"/>
        <w:spacing w:after="0" w:line="253" w:lineRule="auto"/>
        <w:tabs>
          <w:tab w:leader="none" w:pos="9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ind w:left="960" w:hanging="321"/>
        <w:spacing w:after="0" w:line="325" w:lineRule="auto"/>
        <w:tabs>
          <w:tab w:leader="none" w:pos="951"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960" w:hanging="321"/>
        <w:spacing w:after="0" w:line="253" w:lineRule="auto"/>
        <w:tabs>
          <w:tab w:leader="none" w:pos="9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320" w:hanging="314"/>
        <w:spacing w:after="0" w:line="325" w:lineRule="auto"/>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6"/>
          <w:szCs w:val="16"/>
          <w:color w:val="auto"/>
        </w:rPr>
      </w:pPr>
    </w:p>
    <w:p>
      <w:pPr>
        <w:ind w:left="960" w:hanging="321"/>
        <w:spacing w:after="0" w:line="325" w:lineRule="auto"/>
        <w:tabs>
          <w:tab w:leader="none" w:pos="951"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6"/>
          <w:szCs w:val="16"/>
          <w:color w:val="auto"/>
        </w:rPr>
      </w:pPr>
    </w:p>
    <w:p>
      <w:pPr>
        <w:ind w:left="960" w:right="180" w:hanging="321"/>
        <w:spacing w:after="0" w:line="262" w:lineRule="auto"/>
        <w:tabs>
          <w:tab w:leader="none" w:pos="9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700" w:type="dxa"/>
            <w:vAlign w:val="bottom"/>
            <w:gridSpan w:val="2"/>
          </w:tcPr>
          <w:p>
            <w:pPr>
              <w:spacing w:after="0"/>
              <w:rPr>
                <w:sz w:val="20"/>
                <w:szCs w:val="20"/>
                <w:color w:val="auto"/>
              </w:rPr>
            </w:pPr>
            <w:r>
              <w:rPr>
                <w:rFonts w:ascii="Arial" w:cs="Arial" w:eastAsia="Arial" w:hAnsi="Arial"/>
                <w:sz w:val="18"/>
                <w:szCs w:val="18"/>
                <w:color w:val="auto"/>
              </w:rPr>
              <w:t>November 1, 2022</w:t>
            </w:r>
          </w:p>
        </w:tc>
        <w:tc>
          <w:tcPr>
            <w:tcW w:w="4120" w:type="dxa"/>
            <w:vAlign w:val="bottom"/>
            <w:gridSpan w:val="2"/>
          </w:tcPr>
          <w:p>
            <w:pPr>
              <w:ind w:left="1380"/>
              <w:spacing w:after="0"/>
              <w:rPr>
                <w:sz w:val="20"/>
                <w:szCs w:val="20"/>
                <w:color w:val="auto"/>
              </w:rPr>
            </w:pPr>
            <w:r>
              <w:rPr>
                <w:rFonts w:ascii="Arial" w:cs="Arial" w:eastAsia="Arial" w:hAnsi="Arial"/>
                <w:sz w:val="18"/>
                <w:szCs w:val="18"/>
                <w:color w:val="auto"/>
              </w:rPr>
              <w:t>/s/ Adam S. Pollitzer</w:t>
            </w:r>
          </w:p>
        </w:tc>
      </w:tr>
      <w:tr>
        <w:trPr>
          <w:trHeight w:val="243"/>
        </w:trPr>
        <w:tc>
          <w:tcPr>
            <w:tcW w:w="1300" w:type="dxa"/>
            <w:vAlign w:val="bottom"/>
            <w:tcBorders>
              <w:top w:val="single" w:sz="8" w:color="auto"/>
            </w:tcBorders>
          </w:tcPr>
          <w:p>
            <w:pPr>
              <w:spacing w:after="0"/>
              <w:rPr>
                <w:sz w:val="21"/>
                <w:szCs w:val="21"/>
                <w:color w:val="auto"/>
              </w:rPr>
            </w:pPr>
          </w:p>
        </w:tc>
        <w:tc>
          <w:tcPr>
            <w:tcW w:w="1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Adam S. Pollitzer</w:t>
            </w:r>
          </w:p>
        </w:tc>
      </w:tr>
      <w:tr>
        <w:trPr>
          <w:trHeight w:val="224"/>
        </w:trPr>
        <w:tc>
          <w:tcPr>
            <w:tcW w:w="1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120" w:type="dxa"/>
            <w:vAlign w:val="bottom"/>
            <w:gridSpan w:val="2"/>
          </w:tcPr>
          <w:p>
            <w:pPr>
              <w:ind w:left="1380"/>
              <w:spacing w:after="0"/>
              <w:rPr>
                <w:sz w:val="20"/>
                <w:szCs w:val="20"/>
                <w:color w:val="auto"/>
              </w:rPr>
            </w:pPr>
            <w:r>
              <w:rPr>
                <w:rFonts w:ascii="Arial" w:cs="Arial" w:eastAsia="Arial" w:hAnsi="Arial"/>
                <w:sz w:val="18"/>
                <w:szCs w:val="18"/>
                <w:color w:val="auto"/>
              </w:rPr>
              <w:t>Chief Executive Officer</w:t>
            </w:r>
          </w:p>
        </w:tc>
      </w:tr>
      <w:tr>
        <w:trPr>
          <w:trHeight w:val="224"/>
        </w:trPr>
        <w:tc>
          <w:tcPr>
            <w:tcW w:w="1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120" w:type="dxa"/>
            <w:vAlign w:val="bottom"/>
            <w:gridSpan w:val="2"/>
          </w:tcPr>
          <w:p>
            <w:pPr>
              <w:ind w:left="13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74"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 Ravi Mallela, certify that:</w:t>
      </w:r>
    </w:p>
    <w:p>
      <w:pPr>
        <w:spacing w:after="0" w:line="162" w:lineRule="exact"/>
        <w:rPr>
          <w:sz w:val="20"/>
          <w:szCs w:val="20"/>
          <w:color w:val="auto"/>
        </w:rPr>
      </w:pPr>
    </w:p>
    <w:p>
      <w:pPr>
        <w:ind w:left="320" w:hanging="314"/>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62" w:lineRule="exact"/>
        <w:rPr>
          <w:rFonts w:ascii="Arial" w:cs="Arial" w:eastAsia="Arial" w:hAnsi="Arial"/>
          <w:sz w:val="18"/>
          <w:szCs w:val="18"/>
          <w:color w:val="auto"/>
        </w:rPr>
      </w:pPr>
    </w:p>
    <w:p>
      <w:pPr>
        <w:ind w:left="320" w:hanging="314"/>
        <w:spacing w:after="0" w:line="325" w:lineRule="auto"/>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6"/>
          <w:szCs w:val="16"/>
          <w:color w:val="auto"/>
        </w:rPr>
      </w:pPr>
    </w:p>
    <w:p>
      <w:pPr>
        <w:ind w:left="320" w:hanging="314"/>
        <w:spacing w:after="0" w:line="262"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8"/>
          <w:szCs w:val="18"/>
          <w:color w:val="auto"/>
        </w:rPr>
      </w:pPr>
    </w:p>
    <w:p>
      <w:pPr>
        <w:ind w:left="320" w:hanging="314"/>
        <w:spacing w:after="0" w:line="262"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8" w:lineRule="exact"/>
        <w:rPr>
          <w:rFonts w:ascii="Arial" w:cs="Arial" w:eastAsia="Arial" w:hAnsi="Arial"/>
          <w:sz w:val="18"/>
          <w:szCs w:val="18"/>
          <w:color w:val="auto"/>
        </w:rPr>
      </w:pPr>
    </w:p>
    <w:p>
      <w:pPr>
        <w:jc w:val="both"/>
        <w:ind w:left="800" w:hanging="320"/>
        <w:spacing w:after="0" w:line="253" w:lineRule="auto"/>
        <w:tabs>
          <w:tab w:leader="none" w:pos="79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jc w:val="both"/>
        <w:ind w:left="800" w:hanging="320"/>
        <w:spacing w:after="0" w:line="253" w:lineRule="auto"/>
        <w:tabs>
          <w:tab w:leader="none" w:pos="7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ind w:left="800" w:hanging="320"/>
        <w:spacing w:after="0" w:line="325" w:lineRule="auto"/>
        <w:tabs>
          <w:tab w:leader="none" w:pos="791"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800" w:hanging="320"/>
        <w:spacing w:after="0" w:line="253" w:lineRule="auto"/>
        <w:tabs>
          <w:tab w:leader="none" w:pos="7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320" w:hanging="314"/>
        <w:spacing w:after="0" w:line="325" w:lineRule="auto"/>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6"/>
          <w:szCs w:val="16"/>
          <w:color w:val="auto"/>
        </w:rPr>
      </w:pPr>
    </w:p>
    <w:p>
      <w:pPr>
        <w:ind w:left="800" w:hanging="320"/>
        <w:spacing w:after="0" w:line="262" w:lineRule="auto"/>
        <w:tabs>
          <w:tab w:leader="none" w:pos="791"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8"/>
          <w:szCs w:val="18"/>
          <w:color w:val="auto"/>
        </w:rPr>
      </w:pPr>
    </w:p>
    <w:p>
      <w:pPr>
        <w:ind w:left="800" w:hanging="320"/>
        <w:spacing w:after="0" w:line="262" w:lineRule="auto"/>
        <w:tabs>
          <w:tab w:leader="none" w:pos="7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auto"/>
                <w:w w:val="87"/>
              </w:rPr>
              <w:t>November 1, 2022</w:t>
            </w:r>
          </w:p>
        </w:tc>
        <w:tc>
          <w:tcPr>
            <w:tcW w:w="1440" w:type="dxa"/>
            <w:vAlign w:val="bottom"/>
          </w:tcPr>
          <w:p>
            <w:pPr>
              <w:spacing w:after="0"/>
              <w:rPr>
                <w:sz w:val="18"/>
                <w:szCs w:val="18"/>
                <w:color w:val="auto"/>
              </w:rPr>
            </w:pPr>
          </w:p>
        </w:tc>
        <w:tc>
          <w:tcPr>
            <w:tcW w:w="4060" w:type="dxa"/>
            <w:vAlign w:val="bottom"/>
            <w:gridSpan w:val="2"/>
          </w:tcPr>
          <w:p>
            <w:pPr>
              <w:ind w:left="1440"/>
              <w:spacing w:after="0"/>
              <w:rPr>
                <w:sz w:val="20"/>
                <w:szCs w:val="20"/>
                <w:color w:val="auto"/>
              </w:rPr>
            </w:pPr>
            <w:r>
              <w:rPr>
                <w:rFonts w:ascii="Arial" w:cs="Arial" w:eastAsia="Arial" w:hAnsi="Arial"/>
                <w:sz w:val="18"/>
                <w:szCs w:val="18"/>
                <w:color w:val="auto"/>
              </w:rPr>
              <w:t>/s/ Ravi Mallela</w:t>
            </w:r>
          </w:p>
        </w:tc>
      </w:tr>
      <w:tr>
        <w:trPr>
          <w:trHeight w:val="20"/>
        </w:trPr>
        <w:tc>
          <w:tcPr>
            <w:tcW w:w="13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r>
        <w:trPr>
          <w:trHeight w:val="243"/>
        </w:trPr>
        <w:tc>
          <w:tcPr>
            <w:tcW w:w="1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60" w:type="dxa"/>
            <w:vAlign w:val="bottom"/>
            <w:gridSpan w:val="2"/>
          </w:tcPr>
          <w:p>
            <w:pPr>
              <w:ind w:left="1440"/>
              <w:spacing w:after="0"/>
              <w:rPr>
                <w:sz w:val="20"/>
                <w:szCs w:val="20"/>
                <w:color w:val="auto"/>
              </w:rPr>
            </w:pPr>
            <w:r>
              <w:rPr>
                <w:rFonts w:ascii="Arial" w:cs="Arial" w:eastAsia="Arial" w:hAnsi="Arial"/>
                <w:sz w:val="18"/>
                <w:szCs w:val="18"/>
                <w:color w:val="auto"/>
              </w:rPr>
              <w:t>Ravi Mallela</w:t>
            </w:r>
          </w:p>
        </w:tc>
      </w:tr>
      <w:tr>
        <w:trPr>
          <w:trHeight w:val="224"/>
        </w:trPr>
        <w:tc>
          <w:tcPr>
            <w:tcW w:w="1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60" w:type="dxa"/>
            <w:vAlign w:val="bottom"/>
            <w:gridSpan w:val="2"/>
          </w:tcPr>
          <w:p>
            <w:pPr>
              <w:ind w:left="1440"/>
              <w:spacing w:after="0"/>
              <w:rPr>
                <w:sz w:val="20"/>
                <w:szCs w:val="20"/>
                <w:color w:val="auto"/>
              </w:rPr>
            </w:pPr>
            <w:r>
              <w:rPr>
                <w:rFonts w:ascii="Arial" w:cs="Arial" w:eastAsia="Arial" w:hAnsi="Arial"/>
                <w:sz w:val="18"/>
                <w:szCs w:val="18"/>
                <w:color w:val="auto"/>
              </w:rPr>
              <w:t>Chief Financial Officer</w:t>
            </w:r>
          </w:p>
        </w:tc>
      </w:tr>
      <w:tr>
        <w:trPr>
          <w:trHeight w:val="224"/>
        </w:trPr>
        <w:tc>
          <w:tcPr>
            <w:tcW w:w="1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60" w:type="dxa"/>
            <w:vAlign w:val="bottom"/>
            <w:gridSpan w:val="2"/>
          </w:tcPr>
          <w:p>
            <w:pPr>
              <w:ind w:left="144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74"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93" w:lineRule="exact"/>
        <w:rPr>
          <w:sz w:val="20"/>
          <w:szCs w:val="20"/>
          <w:color w:val="auto"/>
        </w:rPr>
      </w:pPr>
    </w:p>
    <w:p>
      <w:pPr>
        <w:ind w:right="320"/>
        <w:spacing w:after="0" w:line="300" w:lineRule="auto"/>
        <w:rPr>
          <w:sz w:val="20"/>
          <w:szCs w:val="20"/>
          <w:color w:val="auto"/>
        </w:rPr>
      </w:pPr>
      <w:r>
        <w:rPr>
          <w:rFonts w:ascii="Arial" w:cs="Arial" w:eastAsia="Arial" w:hAnsi="Arial"/>
          <w:sz w:val="16"/>
          <w:szCs w:val="16"/>
          <w:color w:val="auto"/>
        </w:rPr>
        <w:t>In connection with the Quarterly Report of NMI Holdings, Inc. (the "Company") on Form 10-Q for the quarter ended September 30, 2022,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November 1, 2022</w:t>
      </w:r>
    </w:p>
    <w:p>
      <w:pPr>
        <w:spacing w:after="0" w:line="228" w:lineRule="exact"/>
        <w:rPr>
          <w:sz w:val="20"/>
          <w:szCs w:val="20"/>
          <w:color w:val="auto"/>
        </w:rPr>
      </w:pPr>
    </w:p>
    <w:p>
      <w:pPr>
        <w:ind w:left="5600"/>
        <w:spacing w:after="0"/>
        <w:rPr>
          <w:sz w:val="20"/>
          <w:szCs w:val="20"/>
          <w:color w:val="auto"/>
        </w:rPr>
      </w:pPr>
      <w:r>
        <w:rPr>
          <w:rFonts w:ascii="Arial" w:cs="Arial" w:eastAsia="Arial" w:hAnsi="Arial"/>
          <w:sz w:val="18"/>
          <w:szCs w:val="18"/>
          <w:u w:val="single" w:color="auto"/>
          <w:color w:val="auto"/>
        </w:rPr>
        <w:t>/s/ Adam S. Pollitzer</w:t>
      </w:r>
    </w:p>
    <w:p>
      <w:pPr>
        <w:spacing w:after="0" w:line="1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Adam S. Pollitzer</w:t>
      </w:r>
    </w:p>
    <w:p>
      <w:pPr>
        <w:spacing w:after="0" w:line="1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pacing w:after="0" w:line="1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Executive Officer)</w:t>
      </w:r>
    </w:p>
    <w:p>
      <w:pPr>
        <w:spacing w:after="0" w:line="28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November 1, 2022</w:t>
      </w: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Ravi Mallela</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Ravi Mallela</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pacing w:after="0" w:line="25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240"/>
      </w:cols>
      <w:pgMar w:left="320" w:top="1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amp;"/>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3"/>
    </w:lvl>
  </w:abstractNum>
  <w:abstractNum w:abstractNumId="11">
    <w:nsid w:val="721DA317"/>
    <w:multiLevelType w:val="hybridMultilevel"/>
    <w:lvl w:ilvl="0">
      <w:lvlJc w:val="left"/>
      <w:lvlText w:val="%1."/>
      <w:numFmt w:val="decimal"/>
      <w:start w:val="1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amp;"/>
      <w:numFmt w:val="bullet"/>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01"/>
    </w:lvl>
    <w:lvl w:ilvl="1">
      <w:lvlJc w:val="left"/>
      <w:lvlText w:val="(%2)"/>
      <w:numFmt w:val="lowerRoman"/>
      <w:start w:val="1"/>
    </w:lvl>
  </w:abstractNum>
  <w:abstractNum w:abstractNumId="27">
    <w:nsid w:val="8138641"/>
    <w:multiLevelType w:val="hybridMultilevel"/>
    <w:lvl w:ilvl="0">
      <w:lvlJc w:val="left"/>
      <w:lvlText w:val="~"/>
      <w:numFmt w:val="bullet"/>
      <w:start w:val="1"/>
    </w:lvl>
    <w:lvl w:ilvl="1">
      <w:lvlJc w:val="left"/>
      <w:lvlText w:val="%2"/>
      <w:numFmt w:val="decimal"/>
      <w:start w:val="104"/>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92" Type="http://schemas.openxmlformats.org/officeDocument/2006/relationships/image" Target="media/image64.png"/><Relationship Id="rId98" Type="http://schemas.openxmlformats.org/officeDocument/2006/relationships/image" Target="media/image65.png"/><Relationship Id="rId99" Type="http://schemas.openxmlformats.org/officeDocument/2006/relationships/image" Target="media/image66.png"/><Relationship Id="rId100" Type="http://schemas.openxmlformats.org/officeDocument/2006/relationships/image" Target="media/image67.png"/><Relationship Id="rId71" Type="http://schemas.openxmlformats.org/officeDocument/2006/relationships/hyperlink" Target="http://www.sec.gov/Archives/edgar/data/1547903/000154790313000020/a31secondamendedandrestate.htm" TargetMode="External"/><Relationship Id="rId72" Type="http://schemas.openxmlformats.org/officeDocument/2006/relationships/hyperlink" Target="http://www.sec.gov/Archives/edgar/data/1547903/000154790314000152/exhibit31december92014.htm" TargetMode="External"/><Relationship Id="rId73" Type="http://schemas.openxmlformats.org/officeDocument/2006/relationships/hyperlink" Target="https://www.sec.gov/Archives/edgar/data/1547903/000119312520174237/d949308dex41.htm" TargetMode="External"/><Relationship Id="rId74" Type="http://schemas.openxmlformats.org/officeDocument/2006/relationships/hyperlink" Target="http://www.sec.gov/Archives/edgar/data/1547903/000154790316000230/exhibit1010leatherberrybil.htm" TargetMode="External"/><Relationship Id="rId75" Type="http://schemas.openxmlformats.org/officeDocument/2006/relationships/hyperlink" Target="https://www.sec.gov/Archives/edgar/data/0001547903/000154790321000153/exhibit101-nmihxapollitz.htm" TargetMode="External"/><Relationship Id="rId76" Type="http://schemas.openxmlformats.org/officeDocument/2006/relationships/hyperlink" Target="https://www.sec.gov/Archives/edgar/data/0001547903/000154790321000188/rmallelaofferletter.htm" TargetMode="External"/><Relationship Id="rId77" Type="http://schemas.openxmlformats.org/officeDocument/2006/relationships/hyperlink" Target="http://www.sec.gov/Archives/edgar/data/1547903/000154790314000146/exhibit101november252014.htm" TargetMode="External"/><Relationship Id="rId78" Type="http://schemas.openxmlformats.org/officeDocument/2006/relationships/hyperlink" Target="http://www.sec.gov/Archives/edgar/data/1547903/000154790313000020/a1014commitmentletterforbu.htm" TargetMode="External"/><Relationship Id="rId79" Type="http://schemas.openxmlformats.org/officeDocument/2006/relationships/hyperlink" Target="https://www.sec.gov/Archives/edgar/data/0001547903/000154790321000180/nmiholdingsinc-creditagree.htm" TargetMode="External"/><Relationship Id="rId80" Type="http://schemas.openxmlformats.org/officeDocument/2006/relationships/hyperlink" Target="http://www.sec.gov/Archives/edgar/data/1547903/000154790317000043/nmihproxy2017.htm" TargetMode="External"/><Relationship Id="rId81" Type="http://schemas.openxmlformats.org/officeDocument/2006/relationships/hyperlink" Target="http://www.sec.gov/Archives/edgar/data/1547903/000154790317000100/ex1019rsuceo.htm" TargetMode="External"/><Relationship Id="rId82" Type="http://schemas.openxmlformats.org/officeDocument/2006/relationships/hyperlink" Target="http://www.sec.gov/Archives/edgar/data/1547903/000154790317000100/ex1020rsueo.htm" TargetMode="External"/><Relationship Id="rId83" Type="http://schemas.openxmlformats.org/officeDocument/2006/relationships/hyperlink" Target="http://www.sec.gov/Archives/edgar/data/1547903/000154790317000100/ex1021rsuee.htm" TargetMode="External"/><Relationship Id="rId84" Type="http://schemas.openxmlformats.org/officeDocument/2006/relationships/hyperlink" Target="http://www.sec.gov/Archives/edgar/data/1547903/000154790317000100/ex1022rsuindependentdirect.htm" TargetMode="External"/><Relationship Id="rId85" Type="http://schemas.openxmlformats.org/officeDocument/2006/relationships/hyperlink" Target="http://www.sec.gov/Archives/edgar/data/1547903/000154790317000100/ex1023nqsceo.htm" TargetMode="External"/><Relationship Id="rId86" Type="http://schemas.openxmlformats.org/officeDocument/2006/relationships/hyperlink" Target="http://www.sec.gov/Archives/edgar/data/1547903/000154790317000100/ex1024nqseoee.htm" TargetMode="External"/><Relationship Id="rId87" Type="http://schemas.openxmlformats.org/officeDocument/2006/relationships/hyperlink" Target="http://www.sec.gov/Archives/edgar/data/1547903/000154790317000032/exhibit1026-2014omnibusinc.htm" TargetMode="External"/><Relationship Id="rId88" Type="http://schemas.openxmlformats.org/officeDocument/2006/relationships/hyperlink" Target="http://www.sec.gov/Archives/edgar/data/1547903/000154790316000185/ex101severancebenefitplan.htm" TargetMode="External"/><Relationship Id="rId89" Type="http://schemas.openxmlformats.org/officeDocument/2006/relationships/hyperlink" Target="https://www.sec.gov/Archives/edgar/data/1547903/000154790318000133/exhibit1030arcicsbp.htm" TargetMode="External"/><Relationship Id="rId90" Type="http://schemas.openxmlformats.org/officeDocument/2006/relationships/hyperlink" Target="http://www.sec.gov/Archives/edgar/data/1547903/000154790317000035/exhibit102.htm" TargetMode="External"/><Relationship Id="rId91" Type="http://schemas.openxmlformats.org/officeDocument/2006/relationships/hyperlink" Target="http://www.sec.gov/Archives/edgar/data/1547903/000154790318000137/exhibit101shuster.htm" TargetMode="External"/><Relationship Id="rId93" Type="http://schemas.openxmlformats.org/officeDocument/2006/relationships/hyperlink" Target="http://www.sec.gov/Archives/edgar/data/1547903/000154790319000064/exhibit1033.htm" TargetMode="External"/><Relationship Id="rId94" Type="http://schemas.openxmlformats.org/officeDocument/2006/relationships/hyperlink" Target="http://www.sec.gov/Archives/edgar/data/1547903/000154790319000064/exhibit1034.htm" TargetMode="External"/><Relationship Id="rId95" Type="http://schemas.openxmlformats.org/officeDocument/2006/relationships/hyperlink" Target="http://www.sec.gov/Archives/edgar/data/1547903/000154790319000064/exhibit1035.htm" TargetMode="External"/><Relationship Id="rId96" Type="http://schemas.openxmlformats.org/officeDocument/2006/relationships/hyperlink" Target="https://www.sec.gov/Archives/edgar/data/1547903/000154790320000045/ex1038202010q.htm" TargetMode="External"/><Relationship Id="rId97"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2022-11-02T05:47:09Z</dcterms:created>
  <dcterms:modified xsi:type="dcterms:W3CDTF">2022-11-02T05:47:09Z</dcterms:modified>
</cp:coreProperties>
</file>