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2015</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May 1, 2015 was 58,686,375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19</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35</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35">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business practices of Fannie Mae and Freddie Mac (collectively, the GSEs), including adoption and implementation of the new Private Mortgage Insurer Eligibility Requirements (PMIERs) or decisions to decrease or discontinue the use of mortgage insurance;</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requirements imposed by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and potential market entry by new competitors;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laws and regulations, including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investment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more information regarding these risks and uncertainties as well as certain additional risks that we face, you should refer to the Risk Factors detailed in Part I, Item 1A of our Annual Report on Form 10-K for the year ended December 31, 2014, and in our subsequent quarterly and other reports, including Part I, Item 2,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and elsewhere in this report on Form 10-Q, including the exhibits hereto, filed from time to time with the U.S. Securities and Exchange Commission (SEC).</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March 31, 2015 and December 31, 2014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5">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Comprehensive Loss for the three months ended March 31,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three months ended March 31, 2015 and the year ended December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31, 2014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7">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9">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328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Fixed maturities, available-for-sale, at fair value (amortized cost of $365,674 and $337,718 as of March</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2015 and December 31, 2014,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66,420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1,707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2,985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461,739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311"/>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tax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58,519,558 and 58,428,548 shares issued and outstanding as of March 31, 2015 and December 31, 2014,</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564,915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562,911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(132,930)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461,739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1"/>
                <w:szCs w:val="21"/>
                <w:color w:val="auto"/>
              </w:rPr>
            </w:pPr>
          </w:p>
        </w:tc>
        <w:tc>
          <w:tcPr>
            <w:tcW w:w="316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(3,274)</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1,489</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from change in fair value of warrant liability</w:t>
            </w:r>
          </w:p>
        </w:tc>
        <w:tc>
          <w:tcPr>
            <w:tcW w:w="3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817</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4,247</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3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19,302</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(15,055)</w:t>
            </w:r>
          </w:p>
        </w:tc>
      </w:tr>
      <w:tr>
        <w:trPr>
          <w:trHeight w:val="318"/>
        </w:trPr>
        <w:tc>
          <w:tcPr>
            <w:tcW w:w="79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1"/>
              </w:rPr>
              <w:t>Net unrealized holding gains for the period included in accumulated other comprehensive loss, net of tax</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expense of $1,431, and $0 for the three months ended March 31, 2015 and 2014, respectively</w:t>
            </w:r>
          </w:p>
        </w:tc>
        <w:tc>
          <w:tcPr>
            <w:tcW w:w="36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3,035</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Reclassification adjustment for gains included in net loss, net of tax expense of $0, and $0 for the three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months ended March 31, 2015 and 2014,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3,035</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58,485,899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58,061,299</w:t>
            </w:r>
          </w:p>
        </w:tc>
      </w:tr>
      <w:tr>
        <w:trPr>
          <w:trHeight w:val="27"/>
        </w:trPr>
        <w:tc>
          <w:tcPr>
            <w:tcW w:w="7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CHANGES IN SHAREHOLDERS' EQUITY (UNAUDITED)</w:t>
      </w:r>
    </w:p>
    <w:p>
      <w:pPr>
        <w:sectPr>
          <w:pgSz w:w="11900" w:h="16838" w:orient="portrait"/>
          <w:cols w:equalWidth="0" w:num="1">
            <w:col w:w="11380"/>
          </w:cols>
          <w:pgMar w:left="28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Balances, January 1, 2014</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stock: class A shares issued under related to warrants</w:t>
      </w:r>
    </w:p>
    <w:p>
      <w:pPr>
        <w:spacing w:after="0" w:line="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$2,390</w:t>
      </w:r>
    </w:p>
    <w:p>
      <w:pPr>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2014</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Common stock: class A shares issued under stock plans, net of shares withheld from employee taxes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$1,431</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Balances, March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Paid-in Capital</w:t>
            </w:r>
          </w:p>
        </w:tc>
        <w:tc>
          <w:tcPr>
            <w:tcW w:w="2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Comprehensive Loss Accumulated Deficit</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7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581</w:t>
            </w:r>
          </w:p>
        </w:tc>
        <w:tc>
          <w:tcPr>
            <w:tcW w:w="10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553,707</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(84,024)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702"/>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9,180</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(48,906)</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584</w:t>
            </w:r>
          </w:p>
        </w:tc>
        <w:tc>
          <w:tcPr>
            <w:tcW w:w="10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562,911</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(3,607)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(132,930)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2,005</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2,059</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(7,820)</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585</w:t>
            </w:r>
          </w:p>
        </w:tc>
        <w:tc>
          <w:tcPr>
            <w:tcW w:w="10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564,915</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(140,750)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423,202</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-3060700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-2580640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-1963420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-1482725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40"/>
            <w:col w:w="8220"/>
          </w:cols>
          <w:pgMar w:left="280" w:top="125" w:right="239" w:bottom="1440" w:gutter="0" w:footer="0" w:header="0"/>
          <w:type w:val="continuous"/>
        </w:sectPr>
      </w:pPr>
    </w:p>
    <w:p>
      <w:pPr>
        <w:spacing w:after="0" w:line="6" w:lineRule="exact"/>
        <w:rPr>
          <w:sz w:val="20"/>
          <w:szCs w:val="20"/>
          <w:color w:val="auto"/>
        </w:rPr>
      </w:pPr>
    </w:p>
    <w:p>
      <w:pPr>
        <w:ind w:left="780" w:hanging="488"/>
        <w:spacing w:after="0" w:line="27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2014, we issued 1,115 common shares with a par value of $0.01 related to the exercise of warrants, which is not identifiable in this schedule due to rounding.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r>
      <w:tr>
        <w:trPr>
          <w:trHeight w:val="263"/>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r>
      <w:tr>
        <w:trPr>
          <w:trHeight w:val="237"/>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960" w:type="dxa"/>
            <w:vAlign w:val="bottom"/>
          </w:tcPr>
          <w:p>
            <w:pPr>
              <w:spacing w:after="0"/>
              <w:rPr>
                <w:sz w:val="20"/>
                <w:szCs w:val="20"/>
                <w:color w:val="auto"/>
              </w:rPr>
            </w:pPr>
          </w:p>
        </w:tc>
        <w:tc>
          <w:tcPr>
            <w:tcW w:w="1260" w:type="dxa"/>
            <w:vAlign w:val="bottom"/>
            <w:gridSpan w:val="3"/>
          </w:tcPr>
          <w:p>
            <w:pPr>
              <w:jc w:val="center"/>
              <w:ind w:left="55"/>
              <w:spacing w:after="0"/>
              <w:rPr>
                <w:sz w:val="20"/>
                <w:szCs w:val="20"/>
                <w:color w:val="auto"/>
              </w:rPr>
            </w:pPr>
            <w:r>
              <w:rPr>
                <w:rFonts w:ascii="Arial" w:cs="Arial" w:eastAsia="Arial" w:hAnsi="Arial"/>
                <w:sz w:val="14"/>
                <w:szCs w:val="14"/>
                <w:i w:val="1"/>
                <w:iCs w:val="1"/>
                <w:color w:val="auto"/>
                <w:w w:val="93"/>
              </w:rPr>
              <w:t>(In Thousands)</w:t>
            </w:r>
          </w:p>
        </w:tc>
        <w:tc>
          <w:tcPr>
            <w:tcW w:w="108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96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(7,820)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(15,055)</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Gain from change in fair value of warrant liability</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(817)</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from settlement of warrants</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Depreciation and other amortization</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1,099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1,952</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2,333</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Noncash intraperiod tax allocation</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210</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Prepaid expenses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policy acquisition costs, net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(887)</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Other assets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Unearned premiums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3,274</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(2,678)</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used in operating activities</w:t>
            </w:r>
          </w:p>
        </w:tc>
        <w:tc>
          <w:tcPr>
            <w:tcW w:w="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(7,542)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(11,991)</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8"/>
              </w:rPr>
              <w:t>(61,676)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33,935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718</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software and equipment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(1,664)</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(29,058)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r>
      <w:tr>
        <w:trPr>
          <w:trHeight w:val="233"/>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0"/>
        </w:trPr>
        <w:tc>
          <w:tcPr>
            <w:tcW w:w="8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ind w:left="40" w:right="1680"/>
        <w:spacing w:after="0" w:line="385" w:lineRule="auto"/>
        <w:rPr>
          <w:sz w:val="20"/>
          <w:szCs w:val="20"/>
          <w:color w:val="auto"/>
        </w:rPr>
      </w:pPr>
      <w:r>
        <w:rPr>
          <w:rFonts w:ascii="Arial" w:cs="Arial" w:eastAsia="Arial" w:hAnsi="Arial"/>
          <w:sz w:val="15"/>
          <w:szCs w:val="15"/>
          <w:color w:val="auto"/>
        </w:rPr>
        <w:t>Net decrease in cash and cash equivalents Cash and cash equivalents, beginning of period</w:t>
      </w:r>
    </w:p>
    <w:p>
      <w:pPr>
        <w:ind w:left="40"/>
        <w:spacing w:after="0"/>
        <w:rPr>
          <w:sz w:val="20"/>
          <w:szCs w:val="20"/>
          <w:color w:val="auto"/>
        </w:rPr>
      </w:pPr>
      <w:r>
        <w:rPr>
          <w:rFonts w:ascii="Arial" w:cs="Arial" w:eastAsia="Arial" w:hAnsi="Arial"/>
          <w:sz w:val="17"/>
          <w:szCs w:val="17"/>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(36,601)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(13,137)</w:t>
            </w:r>
          </w:p>
        </w:tc>
      </w:tr>
      <w:tr>
        <w:trPr>
          <w:trHeight w:val="270"/>
        </w:trPr>
        <w:tc>
          <w:tcPr>
            <w:tcW w:w="52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103,021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55,929</w:t>
            </w:r>
          </w:p>
        </w:tc>
      </w:tr>
      <w:tr>
        <w:trPr>
          <w:trHeight w:val="31"/>
        </w:trPr>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66,420</w:t>
            </w:r>
          </w:p>
        </w:tc>
        <w:tc>
          <w:tcPr>
            <w:tcW w:w="100" w:type="dxa"/>
            <w:vAlign w:val="bottom"/>
          </w:tcPr>
          <w:p>
            <w:pPr>
              <w:spacing w:after="0"/>
              <w:rPr>
                <w:sz w:val="19"/>
                <w:szCs w:val="19"/>
                <w:color w:val="auto"/>
              </w:rPr>
            </w:pP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42,792</w:t>
            </w:r>
          </w:p>
        </w:tc>
      </w:tr>
      <w:tr>
        <w:trPr>
          <w:trHeight w:val="31"/>
        </w:trPr>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4940" w:space="720"/>
            <w:col w:w="576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2013, NMIC, our primary insurance subsidiary, wrote our first mortgage insurance policy. As of March 31, 2015, we had $4.8 billion of primary insurance in force (IIF) and $4.6 billion of pool IIF, with $1.1 billion of primary risk-in-force (RIF) and $93.1 million of pool RIF.</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Freddie Mac and Fannie Mae each approved NMIC as an eligible mortgage insurer, on January 15, 2013 and January 16, 2013, respectively, which approvals are conditioned upon NMIC maintaining certain conditions (GSE Approval).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2014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2015.</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the three months ended March 31, 2015 and 2014, 7,137,901 shares and 6,159,735 shares, respectively, of our common stock equivalents issued under stock-based compensation arrangements and warrants, respectively, were not included in the calculation of diluted net loss per share as of such dates because they were anti-dilutive.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For each book year of business, these costs are amortized to expense in proportion to estimated gross profits over the estimated life of the policies. Total amortization of DAC for the three months ended March 31, 2015 and 2014 were $356 thousand and $19 thousand, respectively.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at each fiscal quarter using best estimate assumptions as of the testing date. Per Financial Accounting Standards Board (FASB)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three months ended March 31, 2015 or 2014.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The provisions of this update are effective for interim and annual periods beginning after December 15, 2016. The Company is currently evaluating the impact the adoption of this ASU will have on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86,605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86,593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198,125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200,128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68,936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365,674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367,947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56,440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337,718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March 31, 2015 and December 31, 2014,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19,662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180,613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181,103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79,706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81,044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16,802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68,936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365,674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367,947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195,492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194,472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337,718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Investment Gains (Losses) on Investments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realized gains and losses were $0.8 million and $0.2 million, respectively, for the three months ended March 31, 2015. There were no realized investment gains or losses for the three months ended March 31, 2014.</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March 31, 2015, the investment portfolio had gross unrealized losses of $0.6 million, $0.5 million of which has been in an unrealized loss position for a period of 12 months or greater. We did not consider these securities to be other-than-temporarily impaired as of March 31, 2015. We based our conclusion that these investments were not other-than-temporarily impaired at March 31, 2015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3,240</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24,234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126,140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30,661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2015, net investment income was comprised of $1.7 million of investment income from fixed maturities and $0.1 million of investment expenses, compared to $1.6 million of investment income from fixed maturities and $0.1 million of investment expenses for the three months ended March 31, 2014.</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and December 31, 2014, there were approximately $7.0 million of cash and investments in the form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of U.S. Treasury securities on deposit with various state insurance departments to satisfy regulatory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those assets and liabilities that are measured at fair value by hierarchy level: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March 31, 2015</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57,238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29,355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69,231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66,420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66,420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123,658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310,709</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434,367</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142,197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297,325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439,522</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00" w:type="dxa"/>
            <w:vAlign w:val="bottom"/>
            <w:gridSpan w:val="6"/>
          </w:tcPr>
          <w:p>
            <w:pPr>
              <w:ind w:left="660"/>
              <w:spacing w:after="0"/>
              <w:rPr>
                <w:sz w:val="20"/>
                <w:szCs w:val="20"/>
                <w:color w:val="auto"/>
              </w:rPr>
            </w:pPr>
            <w:r>
              <w:rPr>
                <w:rFonts w:ascii="Arial" w:cs="Arial" w:eastAsia="Arial" w:hAnsi="Arial"/>
                <w:sz w:val="18"/>
                <w:szCs w:val="18"/>
                <w:color w:val="auto"/>
                <w:w w:val="97"/>
              </w:rPr>
              <w:t>The following is a roll-forward of Level 3 liabilities measured at fair value: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3"/>
              </w:rPr>
              <w:t>Change in fair value of warrant liability included in earnings</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Gain on settlement of warrants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March 31, 2015, the assumptions used in the option pricing model were as follows: a common stock price as of March 31, 2015 of $7.49, risk free interest rate of 1.65%, expected life of 6.67 years, expected volatility of 34.4% and a dividend yield of 0%. The change in fair value is primarily attributable to a decline in the price of our common stock from December 31, 2014 to March 31, 2015.</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Reserves for Insurance Claims and Claims Expenses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estimated claims incurred on loans that have been in default for at least 60 days that have not yet been reported to us by the servicers, often referred to as IBNR. We did not establish reserves for insurance claims within our primary insurance book until the second quarter of 2014. In 2013, we entered into a pool insurance agreement with Fannie Mae. We only establish claim or IBNR reserves for pool risk if we expect claims to exceed the deductible under the pool agreement, which represents the amount of claims absorbed by Fannie Mae before we are obligated to pay any claims. At March 31, 2015, thirty-five loans in the pool were past due by sixty days or more. These thirty-five loans represent approximately $1.9 million in RIF. Due to the deductible of $10.3 million, the level of notices of default (NODs) reported through March 31, 2015 and the expected severity (all loans in the pool have LTVs under 80%), we have not established any pool reserves for claims or IBNR for the three months ended March 31, 2015 and 2014. We have not paid any claims to date.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insurance claims and claims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For the three months ended March 31,</w:t>
            </w:r>
          </w:p>
        </w:tc>
        <w:tc>
          <w:tcPr>
            <w:tcW w:w="42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40" w:type="dxa"/>
            <w:vAlign w:val="bottom"/>
            <w:gridSpan w:val="3"/>
          </w:tcPr>
          <w:p>
            <w:pPr>
              <w:jc w:val="right"/>
              <w:ind w:right="816"/>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beginning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324"/>
        </w:trPr>
        <w:tc>
          <w:tcPr>
            <w:tcW w:w="7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was a $24 thousand unfavorable prior year development during the three months ended March 31, 2015. Reserves remaining as of March 31, 2015 for prior years are $107 thousand as a result of re-estimation of unpaid claims and claim adjustment expenses. The increase in the period is generally the result of ongoing analysis of recent loss development trends. Original estimates are increased or decreased as additional information becomes known regarding individual claims.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2012, we issued 992,000 warrants with an aggregate fair value of $5.1 million upon the completion of a private placement of our securities and in conjunction with the acquisition of our insurance subsidiaries. Each warrant gives the holder thereof the right to purchase one share of common stock at an exercise price equal to $10.00.</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exercise of these warrants, the amounts are reclassified from warrant liability to additional paid-in capital. During the first quarter of 2014, 7,790 warrants were exercised and we issued 1,115 Class A common shares via a cashless exercise. Upon exercise we recognized a gain of approximately $37 thousand. No warrants were exercised during the first quarter of 2015.</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Based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option activity: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March 31, 2015</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14"/>
                <w:szCs w:val="14"/>
                <w:color w:val="auto"/>
              </w:rPr>
            </w:pPr>
          </w:p>
        </w:tc>
        <w:tc>
          <w:tcPr>
            <w:tcW w:w="150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2014</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Options outstanding at March 31, 2015</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March 31, 2014</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23"/>
                <w:szCs w:val="23"/>
                <w:color w:val="auto"/>
              </w:rPr>
            </w:pPr>
          </w:p>
        </w:tc>
        <w:tc>
          <w:tcPr>
            <w:tcW w:w="150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2013</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2014</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2015, there were no options exercised and 2.1 million options were fully vested and exercisable. The weighted average exercise price for the fully vested and exercisable options was $10.53. The remaining weighted average contractual life of options fully vested and exercisable as of March 31, 2015 was 7.5 years. The aggregate intrinsic value for fully vested and exercisable options was $0 as of March 31, 2015. The fair value of option grants to employees is determined based on a Black-Scholes simulation model at the date of grant.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restricted stock unit (RSU) activity: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March 31, 2015</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 and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March 31, 2015</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March 31, 2014</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 and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March 31, 2014</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March 31, 2015, the 1.8 million shares of non-vested RSUs consisted of 0.5 million shares that are subject to both a market and service condition and 1.3 million shares that are subject only to service conditions. The non-vested RSUs subject to both a market and service condition vest in one-half increments upon the achievement of certain market price goals and continued service.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Non-vested RSUs subject only to a service condition vest over a service period ranging from 1 to 3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 which is $0.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3.0% for the three months ended March 31, 2015, compared to 0.0% for the comparable 2014 period.</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income tax benefit of $0.2 million for the three months ended March 31, 2015 is related to the tax effects of unrealized gains credited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net unrealized gains credited directly to OCI during the three months ended March 31, 2015, approximately $1.4 million of tax provision expense has been netted with current year unrealized gains in OCI, and $0.2 million of tax provision benefit was allocated to the income tax provision for continuing operations. Other benefits from income taxes were eliminated or reduced by the recognition of a full valuation allowance which was recorded to reflect the amount of the deferred taxes that may not be realized.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Statutory Information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NMIC and Re One, are domiciled in the state of Wisconsin and file financial statements in conformity with statutory basis accounting principles (SAP) prescribed or permitted by the Wisconsin Office of the Commissioner of Insurance (Wisconsin OCI). NMIC and Re One's principal regulator is the Wisconsin OCI. Prescribed SAP includes state laws, regulations and general administrative rules, as well as a variety of publications of the National Association of Insurance Commissioners (NAIC). The Wisconsin OCI recognizes only SAP prescribed or permitted by the state of Wisconsin for determining and reporting the financial condition and results of operations of an insurance company and for determining its solvency under Wisconsin insurance laws.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states limit the amount of risk a mortgage insurer may retain on a single loan to 25% of the indebtedness to the insured and, as a result, the portion of such insurance in excess of 25% must be reinsured. NMIC cedes premiums, loss reserves and claims to Re One on an excess share basis for any primary or pool policy which offers coverage greater than 25% on any loan insured thereunder solely for purposes of compliance with these state statutory coverage limits. Currently, NMIC has no other reinsurance agreements.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loss, statutory surplus and contingency reserve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 of and for the three months ended March 31, 2015 and as of and for the year ended December 31, 2014</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240" w:type="dxa"/>
            <w:vAlign w:val="bottom"/>
          </w:tcPr>
          <w:p>
            <w:pPr>
              <w:spacing w:after="0"/>
              <w:rPr>
                <w:sz w:val="21"/>
                <w:szCs w:val="21"/>
                <w:color w:val="auto"/>
              </w:rPr>
            </w:pPr>
          </w:p>
        </w:tc>
        <w:tc>
          <w:tcPr>
            <w:tcW w:w="1520" w:type="dxa"/>
            <w:vAlign w:val="bottom"/>
          </w:tcPr>
          <w:p>
            <w:pPr>
              <w:jc w:val="right"/>
              <w:ind w:right="77"/>
              <w:spacing w:after="0"/>
              <w:rPr>
                <w:sz w:val="20"/>
                <w:szCs w:val="20"/>
                <w:color w:val="auto"/>
              </w:rPr>
            </w:pPr>
            <w:r>
              <w:rPr>
                <w:rFonts w:ascii="Arial" w:cs="Arial" w:eastAsia="Arial" w:hAnsi="Arial"/>
                <w:sz w:val="18"/>
                <w:szCs w:val="18"/>
                <w:color w:val="auto"/>
              </w:rPr>
              <w:t>224,604</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236,738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12,869</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9,401</w:t>
            </w:r>
          </w:p>
        </w:tc>
      </w:tr>
      <w:tr>
        <w:trPr>
          <w:trHeight w:val="27"/>
        </w:trPr>
        <w:tc>
          <w:tcPr>
            <w:tcW w:w="7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NMIC is licensed in all 50 states and D.C. Under applicable Wisconsin law and 15 other states, a mortgage insurer must maintain a minimum amount of statutory capital relative to its risk-in-force (risk-to-capital ratio or RTC ratio) to continue to write new business. While formulas for minimum capital may vary among jurisdictions, the most common measure applied allows for a maximum permitted RTC ratio of 25 to 1. Our operation plan filed with the Wisconsin OCI and other state insurance departments in connection with NMIC's applications for licensure includes the expectation that NMIH will downstream additional capital if needed so that NMIC does not exceed RTC ratios agreed to with those states. In addition, under the terms of our conditional approvals from the GSEs, we are required to operate at a risk-to-capital ratio not to exceed 15 to 1 for our first three years of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2015, NMIC had $1.1 billion in total RIF with a RTC ratio of 5:1, significantly below the GSE and state imposed financial requirements. As of March 31, 2014, NMIC had $175.2 million of RIF, resulting in a RTC ratio of 0.9:1. The risk-to-capital calculation for each of our insurance subsidiaries, as well as our combined risk-to-capital calculation, is presented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March 31, 2015</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Re One</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60" w:type="dxa"/>
            <w:vAlign w:val="bottom"/>
            <w:gridSpan w:val="3"/>
          </w:tcPr>
          <w:p>
            <w:pPr>
              <w:ind w:left="40"/>
              <w:spacing w:after="0" w:line="282" w:lineRule="exact"/>
              <w:rPr>
                <w:sz w:val="20"/>
                <w:szCs w:val="20"/>
                <w:color w:val="auto"/>
              </w:rPr>
            </w:pPr>
            <w:r>
              <w:rPr>
                <w:rFonts w:ascii="Arial" w:cs="Arial" w:eastAsia="Arial" w:hAnsi="Arial"/>
                <w:sz w:val="18"/>
                <w:szCs w:val="18"/>
                <w:color w:val="auto"/>
              </w:rPr>
              <w:t xml:space="preserve">Primary risk-in-force </w:t>
            </w:r>
            <w:r>
              <w:rPr>
                <w:rFonts w:ascii="Arial" w:cs="Arial" w:eastAsia="Arial" w:hAnsi="Arial"/>
                <w:sz w:val="25"/>
                <w:szCs w:val="25"/>
                <w:color w:val="auto"/>
                <w:vertAlign w:val="superscript"/>
              </w:rPr>
              <w:t>(1)</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1,145,252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98,680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98,680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(98,680)</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primary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1,046,572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98,680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1,145,252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Pool risk-in-force</w:t>
            </w:r>
          </w:p>
        </w:tc>
        <w:tc>
          <w:tcPr>
            <w:tcW w:w="4700" w:type="dxa"/>
            <w:vAlign w:val="bottom"/>
            <w:shd w:val="clear" w:color="auto" w:fill="CCEEFF"/>
          </w:tcPr>
          <w:p>
            <w:pPr>
              <w:jc w:val="right"/>
              <w:ind w:right="4497"/>
              <w:spacing w:after="0"/>
              <w:rPr>
                <w:sz w:val="20"/>
                <w:szCs w:val="20"/>
                <w:color w:val="auto"/>
              </w:rPr>
            </w:pPr>
            <w:r>
              <w:rPr>
                <w:rFonts w:ascii="Arial" w:cs="Arial" w:eastAsia="Arial" w:hAnsi="Arial"/>
                <w:sz w:val="13"/>
                <w:szCs w:val="13"/>
                <w:color w:val="auto"/>
                <w:w w:val="75"/>
                <w:shd w:val="clear" w:color="auto" w:fill="CCEEFF"/>
              </w:rPr>
              <w:t>(2)</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47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3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pool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risk-in-force</w:t>
            </w:r>
          </w:p>
        </w:tc>
        <w:tc>
          <w:tcPr>
            <w:tcW w:w="4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1,114,957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123,385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1,238,342</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Statutory policyholders' surplus</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211,130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13,474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224,604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statutory policyholders' position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222,346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237,473</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Risk-to-Capital </w:t>
            </w:r>
            <w:r>
              <w:rPr>
                <w:rFonts w:ascii="Arial" w:cs="Arial" w:eastAsia="Arial" w:hAnsi="Arial"/>
                <w:sz w:val="25"/>
                <w:szCs w:val="25"/>
                <w:color w:val="auto"/>
                <w:vertAlign w:val="superscript"/>
              </w:rPr>
              <w:t>(3)</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Primary RIF excludes risk on policies that are currently in default and for which loss reserves have been established.</w:t>
      </w:r>
    </w:p>
    <w:p>
      <w:pPr>
        <w:spacing w:after="0" w:line="50" w:lineRule="exact"/>
        <w:rPr>
          <w:rFonts w:ascii="Arial" w:cs="Arial" w:eastAsia="Arial" w:hAnsi="Arial"/>
          <w:sz w:val="22"/>
          <w:szCs w:val="22"/>
          <w:color w:val="auto"/>
          <w:vertAlign w:val="superscript"/>
        </w:rPr>
      </w:pPr>
    </w:p>
    <w:p>
      <w:pPr>
        <w:ind w:left="820" w:hanging="488"/>
        <w:spacing w:after="0" w:line="182" w:lineRule="auto"/>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Pool RIF as shown in the table above is equal to the aggregate stop loss less a deductible.</w:t>
      </w:r>
    </w:p>
    <w:p>
      <w:pPr>
        <w:spacing w:after="0" w:line="51" w:lineRule="exact"/>
        <w:rPr>
          <w:rFonts w:ascii="Arial" w:cs="Arial" w:eastAsia="Arial" w:hAnsi="Arial"/>
          <w:sz w:val="22"/>
          <w:szCs w:val="22"/>
          <w:color w:val="auto"/>
          <w:vertAlign w:val="superscript"/>
        </w:rPr>
      </w:pPr>
    </w:p>
    <w:p>
      <w:pPr>
        <w:ind w:left="820" w:hanging="488"/>
        <w:spacing w:after="0" w:line="209" w:lineRule="auto"/>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Represents total RIF divided by statutory policyholders' position which is the metric by which the majority of state insurance regulators will assess our capital adequacy.</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2014, NMIH's shareholders' equity was approximately $427 million. NMIH's total assets, excluding its investment in NMIC and Re One, were approximately $179 million at December 31, 2014, and were unencumbered by any debt or other subsidiary commitments or obligations. The insurance subsidiaries are both mono-line mortgage insurance companies and the assets of each are dedicated only to the support of direct risk and obligations of each mortgage insurance entity. NMIC only writes direct mortgage insurance business and assumes no business from any other entity. Re One only assumes business from NMIC to allow NMIC to comply with state statutory risk requirements. Neither NMIC nor Re One have subsidiaries, and therefore do not have subsidiary risks and obligations that compete for its resources.</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GSEs and state insurance regulators may restrict our insurance subsidiaries' ability to pay dividends to NMIH. In addition to the restrictions imposed during the GSE Approval and state licensing processes, the ability of our insurance subsidiaries to pay dividends to NMIH is limited by insurance laws of the State of Wisconsin and certain other states. Wisconsin law provides that an insurance company may pay out dividends without the prior approval of the Wisconsin OCI (ordinary dividends) in an amount, when added to other shareholder distributions made in the prior 12 months, not to exceed the lesser of (a) 10% of the insurer's policyholders' surplus as of the prior December 31 or (b) its net income (excluding realized capital gains) for the 12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As of December 31, 2014, the amount of restricted net assets held by our consolidated insurance subsidiaries totaled approximately $252 million of NMIH's consolidated net assets of $427 million. The amount of restricted assets used to determine any dividend to NMIH, once all restrictions expire, would be computed under SAP which may differ from the amount of restricted assets computed under GAAP. Since inception, NMIC has not paid any dividends to NMIH. As NMIC had a statutory net loss for the year ended December 31, 2014, NMIC cannot pay 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1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dividends to NMIH through December 31, 2015, without the prior approval of the Wisconsin OCI. Additionally, NMIC will not be permitted to pay dividends to NMIH until after December 31, 2015 as a condition of GSE Approval or until January 2016 under agreements with various state insurance regulators.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Annual Report on Form 10-K for the year ended December 31, 2014, for a more complete understanding of our financial position and results of operations. In addition, investors should review the "Cautionary Note Regarding Forward-Looking Statements" above and the "Risk Factors" detailed in Item 1A of Part I of our Annual Report on Form 10-K for the year ended December 31, 2014,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the full year or for any other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provide MI through our subsidiaries. Our primary insurance subsidiary, NMIC, is a qualified MI provider on loans purchased by the GSEs and is licensed in all 50 states and D.C. to issue mortgage insurance. Our reinsurance subsidiary, Re One, solely provides reinsurance to NMIC on certain loans insured by NMIC, as described in </w:t>
      </w:r>
      <w:r>
        <w:rPr>
          <w:rFonts w:ascii="Arial" w:cs="Arial" w:eastAsia="Arial" w:hAnsi="Arial"/>
          <w:sz w:val="17"/>
          <w:szCs w:val="17"/>
          <w:i w:val="1"/>
          <w:iCs w:val="1"/>
          <w:color w:val="auto"/>
        </w:rPr>
        <w:t>Note 8, Statutory Information</w:t>
      </w:r>
      <w:r>
        <w:rPr>
          <w:rFonts w:ascii="Arial" w:cs="Arial" w:eastAsia="Arial" w:hAnsi="Arial"/>
          <w:sz w:val="17"/>
          <w:szCs w:val="17"/>
          <w:color w:val="auto"/>
        </w:rPr>
        <w:t>, above. Our stock trades on the NASDAQ under the symbol "NMIH."</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become a leading national MI company with our principal focus on writing insurance on high quality, low down payment residential mortgages in the U.S.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fully operational MI company, with $4.8 billion of primary IIF and $4.6 billion of pool IIF as of March 31, 2015, compared to $3.4 billion of primary IIF and $4.7 billion of pool IIF as of December 31, 2014. As of March 31, 2015, the Company had primary RIF of $1.1 billion compared to primary RIF of $801.6 million as of December 31, 2014. Pool RIF was $93.1 million as of March 31, 2015 and December 31, 2014.</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sales and marketing strategy is focused on attracting as customers mortgage originators in the U.S. and increasing market share from existing customers. Our customers fall into two distinct categories, which we refer to as "National Accounts" and "Regional Accounts." Since we started MI operations in April 2013, we have significantly increased our customer base, and we expect to continue to acquire new National and Regional Account customers. We had 777 master policy holders as of March 31, 2015, compared to 436 as of March 31, 2014. Of those master policy holders, 291 or 37.5% were generating NIW in the first quarter of 2015, compared to 35 or 8.0%, generating NIW in the first quarter of 2014.</w:t>
      </w:r>
    </w:p>
    <w:p>
      <w:pPr>
        <w:spacing w:after="0" w:line="119"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Our ability to make progress attaining and retaining customers is primarily dependent on maintaining approved status and relationships with National Accounts who purchase loans from Regional Accounts. Retaining these approvals as an authorized MI provider enables Regional Accounts to sell loans with insurance from us to those National Accounts through their correspondent channels. Consequently, these relationships are critical to continuing to grow our business with Regional Accounts.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Risk in Force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Primary insurance may be written on a flow basis, in which loans are insured in individual, loan-by-loan transactions, or may be written on a non-flow (aggregated) basis, in which each loan in a portfolio of loans is individually insured in a single transaction. MI may also be written in a pool policy, where a group of loans (or pool) are insured under a single contract. Pool insurance may have a stated aggregate loss limit for a pool of loans and may also have a deductible under which no losses are paid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by the insurer until losses on the pool of loans exceed the deductible. In our industry, a "book" is a group of loans that an MI company insures in a particular period, normally a calendar year.</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utilize certain risk principles that form the basis of how we underwrite and originate primary new insurance written (NIW). We manage our portfolio credit risk by using several loan eligibility matrices which prescribe the maximum loan-to-value (LTV) ratio,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monitor the concentrations of the various risk attributes in our insurance portfolio. Our primary IIF and RIF, as of March 31, 2015, were made up of approximately 63% and 62%, respectively, of loans to borrowers who had credit scores at or above 740. Generally, insuring loans made to borrowers with higher credit scores tends to result in a lower frequency of claims. Additionally, as of March 31, 2015, we believe our insurance portfolio is comprised of loans that are full documentation loans, and approximately 1% of our RIF is on loans above 95% LTV.</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primary NIW, IIF, RIF, policies in force, the weighted average coverage and loans in default, by quarter, for the last five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6"/>
              </w:rPr>
              <w:t>As of and for the Quarter Ended</w:t>
            </w:r>
          </w:p>
        </w:tc>
        <w:tc>
          <w:tcPr>
            <w:tcW w:w="1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2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December 31, 2014</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September 30, 2014</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right"/>
              <w:ind w:right="54"/>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1,696,142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1,692,187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974,910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429,944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354,313</w:t>
            </w:r>
          </w:p>
        </w:tc>
      </w:tr>
      <w:tr>
        <w:trPr>
          <w:trHeight w:val="270"/>
        </w:trPr>
        <w:tc>
          <w:tcPr>
            <w:tcW w:w="25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4,835,248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3,369,664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1,812,956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939,753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514,796</w:t>
            </w:r>
          </w:p>
        </w:tc>
      </w:tr>
      <w:tr>
        <w:trPr>
          <w:trHeight w:val="270"/>
        </w:trPr>
        <w:tc>
          <w:tcPr>
            <w:tcW w:w="25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1,145,602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801,561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435,722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220,949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115,467</w:t>
            </w:r>
          </w:p>
        </w:tc>
      </w:tr>
      <w:tr>
        <w:trPr>
          <w:trHeight w:val="270"/>
        </w:trPr>
        <w:tc>
          <w:tcPr>
            <w:tcW w:w="25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Policies in force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21,225</w:t>
            </w:r>
          </w:p>
        </w:tc>
        <w:tc>
          <w:tcPr>
            <w:tcW w:w="240" w:type="dxa"/>
            <w:vAlign w:val="bottom"/>
          </w:tcPr>
          <w:p>
            <w:pPr>
              <w:spacing w:after="0"/>
              <w:rPr>
                <w:sz w:val="23"/>
                <w:szCs w:val="23"/>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14,603</w:t>
            </w:r>
          </w:p>
        </w:tc>
        <w:tc>
          <w:tcPr>
            <w:tcW w:w="280" w:type="dxa"/>
            <w:vAlign w:val="bottom"/>
          </w:tcPr>
          <w:p>
            <w:pPr>
              <w:spacing w:after="0"/>
              <w:rPr>
                <w:sz w:val="23"/>
                <w:szCs w:val="23"/>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7,628</w:t>
            </w:r>
          </w:p>
        </w:tc>
        <w:tc>
          <w:tcPr>
            <w:tcW w:w="340" w:type="dxa"/>
            <w:vAlign w:val="bottom"/>
          </w:tcPr>
          <w:p>
            <w:pPr>
              <w:spacing w:after="0"/>
              <w:rPr>
                <w:sz w:val="23"/>
                <w:szCs w:val="23"/>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3,865</w:t>
            </w:r>
          </w:p>
        </w:tc>
        <w:tc>
          <w:tcPr>
            <w:tcW w:w="30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2,072</w:t>
            </w:r>
          </w:p>
        </w:tc>
      </w:tr>
      <w:tr>
        <w:trPr>
          <w:trHeight w:val="270"/>
        </w:trPr>
        <w:tc>
          <w:tcPr>
            <w:tcW w:w="25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88"/>
              </w:rPr>
              <w:t xml:space="preserve">Weighted average coverage </w:t>
            </w:r>
            <w:r>
              <w:rPr>
                <w:rFonts w:ascii="Arial" w:cs="Arial" w:eastAsia="Arial" w:hAnsi="Arial"/>
                <w:sz w:val="25"/>
                <w:szCs w:val="25"/>
                <w:color w:val="auto"/>
                <w:w w:val="88"/>
                <w:vertAlign w:val="superscript"/>
              </w:rPr>
              <w:t>(2)</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22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2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Risk in force on defaulted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table below shows primary and pool IIF, NIW and premiums written and earned.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597"/>
              <w:spacing w:after="0"/>
              <w:rPr>
                <w:sz w:val="20"/>
                <w:szCs w:val="20"/>
                <w:color w:val="auto"/>
              </w:rPr>
            </w:pPr>
            <w:r>
              <w:rPr>
                <w:rFonts w:ascii="Arial" w:cs="Arial" w:eastAsia="Arial" w:hAnsi="Arial"/>
                <w:sz w:val="14"/>
                <w:szCs w:val="14"/>
                <w:b w:val="1"/>
                <w:bCs w:val="1"/>
                <w:color w:val="auto"/>
                <w:w w:val="98"/>
              </w:rPr>
              <w:t>As of and for the quarter ended</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 2015</w:t>
            </w: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47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IIF</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IIF</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NIW</w:t>
            </w:r>
          </w:p>
        </w:tc>
      </w:tr>
      <w:tr>
        <w:trPr>
          <w:trHeight w:val="250"/>
        </w:trPr>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60" w:type="dxa"/>
            <w:vAlign w:val="bottom"/>
            <w:gridSpan w:val="6"/>
          </w:tcPr>
          <w:p>
            <w:pPr>
              <w:jc w:val="right"/>
              <w:ind w:right="1137"/>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2,258,776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918,697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1,400,893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735,559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Single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680,880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235,517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454,691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200,108</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1,895,592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541,928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1,514,080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756,520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primary</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4,835,248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1,696,142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3,369,664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1,692,187</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9"/>
        </w:trPr>
        <w:tc>
          <w:tcPr>
            <w:tcW w:w="4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Pool</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4,621,346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4,721,674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9,456,594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1,696,142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8,091,338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1,692,187</w:t>
            </w:r>
          </w:p>
        </w:tc>
      </w:tr>
      <w:tr>
        <w:trPr>
          <w:trHeight w:val="20"/>
        </w:trPr>
        <w:tc>
          <w:tcPr>
            <w:tcW w:w="4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19"/>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For the quarter ended</w:t>
            </w:r>
          </w:p>
        </w:tc>
      </w:tr>
      <w:tr>
        <w:trPr>
          <w:trHeight w:val="264"/>
        </w:trPr>
        <w:tc>
          <w:tcPr>
            <w:tcW w:w="4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12,921</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7"/>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5,510</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Monthly and flow single NIW increased 25% and 18%, respectively, over the fourth quarter of 2014. Aggregated single NIW declined 28% from the fourth quarter of 2014 and represented 32% of total NIW in the first quarter of 2015, down from 45% of total NIW in the fourth quarter of 2014. We intend to continue to focus our sales efforts on expanding market share in our primary flow business and expect aggregated single NIW as a percentage of total NIW to continue to decline.</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Premiums written decreased to $12.9 million for the quarter ended March 31, 2015 from $14.1 million for the quarter ended December 31, 2014 as a result of the decrease in aggregated single NIW. Premiums earned increased to $6.9 million for the quarter ended March 31, 2015 from $5.5 million for the quarter ended December 31, 2014 as a result of higher monthly NIW, the continued growth of our IIF and higher cancellations of single premium policies in the first quarter of 2015. We earned $1.4 million from cancellations of single premium policies for the quarter ended March 31, 2015, compared to $1.1 million for the quarter ended December 31, 2014. The increase in cancellations reflects an active refinance market driven by continued low interest rates.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tables below show the weighted average FICO and the weighted average LTV, by policy type, for the quarter in which the policy was originated.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ind w:left="40"/>
              <w:spacing w:after="0"/>
              <w:rPr>
                <w:sz w:val="20"/>
                <w:szCs w:val="20"/>
                <w:color w:val="auto"/>
              </w:rPr>
            </w:pPr>
            <w:r>
              <w:rPr>
                <w:rFonts w:ascii="Arial" w:cs="Arial" w:eastAsia="Arial" w:hAnsi="Arial"/>
                <w:sz w:val="14"/>
                <w:szCs w:val="14"/>
                <w:b w:val="1"/>
                <w:bCs w:val="1"/>
                <w:color w:val="auto"/>
              </w:rPr>
              <w:t>Weighted Average FICO</w:t>
            </w: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358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CCEEFF"/>
            </w:tcBorders>
            <w:gridSpan w:val="2"/>
          </w:tcPr>
          <w:p>
            <w:pPr>
              <w:spacing w:after="0"/>
              <w:rPr>
                <w:sz w:val="24"/>
                <w:szCs w:val="2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Single</w:t>
            </w:r>
          </w:p>
        </w:tc>
        <w:tc>
          <w:tcPr>
            <w:tcW w:w="4200" w:type="dxa"/>
            <w:vAlign w:val="bottom"/>
            <w:gridSpan w:val="4"/>
          </w:tcPr>
          <w:p>
            <w:pPr>
              <w:jc w:val="right"/>
              <w:ind w:right="120"/>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759</w:t>
            </w:r>
          </w:p>
        </w:tc>
      </w:tr>
      <w:tr>
        <w:trPr>
          <w:trHeight w:val="420"/>
        </w:trPr>
        <w:tc>
          <w:tcPr>
            <w:tcW w:w="3580" w:type="dxa"/>
            <w:vAlign w:val="bottom"/>
          </w:tcPr>
          <w:p>
            <w:pPr>
              <w:ind w:left="40"/>
              <w:spacing w:after="0"/>
              <w:rPr>
                <w:sz w:val="20"/>
                <w:szCs w:val="20"/>
                <w:color w:val="auto"/>
              </w:rPr>
            </w:pPr>
            <w:r>
              <w:rPr>
                <w:rFonts w:ascii="Arial" w:cs="Arial" w:eastAsia="Arial" w:hAnsi="Arial"/>
                <w:sz w:val="14"/>
                <w:szCs w:val="14"/>
                <w:b w:val="1"/>
                <w:bCs w:val="1"/>
                <w:color w:val="auto"/>
              </w:rPr>
              <w:t>Weighted Average LTV</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358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080" w:type="dxa"/>
            <w:vAlign w:val="bottom"/>
            <w:tcBorders>
              <w:bottom w:val="single" w:sz="8" w:color="CCEEFF"/>
            </w:tcBorders>
            <w:gridSpan w:val="3"/>
            <w:shd w:val="clear" w:color="auto" w:fill="CCEEFF"/>
          </w:tcPr>
          <w:p>
            <w:pPr>
              <w:ind w:left="3720"/>
              <w:spacing w:after="0"/>
              <w:rPr>
                <w:sz w:val="20"/>
                <w:szCs w:val="20"/>
                <w:color w:val="auto"/>
              </w:rPr>
            </w:pPr>
            <w:r>
              <w:rPr>
                <w:rFonts w:ascii="Arial" w:cs="Arial" w:eastAsia="Arial" w:hAnsi="Arial"/>
                <w:sz w:val="18"/>
                <w:szCs w:val="18"/>
                <w:color w:val="auto"/>
                <w:w w:val="94"/>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4"/>
              </w:rPr>
              <w:t>92%</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Single</w:t>
            </w:r>
          </w:p>
        </w:tc>
        <w:tc>
          <w:tcPr>
            <w:tcW w:w="4080" w:type="dxa"/>
            <w:vAlign w:val="bottom"/>
            <w:gridSpan w:val="3"/>
          </w:tcPr>
          <w:p>
            <w:pPr>
              <w:ind w:left="37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ind w:left="1340"/>
              <w:spacing w:after="0"/>
              <w:rPr>
                <w:sz w:val="20"/>
                <w:szCs w:val="20"/>
                <w:color w:val="auto"/>
              </w:rPr>
            </w:pPr>
            <w:r>
              <w:rPr>
                <w:rFonts w:ascii="Arial" w:cs="Arial" w:eastAsia="Arial" w:hAnsi="Arial"/>
                <w:sz w:val="18"/>
                <w:szCs w:val="18"/>
                <w:color w:val="auto"/>
              </w:rPr>
              <w:t>89</w:t>
            </w:r>
          </w:p>
        </w:tc>
      </w:tr>
      <w:tr>
        <w:trPr>
          <w:trHeight w:val="648"/>
        </w:trPr>
        <w:tc>
          <w:tcPr>
            <w:tcW w:w="3580" w:type="dxa"/>
            <w:vAlign w:val="bottom"/>
          </w:tcPr>
          <w:p>
            <w:pPr>
              <w:spacing w:after="0"/>
              <w:rPr>
                <w:sz w:val="24"/>
                <w:szCs w:val="24"/>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ind w:left="3400"/>
        <w:spacing w:after="0"/>
        <w:rPr>
          <w:sz w:val="20"/>
          <w:szCs w:val="20"/>
          <w:color w:val="auto"/>
        </w:rPr>
      </w:pPr>
      <w:r>
        <w:rPr>
          <w:rFonts w:ascii="Arial" w:cs="Arial" w:eastAsia="Arial" w:hAnsi="Arial"/>
          <w:sz w:val="18"/>
          <w:szCs w:val="18"/>
          <w:color w:val="auto"/>
        </w:rPr>
        <w:t>The table below reflects our total primary and pool IIF and RIF by FICO.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As of March 31, 2015</w:t>
            </w:r>
          </w:p>
        </w:tc>
        <w:tc>
          <w:tcPr>
            <w:tcW w:w="1420" w:type="dxa"/>
            <w:vAlign w:val="bottom"/>
            <w:tcBorders>
              <w:bottom w:val="single" w:sz="8" w:color="auto"/>
            </w:tcBorders>
          </w:tcPr>
          <w:p>
            <w:pPr>
              <w:spacing w:after="0"/>
              <w:rPr>
                <w:sz w:val="16"/>
                <w:szCs w:val="16"/>
                <w:color w:val="auto"/>
              </w:rPr>
            </w:pPr>
          </w:p>
        </w:tc>
      </w:tr>
      <w:tr>
        <w:trPr>
          <w:trHeight w:val="264"/>
        </w:trPr>
        <w:tc>
          <w:tcPr>
            <w:tcW w:w="6260" w:type="dxa"/>
            <w:vAlign w:val="bottom"/>
          </w:tcPr>
          <w:p>
            <w:pPr>
              <w:ind w:left="40"/>
              <w:spacing w:after="0"/>
              <w:rPr>
                <w:sz w:val="20"/>
                <w:szCs w:val="20"/>
                <w:color w:val="auto"/>
              </w:rPr>
            </w:pPr>
            <w:r>
              <w:rPr>
                <w:rFonts w:ascii="Arial" w:cs="Arial" w:eastAsia="Arial" w:hAnsi="Arial"/>
                <w:sz w:val="14"/>
                <w:szCs w:val="14"/>
                <w:b w:val="1"/>
                <w:bCs w:val="1"/>
                <w:color w:val="auto"/>
              </w:rPr>
              <w:t>Total Portfolio</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IIF</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73"/>
              <w:spacing w:after="0"/>
              <w:rPr>
                <w:sz w:val="20"/>
                <w:szCs w:val="20"/>
                <w:color w:val="auto"/>
              </w:rPr>
            </w:pPr>
            <w:r>
              <w:rPr>
                <w:rFonts w:ascii="Arial" w:cs="Arial" w:eastAsia="Arial" w:hAnsi="Arial"/>
                <w:sz w:val="14"/>
                <w:szCs w:val="14"/>
                <w:b w:val="1"/>
                <w:bCs w:val="1"/>
                <w:color w:val="auto"/>
              </w:rPr>
              <w:t>RIF</w:t>
            </w:r>
          </w:p>
        </w:tc>
      </w:tr>
      <w:tr>
        <w:trPr>
          <w:trHeight w:val="250"/>
        </w:trPr>
        <w:tc>
          <w:tcPr>
            <w:tcW w:w="6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4"/>
                <w:szCs w:val="14"/>
                <w:i w:val="1"/>
                <w:iCs w:val="1"/>
                <w:color w:val="auto"/>
              </w:rPr>
              <w:t>(Dollars in Thousands)</w:t>
            </w:r>
          </w:p>
        </w:tc>
        <w:tc>
          <w:tcPr>
            <w:tcW w:w="1420" w:type="dxa"/>
            <w:vAlign w:val="bottom"/>
          </w:tcPr>
          <w:p>
            <w:pPr>
              <w:spacing w:after="0"/>
              <w:rPr>
                <w:sz w:val="21"/>
                <w:szCs w:val="21"/>
                <w:color w:val="auto"/>
              </w:rPr>
            </w:pPr>
          </w:p>
        </w:tc>
      </w:tr>
      <w:tr>
        <w:trPr>
          <w:trHeight w:val="256"/>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6,802,681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787,381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Pr>
          <w:p>
            <w:pPr>
              <w:spacing w:after="0"/>
              <w:rPr>
                <w:sz w:val="21"/>
                <w:szCs w:val="21"/>
                <w:color w:val="auto"/>
              </w:rPr>
            </w:pPr>
          </w:p>
        </w:tc>
        <w:tc>
          <w:tcPr>
            <w:tcW w:w="1340" w:type="dxa"/>
            <w:vAlign w:val="bottom"/>
          </w:tcPr>
          <w:p>
            <w:pPr>
              <w:jc w:val="right"/>
              <w:ind w:right="393"/>
              <w:spacing w:after="0"/>
              <w:rPr>
                <w:sz w:val="20"/>
                <w:szCs w:val="20"/>
                <w:color w:val="auto"/>
              </w:rPr>
            </w:pPr>
            <w:r>
              <w:rPr>
                <w:rFonts w:ascii="Arial" w:cs="Arial" w:eastAsia="Arial" w:hAnsi="Arial"/>
                <w:sz w:val="18"/>
                <w:szCs w:val="18"/>
                <w:color w:val="auto"/>
              </w:rPr>
              <w:t>2,333,269</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403,299</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32.6</w:t>
            </w: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320,644</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Pr>
          <w:p>
            <w:pPr>
              <w:spacing w:after="0"/>
              <w:rPr>
                <w:sz w:val="21"/>
                <w:szCs w:val="21"/>
                <w:color w:val="auto"/>
              </w:rPr>
            </w:pPr>
          </w:p>
        </w:tc>
        <w:tc>
          <w:tcPr>
            <w:tcW w:w="134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9,456,594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1,238,692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primary NIW, IIF and RIF by FICO by book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Year to date March 31, 2015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320" w:type="dxa"/>
            <w:vAlign w:val="bottom"/>
            <w:gridSpan w:val="5"/>
          </w:tcPr>
          <w:p>
            <w:pPr>
              <w:jc w:val="right"/>
              <w:ind w:right="933"/>
              <w:spacing w:after="0"/>
              <w:rPr>
                <w:sz w:val="20"/>
                <w:szCs w:val="20"/>
                <w:color w:val="auto"/>
              </w:rPr>
            </w:pPr>
            <w:r>
              <w:rPr>
                <w:rFonts w:ascii="Arial" w:cs="Arial" w:eastAsia="Arial" w:hAnsi="Arial"/>
                <w:sz w:val="14"/>
                <w:szCs w:val="14"/>
                <w:b w:val="1"/>
                <w:bCs w:val="1"/>
                <w:color w:val="auto"/>
                <w:w w:val="92"/>
              </w:rPr>
              <w:t>As of March 31, 2015</w:t>
            </w:r>
          </w:p>
        </w:tc>
        <w:tc>
          <w:tcPr>
            <w:tcW w:w="82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Primary - 2015 Book</w:t>
            </w:r>
          </w:p>
        </w:tc>
        <w:tc>
          <w:tcPr>
            <w:tcW w:w="3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rPr>
              <w:t>NIW</w:t>
            </w:r>
          </w:p>
        </w:tc>
        <w:tc>
          <w:tcPr>
            <w:tcW w:w="7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RIF</w:t>
            </w:r>
          </w:p>
        </w:tc>
        <w:tc>
          <w:tcPr>
            <w:tcW w:w="820" w:type="dxa"/>
            <w:vAlign w:val="bottom"/>
            <w:tcBorders>
              <w:top w:val="single" w:sz="8" w:color="auto"/>
              <w:bottom w:val="single" w:sz="8" w:color="auto"/>
            </w:tcBorders>
          </w:tcPr>
          <w:p>
            <w:pPr>
              <w:spacing w:after="0"/>
              <w:rPr>
                <w:sz w:val="22"/>
                <w:szCs w:val="22"/>
                <w:color w:val="auto"/>
              </w:rPr>
            </w:pPr>
          </w:p>
        </w:tc>
      </w:tr>
      <w:tr>
        <w:trPr>
          <w:trHeight w:val="250"/>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555"/>
              <w:spacing w:after="0"/>
              <w:rPr>
                <w:sz w:val="20"/>
                <w:szCs w:val="20"/>
                <w:color w:val="auto"/>
              </w:rPr>
            </w:pPr>
            <w:r>
              <w:rPr>
                <w:rFonts w:ascii="Arial" w:cs="Arial" w:eastAsia="Arial" w:hAnsi="Arial"/>
                <w:sz w:val="18"/>
                <w:szCs w:val="18"/>
                <w:color w:val="auto"/>
                <w:w w:val="99"/>
              </w:rPr>
              <w:t>1,099,281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757"/>
              <w:spacing w:after="0"/>
              <w:rPr>
                <w:sz w:val="20"/>
                <w:szCs w:val="20"/>
                <w:color w:val="auto"/>
              </w:rPr>
            </w:pPr>
            <w:r>
              <w:rPr>
                <w:rFonts w:ascii="Arial" w:cs="Arial" w:eastAsia="Arial" w:hAnsi="Arial"/>
                <w:sz w:val="18"/>
                <w:szCs w:val="18"/>
                <w:color w:val="auto"/>
                <w:w w:val="97"/>
              </w:rPr>
              <w:t>1,091,628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251,081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680 - 739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555"/>
              <w:spacing w:after="0"/>
              <w:rPr>
                <w:sz w:val="20"/>
                <w:szCs w:val="20"/>
                <w:color w:val="auto"/>
              </w:rPr>
            </w:pPr>
            <w:r>
              <w:rPr>
                <w:rFonts w:ascii="Arial" w:cs="Arial" w:eastAsia="Arial" w:hAnsi="Arial"/>
                <w:sz w:val="18"/>
                <w:szCs w:val="18"/>
                <w:color w:val="auto"/>
                <w:w w:val="95"/>
              </w:rPr>
              <w:t>520,069</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57"/>
              <w:spacing w:after="0"/>
              <w:rPr>
                <w:sz w:val="20"/>
                <w:szCs w:val="20"/>
                <w:color w:val="auto"/>
              </w:rPr>
            </w:pPr>
            <w:r>
              <w:rPr>
                <w:rFonts w:ascii="Arial" w:cs="Arial" w:eastAsia="Arial" w:hAnsi="Arial"/>
                <w:sz w:val="18"/>
                <w:szCs w:val="18"/>
                <w:color w:val="auto"/>
                <w:w w:val="92"/>
              </w:rPr>
              <w:t>518,500</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3"/>
              <w:spacing w:after="0"/>
              <w:rPr>
                <w:sz w:val="20"/>
                <w:szCs w:val="20"/>
                <w:color w:val="auto"/>
              </w:rPr>
            </w:pPr>
            <w:r>
              <w:rPr>
                <w:rFonts w:ascii="Arial" w:cs="Arial" w:eastAsia="Arial" w:hAnsi="Arial"/>
                <w:sz w:val="18"/>
                <w:szCs w:val="18"/>
                <w:color w:val="auto"/>
              </w:rPr>
              <w:t>124,849</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31.7</w:t>
            </w: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76,792</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rPr>
              <w:t>76,549</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17,805</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&lt;= 619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55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555"/>
              <w:spacing w:after="0"/>
              <w:rPr>
                <w:sz w:val="20"/>
                <w:szCs w:val="20"/>
                <w:color w:val="auto"/>
              </w:rPr>
            </w:pPr>
            <w:r>
              <w:rPr>
                <w:rFonts w:ascii="Arial" w:cs="Arial" w:eastAsia="Arial" w:hAnsi="Arial"/>
                <w:sz w:val="18"/>
                <w:szCs w:val="18"/>
                <w:color w:val="auto"/>
                <w:w w:val="99"/>
              </w:rPr>
              <w:t>1,696,142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757"/>
              <w:spacing w:after="0"/>
              <w:rPr>
                <w:sz w:val="20"/>
                <w:szCs w:val="20"/>
                <w:color w:val="auto"/>
              </w:rPr>
            </w:pPr>
            <w:r>
              <w:rPr>
                <w:rFonts w:ascii="Arial" w:cs="Arial" w:eastAsia="Arial" w:hAnsi="Arial"/>
                <w:sz w:val="18"/>
                <w:szCs w:val="18"/>
                <w:color w:val="auto"/>
                <w:w w:val="97"/>
              </w:rPr>
              <w:t>1,686,677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393,735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555"/>
        </w:trPr>
        <w:tc>
          <w:tcPr>
            <w:tcW w:w="3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4"/>
                <w:szCs w:val="14"/>
                <w:b w:val="1"/>
                <w:bCs w:val="1"/>
                <w:color w:val="auto"/>
                <w:w w:val="92"/>
              </w:rPr>
              <w:t>Year ended December 31, 2014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933"/>
              <w:spacing w:after="0"/>
              <w:rPr>
                <w:sz w:val="20"/>
                <w:szCs w:val="20"/>
                <w:color w:val="auto"/>
              </w:rPr>
            </w:pPr>
            <w:r>
              <w:rPr>
                <w:rFonts w:ascii="Arial" w:cs="Arial" w:eastAsia="Arial" w:hAnsi="Arial"/>
                <w:sz w:val="14"/>
                <w:szCs w:val="14"/>
                <w:b w:val="1"/>
                <w:bCs w:val="1"/>
                <w:color w:val="auto"/>
                <w:w w:val="92"/>
              </w:rPr>
              <w:t>As of March 31, 2015</w:t>
            </w:r>
          </w:p>
        </w:tc>
        <w:tc>
          <w:tcPr>
            <w:tcW w:w="820" w:type="dxa"/>
            <w:vAlign w:val="bottom"/>
            <w:tcBorders>
              <w:bottom w:val="single" w:sz="8" w:color="auto"/>
            </w:tcBorders>
          </w:tcPr>
          <w:p>
            <w:pPr>
              <w:spacing w:after="0"/>
              <w:rPr>
                <w:sz w:val="24"/>
                <w:szCs w:val="24"/>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Primary - 2014 Book</w:t>
            </w: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rPr>
              <w:t>NIW</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RIF</w:t>
            </w:r>
          </w:p>
        </w:tc>
        <w:tc>
          <w:tcPr>
            <w:tcW w:w="820" w:type="dxa"/>
            <w:vAlign w:val="bottom"/>
            <w:tcBorders>
              <w:bottom w:val="single" w:sz="8" w:color="auto"/>
            </w:tcBorders>
          </w:tcPr>
          <w:p>
            <w:pPr>
              <w:spacing w:after="0"/>
              <w:rPr>
                <w:sz w:val="22"/>
                <w:szCs w:val="22"/>
                <w:color w:val="auto"/>
              </w:rPr>
            </w:pPr>
          </w:p>
        </w:tc>
      </w:tr>
      <w:tr>
        <w:trPr>
          <w:trHeight w:val="250"/>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555"/>
              <w:spacing w:after="0"/>
              <w:rPr>
                <w:sz w:val="20"/>
                <w:szCs w:val="20"/>
                <w:color w:val="auto"/>
              </w:rPr>
            </w:pPr>
            <w:r>
              <w:rPr>
                <w:rFonts w:ascii="Arial" w:cs="Arial" w:eastAsia="Arial" w:hAnsi="Arial"/>
                <w:sz w:val="18"/>
                <w:szCs w:val="18"/>
                <w:color w:val="auto"/>
                <w:w w:val="99"/>
              </w:rPr>
              <w:t>2,178,995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757"/>
              <w:spacing w:after="0"/>
              <w:rPr>
                <w:sz w:val="20"/>
                <w:szCs w:val="20"/>
                <w:color w:val="auto"/>
              </w:rPr>
            </w:pPr>
            <w:r>
              <w:rPr>
                <w:rFonts w:ascii="Arial" w:cs="Arial" w:eastAsia="Arial" w:hAnsi="Arial"/>
                <w:sz w:val="18"/>
                <w:szCs w:val="18"/>
                <w:color w:val="auto"/>
                <w:w w:val="97"/>
              </w:rPr>
              <w:t>1,896,783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446,935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680 - 739</w:t>
            </w:r>
          </w:p>
        </w:tc>
        <w:tc>
          <w:tcPr>
            <w:tcW w:w="340" w:type="dxa"/>
            <w:vAlign w:val="bottom"/>
          </w:tcPr>
          <w:p>
            <w:pPr>
              <w:spacing w:after="0"/>
              <w:rPr>
                <w:sz w:val="21"/>
                <w:szCs w:val="21"/>
                <w:color w:val="auto"/>
              </w:rPr>
            </w:pPr>
          </w:p>
        </w:tc>
        <w:tc>
          <w:tcPr>
            <w:tcW w:w="1460" w:type="dxa"/>
            <w:vAlign w:val="bottom"/>
            <w:gridSpan w:val="2"/>
          </w:tcPr>
          <w:p>
            <w:pPr>
              <w:jc w:val="right"/>
              <w:ind w:right="555"/>
              <w:spacing w:after="0"/>
              <w:rPr>
                <w:sz w:val="20"/>
                <w:szCs w:val="20"/>
                <w:color w:val="auto"/>
              </w:rPr>
            </w:pPr>
            <w:r>
              <w:rPr>
                <w:rFonts w:ascii="Arial" w:cs="Arial" w:eastAsia="Arial" w:hAnsi="Arial"/>
                <w:sz w:val="18"/>
                <w:szCs w:val="18"/>
                <w:color w:val="auto"/>
                <w:w w:val="99"/>
              </w:rPr>
              <w:t>1,156,785</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757"/>
              <w:spacing w:after="0"/>
              <w:rPr>
                <w:sz w:val="20"/>
                <w:szCs w:val="20"/>
                <w:color w:val="auto"/>
              </w:rPr>
            </w:pPr>
            <w:r>
              <w:rPr>
                <w:rFonts w:ascii="Arial" w:cs="Arial" w:eastAsia="Arial" w:hAnsi="Arial"/>
                <w:sz w:val="18"/>
                <w:szCs w:val="18"/>
                <w:color w:val="auto"/>
                <w:w w:val="97"/>
              </w:rPr>
              <w:t>1,049,082</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3"/>
              <w:spacing w:after="0"/>
              <w:rPr>
                <w:sz w:val="20"/>
                <w:szCs w:val="20"/>
                <w:color w:val="auto"/>
              </w:rPr>
            </w:pPr>
            <w:r>
              <w:rPr>
                <w:rFonts w:ascii="Arial" w:cs="Arial" w:eastAsia="Arial" w:hAnsi="Arial"/>
                <w:sz w:val="18"/>
                <w:szCs w:val="18"/>
                <w:color w:val="auto"/>
              </w:rPr>
              <w:t>256,309</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35.1</w:t>
            </w: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5"/>
              </w:rPr>
              <w:t>115,574</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2"/>
              </w:rPr>
              <w:t>110,474</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27,239</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&lt;= 619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55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555"/>
              <w:spacing w:after="0"/>
              <w:rPr>
                <w:sz w:val="20"/>
                <w:szCs w:val="20"/>
                <w:color w:val="auto"/>
              </w:rPr>
            </w:pPr>
            <w:r>
              <w:rPr>
                <w:rFonts w:ascii="Arial" w:cs="Arial" w:eastAsia="Arial" w:hAnsi="Arial"/>
                <w:sz w:val="18"/>
                <w:szCs w:val="18"/>
                <w:color w:val="auto"/>
                <w:w w:val="99"/>
              </w:rPr>
              <w:t>3,451,354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757"/>
              <w:spacing w:after="0"/>
              <w:rPr>
                <w:sz w:val="20"/>
                <w:szCs w:val="20"/>
                <w:color w:val="auto"/>
              </w:rPr>
            </w:pPr>
            <w:r>
              <w:rPr>
                <w:rFonts w:ascii="Arial" w:cs="Arial" w:eastAsia="Arial" w:hAnsi="Arial"/>
                <w:sz w:val="18"/>
                <w:szCs w:val="18"/>
                <w:color w:val="auto"/>
                <w:w w:val="97"/>
              </w:rPr>
              <w:t>3,056,339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730,483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555"/>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Year ended December 31, 2013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693"/>
              <w:spacing w:after="0"/>
              <w:rPr>
                <w:sz w:val="20"/>
                <w:szCs w:val="20"/>
                <w:color w:val="auto"/>
              </w:rPr>
            </w:pPr>
            <w:r>
              <w:rPr>
                <w:rFonts w:ascii="Arial" w:cs="Arial" w:eastAsia="Arial" w:hAnsi="Arial"/>
                <w:sz w:val="14"/>
                <w:szCs w:val="14"/>
                <w:b w:val="1"/>
                <w:bCs w:val="1"/>
                <w:color w:val="auto"/>
                <w:w w:val="93"/>
              </w:rPr>
              <w:t>As of March 31, 2015</w:t>
            </w:r>
          </w:p>
        </w:tc>
        <w:tc>
          <w:tcPr>
            <w:tcW w:w="820" w:type="dxa"/>
            <w:vAlign w:val="bottom"/>
            <w:tcBorders>
              <w:bottom w:val="single" w:sz="8" w:color="auto"/>
            </w:tcBorders>
          </w:tcPr>
          <w:p>
            <w:pPr>
              <w:spacing w:after="0"/>
              <w:rPr>
                <w:sz w:val="24"/>
                <w:szCs w:val="24"/>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Primary - 2013 Book</w:t>
            </w: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NIW</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RIF</w:t>
            </w:r>
          </w:p>
        </w:tc>
        <w:tc>
          <w:tcPr>
            <w:tcW w:w="820" w:type="dxa"/>
            <w:vAlign w:val="bottom"/>
            <w:tcBorders>
              <w:bottom w:val="single" w:sz="8" w:color="auto"/>
            </w:tcBorders>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54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5"/>
        </w:trPr>
        <w:tc>
          <w:tcPr>
            <w:tcW w:w="3740" w:type="dxa"/>
            <w:vAlign w:val="bottom"/>
          </w:tcPr>
          <w:p>
            <w:pPr>
              <w:ind w:left="280"/>
              <w:spacing w:after="0"/>
              <w:rPr>
                <w:sz w:val="20"/>
                <w:szCs w:val="20"/>
                <w:color w:val="auto"/>
              </w:rPr>
            </w:pPr>
            <w:r>
              <w:rPr>
                <w:rFonts w:ascii="Arial" w:cs="Arial" w:eastAsia="Arial" w:hAnsi="Arial"/>
                <w:sz w:val="18"/>
                <w:szCs w:val="18"/>
                <w:color w:val="auto"/>
              </w:rPr>
              <w:t>&gt;= 740</w:t>
            </w: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113,907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7"/>
              <w:spacing w:after="0"/>
              <w:rPr>
                <w:sz w:val="20"/>
                <w:szCs w:val="20"/>
                <w:color w:val="auto"/>
              </w:rPr>
            </w:pPr>
            <w:r>
              <w:rPr>
                <w:rFonts w:ascii="Arial" w:cs="Arial" w:eastAsia="Arial" w:hAnsi="Arial"/>
                <w:sz w:val="18"/>
                <w:szCs w:val="18"/>
                <w:color w:val="auto"/>
              </w:rPr>
              <w:t>61,109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13,931</w:t>
            </w:r>
          </w:p>
        </w:tc>
        <w:tc>
          <w:tcPr>
            <w:tcW w:w="8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47,102</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30,127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7,183</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33.6</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620 - 679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1,163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537"/>
              <w:spacing w:after="0"/>
              <w:rPr>
                <w:sz w:val="20"/>
                <w:szCs w:val="20"/>
                <w:color w:val="auto"/>
              </w:rPr>
            </w:pPr>
            <w:r>
              <w:rPr>
                <w:rFonts w:ascii="Arial" w:cs="Arial" w:eastAsia="Arial" w:hAnsi="Arial"/>
                <w:sz w:val="18"/>
                <w:szCs w:val="18"/>
                <w:color w:val="auto"/>
              </w:rPr>
              <w:t>996</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270</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rPr>
              <w:t>162,172</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37"/>
              <w:spacing w:after="0"/>
              <w:rPr>
                <w:sz w:val="20"/>
                <w:szCs w:val="20"/>
                <w:color w:val="auto"/>
              </w:rPr>
            </w:pPr>
            <w:r>
              <w:rPr>
                <w:rFonts w:ascii="Arial" w:cs="Arial" w:eastAsia="Arial" w:hAnsi="Arial"/>
                <w:sz w:val="18"/>
                <w:szCs w:val="18"/>
                <w:color w:val="auto"/>
              </w:rPr>
              <w:t>92,232</w:t>
            </w: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rPr>
              <w:t>21,384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615"/>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table below reflects our pool NIW, IIF and RIF by FICO.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 31, 2013</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2"/>
              </w:rPr>
              <w:t>As of March 31, 2015</w:t>
            </w:r>
          </w:p>
        </w:tc>
        <w:tc>
          <w:tcPr>
            <w:tcW w:w="1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Pool - 2013 Book</w:t>
            </w:r>
          </w:p>
        </w:tc>
        <w:tc>
          <w:tcPr>
            <w:tcW w:w="2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NIW</w:t>
            </w:r>
          </w:p>
        </w:tc>
        <w:tc>
          <w:tcPr>
            <w:tcW w:w="8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RIF</w:t>
            </w:r>
          </w:p>
        </w:tc>
      </w:tr>
      <w:tr>
        <w:trPr>
          <w:trHeight w:val="250"/>
        </w:trPr>
        <w:tc>
          <w:tcPr>
            <w:tcW w:w="3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4,186,844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97"/>
              </w:rPr>
              <w:t>3,753,161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40" w:type="dxa"/>
            <w:vAlign w:val="bottom"/>
          </w:tcPr>
          <w:p>
            <w:pPr>
              <w:spacing w:after="0"/>
              <w:rPr>
                <w:sz w:val="21"/>
                <w:szCs w:val="21"/>
                <w:color w:val="auto"/>
              </w:rPr>
            </w:pPr>
          </w:p>
        </w:tc>
        <w:tc>
          <w:tcPr>
            <w:tcW w:w="1480" w:type="dxa"/>
            <w:vAlign w:val="bottom"/>
          </w:tcPr>
          <w:p>
            <w:pPr>
              <w:jc w:val="right"/>
              <w:ind w:right="475"/>
              <w:spacing w:after="0"/>
              <w:rPr>
                <w:sz w:val="20"/>
                <w:szCs w:val="20"/>
                <w:color w:val="auto"/>
              </w:rPr>
            </w:pPr>
            <w:r>
              <w:rPr>
                <w:rFonts w:ascii="Arial" w:cs="Arial" w:eastAsia="Arial" w:hAnsi="Arial"/>
                <w:sz w:val="18"/>
                <w:szCs w:val="18"/>
                <w:color w:val="auto"/>
              </w:rPr>
              <w:t>832,755</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55"/>
              <w:spacing w:after="0"/>
              <w:rPr>
                <w:sz w:val="20"/>
                <w:szCs w:val="20"/>
                <w:color w:val="auto"/>
              </w:rPr>
            </w:pPr>
            <w:r>
              <w:rPr>
                <w:rFonts w:ascii="Arial" w:cs="Arial" w:eastAsia="Arial" w:hAnsi="Arial"/>
                <w:sz w:val="18"/>
                <w:szCs w:val="18"/>
                <w:color w:val="auto"/>
              </w:rPr>
              <w:t>735,560</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14,958</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16.1</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152,065</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rPr>
              <w:t>132,625</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&lt;= 619</w:t>
            </w:r>
          </w:p>
        </w:tc>
        <w:tc>
          <w:tcPr>
            <w:tcW w:w="240" w:type="dxa"/>
            <w:vAlign w:val="bottom"/>
          </w:tcPr>
          <w:p>
            <w:pPr>
              <w:spacing w:after="0"/>
              <w:rPr>
                <w:sz w:val="21"/>
                <w:szCs w:val="21"/>
                <w:color w:val="auto"/>
              </w:rPr>
            </w:pPr>
          </w:p>
        </w:tc>
        <w:tc>
          <w:tcPr>
            <w:tcW w:w="1480" w:type="dxa"/>
            <w:vAlign w:val="bottom"/>
          </w:tcPr>
          <w:p>
            <w:pPr>
              <w:jc w:val="right"/>
              <w:ind w:right="47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40" w:type="dxa"/>
            <w:vAlign w:val="bottom"/>
          </w:tcPr>
          <w:p>
            <w:pPr>
              <w:jc w:val="right"/>
              <w:ind w:right="75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5,171,664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97"/>
              </w:rPr>
              <w:t>4,621,346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93,090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reflect our average primary loan size by FICO and the percentage of our RIF by loan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2014</w:t>
            </w:r>
          </w:p>
        </w:tc>
      </w:tr>
      <w:tr>
        <w:trPr>
          <w:trHeight w:val="197"/>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 primary loan size by FICO</w:t>
            </w:r>
          </w:p>
        </w:tc>
        <w:tc>
          <w:tcPr>
            <w:tcW w:w="240" w:type="dxa"/>
            <w:vAlign w:val="bottom"/>
          </w:tcPr>
          <w:p>
            <w:pPr>
              <w:spacing w:after="0"/>
              <w:rPr>
                <w:sz w:val="17"/>
                <w:szCs w:val="17"/>
                <w:color w:val="auto"/>
              </w:rPr>
            </w:pPr>
          </w:p>
        </w:tc>
        <w:tc>
          <w:tcPr>
            <w:tcW w:w="328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680 - 739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&lt;= 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58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Percentage of RIF by loan type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Primary</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Pool</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Adjustable rate mortgages: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Less than five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Five years and longer</w:t>
            </w:r>
          </w:p>
        </w:tc>
        <w:tc>
          <w:tcPr>
            <w:tcW w:w="24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reflects our RIF by LTV ratio. We calculate the LTV ratio of a loan as a percentage of the original loan amount to the original value of the property securing the loan. In general, the lower the LTV ratio the lower the likelihood of a default, and for loans that default, a lower LTV ratio generally results in a lower severity for any claim as the borrower has more equity in the property.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Total RIF by LTV</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Primary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Pool</w:t>
            </w:r>
          </w:p>
        </w:tc>
        <w:tc>
          <w:tcPr>
            <w:tcW w:w="1240" w:type="dxa"/>
            <w:vAlign w:val="bottom"/>
            <w:tcBorders>
              <w:bottom w:val="single" w:sz="8" w:color="auto"/>
            </w:tcBorders>
          </w:tcPr>
          <w:p>
            <w:pPr>
              <w:spacing w:after="0"/>
              <w:rPr>
                <w:sz w:val="16"/>
                <w:szCs w:val="16"/>
                <w:color w:val="auto"/>
              </w:rPr>
            </w:pPr>
          </w:p>
        </w:tc>
      </w:tr>
      <w:tr>
        <w:trPr>
          <w:trHeight w:val="263"/>
        </w:trPr>
        <w:tc>
          <w:tcPr>
            <w:tcW w:w="3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RIF</w:t>
            </w: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 of Total LTV</w:t>
            </w: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Policy Count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RIF</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 of Total LTV</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Policy Count</w:t>
            </w:r>
          </w:p>
        </w:tc>
      </w:tr>
      <w:tr>
        <w:trPr>
          <w:trHeight w:val="197"/>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640"/>
              <w:spacing w:after="0"/>
              <w:rPr>
                <w:sz w:val="20"/>
                <w:szCs w:val="20"/>
                <w:color w:val="auto"/>
              </w:rPr>
            </w:pPr>
            <w:r>
              <w:rPr>
                <w:rFonts w:ascii="Arial" w:cs="Arial" w:eastAsia="Arial" w:hAnsi="Arial"/>
                <w:sz w:val="14"/>
                <w:szCs w:val="14"/>
                <w:i w:val="1"/>
                <w:iCs w:val="1"/>
                <w:color w:val="auto"/>
              </w:rPr>
              <w:t>(Dollars in Thousands)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11,459</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608,361</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418,850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80.01% to 85.00%</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106,918</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80.00% and below</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20,257</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RIF</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1,145,602</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21,225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20,257</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8"/>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tables show the distribution by state of our IIF and RIF, for both primary and pool insurance. As of March 31, 2015, our IIF and RIF continues to be relatively more concentrated in California, primarily as a result of the location and timing of the acquisition of new customers. With the broadening of our customer base, the concentration of primary IIF and RIF in California as of the end of 2014 has declined from over 16% for both, to 15.1% and 14.7%, respectively, as of March 31, 2015. The distribution of risk across the states as of March 31, 2015 is not necessarily representative of the geographic distribution we expect in the future. We expect to add a significant number of new customers as we grow and receive greater allocations of business from our existing customers, consequently providing increased flexibility to manage our state concentration levels.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primary IIF and RIF by state</w:t>
            </w: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r>
      <w:tr>
        <w:trPr>
          <w:trHeight w:val="264"/>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6"/>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900" w:type="dxa"/>
            <w:vAlign w:val="bottom"/>
          </w:tcPr>
          <w:p>
            <w:pPr>
              <w:ind w:left="20"/>
              <w:spacing w:after="0"/>
              <w:rPr>
                <w:sz w:val="20"/>
                <w:szCs w:val="20"/>
                <w:color w:val="auto"/>
              </w:rPr>
            </w:pPr>
            <w:r>
              <w:rPr>
                <w:rFonts w:ascii="Arial" w:cs="Arial" w:eastAsia="Arial" w:hAnsi="Arial"/>
                <w:sz w:val="18"/>
                <w:szCs w:val="18"/>
                <w:color w:val="auto"/>
              </w:rPr>
              <w:t>Texas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6.9</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900" w:type="dxa"/>
            <w:vAlign w:val="bottom"/>
          </w:tcPr>
          <w:p>
            <w:pPr>
              <w:ind w:left="20"/>
              <w:spacing w:after="0"/>
              <w:rPr>
                <w:sz w:val="20"/>
                <w:szCs w:val="20"/>
                <w:color w:val="auto"/>
              </w:rPr>
            </w:pPr>
            <w:r>
              <w:rPr>
                <w:rFonts w:ascii="Arial" w:cs="Arial" w:eastAsia="Arial" w:hAnsi="Arial"/>
                <w:sz w:val="18"/>
                <w:szCs w:val="18"/>
                <w:color w:val="auto"/>
              </w:rPr>
              <w:t>Michigan</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4.7</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900" w:type="dxa"/>
            <w:vAlign w:val="bottom"/>
          </w:tcPr>
          <w:p>
            <w:pPr>
              <w:ind w:left="20"/>
              <w:spacing w:after="0"/>
              <w:rPr>
                <w:sz w:val="20"/>
                <w:szCs w:val="20"/>
                <w:color w:val="auto"/>
              </w:rPr>
            </w:pPr>
            <w:r>
              <w:rPr>
                <w:rFonts w:ascii="Arial" w:cs="Arial" w:eastAsia="Arial" w:hAnsi="Arial"/>
                <w:sz w:val="18"/>
                <w:szCs w:val="18"/>
                <w:color w:val="auto"/>
              </w:rPr>
              <w:t>Arizona</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7900" w:type="dxa"/>
            <w:vAlign w:val="bottom"/>
          </w:tcPr>
          <w:p>
            <w:pPr>
              <w:ind w:left="20"/>
              <w:spacing w:after="0"/>
              <w:rPr>
                <w:sz w:val="20"/>
                <w:szCs w:val="20"/>
                <w:color w:val="auto"/>
              </w:rPr>
            </w:pPr>
            <w:r>
              <w:rPr>
                <w:rFonts w:ascii="Arial" w:cs="Arial" w:eastAsia="Arial" w:hAnsi="Arial"/>
                <w:sz w:val="18"/>
                <w:szCs w:val="18"/>
                <w:color w:val="auto"/>
              </w:rPr>
              <w:t>Virginia</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90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3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8240" w:type="dxa"/>
            <w:vAlign w:val="bottom"/>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48"/>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pool IIF and RIF by state</w:t>
            </w: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r>
      <w:tr>
        <w:trPr>
          <w:trHeight w:val="264"/>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2015</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6"/>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900" w:type="dxa"/>
            <w:vAlign w:val="bottom"/>
          </w:tcPr>
          <w:p>
            <w:pPr>
              <w:ind w:left="20"/>
              <w:spacing w:after="0"/>
              <w:rPr>
                <w:sz w:val="20"/>
                <w:szCs w:val="20"/>
                <w:color w:val="auto"/>
              </w:rPr>
            </w:pPr>
            <w:r>
              <w:rPr>
                <w:rFonts w:ascii="Arial" w:cs="Arial" w:eastAsia="Arial" w:hAnsi="Arial"/>
                <w:sz w:val="18"/>
                <w:szCs w:val="18"/>
                <w:color w:val="auto"/>
              </w:rPr>
              <w:t>Texas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5.4</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90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900" w:type="dxa"/>
            <w:vAlign w:val="bottom"/>
          </w:tcPr>
          <w:p>
            <w:pPr>
              <w:ind w:left="20"/>
              <w:spacing w:after="0"/>
              <w:rPr>
                <w:sz w:val="20"/>
                <w:szCs w:val="20"/>
                <w:color w:val="auto"/>
              </w:rPr>
            </w:pPr>
            <w:r>
              <w:rPr>
                <w:rFonts w:ascii="Arial" w:cs="Arial" w:eastAsia="Arial" w:hAnsi="Arial"/>
                <w:sz w:val="18"/>
                <w:szCs w:val="18"/>
                <w:color w:val="auto"/>
              </w:rPr>
              <w:t>Illinois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7900" w:type="dxa"/>
            <w:vAlign w:val="bottom"/>
          </w:tcPr>
          <w:p>
            <w:pPr>
              <w:ind w:left="20"/>
              <w:spacing w:after="0"/>
              <w:rPr>
                <w:sz w:val="20"/>
                <w:szCs w:val="20"/>
                <w:color w:val="auto"/>
              </w:rPr>
            </w:pPr>
            <w:r>
              <w:rPr>
                <w:rFonts w:ascii="Arial" w:cs="Arial" w:eastAsia="Arial" w:hAnsi="Arial"/>
                <w:sz w:val="18"/>
                <w:szCs w:val="18"/>
                <w:color w:val="auto"/>
              </w:rPr>
              <w:t>New York</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900" w:type="dxa"/>
            <w:vAlign w:val="bottom"/>
          </w:tcPr>
          <w:p>
            <w:pPr>
              <w:ind w:left="20"/>
              <w:spacing w:after="0"/>
              <w:rPr>
                <w:sz w:val="20"/>
                <w:szCs w:val="20"/>
                <w:color w:val="auto"/>
              </w:rPr>
            </w:pPr>
            <w:r>
              <w:rPr>
                <w:rFonts w:ascii="Arial" w:cs="Arial" w:eastAsia="Arial" w:hAnsi="Arial"/>
                <w:sz w:val="18"/>
                <w:szCs w:val="18"/>
                <w:color w:val="auto"/>
              </w:rPr>
              <w:t>Florida</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3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0"/>
        </w:trPr>
        <w:tc>
          <w:tcPr>
            <w:tcW w:w="3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Premiums Written and Earned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set premiums at the time a policy is issued based on our expectations regarding likely performance over the term of coverage. We expect the average premium rate we charge on our monthly primary flow MI policies to be comparable with the rates charged by the industry in general. Premiums written and earned in a year are generally influenced by NIW, cancellations, and premium rates.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the majority of any underwriting profit (</w:t>
      </w:r>
      <w:r>
        <w:rPr>
          <w:rFonts w:ascii="Arial" w:cs="Arial" w:eastAsia="Arial" w:hAnsi="Arial"/>
          <w:sz w:val="18"/>
          <w:szCs w:val="18"/>
          <w:i w:val="1"/>
          <w:iCs w:val="1"/>
          <w:color w:val="auto"/>
        </w:rPr>
        <w:t>i.e.</w:t>
      </w:r>
      <w:r>
        <w:rPr>
          <w:rFonts w:ascii="Arial" w:cs="Arial" w:eastAsia="Arial" w:hAnsi="Arial"/>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The earnings we record and the cash flow we receive varies based on the type of MI product and premium plan our customers select. We offer monthly, annual and single premium payment plans. The level of competition within the private MI industry has been intense and is not expected to diminish. Lenders are requesting discounts from mortgage insurers with greater frequency, particularly with respect to lender paid mortgage insurance single premium policies. If the percentage of our new business represented by single premium policies continues to remain at elevated levels or if we reduce prices in response to future price competition, our premium yields could decrease.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did not establish any reserves for insurance claims within our primary insurance book until the second quarter of 2014. As of March 31, 2015, we have established loss reserves of $187 thousand for our six primary loans in default. We have not established any pool reserves for claims or IBNR to date. We have not paid any claims to date. For additional discussion of our reserves, see, Item 1,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Reserves for Insurance Claims and Claims Expenses.</w:t>
      </w:r>
      <w:r>
        <w:rPr>
          <w:rFonts w:ascii="Arial" w:cs="Arial" w:eastAsia="Arial" w:hAnsi="Arial"/>
          <w:sz w:val="18"/>
          <w:szCs w:val="18"/>
          <w:color w:val="auto"/>
        </w:rPr>
        <w:t>"</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Claims incurred is the current expense that is booked within a particular period to reflect actual and estimated claim payments that we believe will ultimately be made as a result of insured loans that are in default. We do not recognize an estimate of claim expense for loans that are not in default. Claims incurred is generally affected by a variety of factors, including: the state of the economy, declines in housing values, and the size of loans insured and the percentage of coverage on insured loans, with higher average loan amounts and percentages of insurance coverage tending to result in higher incurred claim amounts.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for the early years of our operations will be relatively low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stated above, the typical distribution of claims over the life of a book results in fewer defaults during the first two to three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5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that the frequency of claims on our initial primary books of business should be between 3% and 4%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 Because we expect the claims on insured mortgages to develop over time, we believe that the reported loss ratio in the early years of operation will be less than 10% of earned premiums; and</w:t>
      </w:r>
    </w:p>
    <w:p>
      <w:pPr>
        <w:spacing w:after="0" w:line="80"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under the pool insurance agreement between NMIC and Fannie Mae, NMIC is responsible for claims only to the extent they exceed a deductible.</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GSE Approval Conditions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GSEs are the principal purchasers of mortgages insured by MI companies. In January 2013, the GSEs approved NMIC as a qualified mortgage insurer, and in their approvals imposed certain capitalization, operational and reporting conditions on NMIC (collectively, the GSE Approval), most of which remain in effect until they are superseded on December 31, 2015 by the effectiveness of the GSEs’ final, updated PMIERs (discussed below). Until the new PMIERs are effective, NMIC is subject to ongoing compliance with the conditions in the GSE Approval as well as the GSEs' existing respective eligibility requirements.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conditions in the GSE Approval require, among other things, that NMIC:</w:t>
      </w:r>
    </w:p>
    <w:p>
      <w:pPr>
        <w:spacing w:after="0" w:line="17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at a risk-to-capital ratio not to exceed 15:1;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declare or pay dividends to affiliates or to NMIH;</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 Approval also includes other conditions, limitations and reporting requirements, including, among others, limits on costs allocated to NMIC under affiliate expense sharing arrangements; conditions related to risk concentration and rates of return; requirements to obtain a financial strength rating; restrictions on provision of ancillary services (i.e., non-insurance) to customers and transfers of underwriting to affiliates; notification requirements regarding change of ownership and new five percent shareholders; requirement to, at the direction of one or both of the GSEs, re-domicile from Wisconsin to another state; and provisions regarding underwriting policies and claims processing.</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GSE PMIERs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April 17, 2015, the Federal Housing Finance Agency (FHFA) published final updated PMIERs that will be effective on December 31, 2015 (Effective Date) for existing, GSE-approved private mortgage insurers, i.e. </w:t>
      </w:r>
      <w:r>
        <w:rPr>
          <w:rFonts w:ascii="Arial" w:cs="Arial" w:eastAsia="Arial" w:hAnsi="Arial"/>
          <w:sz w:val="17"/>
          <w:szCs w:val="17"/>
          <w:i w:val="1"/>
          <w:iCs w:val="1"/>
          <w:color w:val="auto"/>
        </w:rPr>
        <w:t>Approved Insurers</w:t>
      </w:r>
      <w:r>
        <w:rPr>
          <w:rFonts w:ascii="Arial" w:cs="Arial" w:eastAsia="Arial" w:hAnsi="Arial"/>
          <w:sz w:val="17"/>
          <w:szCs w:val="17"/>
          <w:color w:val="auto"/>
        </w:rPr>
        <w:t>.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Under the PMIER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net risk-in-force, calculated by applying certain risk-based factors derived from tables set out in the PMIERs to the net risk-in-force, subject to a floor of 5.6% of total, performing, primary risk-in-force.</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By March 1, 2016, each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must certify to the GSEs that it fully complies with the PMIERs as of the Effective Date. If an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Insurer </w:t>
      </w:r>
      <w:r>
        <w:rPr>
          <w:rFonts w:ascii="Arial" w:cs="Arial" w:eastAsia="Arial" w:hAnsi="Arial"/>
          <w:sz w:val="18"/>
          <w:szCs w:val="18"/>
          <w:color w:val="auto"/>
        </w:rPr>
        <w:t>meets all of the PMIERs except the financial requirements, by March 31, 2016, that</w:t>
      </w:r>
      <w:r>
        <w:rPr>
          <w:rFonts w:ascii="Arial" w:cs="Arial" w:eastAsia="Arial" w:hAnsi="Arial"/>
          <w:sz w:val="18"/>
          <w:szCs w:val="18"/>
          <w:i w:val="1"/>
          <w:iCs w:val="1"/>
          <w:color w:val="auto"/>
        </w:rPr>
        <w:t xml:space="preserve"> Approved Insurer </w:t>
      </w:r>
      <w:r>
        <w:rPr>
          <w:rFonts w:ascii="Arial" w:cs="Arial" w:eastAsia="Arial" w:hAnsi="Arial"/>
          <w:sz w:val="18"/>
          <w:szCs w:val="18"/>
          <w:color w:val="auto"/>
        </w:rPr>
        <w:t>must submit a transition plan to each GSE</w:t>
      </w:r>
      <w:r>
        <w:rPr>
          <w:rFonts w:ascii="Arial" w:cs="Arial" w:eastAsia="Arial" w:hAnsi="Arial"/>
          <w:sz w:val="18"/>
          <w:szCs w:val="18"/>
          <w:i w:val="1"/>
          <w:iCs w:val="1"/>
          <w:color w:val="auto"/>
        </w:rPr>
        <w:t xml:space="preserve"> </w:t>
      </w:r>
      <w:r>
        <w:rPr>
          <w:rFonts w:ascii="Arial" w:cs="Arial" w:eastAsia="Arial" w:hAnsi="Arial"/>
          <w:sz w:val="18"/>
          <w:szCs w:val="18"/>
          <w:color w:val="auto"/>
        </w:rPr>
        <w:t>detailing how it will comply with the financial requirements not later than June 30, 2017 (Compliance Date). We expect that prior to the Effective Date, NMIC will have undertaken measures to fully comply with the PMIERs financial requirements as of the Effective Date or, by March 31, 2016, NMIC will submit a transition plan to the GSEs detailing how NMIC will fully comply with the PMIERs on the Compliance Date. If a transition plan is required, it will likely include raising additional capital prior to the Compliance Date, which is consistent with the Company's previous disclosures regarding the need for future capital raises to fund growth in the business. Any such future capital raise would be conducted by means of a separate prospectus or other appropriate offering document and not by means of this report.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requirement that NMIC adhere to certain minimum capital requirements, NMIC is also subject to state regulatory minimum capital requirements based on its insured RIF, as described in "</w:t>
      </w:r>
      <w:r>
        <w:rPr>
          <w:rFonts w:ascii="Arial" w:cs="Arial" w:eastAsia="Arial" w:hAnsi="Arial"/>
          <w:sz w:val="18"/>
          <w:szCs w:val="18"/>
          <w:i w:val="1"/>
          <w:iCs w:val="1"/>
          <w:color w:val="auto"/>
        </w:rPr>
        <w:t>Note 8, Statutory Information.</w:t>
      </w:r>
      <w:r>
        <w:rPr>
          <w:rFonts w:ascii="Arial" w:cs="Arial" w:eastAsia="Arial" w:hAnsi="Arial"/>
          <w:sz w:val="18"/>
          <w:szCs w:val="18"/>
          <w:color w:val="auto"/>
        </w:rPr>
        <w:t>" While formulations of this minimum capital may vary in each jurisdiction, the most common measure allows for a maximum permitted risk-to-capital ratio of 25 to 1.</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2015, NMIC's primary RIF was approximately $1.1 billion, representing insurance on a total of 21,225 policies in force, and pool risk-in-force was approximately $93.1 million, representing insurance on a total of approximately 20,000 loans. Based on NMIC's total statutory surplus of $222 million at March 31, 2015, NMIC's risk-to-capital ratio was 5:1, significantly below the contractual and regulatory maximum risk-to-capital thresholds. Similarly, Re One had total statutory capital of $15 million at March 31, 2015, with a risk-to-capital ratio of 8.2:1.</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NMIC agreed to certain counter-party capital requirements in its September 1, 2013 pool insurance agreement with Fannie Mae, pursuant to which NMIC initially insured approximately 22,000 loans with IIF of $5.2 billion (as of September 1, 2013). The agreement has a term of 10 years from September 1, 2013 and specifies the amount of capital NMIC will need to maintain to support the agreement until the new PMIERs are effective, discussed above in "</w:t>
      </w:r>
      <w:r>
        <w:rPr>
          <w:rFonts w:ascii="Arial" w:cs="Arial" w:eastAsia="Arial" w:hAnsi="Arial"/>
          <w:sz w:val="17"/>
          <w:szCs w:val="17"/>
          <w:i w:val="1"/>
          <w:iCs w:val="1"/>
          <w:color w:val="auto"/>
        </w:rPr>
        <w:t>GSE Oversight - GSE PMIERs.</w:t>
      </w:r>
      <w:r>
        <w:rPr>
          <w:rFonts w:ascii="Arial" w:cs="Arial" w:eastAsia="Arial" w:hAnsi="Arial"/>
          <w:sz w:val="17"/>
          <w:szCs w:val="17"/>
          <w:color w:val="auto"/>
        </w:rPr>
        <w:t>" The RIF to NMIC under this agreement is $93.1 million, which represents the difference between a deductible payable by Fannie Mae on initial losses and a stop loss above which losses are borne by Fannie Mae. NMIC provides the same level of risk coverage over the term of the agreement. Based on the loan level RIF of the pool of $1.58 billion, as of March 31, 2015, the current capital requirement under the terms of the pool agreement is $88.7 million. If the final PMIERs were effective as of March 31, 2015, we expect that the amount of capital we would have to hold for the pool agreement would be significantly reduced to an amount no greater than $35 million.</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State insurance regulators, through an NAIC working group, are proposing amendments to overhaul states' statutory capital requirements applicable to mortgage insurers. We, along with other MI companies are working with the Mortgage Guaranty Insurance Working Group of the Financial Condition (E) Committee of the NAIC (Working Group). The Working Group will determine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93" w:lineRule="auto"/>
        <w:rPr>
          <w:sz w:val="20"/>
          <w:szCs w:val="20"/>
          <w:color w:val="auto"/>
        </w:rPr>
      </w:pPr>
      <w:r>
        <w:rPr>
          <w:rFonts w:ascii="Arial" w:cs="Arial" w:eastAsia="Arial" w:hAnsi="Arial"/>
          <w:sz w:val="16"/>
          <w:szCs w:val="16"/>
          <w:color w:val="auto"/>
        </w:rPr>
        <w:t>make a recommendation to the Financial Condition (E) Committee of the NAIC as to what changes the Working Group believes are necessary to the solvency regulation for MI companies, including changes to the Mortgage Guaranty Insurers Model Act (Model #630). We have provided feedback to the Working Group since early 2013, and we support more robust capital standards and continue to advocate for a strong capital model. The Working Group has indicated that it plans to complete its work by the end of 2015; however, discussions are ongoing and the ultimate outcome of these discussions and any potential actions taken by the NAIC cannot be predicted at this time. Given our current capital position relative to our RIF, we believe that NMIC will be well positioned to comply with new capital requirements proposed by the NAIC when they become effective through adoption by the states.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Federal Housing Administration (FHA) and the Veterans Administration (VA).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MI industry has been in a state of transition. In 2009, a new MI company was formed and started writing MI in 2010. We began writing MI in April of 2013. In January 2014, an existing reinsurance company completed its acquisition of an existing MI company that had been serving credit unions only, with the intention to expand its operations to serve the entire mortgage market. Given this dynamic, we expect that there will be pressure in the coming years for industry participants to grow or maintain their market share. Our competitors' share of the private MI market at December 31, 2014 varied from single percentage points penetration to a high of approximately 24%.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continue to recede at the same pace it has since 2010. On January 26, 2015, the FHA reduced some of its single-family annual mortgage insurance premiums. It is difficult to predict what, if any, material impact this premium reduction will have as there are factors beyond premium rate that influence a lender's decision to choose private MI over FHA insurance, including among others, the FHA's loan eligibility requirements and loan size limits and the relative ease of use of private MI products compared to FHA products. However, we believe our pricing continues to be more attractive than the FHA's pricing for a substantial majority of borrowers with credit and loan characteristics similar to those whose loans we insure.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12,921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(3,274)</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1,489</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from change in fair value of warrant liability</w:t>
            </w:r>
          </w:p>
        </w:tc>
        <w:tc>
          <w:tcPr>
            <w:tcW w:w="3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817</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4,247</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3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18,350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19,302</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(15,055)</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financial results to date have been primarily driven by expenditures related to our business development activities, and to a lesser extent, by our investment activities. Although we expect our year-over-year expenses to increase as we grow our business, we ultimately expect that the majority of our operating expenses will be relatively fixed in the long term. As our business matures and we deploy the majority of our capital, including capital raised through equity or debt offerings, or through the use of reinsurance,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months ended March 31, 2015, we had net premiums written of $12.9 million and premiums earned of $6.9 million, compared to net premiums written of $5.2 million and premiums earned of $1.9 million for the three months ended March 31, 2014. The principal drivers of the increase in premiums written and earned were the continued growth of our NIW and IIF and the significant development of our customer base. We had $1.4 million of earned premiums in the three months ended March 31, 2015 related to cancellations on single policies. Premiums earned from cancellations were negligible for the three months ended March 31, 2014. We believe the current increase in cancellations is due to continued low interest rates as discussed previously in "</w:t>
      </w:r>
      <w:r>
        <w:rPr>
          <w:rFonts w:ascii="Arial" w:cs="Arial" w:eastAsia="Arial" w:hAnsi="Arial"/>
          <w:sz w:val="16"/>
          <w:szCs w:val="16"/>
          <w:i w:val="1"/>
          <w:iCs w:val="1"/>
          <w:color w:val="auto"/>
        </w:rPr>
        <w:t>Conditions and Trends Impacting our 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New Insurance Written, Insurance in Force and Risk in Force.</w:t>
      </w:r>
      <w:r>
        <w:rPr>
          <w:rFonts w:ascii="Arial" w:cs="Arial" w:eastAsia="Arial" w:hAnsi="Arial"/>
          <w:sz w:val="16"/>
          <w:szCs w:val="16"/>
          <w:color w:val="auto"/>
        </w:rPr>
        <w:t>"</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significant net operating losses since our inception. Our net losses were $7.8 million and $15.1 million for the three months ended March 31, 2015 and 2014, respectively. The primary drivers of the decrease in net losses for the quarter ended March 31, 2015 compared to the quarter ended March 31, 2014 were the increase in premiums earned, the increase in net investment income, a decrease in our warrant liability (as a result of a decline in our stock price), and lower technology service and depreciation expenses. Premiums increased due to the addition of new customers and to higher allocations of business to us from existing customers. We rebalanced our investment portfolio in the third quarter of 2014 to more fully deploy into higher yielding, investment grade, fixed-income securities. As a result, our net investment income was higher for the quarter ended March 31, 2015, compared to the quarter ended March 31, 2014.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components of our underwriting and operating expenses for the periods indicated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underwriting and operating expenses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2,332</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and professional services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Technology service expenses</w:t>
            </w: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1,075</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3,206</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and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18,350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19,302</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Employee compensation represents the majority of our operating expense. Our payroll and related expense was $10.4 million for the three months ended March 31, 2015, compared to $9.5 million for the three months ended March 31, 2014. The increases year over year were driven principally by the addition of new employees. Our headcount grew from 163 at March 31, 2014 to 196 at March 31, 2015. As part of our compensation plan, certain employees were granted stock options and RSUs under our stock plans. Our share-based compensation expense was $2.0 million for the three months ended March 31, 2015, compared to $2.3 million for the three months ended March 31, 2014. The majority of our stock options and RSUs were awarded during 2012, with fewer awards granted in the years since then. The expenses related to the prior year grants decrease as the awards near their vesting terms. Additionally, we have not incurred the same degree of expense from the recent grants, as they were smaller than the 2012 grants, causing the overall share-based compensation expense to continue to decrease year over year as older grants become fully amortized.</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depreciation and amortization expenses decreased to $0.7 million for the three months ended March 31, 2015, compared to $1.3 million for the three months ended March 31, 2014, due to the accelerated depreciation and write off of software purchased with the acquisition of our insurance subsidiaries in 2014. The write off was offset by the continued development of our technology platform which has resulted in placing more assets into service and depreciating those assets accordingly. Other expenses decreased to $2.5 million for the three months ended March 31, 2015, from $3.2 million for the three months ended March 31, 2014, largely as a result of a decline in legal expenses associated with the litigation that was settled in the third quarter of 2014.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367,947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66,420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11,806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461,739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10,646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tax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423,202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426,958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461,739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total assets, comprised largely of cash and investments, were $461.7 million at March 31, 2015 compared to total assets of $463.3 million at December 31, 2014. The reduction in 2015 compared to December 31, 2014 was driven by operating costs,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partially offset by premium and investment income. The decrease in cash from year end 2014 is the result of continued re-balancing of our investment portfolio and re-investing cash during the first quarter.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deferred policy acquisition asset was $5.3 million as of March 31, 2015 compared to $3.0 million at December 31, 2014. The increase was driven by the increase in deferrable costs associated with our increase in premiums written year over year to $12.9 million for the three months ended March 31, 2015 from $5.2 million for the three months ended March 31, 2014, as discussed above, and the expense associated with the successful acquisition of that NIW.</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to $28.1 million as of March 31, 2015 from $22.1 million as of December 31, 2014 due to the volume of single premiums written in the first quarter of 2015, offset by cancellations of lender-paid single premium policies, as discussed previously, and earnings of existing unearned premiums in accordance with the expiration of risk in the related policies.</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March 31, 2015, we had approximately $434 million in cash and investments, of which $158 million was held at NMIH. As of March 31, 2015, the amount of restricted net assets held by our consolidated insurance subsidiaries totaled approximately $248 million of our consolidated net assets of approximately $423 million.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0"/>
        </w:trPr>
        <w:tc>
          <w:tcPr>
            <w:tcW w:w="7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(13,137)</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operating activities decreased for the three months ended March 31, 2015 compared to the same period in 2014, primarily due to the increase in premiums written year over year, offset by increased personnel costs.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2015 was higher compared to the same period in 2014, as a result primarily of further portfolio re-balancing in the first quarter of 2015. We had very little movement in our investment portfolio during the first half of 2014 as we had just completed the investment of our original cash holdings throughout 2013.</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from financing activities for the three months ended March 31, 2015 and March 31, 2014 consisted primarily of taxes paid related to the net share settlement of equity awards offset by the proceeds from exercises.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Internal Revenue Service (IRS); and (iv)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March 31, 2015, NMIH's shareholders' equity was approximately $423 million.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2015, NMIH had $158 million of cash and investments. In addition to investment income, NMIH's principal sources of operating cash are permitted payments under our tax- and expense-sharing arrangements with our subsidiaries as well as future dividends from NMIC, if available and permitted under our agreements with the GSEs and state regulators. We expect that cash and investments and projected cash flows from operations will provide us with sufficient liquidity to fund our anticipated growth and pay operating expenses through at least 2015.</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2014, NMIH contributed $90 million in cash to NMIC and $5 million in cash to Re One. To support a minimum surplus of $150 million and maintain a risk-to-capital ratio under 15 to 1 through December 31, 2015 at NMIC, we expect NMIH may make additional capital contributions to NMIC from time-to-time. In the future, NMIH will be required to provide additional capital support for NMIC and Re One to comply with the PMIERs financial requirements and if additional capital is required pursuant to state insurance laws and regulations or the rating agencies.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73" w:lineRule="auto"/>
        <w:rPr>
          <w:sz w:val="20"/>
          <w:szCs w:val="20"/>
          <w:color w:val="auto"/>
        </w:rPr>
      </w:pPr>
      <w:r>
        <w:rPr>
          <w:rFonts w:ascii="Arial" w:cs="Arial" w:eastAsia="Arial" w:hAnsi="Arial"/>
          <w:sz w:val="17"/>
          <w:szCs w:val="17"/>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7"/>
          <w:szCs w:val="17"/>
          <w:i w:val="1"/>
          <w:iCs w:val="1"/>
          <w:color w:val="auto"/>
        </w:rPr>
        <w:t>minimum required asset</w:t>
      </w:r>
      <w:r>
        <w:rPr>
          <w:rFonts w:ascii="Arial" w:cs="Arial" w:eastAsia="Arial" w:hAnsi="Arial"/>
          <w:sz w:val="17"/>
          <w:szCs w:val="17"/>
          <w:color w:val="auto"/>
        </w:rPr>
        <w:t xml:space="preserve"> thresholds under the PMIERs. See "</w:t>
      </w:r>
      <w:r>
        <w:rPr>
          <w:rFonts w:ascii="Arial" w:cs="Arial" w:eastAsia="Arial" w:hAnsi="Arial"/>
          <w:sz w:val="17"/>
          <w:szCs w:val="17"/>
          <w:i w:val="1"/>
          <w:iCs w:val="1"/>
          <w:color w:val="auto"/>
        </w:rPr>
        <w:t>- GSE Oversight</w:t>
      </w:r>
      <w:r>
        <w:rPr>
          <w:rFonts w:ascii="Arial" w:cs="Arial" w:eastAsia="Arial" w:hAnsi="Arial"/>
          <w:sz w:val="17"/>
          <w:szCs w:val="17"/>
          <w:color w:val="auto"/>
        </w:rPr>
        <w:t>," above. To the extent that the funds generated by our ongoing operations and capitalization are insufficient to fund future operating requirements, we may need to raise additional funds through financing activities or curtail our growth and reduce our expenses. We may choose to generate additional liquidity through the issuance of a combination of debt or equity securities, as well as consider our reinsurance options. Any such future capital raise would be conducted by means of a separate prospectus or other appropriate offering document and not by means of this report.</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expense-sharing arrangements between NMIH and its insurance subsidiaries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2014, NMIC cannot pay any dividends to NMIH through December 31, 2015, without the prior approval of the Wisconsin OCI. Additionally, under agreements with the GSEs, NMIC is not permitted to pay shareholder dividends until December 31, 2015 and, under agreements with various state insurance regulators, is not permitted to pay shareholder dividends until January 2016. Other states in which NMIC is licensed also restrict its ability to pay dividends.</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much slower rate than revenues over the coming years. As we anticipate an increase in our volume of MI business, we expect to see our underwriting and sales costs increase; however, we expect to be able to manage our "back-office" corporate related costs (i.e., management, finance, legal, risk and information technology) as these areas of our business are already substantially developed to support our revenue generating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investment income for the three months ended March 31, 2015 was $1.6 million compared to $1.5 million for the three months ended March 31, 2014. As of March 31, 2015, we believe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Consistent with Wisconsin law, our investment policies emphasize preservation of capital, as well as total return. Based on our investment policy guidelines, our investment portfolio is comprised almost entirely of cash and cash equivalents and fixed-income securities, all of which are investment grade.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pre-tax book yield on our portfolio at March 31, 2015 was 0.6%, excluding unrealized gains and losses. The book yield is calculated on our year-to-date net investment income over our average portfolio book value at March 31, 2015. We believe that the yield on our investment portfolio likely will change over time based on potential changes to the interest rate environment, the duration or mix of our investment portfolio or other factors.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23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4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60" w:type="dxa"/>
            <w:vAlign w:val="bottom"/>
          </w:tcPr>
          <w:p>
            <w:pPr>
              <w:ind w:left="40"/>
              <w:spacing w:after="0"/>
              <w:rPr>
                <w:sz w:val="20"/>
                <w:szCs w:val="20"/>
                <w:color w:val="auto"/>
              </w:rPr>
            </w:pPr>
            <w:r>
              <w:rPr>
                <w:rFonts w:ascii="Arial" w:cs="Arial" w:eastAsia="Arial" w:hAnsi="Arial"/>
                <w:sz w:val="18"/>
                <w:szCs w:val="18"/>
                <w:color w:val="auto"/>
              </w:rPr>
              <w:t>2.</w:t>
            </w:r>
          </w:p>
        </w:tc>
        <w:tc>
          <w:tcPr>
            <w:tcW w:w="5200" w:type="dxa"/>
            <w:vAlign w:val="bottom"/>
          </w:tcPr>
          <w:p>
            <w:pPr>
              <w:ind w:left="100"/>
              <w:spacing w:after="0"/>
              <w:rPr>
                <w:sz w:val="20"/>
                <w:szCs w:val="20"/>
                <w:color w:val="auto"/>
              </w:rPr>
            </w:pPr>
            <w:r>
              <w:rPr>
                <w:rFonts w:ascii="Arial" w:cs="Arial" w:eastAsia="Arial" w:hAnsi="Arial"/>
                <w:sz w:val="18"/>
                <w:szCs w:val="18"/>
                <w:color w:val="auto"/>
                <w:w w:val="92"/>
              </w:rPr>
              <w:t>U.S. treasury securities and obligations of U.S. government agencies</w:t>
            </w:r>
          </w:p>
        </w:tc>
        <w:tc>
          <w:tcPr>
            <w:tcW w:w="4060" w:type="dxa"/>
            <w:vAlign w:val="bottom"/>
            <w:gridSpan w:val="2"/>
          </w:tcPr>
          <w:p>
            <w:pPr>
              <w:jc w:val="right"/>
              <w:ind w:right="9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Asset-backed securities</w:t>
            </w:r>
          </w:p>
        </w:tc>
        <w:tc>
          <w:tcPr>
            <w:tcW w:w="40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60" w:type="dxa"/>
            <w:vAlign w:val="bottom"/>
          </w:tcPr>
          <w:p>
            <w:pPr>
              <w:ind w:left="40"/>
              <w:spacing w:after="0"/>
              <w:rPr>
                <w:sz w:val="20"/>
                <w:szCs w:val="20"/>
                <w:color w:val="auto"/>
              </w:rPr>
            </w:pPr>
            <w:r>
              <w:rPr>
                <w:rFonts w:ascii="Arial" w:cs="Arial" w:eastAsia="Arial" w:hAnsi="Arial"/>
                <w:sz w:val="18"/>
                <w:szCs w:val="18"/>
                <w:color w:val="auto"/>
              </w:rPr>
              <w:t>4.</w:t>
            </w:r>
          </w:p>
        </w:tc>
        <w:tc>
          <w:tcPr>
            <w:tcW w:w="52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4060" w:type="dxa"/>
            <w:vAlign w:val="bottom"/>
            <w:gridSpan w:val="2"/>
          </w:tcPr>
          <w:p>
            <w:pPr>
              <w:jc w:val="right"/>
              <w:ind w:right="9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Municipal debt securities</w:t>
            </w:r>
          </w:p>
        </w:tc>
        <w:tc>
          <w:tcPr>
            <w:tcW w:w="2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00" w:type="dxa"/>
            <w:vAlign w:val="bottom"/>
            <w:vMerge w:val="restart"/>
          </w:tcPr>
          <w:p>
            <w:pPr>
              <w:jc w:val="right"/>
              <w:ind w:right="1870"/>
              <w:spacing w:after="0"/>
              <w:rPr>
                <w:sz w:val="20"/>
                <w:szCs w:val="20"/>
                <w:color w:val="auto"/>
              </w:rPr>
            </w:pPr>
            <w:r>
              <w:rPr>
                <w:rFonts w:ascii="Arial" w:cs="Arial" w:eastAsia="Arial" w:hAnsi="Arial"/>
                <w:sz w:val="18"/>
                <w:szCs w:val="18"/>
                <w:color w:val="auto"/>
              </w:rPr>
              <w:t>31</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ratings of our investment portfolio were: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2015</w:t>
            </w:r>
          </w:p>
        </w:tc>
        <w:tc>
          <w:tcPr>
            <w:tcW w:w="178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8</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ratings above are provided by one or more of: Moody's, Standard &amp; Poor's and Fitch Ratings. If three ratings are available, we assign the middle rating for classification purposes, otherwise we assign the lowest 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a U.S. taxpayer and are subject to a statutory U.S. federal corporate income tax rate of approximately 35%. Our holding company files a consolidated U.S. federal and various state income tax returns on behalf of itself and its subsidiaries. Our effective income tax rate on our pre-tax loss was 3.0% for the three months ended March 31, 2015 and 0.0% for the three months ended March 31, 2014. For further information regarding income taxes and their impact on our results of operations and financial position, see, Item 1, </w:t>
      </w:r>
      <w:r>
        <w:rPr>
          <w:rFonts w:ascii="Arial" w:cs="Arial" w:eastAsia="Arial" w:hAnsi="Arial"/>
          <w:sz w:val="18"/>
          <w:szCs w:val="18"/>
          <w:i w:val="1"/>
          <w:iCs w:val="1"/>
          <w:color w:val="auto"/>
        </w:rPr>
        <w:t>"Financial Statements and Supplementary Data -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7, Income Taxes."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a tax sharing agreement between NMIH and its subsidiaries, each of the parties mutually agreed to file a consolidated federal income tax return with NMIH as the direct tax filer. The tax liability of each insurer that is party to the agreement is limited to the amount of liability it would incur if it filed a separate tax return. Any settlements under the agreement between NMIH and a subsidiary will be made within 30 days of the filing of the applicable federal corporate income tax return with the IRS, including subsequent amended filings and IRS adjustments, except when a refund is due to a subsidiary, in which case payment shall be made to the insurer within 30 days after NMIH's receipt of the applicable tax refund.</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As the Company has limited history, management is unable to provide a basis to conclude that it is more-likely-than-not that the results of future operations will generate sufficient taxable income. If the valuation allowance is reduced in the future, we would recognize an income tax benefit associated primarily with the carry forward of federal net operating losses and future share-based compensation tax deductions.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no off-balance sheet arrangements at March 31, 2015. There are no material changes outside the ordinary course of business in the contractual obligations specified in our 2014 Form 10-K.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assumptions and estimates associated with revenue recognition, fair value measurements, our investment portfolio, deferred policy acquisition costs, income taxes, reserves for insurance claims and claims expenses, warrants and share-based compensation have the greatest potential impact on our consolidated financial statements. Therefore, we consider these to be our critical accounting estimates.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year ended December 31, 2014.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and manage a large portfolio of various holdings, types and maturities. Investment income is one of our primary sources of cash flow supporting operations and claim payments. The assets within the investment portfolio are exposed to the same factors that affect overall financial market performance.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w:t>
      </w:r>
    </w:p>
    <w:p>
      <w:pPr>
        <w:spacing w:after="0" w:line="8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March 31, 2015 and December 31, 2014 was $368 million and $337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2015, the duration of our fixed income portfolio, including cash and cash equivalents, was 3.26 years, which means that an instantaneous parallel shift (movement up or down) in the yield curve of 100 basis points would result in a change of 3.26% in fair value of our fixed income portfolio. Excluding cash, our fixed income portfolio duration was 3.66 years, which means that an instantaneous parallel shift (movement up or down) in the yield curve of 100 basis points would result in a change of 3.66% in fair value of our fixed income portfolio.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2015,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March 31, 2015,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are not a party to any pending legal proceedings. We may in the future become subject to lawsuits and claims arising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2014 (Form 10-K). We are not aware of any material changes in our risk factors from the risk factors disclosed in our Form 10-K. You should carefully consider the risks described herein and in our Form 10-K, which could materially and negatively affect our business, financial condition and/or operating results. The risks described herein and in our Form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May 5, 2015</w:t>
      </w:r>
      <w:r>
        <w:rPr>
          <w:sz w:val="20"/>
          <w:szCs w:val="20"/>
          <w:color w:val="auto"/>
        </w:rPr>
        <w:tab/>
      </w:r>
      <w:r>
        <w:rPr>
          <w:rFonts w:ascii="Arial" w:cs="Arial" w:eastAsia="Arial" w:hAnsi="Arial"/>
          <w:sz w:val="17"/>
          <w:szCs w:val="17"/>
          <w:color w:val="auto"/>
        </w:rPr>
        <w:t>By: /s/ Glenn M. Farrell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Glenn M. Farrell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240" w:top="1012" w:right="7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32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7"/>
          <w:szCs w:val="17"/>
          <w:color w:val="auto"/>
        </w:rPr>
        <w:t>Employment Agreement by and between NMI Holdings, Inc. and Bradley M. Shuster, dated March 6, 2012 (incorporated herein by reference to Exhibit 10.8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342" w:lineRule="auto"/>
        <w:tabs>
          <w:tab w:leader="none" w:pos="114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6"/>
          <w:szCs w:val="16"/>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10.10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Employment Agreement by and between NMI Holdings, Inc. and Jay M. Sherwood, dated March 6, 2012 (incorporated herein by reference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to Exhibit 10.10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Letter Agreement by and between NMI Holdings, Inc. and Stanley M. Pachura, dated April 26, 2012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10.12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10.13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Letter Agreement by and between NMI Holdings, Inc. and Stanley M. Pachura, dated as of January 19, 2015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January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Offer Letter by and between NMI Holdings, Inc. and Glenn Farrell, effective December 4, 2014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 to our Form 8-K, filed on December 9,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10.17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10.18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Subsidiaries of NMI Holdings, Inc. (incorporated herein by reference to Exhibit 21.1 to our Form S-1 Registration Statement (Registration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Letter, dated January 15, 2013, from Freddie Mac to National Mortgage Insurance Corporation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99.1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National Mortgage Insurance Corporation (incorporated herein by reference to Exhibit 99.2 to our Form S-1 Registration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60" w:right="44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March 31, 2015, formatted in XBRL (eXtensible Business Reporting Language):</w:t>
      </w:r>
    </w:p>
    <w:p>
      <w:pPr>
        <w:spacing w:after="0" w:line="1" w:lineRule="exact"/>
        <w:rPr>
          <w:sz w:val="20"/>
          <w:szCs w:val="20"/>
          <w:color w:val="auto"/>
        </w:rPr>
      </w:pPr>
    </w:p>
    <w:p>
      <w:pPr>
        <w:ind w:left="1360" w:hanging="21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Balance Sheets as of March 31, 2015 and December 31, 2014</w:t>
      </w:r>
    </w:p>
    <w:p>
      <w:pPr>
        <w:spacing w:after="0" w:line="9" w:lineRule="exact"/>
        <w:rPr>
          <w:rFonts w:ascii="Arial" w:cs="Arial" w:eastAsia="Arial" w:hAnsi="Arial"/>
          <w:sz w:val="18"/>
          <w:szCs w:val="18"/>
          <w:color w:val="auto"/>
        </w:rPr>
      </w:pPr>
    </w:p>
    <w:p>
      <w:pPr>
        <w:ind w:left="1420" w:hanging="27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three months ended March 31, 2015 and 2014</w:t>
      </w:r>
    </w:p>
    <w:p>
      <w:pPr>
        <w:spacing w:after="0" w:line="9" w:lineRule="exact"/>
        <w:rPr>
          <w:rFonts w:ascii="Arial" w:cs="Arial" w:eastAsia="Arial" w:hAnsi="Arial"/>
          <w:sz w:val="18"/>
          <w:szCs w:val="18"/>
          <w:color w:val="auto"/>
        </w:rPr>
      </w:pPr>
    </w:p>
    <w:p>
      <w:pPr>
        <w:ind w:left="1700" w:right="2280" w:hanging="550"/>
        <w:spacing w:after="0" w:line="250" w:lineRule="auto"/>
        <w:tabs>
          <w:tab w:leader="none" w:pos="1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three months ended March 31, 2015 and the year ended December 31, 2014</w:t>
      </w:r>
    </w:p>
    <w:p>
      <w:pPr>
        <w:ind w:left="1460" w:hanging="310"/>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2015 and 2014, and</w:t>
      </w:r>
    </w:p>
    <w:p>
      <w:pPr>
        <w:spacing w:after="0" w:line="9" w:lineRule="exact"/>
        <w:rPr>
          <w:rFonts w:ascii="Arial" w:cs="Arial" w:eastAsia="Arial" w:hAnsi="Arial"/>
          <w:sz w:val="18"/>
          <w:szCs w:val="18"/>
          <w:color w:val="auto"/>
        </w:rPr>
      </w:pPr>
    </w:p>
    <w:p>
      <w:pPr>
        <w:ind w:left="1400" w:hanging="250"/>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38" w:name="page39"/>
    <w:bookmarkEnd w:id="38"/>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221" w:hanging="221"/>
        <w:spacing w:after="0" w:line="278" w:lineRule="auto"/>
        <w:tabs>
          <w:tab w:leader="none" w:pos="2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51" w:right="339" w:bottom="1440" w:gutter="0" w:footer="0" w:header="0"/>
        </w:sectPr>
      </w:pPr>
    </w:p>
    <w:bookmarkStart w:id="39" w:name="page40"/>
    <w:bookmarkEnd w:id="39"/>
    <w:p>
      <w:pPr>
        <w:ind w:left="1028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2015</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0" w:name="page41"/>
    <w:bookmarkEnd w:id="40"/>
    <w:p>
      <w:pPr>
        <w:ind w:left="1028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2015</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2015,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2015</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2015</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2019-12-29T16:54:37Z</dcterms:created>
  <dcterms:modified xsi:type="dcterms:W3CDTF">2019-12-29T16:54:37Z</dcterms:modified>
</cp:coreProperties>
</file>