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auto"/>
        </w:rPr>
        <w:t>(Mark One)</w:t>
      </w:r>
    </w:p>
    <w:p>
      <w:pPr>
        <w:spacing w:after="0" w:line="52" w:lineRule="exact"/>
        <w:rPr>
          <w:sz w:val="24"/>
          <w:szCs w:val="24"/>
          <w:color w:val="auto"/>
        </w:rPr>
      </w:pPr>
    </w:p>
    <w:p>
      <w:pPr>
        <w:ind w:left="680" w:hanging="646"/>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83"/>
        </w:trPr>
        <w:tc>
          <w:tcPr>
            <w:tcW w:w="320" w:type="dxa"/>
            <w:vAlign w:val="bottom"/>
          </w:tcPr>
          <w:p>
            <w:pPr>
              <w:spacing w:after="0"/>
              <w:rPr>
                <w:sz w:val="15"/>
                <w:szCs w:val="15"/>
                <w:color w:val="auto"/>
              </w:rPr>
            </w:pPr>
          </w:p>
        </w:tc>
        <w:tc>
          <w:tcPr>
            <w:tcW w:w="20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For the fiscal year ended</w:t>
            </w:r>
          </w:p>
        </w:tc>
        <w:tc>
          <w:tcPr>
            <w:tcW w:w="6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4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14"/>
                <w:szCs w:val="14"/>
                <w:color w:val="auto"/>
              </w:rPr>
              <w:t>OR</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20" w:type="dxa"/>
            <w:vAlign w:val="bottom"/>
            <w:vMerge w:val="restart"/>
          </w:tcPr>
          <w:p>
            <w:pPr>
              <w:spacing w:after="0" w:line="171" w:lineRule="exact"/>
              <w:rPr>
                <w:sz w:val="20"/>
                <w:szCs w:val="20"/>
                <w:color w:val="auto"/>
              </w:rPr>
            </w:pPr>
            <w:r>
              <w:rPr>
                <w:rFonts w:ascii="MS PGothic" w:cs="MS PGothic" w:eastAsia="MS PGothic" w:hAnsi="MS PGothic"/>
                <w:sz w:val="17"/>
                <w:szCs w:val="17"/>
                <w:color w:val="auto"/>
              </w:rPr>
              <w:t>☐</w:t>
            </w:r>
          </w:p>
        </w:tc>
        <w:tc>
          <w:tcPr>
            <w:tcW w:w="10300" w:type="dxa"/>
            <w:vAlign w:val="bottom"/>
            <w:gridSpan w:val="9"/>
          </w:tcPr>
          <w:p>
            <w:pPr>
              <w:ind w:left="320"/>
              <w:spacing w:after="0"/>
              <w:rPr>
                <w:sz w:val="20"/>
                <w:szCs w:val="20"/>
                <w:color w:val="auto"/>
              </w:rPr>
            </w:pPr>
            <w:r>
              <w:rPr>
                <w:rFonts w:ascii="Times New Roman" w:cs="Times New Roman" w:eastAsia="Times New Roman" w:hAnsi="Times New Roman"/>
                <w:sz w:val="14"/>
                <w:szCs w:val="14"/>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15"/>
        </w:trPr>
        <w:tc>
          <w:tcPr>
            <w:tcW w:w="320" w:type="dxa"/>
            <w:vAlign w:val="bottom"/>
            <w:vMerge w:val="continue"/>
          </w:tcPr>
          <w:p>
            <w:pPr>
              <w:spacing w:after="0"/>
              <w:rPr>
                <w:sz w:val="18"/>
                <w:szCs w:val="18"/>
                <w:color w:val="auto"/>
              </w:rPr>
            </w:pP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w w:val="99"/>
              </w:rPr>
              <w:t>For the transition period from</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w:t>
            </w: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14"/>
                <w:szCs w:val="14"/>
                <w:color w:val="auto"/>
                <w:w w:val="98"/>
              </w:rPr>
              <w:t xml:space="preserve">Commission file number </w:t>
            </w:r>
            <w:r>
              <w:rPr>
                <w:rFonts w:ascii="Times New Roman" w:cs="Times New Roman" w:eastAsia="Times New Roman" w:hAnsi="Times New Roman"/>
                <w:sz w:val="14"/>
                <w:szCs w:val="14"/>
                <w:b w:val="1"/>
                <w:bCs w:val="1"/>
                <w:color w:val="auto"/>
                <w:w w:val="98"/>
              </w:rPr>
              <w:t>001-36174</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4"/>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tcPr>
          <w:p>
            <w:pPr>
              <w:jc w:val="center"/>
              <w:ind w:left="81"/>
              <w:spacing w:after="0"/>
              <w:rPr>
                <w:sz w:val="20"/>
                <w:szCs w:val="20"/>
                <w:color w:val="auto"/>
              </w:rPr>
            </w:pPr>
            <w:r>
              <w:rPr>
                <w:rFonts w:ascii="Times New Roman" w:cs="Times New Roman" w:eastAsia="Times New Roman" w:hAnsi="Times New Roman"/>
                <w:sz w:val="31"/>
                <w:szCs w:val="31"/>
                <w:b w:val="1"/>
                <w:bCs w:val="1"/>
                <w:color w:val="auto"/>
                <w:w w:val="99"/>
              </w:rPr>
              <w:t>NMI Holdings, Inc.</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40" w:type="dxa"/>
            <w:vAlign w:val="bottom"/>
          </w:tcPr>
          <w:p>
            <w:pPr>
              <w:jc w:val="center"/>
              <w:ind w:left="81"/>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560" w:type="dxa"/>
            <w:vAlign w:val="bottom"/>
            <w:gridSpan w:val="3"/>
          </w:tcPr>
          <w:p>
            <w:pPr>
              <w:jc w:val="right"/>
              <w:ind w:right="2131"/>
              <w:spacing w:after="0"/>
              <w:rPr>
                <w:sz w:val="20"/>
                <w:szCs w:val="20"/>
                <w:color w:val="auto"/>
              </w:rPr>
            </w:pPr>
            <w:r>
              <w:rPr>
                <w:rFonts w:ascii="Times New Roman" w:cs="Times New Roman" w:eastAsia="Times New Roman" w:hAnsi="Times New Roman"/>
                <w:sz w:val="14"/>
                <w:szCs w:val="14"/>
                <w:b w:val="1"/>
                <w:bCs w:val="1"/>
                <w:color w:val="auto"/>
              </w:rPr>
              <w:t>45-4914248</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720" w:type="dxa"/>
            <w:vAlign w:val="bottom"/>
            <w:gridSpan w:val="5"/>
          </w:tcPr>
          <w:p>
            <w:pPr>
              <w:jc w:val="center"/>
              <w:ind w:right="2041"/>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tc>
        <w:tc>
          <w:tcPr>
            <w:tcW w:w="3560" w:type="dxa"/>
            <w:vAlign w:val="bottom"/>
            <w:gridSpan w:val="3"/>
          </w:tcPr>
          <w:p>
            <w:pPr>
              <w:jc w:val="center"/>
              <w:ind w:right="1431"/>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c>
          <w:tcPr>
            <w:tcW w:w="0" w:type="dxa"/>
            <w:vAlign w:val="bottom"/>
          </w:tcPr>
          <w:p>
            <w:pPr>
              <w:spacing w:after="0"/>
              <w:rPr>
                <w:sz w:val="1"/>
                <w:szCs w:val="1"/>
                <w:color w:val="auto"/>
              </w:rPr>
            </w:pPr>
          </w:p>
        </w:tc>
      </w:tr>
      <w:tr>
        <w:trPr>
          <w:trHeight w:val="291"/>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2100 Powell Street ,</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Emeryville ,  CA</w:t>
            </w:r>
          </w:p>
        </w:tc>
        <w:tc>
          <w:tcPr>
            <w:tcW w:w="3560" w:type="dxa"/>
            <w:vAlign w:val="bottom"/>
            <w:gridSpan w:val="3"/>
          </w:tcPr>
          <w:p>
            <w:pPr>
              <w:jc w:val="right"/>
              <w:ind w:right="2291"/>
              <w:spacing w:after="0"/>
              <w:rPr>
                <w:sz w:val="20"/>
                <w:szCs w:val="20"/>
                <w:color w:val="auto"/>
              </w:rPr>
            </w:pPr>
            <w:r>
              <w:rPr>
                <w:rFonts w:ascii="Times New Roman" w:cs="Times New Roman" w:eastAsia="Times New Roman" w:hAnsi="Times New Roman"/>
                <w:sz w:val="14"/>
                <w:szCs w:val="14"/>
                <w:b w:val="1"/>
                <w:bCs w:val="1"/>
                <w:color w:val="auto"/>
              </w:rPr>
              <w:t>94608</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720" w:type="dxa"/>
            <w:vAlign w:val="bottom"/>
            <w:gridSpan w:val="5"/>
          </w:tcPr>
          <w:p>
            <w:pPr>
              <w:jc w:val="center"/>
              <w:ind w:right="204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60" w:type="dxa"/>
            <w:vAlign w:val="bottom"/>
          </w:tcPr>
          <w:p>
            <w:pPr>
              <w:spacing w:after="0"/>
              <w:rPr>
                <w:sz w:val="15"/>
                <w:szCs w:val="15"/>
                <w:color w:val="auto"/>
              </w:rPr>
            </w:pPr>
          </w:p>
        </w:tc>
        <w:tc>
          <w:tcPr>
            <w:tcW w:w="3400" w:type="dxa"/>
            <w:vAlign w:val="bottom"/>
            <w:gridSpan w:val="2"/>
          </w:tcPr>
          <w:p>
            <w:pPr>
              <w:jc w:val="center"/>
              <w:ind w:right="1611"/>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0" w:type="dxa"/>
            <w:vAlign w:val="bottom"/>
          </w:tcPr>
          <w:p>
            <w:pPr>
              <w:spacing w:after="0"/>
              <w:rPr>
                <w:sz w:val="1"/>
                <w:szCs w:val="1"/>
                <w:color w:val="auto"/>
              </w:rPr>
            </w:pPr>
          </w:p>
        </w:tc>
      </w:tr>
      <w:tr>
        <w:trPr>
          <w:trHeight w:val="474"/>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40" w:type="dxa"/>
            <w:vAlign w:val="bottom"/>
            <w:gridSpan w:val="2"/>
          </w:tcPr>
          <w:p>
            <w:pPr>
              <w:jc w:val="center"/>
              <w:ind w:left="471"/>
              <w:spacing w:after="0"/>
              <w:rPr>
                <w:sz w:val="20"/>
                <w:szCs w:val="20"/>
                <w:color w:val="auto"/>
              </w:rPr>
            </w:pPr>
            <w:r>
              <w:rPr>
                <w:rFonts w:ascii="Times New Roman" w:cs="Times New Roman" w:eastAsia="Times New Roman" w:hAnsi="Times New Roman"/>
                <w:sz w:val="14"/>
                <w:szCs w:val="14"/>
                <w:b w:val="1"/>
                <w:bCs w:val="1"/>
                <w:color w:val="auto"/>
                <w:w w:val="98"/>
              </w:rPr>
              <w:t>(855) 530-6642</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0" w:type="dxa"/>
            <w:vAlign w:val="bottom"/>
            <w:gridSpan w:val="5"/>
          </w:tcPr>
          <w:p>
            <w:pPr>
              <w:jc w:val="center"/>
              <w:ind w:right="2971"/>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12(b) of the Act:</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300" w:type="dxa"/>
            <w:vAlign w:val="bottom"/>
            <w:gridSpan w:val="4"/>
          </w:tcPr>
          <w:p>
            <w:pPr>
              <w:jc w:val="center"/>
              <w:ind w:right="151"/>
              <w:spacing w:after="0"/>
              <w:rPr>
                <w:sz w:val="20"/>
                <w:szCs w:val="20"/>
                <w:color w:val="auto"/>
              </w:rPr>
            </w:pPr>
            <w:r>
              <w:rPr>
                <w:rFonts w:ascii="Times New Roman" w:cs="Times New Roman" w:eastAsia="Times New Roman" w:hAnsi="Times New Roman"/>
                <w:sz w:val="14"/>
                <w:szCs w:val="14"/>
                <w:color w:val="auto"/>
                <w:w w:val="98"/>
              </w:rPr>
              <w:t>Class A Common Stock, $.01 par value per share</w:t>
            </w:r>
          </w:p>
        </w:tc>
        <w:tc>
          <w:tcPr>
            <w:tcW w:w="400" w:type="dxa"/>
            <w:vAlign w:val="bottom"/>
          </w:tcPr>
          <w:p>
            <w:pPr>
              <w:spacing w:after="0"/>
              <w:rPr>
                <w:sz w:val="17"/>
                <w:szCs w:val="17"/>
                <w:color w:val="auto"/>
              </w:rPr>
            </w:pP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14"/>
                <w:szCs w:val="14"/>
                <w:color w:val="auto"/>
                <w:w w:val="96"/>
              </w:rPr>
              <w:t>NMIH</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NASDAQ</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None</w:t>
      </w:r>
    </w:p>
    <w:p>
      <w:pPr>
        <w:spacing w:after="0" w:line="74" w:lineRule="exact"/>
        <w:rPr>
          <w:sz w:val="24"/>
          <w:szCs w:val="24"/>
          <w:color w:val="auto"/>
        </w:rPr>
      </w:pPr>
    </w:p>
    <w:p>
      <w:pPr>
        <w:ind w:right="3960"/>
        <w:spacing w:after="0" w:line="27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w:t>
      </w: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6"/>
          <w:szCs w:val="16"/>
          <w:color w:val="auto"/>
        </w:rPr>
        <w:t>☒</w:t>
      </w:r>
    </w:p>
    <w:p>
      <w:pPr>
        <w:spacing w:after="0" w:line="6"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p>
    <w:p>
      <w:pPr>
        <w:spacing w:after="0" w:line="5"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p>
    <w:p>
      <w:pPr>
        <w:spacing w:after="0" w:line="5"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1560" w:type="dxa"/>
        <w:tblCellMar>
          <w:top w:w="0" w:type="dxa"/>
          <w:left w:w="0" w:type="dxa"/>
          <w:bottom w:w="0" w:type="dxa"/>
          <w:right w:w="0" w:type="dxa"/>
        </w:tblCellMar>
      </w:tblPr>
      <w:tr>
        <w:trPr>
          <w:trHeight w:val="220"/>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820" w:type="dxa"/>
            <w:vAlign w:val="bottom"/>
          </w:tcPr>
          <w:p>
            <w:pPr>
              <w:ind w:left="92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Accelerated filer</w:t>
            </w:r>
          </w:p>
        </w:tc>
        <w:tc>
          <w:tcPr>
            <w:tcW w:w="96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0"/>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820" w:type="dxa"/>
            <w:vAlign w:val="bottom"/>
          </w:tcPr>
          <w:p>
            <w:pPr>
              <w:ind w:left="92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6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90"/>
        </w:trPr>
        <w:tc>
          <w:tcPr>
            <w:tcW w:w="2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Emerging growth company</w:t>
            </w:r>
          </w:p>
        </w:tc>
        <w:tc>
          <w:tcPr>
            <w:tcW w:w="96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34"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5"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5"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96" w:lineRule="exact"/>
        <w:tabs>
          <w:tab w:leader="none" w:pos="62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3"/>
          <w:szCs w:val="13"/>
          <w:b w:val="1"/>
          <w:bCs w:val="1"/>
          <w:color w:val="auto"/>
        </w:rPr>
        <w:t xml:space="preserve">No </w:t>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As of June 30, 2023, the last business day of the registrant's most recently completed second fiscal quarter, the calculated aggregate market value of common stock held by non-affiliates was 1,710,584,967.</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common stock, $0.01 par value per share, of the registrant outstanding on February 9, 2024 was 80,879,843 shares.</w:t>
      </w:r>
    </w:p>
    <w:p>
      <w:pPr>
        <w:spacing w:after="0" w:line="10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Portions of the registrant's Proxy Statement for the 2024 Annual Meeting of Stockholders are incorporated herein by reference in Part III of this Annual Report on Form 10-K to the extent stated herein.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Such Proxy Statement will be filed with the Securities and Exchange Commission within 120 days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449580</wp:posOffset>
            </wp:positionV>
            <wp:extent cx="716343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gridSpan w:val="7"/>
          </w:tcPr>
          <w:p>
            <w:pPr>
              <w:ind w:left="4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1"/>
        </w:trPr>
        <w:tc>
          <w:tcPr>
            <w:tcW w:w="20" w:type="dxa"/>
            <w:vAlign w:val="bottom"/>
            <w:shd w:val="clear" w:color="auto" w:fill="CCEEFF"/>
          </w:tcPr>
          <w:p>
            <w:pPr>
              <w:spacing w:after="0"/>
              <w:rPr>
                <w:sz w:val="15"/>
                <w:szCs w:val="15"/>
                <w:color w:val="auto"/>
              </w:rPr>
            </w:pPr>
          </w:p>
        </w:tc>
        <w:tc>
          <w:tcPr>
            <w:tcW w:w="8760" w:type="dxa"/>
            <w:vAlign w:val="bottom"/>
            <w:gridSpan w:val="21"/>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tc>
        <w:tc>
          <w:tcPr>
            <w:tcW w:w="2360" w:type="dxa"/>
            <w:vAlign w:val="bottom"/>
            <w:gridSpan w:val="3"/>
            <w:shd w:val="clear" w:color="auto" w:fill="CCEEFF"/>
          </w:tcPr>
          <w:p>
            <w:pPr>
              <w:spacing w:after="0"/>
              <w:rPr>
                <w:sz w:val="15"/>
                <w:szCs w:val="15"/>
                <w:color w:val="auto"/>
              </w:rPr>
            </w:pPr>
          </w:p>
        </w:tc>
        <w:tc>
          <w:tcPr>
            <w:tcW w:w="10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70"/>
              </w:rPr>
              <w:t>3</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PART I</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60" w:type="dxa"/>
            <w:vAlign w:val="bottom"/>
            <w:gridSpan w:val="3"/>
          </w:tcPr>
          <w:p>
            <w:pPr>
              <w:spacing w:after="0"/>
              <w:rPr>
                <w:sz w:val="15"/>
                <w:szCs w:val="15"/>
                <w:color w:val="auto"/>
              </w:rPr>
            </w:pPr>
          </w:p>
        </w:tc>
        <w:tc>
          <w:tcPr>
            <w:tcW w:w="1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70"/>
              </w:rPr>
              <w:t>5</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w:t>
            </w:r>
          </w:p>
        </w:tc>
        <w:tc>
          <w:tcPr>
            <w:tcW w:w="7720" w:type="dxa"/>
            <w:vAlign w:val="bottom"/>
            <w:gridSpan w:val="1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Business</w:t>
            </w:r>
          </w:p>
        </w:tc>
        <w:tc>
          <w:tcPr>
            <w:tcW w:w="2360" w:type="dxa"/>
            <w:vAlign w:val="bottom"/>
            <w:gridSpan w:val="3"/>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70"/>
              </w:rPr>
              <w:t>5</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1A.</w:t>
            </w:r>
          </w:p>
        </w:tc>
        <w:tc>
          <w:tcPr>
            <w:tcW w:w="7720" w:type="dxa"/>
            <w:vAlign w:val="bottom"/>
            <w:gridSpan w:val="19"/>
          </w:tcPr>
          <w:p>
            <w:pPr>
              <w:spacing w:after="0" w:line="181" w:lineRule="exact"/>
              <w:rPr>
                <w:sz w:val="20"/>
                <w:szCs w:val="20"/>
                <w:color w:val="auto"/>
              </w:rPr>
            </w:pPr>
            <w:r>
              <w:rPr>
                <w:rFonts w:ascii="Times New Roman" w:cs="Times New Roman" w:eastAsia="Times New Roman" w:hAnsi="Times New Roman"/>
                <w:sz w:val="17"/>
                <w:szCs w:val="17"/>
                <w:color w:val="0000FF"/>
              </w:rPr>
              <w:t>Risk Factors</w:t>
            </w: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30</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1B.</w:t>
            </w:r>
          </w:p>
        </w:tc>
        <w:tc>
          <w:tcPr>
            <w:tcW w:w="1960" w:type="dxa"/>
            <w:vAlign w:val="bottom"/>
            <w:gridSpan w:val="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Unresolved Staff Comments</w:t>
            </w:r>
          </w:p>
        </w:tc>
        <w:tc>
          <w:tcPr>
            <w:tcW w:w="5760" w:type="dxa"/>
            <w:vAlign w:val="bottom"/>
            <w:gridSpan w:val="10"/>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53</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1C.</w:t>
            </w:r>
          </w:p>
        </w:tc>
        <w:tc>
          <w:tcPr>
            <w:tcW w:w="196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Cybersecurity</w:t>
            </w:r>
          </w:p>
        </w:tc>
        <w:tc>
          <w:tcPr>
            <w:tcW w:w="5760" w:type="dxa"/>
            <w:vAlign w:val="bottom"/>
            <w:gridSpan w:val="10"/>
          </w:tcPr>
          <w:p>
            <w:pPr>
              <w:spacing w:after="0"/>
              <w:rPr>
                <w:sz w:val="15"/>
                <w:szCs w:val="15"/>
                <w:color w:val="auto"/>
              </w:rPr>
            </w:pP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53</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2.</w:t>
            </w:r>
          </w:p>
        </w:tc>
        <w:tc>
          <w:tcPr>
            <w:tcW w:w="760" w:type="dxa"/>
            <w:vAlign w:val="bottom"/>
            <w:tcBorders>
              <w:right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Properties</w:t>
            </w:r>
          </w:p>
        </w:tc>
        <w:tc>
          <w:tcPr>
            <w:tcW w:w="200" w:type="dxa"/>
            <w:vAlign w:val="bottom"/>
            <w:gridSpan w:val="2"/>
            <w:shd w:val="clear" w:color="auto" w:fill="CCEEFF"/>
          </w:tcPr>
          <w:p>
            <w:pPr>
              <w:spacing w:after="0"/>
              <w:rPr>
                <w:sz w:val="16"/>
                <w:szCs w:val="16"/>
                <w:color w:val="auto"/>
              </w:rPr>
            </w:pPr>
          </w:p>
        </w:tc>
        <w:tc>
          <w:tcPr>
            <w:tcW w:w="6760" w:type="dxa"/>
            <w:vAlign w:val="bottom"/>
            <w:gridSpan w:val="15"/>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53</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3.</w:t>
            </w:r>
          </w:p>
        </w:tc>
        <w:tc>
          <w:tcPr>
            <w:tcW w:w="126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0000FF"/>
                <w:w w:val="96"/>
              </w:rPr>
              <w:t>Legal Proceedings</w:t>
            </w:r>
          </w:p>
        </w:tc>
        <w:tc>
          <w:tcPr>
            <w:tcW w:w="6460" w:type="dxa"/>
            <w:vAlign w:val="bottom"/>
            <w:gridSpan w:val="14"/>
          </w:tcPr>
          <w:p>
            <w:pPr>
              <w:spacing w:after="0"/>
              <w:rPr>
                <w:sz w:val="15"/>
                <w:szCs w:val="15"/>
                <w:color w:val="auto"/>
              </w:rPr>
            </w:pP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54</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4.</w:t>
            </w:r>
          </w:p>
        </w:tc>
        <w:tc>
          <w:tcPr>
            <w:tcW w:w="1720" w:type="dxa"/>
            <w:vAlign w:val="bottom"/>
            <w:tcBorders>
              <w:right w:val="single" w:sz="8" w:color="CCEEFF"/>
            </w:tcBorders>
            <w:gridSpan w:val="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Mine Safety Disclosures</w:t>
            </w:r>
          </w:p>
        </w:tc>
        <w:tc>
          <w:tcPr>
            <w:tcW w:w="6000" w:type="dxa"/>
            <w:vAlign w:val="bottom"/>
            <w:gridSpan w:val="12"/>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54</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PART II</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55</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5.</w:t>
            </w:r>
          </w:p>
        </w:tc>
        <w:tc>
          <w:tcPr>
            <w:tcW w:w="7720" w:type="dxa"/>
            <w:vAlign w:val="bottom"/>
            <w:gridSpan w:val="1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55</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980" w:type="dxa"/>
            <w:vAlign w:val="bottom"/>
            <w:tcBorders>
              <w:righ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6.</w:t>
            </w:r>
          </w:p>
        </w:tc>
        <w:tc>
          <w:tcPr>
            <w:tcW w:w="7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6"/>
              </w:rPr>
              <w:t>[Reserved]</w:t>
            </w:r>
          </w:p>
        </w:tc>
        <w:tc>
          <w:tcPr>
            <w:tcW w:w="6960" w:type="dxa"/>
            <w:vAlign w:val="bottom"/>
            <w:gridSpan w:val="17"/>
          </w:tcPr>
          <w:p>
            <w:pPr>
              <w:spacing w:after="0"/>
              <w:rPr>
                <w:sz w:val="15"/>
                <w:szCs w:val="15"/>
                <w:color w:val="auto"/>
              </w:rPr>
            </w:pP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56</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7.</w:t>
            </w:r>
          </w:p>
        </w:tc>
        <w:tc>
          <w:tcPr>
            <w:tcW w:w="7720" w:type="dxa"/>
            <w:vAlign w:val="bottom"/>
            <w:gridSpan w:val="1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57</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980" w:type="dxa"/>
            <w:vAlign w:val="bottom"/>
            <w:tcBorders>
              <w:right w:val="single" w:sz="8" w:color="CCEEFF"/>
            </w:tcBorders>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7A.</w:t>
            </w:r>
          </w:p>
        </w:tc>
        <w:tc>
          <w:tcPr>
            <w:tcW w:w="418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gridSpan w:val="3"/>
          </w:tcPr>
          <w:p>
            <w:pPr>
              <w:spacing w:after="0"/>
              <w:rPr>
                <w:sz w:val="15"/>
                <w:szCs w:val="15"/>
                <w:color w:val="auto"/>
              </w:rPr>
            </w:pPr>
          </w:p>
        </w:tc>
        <w:tc>
          <w:tcPr>
            <w:tcW w:w="1520" w:type="dxa"/>
            <w:vAlign w:val="bottom"/>
            <w:gridSpan w:val="2"/>
          </w:tcPr>
          <w:p>
            <w:pPr>
              <w:spacing w:after="0"/>
              <w:rPr>
                <w:sz w:val="15"/>
                <w:szCs w:val="15"/>
                <w:color w:val="auto"/>
              </w:rPr>
            </w:pP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87</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8.</w:t>
            </w:r>
          </w:p>
        </w:tc>
        <w:tc>
          <w:tcPr>
            <w:tcW w:w="4180" w:type="dxa"/>
            <w:vAlign w:val="bottom"/>
            <w:gridSpan w:val="1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3540" w:type="dxa"/>
            <w:vAlign w:val="bottom"/>
            <w:gridSpan w:val="5"/>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88</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9.</w:t>
            </w:r>
          </w:p>
        </w:tc>
        <w:tc>
          <w:tcPr>
            <w:tcW w:w="7720" w:type="dxa"/>
            <w:vAlign w:val="bottom"/>
            <w:gridSpan w:val="19"/>
          </w:tcPr>
          <w:p>
            <w:pPr>
              <w:spacing w:after="0" w:line="181" w:lineRule="exact"/>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124</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980" w:type="dxa"/>
            <w:vAlign w:val="bottom"/>
            <w:tcBorders>
              <w:right w:val="single" w:sz="8" w:color="0000FF"/>
            </w:tcBorders>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9A.</w:t>
            </w:r>
          </w:p>
        </w:tc>
        <w:tc>
          <w:tcPr>
            <w:tcW w:w="1720" w:type="dxa"/>
            <w:vAlign w:val="bottom"/>
            <w:tcBorders>
              <w:right w:val="single" w:sz="8" w:color="CCEEFF"/>
            </w:tcBorders>
            <w:gridSpan w:val="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Controls and Procedures</w:t>
            </w:r>
          </w:p>
        </w:tc>
        <w:tc>
          <w:tcPr>
            <w:tcW w:w="4480" w:type="dxa"/>
            <w:vAlign w:val="bottom"/>
            <w:tcBorders>
              <w:right w:val="single" w:sz="8" w:color="CCEEFF"/>
            </w:tcBorders>
            <w:gridSpan w:val="10"/>
            <w:shd w:val="clear" w:color="auto" w:fill="CCEEFF"/>
          </w:tcPr>
          <w:p>
            <w:pPr>
              <w:spacing w:after="0"/>
              <w:rPr>
                <w:sz w:val="16"/>
                <w:szCs w:val="16"/>
                <w:color w:val="auto"/>
              </w:rPr>
            </w:pPr>
          </w:p>
        </w:tc>
        <w:tc>
          <w:tcPr>
            <w:tcW w:w="1520" w:type="dxa"/>
            <w:vAlign w:val="bottom"/>
            <w:gridSpan w:val="2"/>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3"/>
              </w:rPr>
              <w:t>124</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9B.</w:t>
            </w:r>
          </w:p>
        </w:tc>
        <w:tc>
          <w:tcPr>
            <w:tcW w:w="126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0000FF"/>
                <w:w w:val="98"/>
              </w:rPr>
              <w:t>Other Information</w:t>
            </w:r>
          </w:p>
        </w:tc>
        <w:tc>
          <w:tcPr>
            <w:tcW w:w="460" w:type="dxa"/>
            <w:vAlign w:val="bottom"/>
            <w:gridSpan w:val="2"/>
          </w:tcPr>
          <w:p>
            <w:pPr>
              <w:spacing w:after="0"/>
              <w:rPr>
                <w:sz w:val="15"/>
                <w:szCs w:val="15"/>
                <w:color w:val="auto"/>
              </w:rPr>
            </w:pPr>
          </w:p>
        </w:tc>
        <w:tc>
          <w:tcPr>
            <w:tcW w:w="6000" w:type="dxa"/>
            <w:vAlign w:val="bottom"/>
            <w:gridSpan w:val="12"/>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126</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9C.</w:t>
            </w:r>
          </w:p>
        </w:tc>
        <w:tc>
          <w:tcPr>
            <w:tcW w:w="4740" w:type="dxa"/>
            <w:vAlign w:val="bottom"/>
            <w:gridSpan w:val="1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2980" w:type="dxa"/>
            <w:vAlign w:val="bottom"/>
            <w:gridSpan w:val="4"/>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3"/>
              </w:rPr>
              <w:t>126</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PART III</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127</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10.</w:t>
            </w:r>
          </w:p>
        </w:tc>
        <w:tc>
          <w:tcPr>
            <w:tcW w:w="3920" w:type="dxa"/>
            <w:vAlign w:val="bottom"/>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3800" w:type="dxa"/>
            <w:vAlign w:val="bottom"/>
            <w:gridSpan w:val="6"/>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3"/>
              </w:rPr>
              <w:t>127</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11.</w:t>
            </w:r>
          </w:p>
        </w:tc>
        <w:tc>
          <w:tcPr>
            <w:tcW w:w="392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FF"/>
              </w:rPr>
              <w:t>Executive Compensation</w:t>
            </w:r>
          </w:p>
        </w:tc>
        <w:tc>
          <w:tcPr>
            <w:tcW w:w="3800" w:type="dxa"/>
            <w:vAlign w:val="bottom"/>
            <w:gridSpan w:val="6"/>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127</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12.</w:t>
            </w:r>
          </w:p>
        </w:tc>
        <w:tc>
          <w:tcPr>
            <w:tcW w:w="7720" w:type="dxa"/>
            <w:vAlign w:val="bottom"/>
            <w:gridSpan w:val="1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127</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980" w:type="dxa"/>
            <w:vAlign w:val="bottom"/>
            <w:tcBorders>
              <w:righ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13.</w:t>
            </w:r>
          </w:p>
        </w:tc>
        <w:tc>
          <w:tcPr>
            <w:tcW w:w="5220" w:type="dxa"/>
            <w:vAlign w:val="bottom"/>
            <w:gridSpan w:val="16"/>
          </w:tcPr>
          <w:p>
            <w:pPr>
              <w:spacing w:after="0" w:line="181" w:lineRule="exact"/>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7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127</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14.</w:t>
            </w:r>
          </w:p>
        </w:tc>
        <w:tc>
          <w:tcPr>
            <w:tcW w:w="2740" w:type="dxa"/>
            <w:vAlign w:val="bottom"/>
            <w:gridSpan w:val="10"/>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Principal Accountant Fees and Services</w:t>
            </w:r>
          </w:p>
        </w:tc>
        <w:tc>
          <w:tcPr>
            <w:tcW w:w="2480" w:type="dxa"/>
            <w:vAlign w:val="bottom"/>
            <w:gridSpan w:val="6"/>
            <w:shd w:val="clear" w:color="auto" w:fill="CCEEFF"/>
          </w:tcPr>
          <w:p>
            <w:pPr>
              <w:spacing w:after="0"/>
              <w:rPr>
                <w:sz w:val="16"/>
                <w:szCs w:val="16"/>
                <w:color w:val="auto"/>
              </w:rPr>
            </w:pPr>
          </w:p>
        </w:tc>
        <w:tc>
          <w:tcPr>
            <w:tcW w:w="2500" w:type="dxa"/>
            <w:vAlign w:val="bottom"/>
            <w:gridSpan w:val="3"/>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3"/>
              </w:rPr>
              <w:t>127</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PART IV</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128</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15.</w:t>
            </w:r>
          </w:p>
        </w:tc>
        <w:tc>
          <w:tcPr>
            <w:tcW w:w="7720" w:type="dxa"/>
            <w:vAlign w:val="bottom"/>
            <w:gridSpan w:val="1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21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3"/>
              </w:rPr>
              <w:t>128</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16.</w:t>
            </w:r>
          </w:p>
        </w:tc>
        <w:tc>
          <w:tcPr>
            <w:tcW w:w="1480" w:type="dxa"/>
            <w:vAlign w:val="bottom"/>
            <w:gridSpan w:val="6"/>
          </w:tcPr>
          <w:p>
            <w:pPr>
              <w:spacing w:after="0" w:line="181" w:lineRule="exact"/>
              <w:rPr>
                <w:sz w:val="20"/>
                <w:szCs w:val="20"/>
                <w:color w:val="auto"/>
              </w:rPr>
            </w:pPr>
            <w:r>
              <w:rPr>
                <w:rFonts w:ascii="Times New Roman" w:cs="Times New Roman" w:eastAsia="Times New Roman" w:hAnsi="Times New Roman"/>
                <w:sz w:val="17"/>
                <w:szCs w:val="17"/>
                <w:color w:val="0000FF"/>
                <w:w w:val="99"/>
              </w:rPr>
              <w:t>Form 10-K Summary</w:t>
            </w:r>
          </w:p>
        </w:tc>
        <w:tc>
          <w:tcPr>
            <w:tcW w:w="1540" w:type="dxa"/>
            <w:vAlign w:val="bottom"/>
            <w:gridSpan w:val="5"/>
          </w:tcPr>
          <w:p>
            <w:pPr>
              <w:spacing w:after="0"/>
              <w:rPr>
                <w:sz w:val="15"/>
                <w:szCs w:val="15"/>
                <w:color w:val="auto"/>
              </w:rPr>
            </w:pPr>
          </w:p>
        </w:tc>
        <w:tc>
          <w:tcPr>
            <w:tcW w:w="4700" w:type="dxa"/>
            <w:vAlign w:val="bottom"/>
            <w:gridSpan w:val="8"/>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131</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0000FF"/>
              </w:rPr>
              <w:t>Signatures</w:t>
            </w:r>
          </w:p>
        </w:tc>
        <w:tc>
          <w:tcPr>
            <w:tcW w:w="6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3"/>
              </w:rPr>
              <w:t>132</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8760" w:type="dxa"/>
            <w:vAlign w:val="bottom"/>
            <w:gridSpan w:val="21"/>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Index to Financial Statement Schedules</w:t>
            </w: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133</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82" w:lineRule="exact"/>
        <w:rPr>
          <w:sz w:val="20"/>
          <w:szCs w:val="20"/>
          <w:color w:val="auto"/>
        </w:rPr>
      </w:pPr>
    </w:p>
    <w:p>
      <w:pPr>
        <w:jc w:val="both"/>
        <w:ind w:firstLine="187"/>
        <w:spacing w:after="0" w:line="257"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spacing w:after="0" w:line="125" w:lineRule="exact"/>
        <w:rPr>
          <w:sz w:val="20"/>
          <w:szCs w:val="20"/>
          <w:color w:val="auto"/>
        </w:rPr>
      </w:pPr>
    </w:p>
    <w:p>
      <w:pPr>
        <w:jc w:val="both"/>
        <w:ind w:left="1100" w:hanging="320"/>
        <w:spacing w:after="0" w:line="266" w:lineRule="auto"/>
        <w:tabs>
          <w:tab w:leader="none" w:pos="1096"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color w:val="auto"/>
        </w:rPr>
        <w:t>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and their impacts on our business, operations and personnel;</w:t>
      </w:r>
    </w:p>
    <w:p>
      <w:pPr>
        <w:spacing w:after="0" w:line="63" w:lineRule="exact"/>
        <w:rPr>
          <w:rFonts w:ascii="Arial" w:cs="Arial" w:eastAsia="Arial" w:hAnsi="Arial"/>
          <w:sz w:val="17"/>
          <w:szCs w:val="17"/>
          <w:color w:val="auto"/>
        </w:rPr>
      </w:pPr>
    </w:p>
    <w:p>
      <w:pPr>
        <w:jc w:val="both"/>
        <w:ind w:left="1100" w:hanging="320"/>
        <w:spacing w:after="0" w:line="263"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charters, business practices, policy, pricing or priorities of Fannie Mae and Freddie Mac (collectively, the GSEs), which may include decisions that have the impact of decreasing or discontinuing the use of mortgage insurance as credit enhancement generally, or with first time homebuyers or on very high loan-to-value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spacing w:after="0" w:line="67"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remain an eligible mortgage insurer under the private mortgage insurer eligibility requirements (PMIERs) and other requirements imposed by the GSEs, which they may change at any time;</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our existing certificates of authority in each state and the District of Columbia (D.C.) and our ability to remain a mortgage insurer in good standing in each state and D.C.;</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profitability, liquidity and capital resources;</w:t>
      </w:r>
    </w:p>
    <w:p>
      <w:pPr>
        <w:spacing w:after="0" w:line="11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spacing w:after="0" w:line="59"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federal tax reform and other potential changes in tax law and their impact on us and our operations;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or regulatory changes to the GSEs' role in the secondary mortgage market or other changes that could affect the residential mortgage industry generally or mortgage insurance industry in particular;</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legal and regulatory claims, investigations, actions, audits or inquiries that could result in adverse judgements, settlements, fines or other reliefs that could require significant expenditures or have other negative effects on our business;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relating to the coronavirus (COVID-19) virus and its variants, including their impact on the global economy, the U.S. housing, real estate, housing finance and mortgage insurance markets, and our business, operations and personnel;</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3" w:name="page4"/>
    <w:bookmarkEnd w:id="3"/>
    <w:p>
      <w:pPr>
        <w:ind w:left="1100" w:hanging="320"/>
        <w:spacing w:after="0" w:line="291" w:lineRule="auto"/>
        <w:tabs>
          <w:tab w:leader="none" w:pos="10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the GSEs, or other market participants seeking alternatives to private mortgage insurance;</w:t>
      </w:r>
    </w:p>
    <w:p>
      <w:pPr>
        <w:spacing w:after="0" w:line="11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a diverse customer base, including the largest mortgage originators;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risk management or pricing or investment strategies;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 in the length of time our insurance policies are in force;</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emergence of unexpected claim and coverage issues, including claims exceeding our reserves or amounts we had expected to experience;</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impacts arising from natural disasters including, with respect to affected areas, a decline in new business, adverse effects on home prices, and an increase in notices of default on insured mortgages;</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risk and efforts to manage or regulate climate risk by government agencies could affect our business and operations;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impacts arising from the occurrence of any man-made disasters or public health emergencies, including pandemics;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our counter-parties, including third-party reinsurers, to meet their obligations to us;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improve and continue to develop necessary information technology (IT) systems or the failure of technology providers to perform;</w:t>
      </w:r>
    </w:p>
    <w:p>
      <w:pPr>
        <w:spacing w:after="0" w:line="43"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information); and</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recruit, train and retain key personnel.</w:t>
      </w:r>
    </w:p>
    <w:p>
      <w:pPr>
        <w:spacing w:after="0" w:line="113"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color w:val="auto"/>
        </w:rPr>
        <w:t xml:space="preserve">For further information regarding these risks and uncertainties as well as certain additional risks that we face, you should refer to the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described in this report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Part II, Item 7, "</w:t>
      </w:r>
      <w:r>
        <w:rPr>
          <w:rFonts w:ascii="Times New Roman" w:cs="Times New Roman" w:eastAsia="Times New Roman" w:hAnsi="Times New Roman"/>
          <w:sz w:val="17"/>
          <w:szCs w:val="17"/>
          <w:i w:val="1"/>
          <w:iCs w:val="1"/>
          <w:color w:val="auto"/>
        </w:rPr>
        <w:t>Management's Discussion and Analysis of Financial Condition and Results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Operations</w:t>
      </w:r>
      <w:r>
        <w:rPr>
          <w:rFonts w:ascii="Times New Roman" w:cs="Times New Roman" w:eastAsia="Times New Roman" w:hAnsi="Times New Roman"/>
          <w:sz w:val="17"/>
          <w:szCs w:val="17"/>
          <w:color w:val="auto"/>
        </w:rPr>
        <w:t>" and elsewhere in this report, including the exhibits hereto.</w:t>
      </w:r>
    </w:p>
    <w:p>
      <w:pPr>
        <w:spacing w:after="0" w:line="124"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Unless expressly indicated or the context requires otherwise, the terms "we," "our," "us," "Company" and "NMI" in this document refer to NMI Holdings, Inc., a Delaware corporation, and its wholly-owned subsidiaries on a consolidated basis.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provide mortgage insurance (referred to as mortgage insurance or MI) through our wholly-owned insurance subsidiaries, National Mortgage Insurance Corporation (NMIC) and National Mortgage Reinsurance Inc One (Re One). NMIC and Re One are domiciled in Wisconsin and principally regulated by the Wisconsin Office of the Commissioner of Insurance (Wisconsin OCI). NMIC is our primary insurance subsidiary, and is approved as an MI provider by the GSEs and is licensed to write MI coverage in all 50 states and D.C. Our subsidiary, NMI Services, Inc.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1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 Holdings, Inc. (NMIH),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2023, we had issued master policies with 1,974 customers, including national and regional mortgage banks, money center banks, credit unions, community banks, builder-owned mortgage lenders, internet-sourced lenders and other non-bank lenders. As of December 31, 2023, we had $197.0 billion of primary insurance-in-force (IIF) and $51.8 billion of primary risk-in-force (RIF). For the year ended December 31, 2023, we generated new insurance written (NIW) of $40.5 billion. As of December 31, 2023, we had 238 full-time and part-time employees.</w:t>
      </w:r>
    </w:p>
    <w:p>
      <w:pPr>
        <w:spacing w:after="0" w:line="122" w:lineRule="exact"/>
        <w:rPr>
          <w:sz w:val="20"/>
          <w:szCs w:val="20"/>
          <w:color w:val="auto"/>
        </w:rPr>
      </w:pPr>
    </w:p>
    <w:p>
      <w:pPr>
        <w:jc w:val="both"/>
        <w:ind w:firstLine="621"/>
        <w:spacing w:after="0" w:line="242" w:lineRule="auto"/>
        <w:rPr>
          <w:sz w:val="20"/>
          <w:szCs w:val="20"/>
          <w:color w:val="auto"/>
        </w:rPr>
      </w:pPr>
      <w:r>
        <w:rPr>
          <w:rFonts w:ascii="Times New Roman" w:cs="Times New Roman" w:eastAsia="Times New Roman" w:hAnsi="Times New Roman"/>
          <w:sz w:val="17"/>
          <w:szCs w:val="17"/>
          <w:color w:val="auto"/>
        </w:rPr>
        <w:t>We believe that our success in acquiring a large and diverse group of lender customers and growing a portfolio of high-quality IIF traces to our founding principles, whereby we aim to help qualified borrowers achieve their homeownership goals, ensure that we remain a strong and credible counter-party, deliver a high-quality customer service experience, establish a differentiated risk management approach, utilize our proprietary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37"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and financial strength and profitability.</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trades on the Nasdaq under the symbol "NMIH".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of Residential Mortgage Finance and the Role of the Private MI Industry in the Current Operating Environment</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U.S. Residential Mortgage Market</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According to statistics published by the U.S. Federal Reserve, the U.S. residential mortgage market is one of the largest in the world, with approximately $13 trillion of mortgage debt outstanding as of December 31, 2023, and includes both primary and secondary components. The primary market consists of lenders originating home loans to borrowers and includes loans made in connection with home purchases, which are referred to as purchase originations, and loans made to refinance existing mortgages, which are referred to as refinancing originations. The secondary market includes institutions that buy and sell mortgages in the form of whole loans or securitized assets, such as mortgage-backed securities.</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U.S. residential mortgage market attracts and involves participation from a range of private and governmental institutions. Private industry participants include national and regional mortgage banks, money center banks, mortgage brokers, community banks, builder-owned mortgage lenders, internet-sourced lenders, commercial, regional and investment banks, savings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 w:name="page6"/>
    <w:bookmarkEnd w:id="5"/>
    <w:p>
      <w:pPr>
        <w:jc w:val="both"/>
        <w:spacing w:after="0" w:line="291" w:lineRule="auto"/>
        <w:rPr>
          <w:sz w:val="20"/>
          <w:szCs w:val="20"/>
          <w:color w:val="auto"/>
        </w:rPr>
      </w:pPr>
      <w:r>
        <w:rPr>
          <w:rFonts w:ascii="Times New Roman" w:cs="Times New Roman" w:eastAsia="Times New Roman" w:hAnsi="Times New Roman"/>
          <w:sz w:val="17"/>
          <w:szCs w:val="17"/>
          <w:color w:val="auto"/>
        </w:rPr>
        <w:t>institutions, credit unions, real estate investment trusts and other financial institutions. Government participants include government agencies such as the government MIs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FHA, USDA and VA) and Ginnie Mae, as well as government-sponsored enterprises, such as Fannie Mae and Freddie Mac.</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GSEs</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GSEs are the largest participants in the secondary mortgage market, buying residential mortgages from banks and other primary lenders in connection with their federal mandate to provide liquidity and promote stability in the U.S. housing finance system. The GSEs' charters prohibit them from purchasing or guaranteeing high-LTV loans unless such loans are covered by an authorized form of credit enhancement, including insurance from a GSE-approved MI company, retention by the mortgage seller of at least a 10% participation in the loan or agreement by the seller to repurchase or replace the loan in the event of a default. As the largest participants in the secondary mortgage market, the GSEs are the principal purchasers of mortgages insured by mortgage insurers, including NMIC. As a result, the private MI industry in the U.S. is driven in large part by the GSEs' demand for high-LTV loans, mortgage insurance requirements and business practices. See "</w:t>
      </w:r>
      <w:r>
        <w:rPr>
          <w:rFonts w:ascii="Times New Roman" w:cs="Times New Roman" w:eastAsia="Times New Roman" w:hAnsi="Times New Roman"/>
          <w:sz w:val="17"/>
          <w:szCs w:val="17"/>
          <w:i w:val="1"/>
          <w:iCs w:val="1"/>
          <w:color w:val="auto"/>
        </w:rPr>
        <w:t>Business - U.S. Mortgage Insurance Regulation - GSE Oversight</w:t>
      </w:r>
      <w:r>
        <w:rPr>
          <w:rFonts w:ascii="Times New Roman" w:cs="Times New Roman" w:eastAsia="Times New Roman" w:hAnsi="Times New Roman"/>
          <w:sz w:val="17"/>
          <w:szCs w:val="17"/>
          <w:color w:val="auto"/>
        </w:rPr>
        <w:t>," below.</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Mortgage Insurance</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MI protects lenders and investors from default-related losses on a portion of the unpaid principal balance of a covered mortgage and plays a central role in the U.S. housing market. MI is provided by both government MIs and private MI companies, such as NMIC, and is primarily geared toward high-LTV loans where borrowers make a down-payment that is less than 20% of the value of a home. MI helps facilitate secondary market sales of such mortgages, primarily to the GSEs, and provides lenders and investors a means to diversify and mitigate their exposure to mortgage credit risk. Such credit protection and secondary market sales allow lenders to increase their capacity for mortgage commitments and expand financing access to existing and prospective homeowners.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Our competition includes other private mortgage insurers, government MIs and other alternatives designed to eliminate the need for MI, such as piggy-back loans or front-end risk sharing arrangements that do not require private MI on loans sold to the GSEs.</w:t>
      </w:r>
    </w:p>
    <w:p>
      <w:pPr>
        <w:spacing w:after="0" w:line="95"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private MI industry is highly competitive and currently consists of six active participants, including us, Arch Capital Group Ltd., Essent Group Ltd. (Essent), Enact Holdings, Inc., MGIC Investment Corporation (MGIC), and Radian Group Inc. (Radian). Private mortgage insurers generally compete based on terms of coverage, underwriting guidelines, pricing, customer service (including speed of MI underwriting and decisioning), availability of ancillary products and services (including training and loan review services), financial strength, customer relationships, name recognition and reputation, the strength of management teams and sales organizations, the effective use of technology, and innovation in the delivery and servicing of insurance products. We expect the MI market to remain competitive, with pressure for industry participants to grow or maintain their market share.</w:t>
      </w:r>
    </w:p>
    <w:p>
      <w:pPr>
        <w:spacing w:after="0" w:line="122"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We and other private mortgage insurers also compete directly with the government MI companies, who significantly increased their share in the MI market following the 2008 financial crisis. Prior to the financial crisis, private mortgage insurers accounted for the majority of the insured mortgage origination market. During the financial crisis, the government MIs captured an increasing share of the high-LTV MI market as legacy private mortgage insurers came under significant financial stress. According to data reported by Inside Mortgage Finance, in 2007, government MIs accounted for 23% of the total insured mortgage origination market. By 2009, government MI share had peaked at approximately 82% of the total insured mortgage origination market. Government MI share has since declined and is estimated to have been 55% in 2023. Previous rate actions and product introductions continue to impact the government mortgage insurers' market share and by extension the private MI market. Although there continues to be broad policy consensus toward the need for continued and consistent private capital participation in the U.S. housing finance system, it remains difficult to predict whether the combined market share of government MIs will recede to pre-2008 levels. A range of factors influence a lender's decision to choose private over government MI, including, among others, GSE demand, policies and loan delivery pricing, mortgage insurance premium rates and other charges, loan eligibility requirements, cancelability, loan size limits and the relative ease of use of private MI products compared to government MI alternatives.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Products and Services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Mortgage Insurance Products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offer two principal types of MI coverage, primary and pool.</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Primary Mortgage Insurance</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Primary MI provides default protection on individual mortgage loans at specified coverage percentages. Primary MI is typically written on a flow basis, whereby mortgages are insured on an individual, loan-by-loan basis at the time of origination. Primary MI can also be written on an aggregated basis, whereby each mortgage in a given loan portfolio is individually insured in a single transaction after the point of origination.</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All of our primary insurance is written on first-lien mortgage loans, with nearly all secured by owner occupied single-family homes (defined as one-to-four family homes and condominiums). We also write a small amount of primary insurance on first-lien mortgages secured by vacation properties, second homes and investment properties, although we have formal risk policies in place to limit the amount of such business we underwrite.</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Lenders select specific coverage levels for each loan insured on a primary basis. For loans sold to a GSE, the coverage level must comply with the requirements established by that GSE. For other loans, lenders determine their desired coverage levels.</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IIF is the unpaid principal balance of all insured loans on a given date, and RIF is the product of the coverage percentages multiplied by the IIF on such date. We expect our RIF across all policies written to approximate 25% of primary IIF; however, coverage levels will vary on an individual loan basis between 6% and 35%. Higher coverage percentages generally result in greater amounts paid per claim relative to policies with lower coverage percentages. In general, our premium rates increase as coverage levels increase.</w:t>
      </w:r>
    </w:p>
    <w:p>
      <w:pPr>
        <w:spacing w:after="0" w:line="116"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7"/>
          <w:szCs w:val="17"/>
          <w:color w:val="auto"/>
        </w:rPr>
        <w:t>Our maximum obligation with respect to a claim is generally determined by multiplying the selected coverage percentage by the loss amount on an insured loan. The loss amount is defined in the applicable master mortgage insurance policy (together with any related endorsements, a Master Policy) and includes, subject to certain limitations, unpaid loan principal, delinquent interest and certain expenses associated with the default and subsequent foreclosure or sale of the property securing the insured loan. See "</w:t>
      </w:r>
      <w:r>
        <w:rPr>
          <w:rFonts w:ascii="Times New Roman" w:cs="Times New Roman" w:eastAsia="Times New Roman" w:hAnsi="Times New Roman"/>
          <w:sz w:val="17"/>
          <w:szCs w:val="17"/>
          <w:i w:val="1"/>
          <w:iCs w:val="1"/>
          <w:color w:val="auto"/>
        </w:rPr>
        <w:t>Business - Defaults and Claims; Loss Mitigation - Defaults and Claims</w:t>
      </w:r>
      <w:r>
        <w:rPr>
          <w:rFonts w:ascii="Times New Roman" w:cs="Times New Roman" w:eastAsia="Times New Roman" w:hAnsi="Times New Roman"/>
          <w:sz w:val="17"/>
          <w:szCs w:val="17"/>
          <w:color w:val="auto"/>
        </w:rPr>
        <w:t>," below for a description of our claim settlement processes.</w:t>
      </w:r>
    </w:p>
    <w:p>
      <w:pPr>
        <w:spacing w:after="0" w:line="330"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terms of our primary mortgage insurance coverage are governed by the applicable Master Policy, which we issue to each approved lender with which we do business. The Master Policy sets forth the terms and conditions of our MI coverage, including, among others, loan eligibility requirements, coverage terms, premium payment obligations, exclusions or reductions in coverage, rescission and rescission relief provisions, policy administration requirements, conditions precedent to payment of a claim and loss payment procedures. In March 2020, we introduced our current Master Policy (the 2020 Master Policy), which replaced our previous form (the 2014 Master Policy) for MI applications received on and after March 1, 2020. We implemented the 2020 Master Policy, in part, to provide terms of coverage that conform to the requirements of the GSEs' 2018 revised Amended and Restated Rescission Relief Principles (RRPs). The 2020 Master Policy governs the terms of coverage for NIW associated with applications received on or after March 1, 2020. NIW associated with applications received before March 1, 2020 continues to be covered under the 2014 Master Policy. The 2014 Master Policy and 2020 Master Policy (taken together, the Master Policies) are publicly available on our website.</w:t>
      </w:r>
    </w:p>
    <w:p>
      <w:pPr>
        <w:spacing w:after="0" w:line="114" w:lineRule="exact"/>
        <w:rPr>
          <w:sz w:val="20"/>
          <w:szCs w:val="20"/>
          <w:color w:val="auto"/>
        </w:rPr>
      </w:pPr>
    </w:p>
    <w:p>
      <w:pPr>
        <w:jc w:val="both"/>
        <w:ind w:firstLine="621"/>
        <w:spacing w:after="0" w:line="239" w:lineRule="auto"/>
        <w:rPr>
          <w:sz w:val="20"/>
          <w:szCs w:val="20"/>
          <w:color w:val="auto"/>
        </w:rPr>
      </w:pPr>
      <w:r>
        <w:rPr>
          <w:rFonts w:ascii="Times New Roman" w:cs="Times New Roman" w:eastAsia="Times New Roman" w:hAnsi="Times New Roman"/>
          <w:sz w:val="17"/>
          <w:szCs w:val="17"/>
          <w:color w:val="auto"/>
        </w:rPr>
        <w:t>Upon receipt of an insurable loan, we issue a certificate of insurance that extends coverage for such loan under the applicable Master Policy. See "</w:t>
      </w:r>
      <w:r>
        <w:rPr>
          <w:rFonts w:ascii="Times New Roman" w:cs="Times New Roman" w:eastAsia="Times New Roman" w:hAnsi="Times New Roman"/>
          <w:sz w:val="17"/>
          <w:szCs w:val="17"/>
          <w:i w:val="1"/>
          <w:iCs w:val="1"/>
          <w:color w:val="auto"/>
        </w:rPr>
        <w:t>Business - Underwriting</w:t>
      </w:r>
      <w:r>
        <w:rPr>
          <w:rFonts w:ascii="Times New Roman" w:cs="Times New Roman" w:eastAsia="Times New Roman" w:hAnsi="Times New Roman"/>
          <w:sz w:val="17"/>
          <w:szCs w:val="17"/>
          <w:color w:val="auto"/>
        </w:rPr>
        <w:t>," below for a description of our underwriting processes. Our MI coverage attaches at a loan level and remains in effect whether a mortgage is retained by the originating lender or sold, assigned or otherwise transferred in the secondary market. We generally consider the original lender or any subsequent servicer of an insured loan to be our insured or, with respect to subsequent owners and the GSEs, third-party beneficiaries under our Master Policies.</w:t>
      </w:r>
    </w:p>
    <w:p>
      <w:pPr>
        <w:spacing w:after="0" w:line="12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Premium payments for primary MI are the contractual responsibility of our insureds; however, depending on how the loan is structured, the premium payments may be paid by either the lender or the borrower, notwithstanding that the borrower is not a beneficiary under the terms of the policy. Policies with premium payments made by the borrower are referred to as borrower-paid mortgage insurance (BPMI) and those with premium payments made by the lender are referred to as lender-paid mortgage insurance (LPMI). Lenders may structure loans to recover LPMI premiums from borrowers, including through increases in mortgage note rates or higher origination fees.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7" w:name="page8"/>
    <w:bookmarkEnd w:id="7"/>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premiums are based on statutory rating rules and rates that we file with various state insurance departments. We establish our premium rates based on models that assess risk across a spectrum of variables, including coverage percentages, LTV ratios, loan and property attributes, borrower debt-to-income (DTI) and credit score profiles, and market and macroeconomic conditions. We have discretion under our rates and rating rules to flex our premium rates to a limited degree, and we may choose to do so for lenders or programs that meet certain criteria. We generally cannot change premium rates on insured loans after coverage is established.</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general, premiums are calculated as a percentage of the original principal balance of an insured loan. We have four premium plans:</w:t>
      </w:r>
    </w:p>
    <w:p>
      <w:pPr>
        <w:spacing w:after="0" w:line="167" w:lineRule="exact"/>
        <w:rPr>
          <w:sz w:val="20"/>
          <w:szCs w:val="20"/>
          <w:color w:val="auto"/>
        </w:rPr>
      </w:pPr>
    </w:p>
    <w:p>
      <w:pPr>
        <w:ind w:left="1080" w:hanging="300"/>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single — entire premium is paid upfront at the time the coverage is placed;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 premiums are paid in advance for a subsequent twelve-month period over the life of a policy;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 premiums are paid in advance on a monthly basis over the life of the policy; and</w:t>
      </w:r>
    </w:p>
    <w:p>
      <w:pPr>
        <w:spacing w:after="0" w:line="112" w:lineRule="exact"/>
        <w:rPr>
          <w:rFonts w:ascii="Times New Roman" w:cs="Times New Roman" w:eastAsia="Times New Roman" w:hAnsi="Times New Roman"/>
          <w:sz w:val="17"/>
          <w:szCs w:val="17"/>
          <w:color w:val="auto"/>
        </w:rPr>
      </w:pPr>
    </w:p>
    <w:p>
      <w:pPr>
        <w:ind w:left="1100" w:hanging="320"/>
        <w:spacing w:after="0" w:line="233" w:lineRule="auto"/>
        <w:tabs>
          <w:tab w:leader="none" w:pos="10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Advantage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 premiums are billed upon our receipt of notice of a mortgage close and then paid in arrears on a monthly basis over the life of the policy.</w:t>
      </w:r>
    </w:p>
    <w:p>
      <w:pPr>
        <w:spacing w:after="0" w:line="85"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In general, we may not terminate MI coverage except when an insured fails to pay premium as due or for certain material violations of our Master Policies; although, as discussed below in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Underwriting - Independent Validation and Rescission Relief</w:t>
      </w:r>
      <w:r>
        <w:rPr>
          <w:rFonts w:ascii="Times New Roman" w:cs="Times New Roman" w:eastAsia="Times New Roman" w:hAnsi="Times New Roman"/>
          <w:sz w:val="17"/>
          <w:szCs w:val="17"/>
          <w:color w:val="auto"/>
        </w:rPr>
        <w:t>," the terms of our Master Policies restrict our ability to rescind coverage when certain criteria are met. Insureds may cancel coverage on a loan at any time at their option or upon mortgage repayment, which may be accelerated because a borrower refinances a mortgage or sells the underlying property. GSE guidelines generally provide that a borrower on a GSE-owned or guaranteed loan meeting certain conditions may require their mortgage servicer to cancel BPMI upon the borrower's request when the principal balance of the loan is 80% or less of the property's current assessed value. The federal Homeowners Protection Act of 1998 (HOPA) also requires the automatic termination of BPMI on most current loans when the LTV ratio (based on the original value of the underlying property and original amortization schedule of the loan) is first scheduled to reach 78%. The HOPA also provides for cancellation of BPMI upon a borrower's request when the LTV ratio (based on the original value of the underlying property and original amortization schedule of the loan) is first scheduled to reach or, based on actual payments, reaches 80%, upon satisfaction of the conditions set forth in the HOPA, including that the loan be current at the time. In addition, some states impose their own MI notice and cancellation requirements on mortgage loan servicers.</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Pool Insurance</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Pool insurance is generally used to provide additional "credit enhancement" for certain secondary market mortgage transactions. Pool insurance generally covers the excess of loss on a defaulted mortgage loan that exceeds the claim payment under the primary MI coverage, if such loan has primary coverage, as well as the total loss on a defaulted mortgage loan that did not have primary coverage. Pool insurance may have a stated aggregate loss limit for a pool of loans and may also have a deductible under which no losses are paid by the mortgage insurer until the aggregate loss on the pool of loans exceeds the deductible.</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In 2013, NMIC entered into a ten-year pool agreement with Fannie Mae, pursuant to which NMIC initially insured 21,921 loans with initial IIF of $5.2 billion (as of September 1, 2013). The pool agreement with Fannie Mae expired on August 31, 2023. NMIC did not incur any claim expenses or pay any claims during the term of the agreement and has not retained any future risk exposure under the transaction.</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Loan Review Services</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offer outsourced loan review services to mortgage originators through NMIS. In connection with these services, NMIS reviews loan data and documentation and assesses whether individual loan applications comply with the originator's and/or GSEs' underwriting guidelines. We provide loan review services for mortgages that require MI and those that do not. Under the terms of its loan review agreements, NMIS provides customers with limited indemnification against losses for certain material loan review errors. The indemnification may be in the form of monetary or other remedies, subject to per loan and annual limits. NMIS utilizes third-party service providers to conduct individual loan reviews. NMIS third parties have represented and warranted to NMIS that they comply with the requirements of the federal Secure and Fair Enforcement for Mortgage Licensing Act (SAFE Act) in all applicable jurisdictions. See "</w:t>
      </w:r>
      <w:r>
        <w:rPr>
          <w:rFonts w:ascii="Times New Roman" w:cs="Times New Roman" w:eastAsia="Times New Roman" w:hAnsi="Times New Roman"/>
          <w:sz w:val="17"/>
          <w:szCs w:val="17"/>
          <w:i w:val="1"/>
          <w:iCs w:val="1"/>
          <w:color w:val="auto"/>
        </w:rPr>
        <w:t>Business - U.S. Mortgage Insurance Regulation - Other U.S. Regulation - SAFE Act</w:t>
      </w:r>
      <w:r>
        <w:rPr>
          <w:rFonts w:ascii="Times New Roman" w:cs="Times New Roman" w:eastAsia="Times New Roman" w:hAnsi="Times New Roman"/>
          <w:sz w:val="17"/>
          <w:szCs w:val="17"/>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6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Since our inception, we have sought to establish customer relationships with a broad group of mortgage lenders. As of December 31, 2023, we had issued Master Policies with 1,974 customers. We classify our customers into two primary categories, which we refer to as "National Accounts" and "Regional Accounts." We consider National Accounts to be the most significant residential mortgage originators as determined by the combined volume of their own "retail" originations and insured business they acquire from "correspondents," or other smaller mortgage originators. National Account lenders primarily sell their loans to the GSEs or, less frequently, to private label secondary markets. National Account lenders may also retain loans they originate or purchase in their portfolios. Regional Account lenders typically originate loans on a local or regional level. Some Regional Account lenders have origination platforms that span multiple regions; however, their primary lending focus is local. Regional Account lenders sell the majority of their origination volume to National Accounts; however, they may also retain loans in their portfolios or sell portions of their production directly to the GSEs.</w:t>
      </w:r>
    </w:p>
    <w:p>
      <w:pPr>
        <w:spacing w:after="0" w:line="123"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further define customers as "centralized" or "decentralized" based on how they manage their mortgage insurance purchasing decisions across each of their MI providers. Centralized lenders make decisions about the placement and choice of private mortgage insurance at a centralized, corporate level. Decentralized lenders make decisions about the placement and choice of private mortgage insurance at a loan level by loan production personnel, such as loan officers, processors, and underwriters. National Account lenders primarily utilize the centralized decision model and Regional Account lenders primarily utilize the decentralized decision model. There are, however, a number of National Account lenders who opt for a decentralized approach and a number of Regional Account lenders who opt for a centralized approach.</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GSEs, as major purchasers of conventional mortgage loans in the U.S., are the primary beneficiaries of our mortgage insurance coverage. Revenues from our customers have been generated in the U.S. only.</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Customers exceeding 10% of consolidated revenues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individual customer accounted for greater than 10% of our consolidated revenues in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sales and marketing efforts are designed to help us establish and maintain high-quality customer relationships. Our sales force consists of qualified mortgage professionals that generally have well-established relationships with industry leading lenders and significant experience in both MI and mortgage lending. We structure our sales force into National Accounts that focus on relationships with national or large regional lenders, and Regional Accounts that focus on relationships with regional lenders, such as community banks, credit unions and mortgage bankers. We also maintain a dedicated customer service team, which we refer to as the Solution Center, which offers support in loan submission and underwriting services as well as risk management and technology to support our sales efforts.</w:t>
      </w:r>
    </w:p>
    <w:p>
      <w:pPr>
        <w:spacing w:after="0" w:line="122"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We also have a product development and marketing department that has primary responsibility for the creation, launch and management of our MI products and technological offerings, and coordination of our marketing strategy. Our marketing efforts seek to raise brand awareness through advertising and marketing campaigns, customer training programs, sponsorship of industry and educational events, and our web-based presence and proprietary mobile technology.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have established underwriting and risk management guidelines based on what we believe to be the major factors that influence the performance of mortgage credit. Our underwriting guidelines incorporate credit eligibility requirements that, among other things, restrict our coverage to mortgages that meet our thresholds with respect to borrower credit scores (FICO), maximum DTI levels, maximum LTVs and documentation requirements. Our underwriting guidelines also limit the coverage we provide for certain higher-risk mortgages, including those for cash-out refinancings, second homes or investment properties.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gather extensive data, perform detailed loan-level risk analysis and continuously monitor and assess trends in key macroeconomic factors such as housing prices, interest rates and employment, to refine and adapt our underwriting guidelines and pricing assumptions within the context of the current risk environment.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9" w:name="page10"/>
    <w:bookmarkEnd w:id="9"/>
    <w:p>
      <w:pPr>
        <w:ind w:left="620"/>
        <w:spacing w:after="0"/>
        <w:rPr>
          <w:sz w:val="20"/>
          <w:szCs w:val="20"/>
          <w:color w:val="auto"/>
        </w:rPr>
      </w:pPr>
      <w:r>
        <w:rPr>
          <w:rFonts w:ascii="Times New Roman" w:cs="Times New Roman" w:eastAsia="Times New Roman" w:hAnsi="Times New Roman"/>
          <w:sz w:val="17"/>
          <w:szCs w:val="17"/>
          <w:color w:val="auto"/>
        </w:rPr>
        <w:t>We evaluate loans and issue policies through two underwriting platforms:</w:t>
      </w:r>
    </w:p>
    <w:p>
      <w:pPr>
        <w:spacing w:after="0" w:line="165" w:lineRule="exact"/>
        <w:rPr>
          <w:sz w:val="20"/>
          <w:szCs w:val="20"/>
          <w:color w:val="auto"/>
        </w:rPr>
      </w:pPr>
    </w:p>
    <w:p>
      <w:pPr>
        <w:jc w:val="both"/>
        <w:ind w:left="1100" w:hanging="320"/>
        <w:spacing w:after="0" w:line="273" w:lineRule="auto"/>
        <w:tabs>
          <w:tab w:leader="none" w:pos="1096"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Non-Delegated</w:t>
      </w:r>
      <w:r>
        <w:rPr>
          <w:rFonts w:ascii="Times New Roman" w:cs="Times New Roman" w:eastAsia="Times New Roman" w:hAnsi="Times New Roman"/>
          <w:sz w:val="17"/>
          <w:szCs w:val="17"/>
          <w:color w:val="auto"/>
        </w:rPr>
        <w:t>: Customers submit loan information and documentation to us so that we may individually underwrite each application to reach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decision as to whether we will insure a loan. On receipt of a non-delegated submission, we review the information, documentation and data provided by the lender to underwrite the MI application.</w:t>
      </w:r>
    </w:p>
    <w:p>
      <w:pPr>
        <w:spacing w:after="0" w:line="57" w:lineRule="exact"/>
        <w:rPr>
          <w:rFonts w:ascii="Times New Roman" w:cs="Times New Roman" w:eastAsia="Times New Roman" w:hAnsi="Times New Roman"/>
          <w:sz w:val="17"/>
          <w:szCs w:val="17"/>
          <w:i w:val="1"/>
          <w:iCs w:val="1"/>
          <w:color w:val="auto"/>
        </w:rPr>
      </w:pPr>
    </w:p>
    <w:p>
      <w:pPr>
        <w:jc w:val="both"/>
        <w:ind w:left="1100" w:hanging="320"/>
        <w:spacing w:after="0" w:line="260" w:lineRule="auto"/>
        <w:tabs>
          <w:tab w:leader="none" w:pos="109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Delegated</w:t>
      </w:r>
      <w:r>
        <w:rPr>
          <w:rFonts w:ascii="Times New Roman" w:cs="Times New Roman" w:eastAsia="Times New Roman" w:hAnsi="Times New Roman"/>
          <w:sz w:val="17"/>
          <w:szCs w:val="17"/>
          <w:color w:val="auto"/>
        </w:rPr>
        <w:t>: We provide eligible customers who have been vetted and approved, and comply with a defined set of delegated underwriting program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with the ability to directly underwrite our policies and bind our coverage based on pre-established eligibility rules, approved underwriting guidelines and according to the terms of our Master Policy. We offer delegated underwriting to lenders that have a track record of originating quality mortgage loans and meet our delegated authority approval requirements. To complete the underwriting process and bind coverage, delegated lenders are required to provide us with certain loan characteristics to demonstrate such loans meet our threshold eligibility rules. Our delegated eligibility rules are programmed into our insurance management system, which provides us the ability to automatically reject policies that fail to meet threshold requirements.</w:t>
      </w:r>
    </w:p>
    <w:p>
      <w:pPr>
        <w:spacing w:after="0" w:line="7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Lenders elect whether to be non-delegated or delegated customers at the time they apply to become Master Policy holders. Non-delegated lenders deliver all MI applications to us on a non-delegated basis. Certain delegated lenders may choose to deliver some or all of their MI applications to us on a non-delegated basis, but retain their authority to underwrite our MI on a delegated basis.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employ a team of experienced underwriters who review and evaluate our non-delegated loan submissions. Our underwriters are located remotely, providing us the ability to efficiently service our customers nationwide across different time zones. We also engage third-party underwriting service providers (USPs) who provide us with incremental underwriting capacity. We train and require our USPs to follow the same processes and underwriting guidelines that our own employees follow when rendering insurance decisions.</w:t>
      </w:r>
    </w:p>
    <w:p>
      <w:pPr>
        <w:spacing w:after="0" w:line="11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have processes in place to manage the risk associated with outsourcing a component of our underwriting function. In collaboration with our USPs' management teams, we monitor our USPs' day-to-day underwriting performance and MI decisioning. We also review the qualifications of each individual underwriter assigned by our USPs to service our account and provide them with NMI specific systems and guideline training to ensure they have the necessary training to render underwriting decisions consistent with our underwriting guidelines and credit policies. Our outsourcing agreements require our USPs to perform and provide us with the results of internal quality control reviews on a periodic basis. Individual underwriters with unacceptable performance records are monitored and generally subject to replacement with 30 days' notice. We also perform quarterly quality control reviews of a statistically relevant sample of our non-delegated underwriting decisions, including those made by our USPs.</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business has been subject to seasonality in NIW production.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instead is primarily influenced by mortgage rates. Fluctuations in refinancing volume (driven by changes in prevailing mortgage rates) may serve to mute or magnify the seasonal effect of home purchase patterns on mortgage insurance NIW.</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Independent Validation and Rescission Relief</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offer post-close underwriting reviews, which we refer to as "independent validations," for both non-delegated and delegated loans, as described below. Upon satisfactory completion of an independent validation, which involves reviewing certain post-close documentation to confirm our original assessment of non-delegated loans and performing a comprehensive full-file review for delegated loans, we agree – on an accelerated basis – that we will not rescind coverage under most circumstances. We refer to such accelerated agreement as "early rescission relief."</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Master Policies generally provide us with the ability to rescind coverage of a loan if there are material misrepresentations, significant underwriting defects and/or fraud later identified in the origination process of such loan. When we rescind coverage of a loan, we cancel the certificate as of the original certificate effective date and return all premiums received related to the impacted loan. Rescission relief generally limits our ability to pursue rescission rights, except under certain life-of-coverage exclusions, such as fraud and pattern activity. Rescission relief also limits our ability to initiate certain investigations or to request information from our insureds.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 w:name="page11"/>
    <w:bookmarkEnd w:id="10"/>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In September 2018, the GSEs issued revised RRPs that outline the rescission relief provisions that are generally required to be included in the master policies of GSE-approved mortgage insurers. Under our 2020 Master Policy, which incorporates the revised RRPs, a loan may be eligible for early rescission relief following our satisfactory completion of an independent validation, with no set requirement for a minimum number of timely mortgage payments by the borrower.</w:t>
      </w:r>
    </w:p>
    <w:p>
      <w:pPr>
        <w:spacing w:after="0" w:line="32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Insured loans that do not qualify for early rescission relief may still achieve rescission relief based on a borrower's payment history at the 36th or 60th month, provided that certain conditions outlined in the 2020 Master Policy are satisfied. Under the 2020 Master Policy, if a lender has elected not to pursue independent validation and early rescission relief, a policy is still eligible for rescission relief if the insured loan is current at the 36-month anniversary of the inception of coverage and the borrower has had no more than two 30-day delinquencies and no 60-day or greater delinquencies during such 36-month period. The 2020 Master Policy further provides for rescission relief on or after the 60-month anniversary of the inception of coverage, provided such loan is then current and all payments due on the loan have been made with a borrower's own funds.</w:t>
      </w:r>
    </w:p>
    <w:p>
      <w:pPr>
        <w:spacing w:after="0" w:line="122"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Lenders have the ability to select whether or not to pursue early rescission relief and subject their insured loans to our post-close independent validation processes. Non-delegated lenders who pursue independent validation are required to submit additional loan documentation post-close that allows us to independently validate such loans, including a loan's closing disclosures, note, executed mortgage, borrower authorization form and title insurance commitment. Our 2020 Master Policy provides for a "closing document exception," which permits eligible non-delegated lenders to obtain early rescission relief without post-close independent validations of qualifying loans, if the borrower makes the first 12 mortgage payments from their own funds in a timely manner. Loans from non-delegated lenders who do not pursue or submit the documentation necessary for us to complete our independent validation, and are not eligible for a closing document exception, remain eligible for 36 or 60-month rescission relief in accordance with the terms of the applicable Master Policy.</w:t>
      </w:r>
    </w:p>
    <w:p>
      <w:pPr>
        <w:spacing w:after="0" w:line="12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Delegated lenders who pursue early rescission relief and subject their insured loans to our post-close independent validation process are required to submit a full file (which contains all the underwriting information and documentation otherwise required by us for a non-delegated underwrite and the above-referenced post-close documentation) after a loan's coverage effective date. We refer to our independent validation of delegated loans as our "Delegated Assurance Review" or "DAR" process. Through DAR, we assess and validate the MI underwriting process and decisions made by our delegated customers on an individual loan level basis. Loans from delegated lenders who do not pursue or submit the documentation necessary for us to complete our DAR process remain eligible for 36 or 60-month rescission relief in accordance with the terms of the applicable Master Policy.</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All loans, whether included in our post-close validation processes or not, are eligible for review under our quality control (QC) process, and such QC reviews qualify as independent validations for such loans, making them eligible for early rescission relief.</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engage USPs to perform the majority of our delegated independent validation work and periodically assist with our non-delegated independent validation work. As with our non-delegated USPs, we review the qualifications of each individual underwriter engaged by our USPs to service our account and provide them with NMI specific systems and guideline training to ensure they have the necessary training to render independent validation decisions consistent with our underwriting guidelines and credit policies.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Pricing</w:t>
      </w:r>
    </w:p>
    <w:p>
      <w:pPr>
        <w:spacing w:after="0" w:line="16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utilize a proprietary risk-based pricing platform, which we refer to as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to establish individualized premium rates for most new loans that we insure based on our modeled view of the relative risk and anticipated performance of each loan.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considers a broad range of variables, including property type, type of loan product, borrower credit characteristics, and lender and market factors, and provides us with the ability to set and charge premium rates commensurate with the underlying risk of each loan that we insure.</w:t>
      </w:r>
    </w:p>
    <w:p>
      <w:pPr>
        <w:spacing w:after="0" w:line="112" w:lineRule="exact"/>
        <w:rPr>
          <w:sz w:val="20"/>
          <w:szCs w:val="20"/>
          <w:color w:val="auto"/>
        </w:rPr>
      </w:pPr>
    </w:p>
    <w:p>
      <w:pPr>
        <w:jc w:val="both"/>
        <w:ind w:firstLine="621"/>
        <w:spacing w:after="0" w:line="301" w:lineRule="auto"/>
        <w:rPr>
          <w:sz w:val="20"/>
          <w:szCs w:val="20"/>
          <w:color w:val="auto"/>
        </w:rPr>
      </w:pPr>
      <w:r>
        <w:rPr>
          <w:rFonts w:ascii="Times New Roman" w:cs="Times New Roman" w:eastAsia="Times New Roman" w:hAnsi="Times New Roman"/>
          <w:sz w:val="17"/>
          <w:szCs w:val="17"/>
          <w:color w:val="auto"/>
        </w:rPr>
        <w:t>We introduced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in June 2018 to replace our previous rate card pricing system. While most of our new business is priced through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we continue to offer a rate card pricing option to a limited number of lender customers who require a rate card for business process reasons.</w:t>
      </w:r>
    </w:p>
    <w:p>
      <w:pPr>
        <w:spacing w:after="0" w:line="74" w:lineRule="exact"/>
        <w:rPr>
          <w:sz w:val="20"/>
          <w:szCs w:val="20"/>
          <w:color w:val="auto"/>
        </w:rPr>
      </w:pPr>
    </w:p>
    <w:p>
      <w:pPr>
        <w:jc w:val="both"/>
        <w:ind w:firstLine="621"/>
        <w:spacing w:after="0" w:line="267" w:lineRule="auto"/>
        <w:rPr>
          <w:sz w:val="20"/>
          <w:szCs w:val="20"/>
          <w:color w:val="auto"/>
        </w:rPr>
      </w:pPr>
      <w:r>
        <w:rPr>
          <w:rFonts w:ascii="Times New Roman" w:cs="Times New Roman" w:eastAsia="Times New Roman" w:hAnsi="Times New Roman"/>
          <w:sz w:val="17"/>
          <w:szCs w:val="17"/>
          <w:color w:val="auto"/>
        </w:rPr>
        <w:t>Our pricing approach targets through-the-cycle returns that exceed our cost of capital. We believe that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provides us with a more granular and analytical approach to evaluating and pricing risk, and that it enhances our ability to continue building a high-quality mortgage insurance portfolio and delivering attractive risk-adjusted returns.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Policy Servicing</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Policy Servicing Department is responsible for various servicing activities related to our Master Policies and certificate administration, premium billing and payment processing. Our Policy Servicing Department primarily interfaces with our insureds' mortgage loan servicers. Some insureds retain the servicing rights and responsibilities for their own loan originations, while others transfer such rights and responsibilities to third-party servicers. A residential mortgage loan servicer handles the day-to-day tasks of managing a lender's loan portfolio, including processing borrowers' loan payments, paying MI premiums to the mortgage insurer, responding to borrower inquiries, keeping track of principal and interest payments, managing escrow accounts and initiating loss mitigation and foreclosure activities. We assign servicing specialists to our servicers to assist with day-to-day transactions and monitoring of insured loans.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Over time, a servicer may change on an insured loan if the related servicing rights are transferred to a different servicer during the life of such loan. Servicing rights and responsibilities related to an insured loan may be sold, assigned or transferred, subject to all of the terms and conditions of the applicable Master Policy. Under the Master Policies, if the servicing rights for an insured loan are sold, assigned or transferred to a servicer we approve, coverage of the loan will continue. We have the right under our Master Policies to revoke approval of a servicer; if the impacted insureds wish to maintain coverage of insured loans serviced by the disapproved provider, such insureds must find another servicer that we approve.</w:t>
      </w:r>
    </w:p>
    <w:p>
      <w:pPr>
        <w:spacing w:after="0" w:line="11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policies and procedures accommodate various methods for servicers to communicate loan and certificate information to us. Our Master Policies require our insureds, typically through their servicers, to regularly provide us with reports regarding the statuses of their insured loans, including information on both current and delinquent loans. Generally, servicers submit reports to us on a monthly basis. We are currently integrated with the two largest third-party mortgage servicing systems, Black Knight Financial Services and FiServ. We are also integrated directly with certain lender customers who manage their own servicing systems. These parties' servicing platforms are used by the majority of our larger servicing accounts to exchange billing, payment and certificate level information on a daily or monthly basis. Servicers may also use our own external facing servicing website to process their servicing transactions.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and Claims; Loss Mitigation</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Defaults and Claims</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MI claim cycle begins with the receipt of a default notice for an insured loan from a loan servicer. Generally, our Master Policies require our insureds to notify us after a loan is two payments in arrears. We include a loan in our default population and establish claim reserves on such loan when we have received notice from the servicer that as of a particular payment date, the borrower has missed the preceding two or more consecutive monthly payments. The incidence of default is affected by a variety of factors, many of which are unforeseen, including a borrowers' loss of income, unemployment, divorce, illness or death. Defaults that are not cured result in a claim to us. A default may be cured by a borrower remitting all delinquent loan payments, achieving a modification of loan terms, or refinancing the loan or selling the property and satisfying all amounts due under the loan.</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Claims result from foreclosures following uncured defaults, losses on approved pre-foreclosure short sales (short sales) or borrowers surrendering their property deeds to their lenders in lieu of foreclosure (deeds-in-lieu). A range of factors impact the frequency and severity of claims, including the macroeconomic environment, local housing prices, loan and borrower level risk profiles and the size and coverage level of a loan. If a default is not cured and we receive a claim, we refund any unearned premium collected between the date of default and the date of the claim payment.</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Our claim exposure includes, subject to certain limitations, the covered portion of unpaid loan principal, delinquent interest (subject to a three-year limit) and certain expenses incurred in connection with the default and subsequent foreclosure or sale of the property securing the insured loan.</w:t>
      </w:r>
    </w:p>
    <w:p>
      <w:pPr>
        <w:spacing w:after="0" w:line="95"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Under the terms of our Master Policies, our insureds are generally required to file claims within 60 days of the transfer of the title to a property securing an insured loan (typically through foreclosure). In the years following the 2008 financial crisis, foreclosure timelines and the average time from initial default by a borrower to MI claim submission extended due to legislation and GSE programs requiring mortgage servicers to mitigate losses by offering forbearance and loan modifications prior to pursuing foreclosure on delinquent loans. Such timelines were further extended in connection with legislation and GSE action following the onset of the COVID-19 pandemic to aid distressed borrowers.</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When we approve a claim, our Master Policies give us the option to pay (i) the coverage percentage specified for a loan, with the insured retaining title to the underlying property and receiving all proceeds from an eventual sale of the property (the percentage option), (ii) the actual loss incurred by the insured upon sale of the property to a third party, if less than the percentage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2" w:name="page13"/>
    <w:bookmarkEnd w:id="12"/>
    <w:p>
      <w:pPr>
        <w:jc w:val="both"/>
        <w:spacing w:after="0" w:line="272" w:lineRule="auto"/>
        <w:rPr>
          <w:sz w:val="20"/>
          <w:szCs w:val="20"/>
          <w:color w:val="auto"/>
        </w:rPr>
      </w:pPr>
      <w:r>
        <w:rPr>
          <w:rFonts w:ascii="Times New Roman" w:cs="Times New Roman" w:eastAsia="Times New Roman" w:hAnsi="Times New Roman"/>
          <w:sz w:val="17"/>
          <w:szCs w:val="17"/>
          <w:color w:val="auto"/>
        </w:rPr>
        <w:t>option, (iii) the loss an insured is reasonably expected to experience upon a future sale of the property to a third-party, or (iv) the insured's claim amount (as calculated in the applicable Master Policy) in exchange for the insured's conveyance of good and marketable title to the property to us. If we elect to receive title to a property, we will market and sell the acquired property and retain all proceeds.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Loss Mitigation</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Before paying a claim, we review loan and servicing files to determine the appropriateness of the claim submission and claim amount, and to ensure we only pay for expenses covered under the applicable Master Policy. We periodically receive claims submissions that include costs and expenses not covered by our Master Policies, such as mortgage insurance premiums, hazard insurance premiums for periods after the claim date and losses resulting from property damage that has not been repaired, and deny coverage for such items. Our Master Policies also provide us with the ability to reduce or deny a claim if the servicer did not comply with its obligations, including a requirement to pursue reasonable loss mitigation efforts. Such efforts may include pursuing foreclosure or bankruptcy relief in a timely and diligent manner. We deem a reduction in the claim amount to be a "curtailment."</w:t>
      </w:r>
    </w:p>
    <w:p>
      <w:pPr>
        <w:spacing w:after="0" w:line="122"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Under our Master Policies, insureds, typically through their servicers, must obtain prior approval from us before executing a deed-in-lieu of foreclosure, short sale or loan modification. Our right to pre-approve these transactions provides us the ability to mitigate actual or potential loss on an insured loan by ensuring that properties are being marketed and sold at reasonable values and that, in appropriate cases, borrowers are offered modified loan terms that are structured to help them sustain their mortgage payments. Proceeds from approved third-party sales occurring before we settle a claim are factored into the claim settlement and can often mitigate the size of the insurance benefit we are responsible to pay. In connection with our approval rights for short sales or deed-in-lieu of foreclosure transactions, our Master Policies also provide us the right to obtain a contribution from borrowers with appropriate financial capacity, either in the form of cash or promissory notes, to cover a portion of our claim payments. We have entered into delegation agreements with the GSEs that provide them and their designated servicers the right to approve certain transactions on our behalf including pre-foreclosure sales, deeds-in-lieu and loan modifications for most GSE-owned loans that we insure.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Reinsurance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Third-Party Reinsurance</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utilize third-party reinsurance to actively manage our risk, ensure compliance with PMIERs, state regulatory and other applicable capital requirements, and support the growth of our business. We currently have both excess of loss and quota share reinsurance agreements in place.</w:t>
      </w:r>
    </w:p>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Excess-of-Loss Reinsurance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Insurance-Linked Notes</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NMIC is party to reinsurance agreements with Oaktown Re III Ltd., Oaktown Re V Ltd., Oaktown Re VI Ltd., and Oaktown Re VII Ltd. (special purpose reinsurance entities collectively referred to as the Oaktown Re Vehicles) effective July 30, 2019, October 29, 2020,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97"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(in the case of the notes issued by Oaktown Re III Ltd. and Oaktown Re V Ltd.) and 12.5 years (in the case of the notes issued by Oaktown Re VI Ltd. and Oaktown Re VII Ltd.) from the inception date of their associated reinsurance agreement. We refer to NMIC's reinsurance agreements with and the insurance-linked note issuances by Oaktown Re Vehicles individually as the 2019 ILN Transaction, 2020-2 ILN Transaction, 2021-1 ILN Transaction and 2021-2 ILN Transaction, and collectively as the ILN Transactions.</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respective reinsurance coverage amounts provided by the Oaktown Re Vehicles decrease (over a ten-year period in the case of Oaktown Re III Ltd. and Oaktown Re V Ltd. and 12.5-year period in the case of Oaktown Re VI Ltd. and Oaktown 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7"/>
          <w:szCs w:val="17"/>
          <w:color w:val="auto"/>
        </w:rPr>
        <w:t>VII Ltd.)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insurance-linked note principal is suspended if certain credit enhancement or delinquency thresholds, as defined in each agreement, are triggered (each, a Lock-Out Event). At December 31, 2023, the 2019 ILN Transaction was deemed to be in Lock-Out due to the default experience of its underlying pool.</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Effective July 25, 2023, NMIC exercised its optional call to terminate and commute its previously outstanding excess of loss reinsurance agreement with Oaktown Re II Ltd. In connection with the termination and commutation of the agreement, the insurance-linked notes issued by Oaktown Re II Ltd. were redeemed in full with a distribution of remaining collateral assets.</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December 31,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 First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 First Layer</w:t>
            </w:r>
          </w:p>
        </w:tc>
        <w:tc>
          <w:tcPr>
            <w:tcW w:w="0" w:type="dxa"/>
            <w:vAlign w:val="bottom"/>
          </w:tcPr>
          <w:p>
            <w:pPr>
              <w:spacing w:after="0"/>
              <w:rPr>
                <w:sz w:val="1"/>
                <w:szCs w:val="1"/>
                <w:color w:val="auto"/>
              </w:rPr>
            </w:pPr>
          </w:p>
        </w:tc>
      </w:tr>
      <w:tr>
        <w:trPr>
          <w:trHeight w:val="142"/>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 values in thousands)</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2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Reinsurance</w:t>
            </w:r>
          </w:p>
        </w:tc>
        <w:tc>
          <w:tcPr>
            <w:tcW w:w="11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8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Retained Loss </w:t>
            </w:r>
            <w:r>
              <w:rPr>
                <w:rFonts w:ascii="Times New Roman" w:cs="Times New Roman" w:eastAsia="Times New Roman" w:hAnsi="Times New Roman"/>
                <w:sz w:val="8"/>
                <w:szCs w:val="8"/>
                <w:b w:val="1"/>
                <w:bCs w:val="1"/>
                <w:color w:val="auto"/>
                <w:w w:val="98"/>
              </w:rPr>
              <w:t>(1)</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2019 ILN Transaction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30, 2019</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6/1/2018 – 6/30/2019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$326,905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$159,476</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$123,424</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$121,751</w:t>
            </w:r>
          </w:p>
        </w:tc>
        <w:tc>
          <w:tcPr>
            <w:tcW w:w="0" w:type="dxa"/>
            <w:vAlign w:val="bottom"/>
          </w:tcPr>
          <w:p>
            <w:pPr>
              <w:spacing w:after="0"/>
              <w:rPr>
                <w:sz w:val="1"/>
                <w:szCs w:val="1"/>
                <w:color w:val="auto"/>
              </w:rPr>
            </w:pPr>
          </w:p>
        </w:tc>
      </w:tr>
      <w:tr>
        <w:trPr>
          <w:trHeight w:val="220"/>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2020-2 ILN Transaction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29, 2020</w:t>
            </w:r>
          </w:p>
        </w:tc>
        <w:tc>
          <w:tcPr>
            <w:tcW w:w="2260" w:type="dxa"/>
            <w:vAlign w:val="bottom"/>
          </w:tcPr>
          <w:p>
            <w:pPr>
              <w:jc w:val="center"/>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4/1/2020 – 9/30/2020 </w:t>
            </w:r>
            <w:r>
              <w:rPr>
                <w:rFonts w:ascii="Times New Roman" w:cs="Times New Roman" w:eastAsia="Times New Roman" w:hAnsi="Times New Roman"/>
                <w:sz w:val="22"/>
                <w:szCs w:val="22"/>
                <w:color w:val="auto"/>
                <w:w w:val="98"/>
                <w:vertAlign w:val="superscript"/>
              </w:rPr>
              <w:t>(2)</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242,351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55,792</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121,777</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121,177</w:t>
            </w:r>
          </w:p>
        </w:tc>
        <w:tc>
          <w:tcPr>
            <w:tcW w:w="0" w:type="dxa"/>
            <w:vAlign w:val="bottom"/>
          </w:tcPr>
          <w:p>
            <w:pPr>
              <w:spacing w:after="0"/>
              <w:rPr>
                <w:sz w:val="1"/>
                <w:szCs w:val="1"/>
                <w:color w:val="auto"/>
              </w:rPr>
            </w:pPr>
          </w:p>
        </w:tc>
      </w:tr>
      <w:tr>
        <w:trPr>
          <w:trHeight w:val="22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2021-1 ILN Transaction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27, 2021</w:t>
            </w:r>
          </w:p>
        </w:tc>
        <w:tc>
          <w:tcPr>
            <w:tcW w:w="226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17"/>
                <w:szCs w:val="17"/>
                <w:color w:val="auto"/>
                <w:w w:val="98"/>
              </w:rPr>
              <w:t xml:space="preserve">10/1/2020 – 3/31/2021 </w:t>
            </w:r>
            <w:r>
              <w:rPr>
                <w:rFonts w:ascii="Times New Roman" w:cs="Times New Roman" w:eastAsia="Times New Roman" w:hAnsi="Times New Roman"/>
                <w:sz w:val="22"/>
                <w:szCs w:val="22"/>
                <w:color w:val="auto"/>
                <w:w w:val="98"/>
                <w:vertAlign w:val="superscript"/>
              </w:rPr>
              <w:t>(3)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367,238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217,630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163,708</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163,394</w:t>
            </w:r>
          </w:p>
        </w:tc>
        <w:tc>
          <w:tcPr>
            <w:tcW w:w="0" w:type="dxa"/>
            <w:vAlign w:val="bottom"/>
          </w:tcPr>
          <w:p>
            <w:pPr>
              <w:spacing w:after="0"/>
              <w:rPr>
                <w:sz w:val="1"/>
                <w:szCs w:val="1"/>
                <w:color w:val="auto"/>
              </w:rPr>
            </w:pPr>
          </w:p>
        </w:tc>
      </w:tr>
      <w:tr>
        <w:trPr>
          <w:trHeight w:val="296"/>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2021-2 ILN Transaction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26, 2021</w:t>
            </w: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 xml:space="preserve">4/1/2021 – 9/30/2021 </w:t>
            </w:r>
            <w:r>
              <w:rPr>
                <w:rFonts w:ascii="Times New Roman" w:cs="Times New Roman" w:eastAsia="Times New Roman" w:hAnsi="Times New Roman"/>
                <w:sz w:val="22"/>
                <w:szCs w:val="22"/>
                <w:color w:val="auto"/>
                <w:w w:val="98"/>
                <w:vertAlign w:val="superscript"/>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363,596</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310,567</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146,229</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145,858</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7"/>
        <w:spacing w:after="0" w:line="258" w:lineRule="auto"/>
        <w:tabs>
          <w:tab w:leader="none" w:pos="32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20" w:hanging="317"/>
        <w:spacing w:after="0" w:line="236" w:lineRule="auto"/>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2020-2 ILN Transaction has coverage reporting dates between July 1, 2019 and March 31, 2020.</w:t>
      </w:r>
    </w:p>
    <w:p>
      <w:pPr>
        <w:ind w:left="300" w:hanging="297"/>
        <w:spacing w:after="0" w:line="231" w:lineRule="auto"/>
        <w:tabs>
          <w:tab w:leader="none" w:pos="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ind w:left="300" w:hanging="297"/>
        <w:spacing w:after="0"/>
        <w:tabs>
          <w:tab w:leader="none" w:pos="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Traditional Reinsurance</w:t>
      </w:r>
    </w:p>
    <w:p>
      <w:pPr>
        <w:spacing w:after="0" w:line="16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NMIC is party to five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and the 2023-2 XOL Transaction, effective July 1, 2023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23"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4" w:name="page15"/>
    <w:bookmarkEnd w:id="14"/>
    <w:p>
      <w:pPr>
        <w:ind w:firstLine="621"/>
        <w:spacing w:after="0" w:line="291" w:lineRule="auto"/>
        <w:rPr>
          <w:sz w:val="20"/>
          <w:szCs w:val="20"/>
          <w:color w:val="auto"/>
        </w:rPr>
      </w:pPr>
      <w:r>
        <w:rPr>
          <w:rFonts w:ascii="Times New Roman" w:cs="Times New Roman" w:eastAsia="Times New Roman" w:hAnsi="Times New Roman"/>
          <w:sz w:val="17"/>
          <w:szCs w:val="17"/>
          <w:color w:val="auto"/>
        </w:rPr>
        <w:t>Each of the third-party reinsurance providers that is party to the XOL Transactions has an insurer financial strength rating of A- or better by S&amp;P Global Ratings (S&amp;P), A.M. Best Company Inc. (A.M. Best) or both.</w:t>
      </w:r>
    </w:p>
    <w:p>
      <w:pPr>
        <w:spacing w:after="0" w:line="173"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December 31,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60" w:type="dxa"/>
            <w:vAlign w:val="bottom"/>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 First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Current First</w:t>
            </w:r>
          </w:p>
        </w:tc>
        <w:tc>
          <w:tcPr>
            <w:tcW w:w="0" w:type="dxa"/>
            <w:vAlign w:val="bottom"/>
          </w:tcPr>
          <w:p>
            <w:pPr>
              <w:spacing w:after="0"/>
              <w:rPr>
                <w:sz w:val="1"/>
                <w:szCs w:val="1"/>
                <w:color w:val="auto"/>
              </w:rPr>
            </w:pPr>
          </w:p>
        </w:tc>
      </w:tr>
      <w:tr>
        <w:trPr>
          <w:trHeight w:val="141"/>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3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60" w:type="dxa"/>
            <w:vAlign w:val="bottom"/>
          </w:tcPr>
          <w:p>
            <w:pPr>
              <w:jc w:val="center"/>
              <w:ind w:left="4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2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11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0" w:type="dxa"/>
            <w:vAlign w:val="bottom"/>
          </w:tcPr>
          <w:p>
            <w:pPr>
              <w:spacing w:after="0"/>
              <w:rPr>
                <w:sz w:val="1"/>
                <w:szCs w:val="1"/>
                <w:color w:val="auto"/>
              </w:rPr>
            </w:pPr>
          </w:p>
        </w:tc>
      </w:tr>
      <w:tr>
        <w:trPr>
          <w:trHeight w:val="188"/>
        </w:trPr>
        <w:tc>
          <w:tcPr>
            <w:tcW w:w="2520" w:type="dxa"/>
            <w:vAlign w:val="bottom"/>
            <w:tcBorders>
              <w:bottom w:val="single" w:sz="8" w:color="CCEEFF"/>
            </w:tcBorders>
            <w:gridSpan w:val="2"/>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Loss </w:t>
            </w:r>
            <w:r>
              <w:rPr>
                <w:rFonts w:ascii="Times New Roman" w:cs="Times New Roman" w:eastAsia="Times New Roman" w:hAnsi="Times New Roman"/>
                <w:sz w:val="8"/>
                <w:szCs w:val="8"/>
                <w:b w:val="1"/>
                <w:bCs w:val="1"/>
                <w:color w:val="auto"/>
                <w:w w:val="99"/>
              </w:rPr>
              <w:t>(1)</w:t>
            </w:r>
          </w:p>
        </w:tc>
        <w:tc>
          <w:tcPr>
            <w:tcW w:w="0" w:type="dxa"/>
            <w:vAlign w:val="bottom"/>
          </w:tcPr>
          <w:p>
            <w:pPr>
              <w:spacing w:after="0"/>
              <w:rPr>
                <w:sz w:val="1"/>
                <w:szCs w:val="1"/>
                <w:color w:val="auto"/>
              </w:rPr>
            </w:pPr>
          </w:p>
        </w:tc>
      </w:tr>
      <w:tr>
        <w:trPr>
          <w:trHeight w:val="218"/>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2022-1 XOL Transaction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c>
          <w:tcPr>
            <w:tcW w:w="2340" w:type="dxa"/>
            <w:vAlign w:val="bottom"/>
            <w:shd w:val="clear" w:color="auto" w:fill="CCEEFF"/>
          </w:tcPr>
          <w:p>
            <w:pPr>
              <w:jc w:val="center"/>
              <w:spacing w:after="0" w:line="219" w:lineRule="exact"/>
              <w:rPr>
                <w:sz w:val="20"/>
                <w:szCs w:val="20"/>
                <w:color w:val="auto"/>
              </w:rPr>
            </w:pPr>
            <w:r>
              <w:rPr>
                <w:rFonts w:ascii="Times New Roman" w:cs="Times New Roman" w:eastAsia="Times New Roman" w:hAnsi="Times New Roman"/>
                <w:sz w:val="17"/>
                <w:szCs w:val="17"/>
                <w:color w:val="auto"/>
                <w:w w:val="97"/>
              </w:rPr>
              <w:t xml:space="preserve">10/1/2021 - 3/31/2022 </w:t>
            </w:r>
            <w:r>
              <w:rPr>
                <w:rFonts w:ascii="Times New Roman" w:cs="Times New Roman" w:eastAsia="Times New Roman" w:hAnsi="Times New Roman"/>
                <w:sz w:val="22"/>
                <w:szCs w:val="22"/>
                <w:color w:val="auto"/>
                <w:w w:val="97"/>
                <w:vertAlign w:val="superscript"/>
              </w:rPr>
              <w:t>(2)</w:t>
            </w:r>
          </w:p>
        </w:tc>
        <w:tc>
          <w:tcPr>
            <w:tcW w:w="126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7"/>
                <w:szCs w:val="17"/>
                <w:color w:val="auto"/>
              </w:rPr>
              <w:t>$289,741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$253,252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$133,366</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$133,123</w:t>
            </w:r>
          </w:p>
        </w:tc>
        <w:tc>
          <w:tcPr>
            <w:tcW w:w="0" w:type="dxa"/>
            <w:vAlign w:val="bottom"/>
          </w:tcPr>
          <w:p>
            <w:pPr>
              <w:spacing w:after="0"/>
              <w:rPr>
                <w:sz w:val="1"/>
                <w:szCs w:val="1"/>
                <w:color w:val="auto"/>
              </w:rPr>
            </w:pPr>
          </w:p>
        </w:tc>
      </w:tr>
      <w:tr>
        <w:trPr>
          <w:trHeight w:val="220"/>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2022-2</w:t>
            </w:r>
          </w:p>
        </w:tc>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XOL 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1, 2022</w:t>
            </w:r>
          </w:p>
        </w:tc>
        <w:tc>
          <w:tcPr>
            <w:tcW w:w="2340" w:type="dxa"/>
            <w:vAlign w:val="bottom"/>
          </w:tcPr>
          <w:p>
            <w:pPr>
              <w:jc w:val="center"/>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4/1/2022 - 6/30/2022 </w:t>
            </w:r>
            <w:r>
              <w:rPr>
                <w:rFonts w:ascii="Times New Roman" w:cs="Times New Roman" w:eastAsia="Times New Roman" w:hAnsi="Times New Roman"/>
                <w:sz w:val="22"/>
                <w:szCs w:val="22"/>
                <w:color w:val="auto"/>
                <w:w w:val="98"/>
                <w:vertAlign w:val="superscript"/>
              </w:rPr>
              <w:t>(3)</w:t>
            </w:r>
          </w:p>
        </w:tc>
        <w:tc>
          <w:tcPr>
            <w:tcW w:w="1260" w:type="dxa"/>
            <w:vAlign w:val="bottom"/>
          </w:tcPr>
          <w:p>
            <w:pPr>
              <w:jc w:val="center"/>
              <w:ind w:left="20"/>
              <w:spacing w:after="0"/>
              <w:rPr>
                <w:sz w:val="20"/>
                <w:szCs w:val="20"/>
                <w:color w:val="auto"/>
              </w:rPr>
            </w:pPr>
            <w:r>
              <w:rPr>
                <w:rFonts w:ascii="Times New Roman" w:cs="Times New Roman" w:eastAsia="Times New Roman" w:hAnsi="Times New Roman"/>
                <w:sz w:val="17"/>
                <w:szCs w:val="17"/>
                <w:color w:val="auto"/>
              </w:rPr>
              <w:t>154,306</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152,347</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78,906</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78,736</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2022-3</w:t>
            </w: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XOL Transaction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1, 2022</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7/1/2022 - 9/30/2022</w:t>
            </w:r>
          </w:p>
        </w:tc>
        <w:tc>
          <w:tcPr>
            <w:tcW w:w="126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7"/>
                <w:szCs w:val="17"/>
                <w:color w:val="auto"/>
                <w:w w:val="98"/>
              </w:rPr>
              <w:t>96,779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96,197</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106,265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106,265</w:t>
            </w:r>
          </w:p>
        </w:tc>
        <w:tc>
          <w:tcPr>
            <w:tcW w:w="0" w:type="dxa"/>
            <w:vAlign w:val="bottom"/>
          </w:tcPr>
          <w:p>
            <w:pPr>
              <w:spacing w:after="0"/>
              <w:rPr>
                <w:sz w:val="1"/>
                <w:szCs w:val="1"/>
                <w:color w:val="auto"/>
              </w:rPr>
            </w:pPr>
          </w:p>
        </w:tc>
      </w:tr>
      <w:tr>
        <w:trPr>
          <w:trHeight w:val="220"/>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2023-1</w:t>
            </w:r>
          </w:p>
        </w:tc>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XOL 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1,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10/1/2022 - 6/30/2023</w:t>
            </w:r>
          </w:p>
        </w:tc>
        <w:tc>
          <w:tcPr>
            <w:tcW w:w="1260" w:type="dxa"/>
            <w:vAlign w:val="bottom"/>
          </w:tcPr>
          <w:p>
            <w:pPr>
              <w:jc w:val="center"/>
              <w:ind w:left="40"/>
              <w:spacing w:after="0"/>
              <w:rPr>
                <w:sz w:val="20"/>
                <w:szCs w:val="20"/>
                <w:color w:val="auto"/>
              </w:rPr>
            </w:pPr>
            <w:r>
              <w:rPr>
                <w:rFonts w:ascii="Times New Roman" w:cs="Times New Roman" w:eastAsia="Times New Roman" w:hAnsi="Times New Roman"/>
                <w:sz w:val="17"/>
                <w:szCs w:val="17"/>
                <w:color w:val="auto"/>
                <w:w w:val="98"/>
              </w:rPr>
              <w:t>89,864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88,351</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146,513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146,348</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2023-2</w:t>
            </w:r>
          </w:p>
        </w:tc>
        <w:tc>
          <w:tcPr>
            <w:tcW w:w="19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XOL Transaction </w:t>
            </w:r>
            <w:r>
              <w:rPr>
                <w:rFonts w:ascii="Times New Roman" w:cs="Times New Roman" w:eastAsia="Times New Roman" w:hAnsi="Times New Roman"/>
                <w:sz w:val="22"/>
                <w:szCs w:val="22"/>
                <w:color w:val="auto"/>
                <w:vertAlign w:val="superscript"/>
              </w:rPr>
              <w:t>(4)</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1, 2023</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7/1/2023 - 12/31/2023</w:t>
            </w:r>
          </w:p>
        </w:tc>
        <w:tc>
          <w:tcPr>
            <w:tcW w:w="126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7"/>
                <w:szCs w:val="17"/>
                <w:color w:val="auto"/>
                <w:w w:val="98"/>
              </w:rPr>
              <w:t>71,602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71,602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113,372</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113,372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20" w:hanging="317"/>
        <w:spacing w:after="0" w:line="249" w:lineRule="auto"/>
        <w:tabs>
          <w:tab w:leader="none" w:pos="32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20" w:hanging="317"/>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spacing w:after="0" w:line="7" w:lineRule="exact"/>
        <w:rPr>
          <w:rFonts w:ascii="Times New Roman" w:cs="Times New Roman" w:eastAsia="Times New Roman" w:hAnsi="Times New Roman"/>
          <w:sz w:val="14"/>
          <w:szCs w:val="14"/>
          <w:color w:val="auto"/>
        </w:rPr>
      </w:pPr>
    </w:p>
    <w:p>
      <w:pPr>
        <w:ind w:left="320" w:hanging="317"/>
        <w:spacing w:after="0" w:line="236" w:lineRule="auto"/>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ind w:left="320" w:hanging="317"/>
        <w:spacing w:after="0" w:line="256" w:lineRule="auto"/>
        <w:tabs>
          <w:tab w:leader="none" w:pos="33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2023-2 XOL Transaction provides coverage for production generated between July 1, 2023 and December 31, 2023. The current reinsurance coverage and current first layer retained loss will decrease in future periods to the extent the PMIERs minimum required assets of the covered pool declines.</w:t>
      </w:r>
    </w:p>
    <w:p>
      <w:pPr>
        <w:spacing w:after="0" w:line="13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Effective January 1, 2024, NMIC entered into a reinsurance agreement with a broad panel of highly rated reinsurers that provides for up to $162.5 million of aggregate excess-of-loss reinsurance coverage for delinquencies that emerge on mortgage insurance policies written between January 1, 2024 and December 31, 2024 (the 2024 XOL Transaction). For the reinsurance coverage period, NMIC will retain a first layer of aggregate losses on covered policies and the reinsurers then provide second layer loss protection up to $162.5 million. NMIC retains losses in excess of the outstanding reinsurance coverage amount.</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Quota Share Reinsurance</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NMIC is party to seven quota share reinsurance treaties – the 2016 QSR Transaction, effective September 1, 2016, the 2018 QSR Transaction, effective January 1, 2018, the 2020 QSR Transaction, effective April 1, 2020 (and amended effective January 1, 2024), the 2021 QSR Transaction, effective January 1, 2021, the 2022 QSR Transaction, effective October 1, 2021, the 2022 Seasoned QSR Transaction, effective July 1, 2022 and the 2023 QSR Transaction, effective January 1, 2023 – which we refer to collectively as the QSR Transactions.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the 2016 QSR Transaction, NMIC cedes premiums written related to 25% of the risk on eligible primary policies written for all periods through December 31, 2017, in exchange for reimbursement of ceded claims and claim expenses on covered policies, a 20% ceding commission, and a profit commission of up to 60% that varies directly and inversely with ceded claims. NMIC previously ceded 100% of the risk under its pool agreement with Fannie Mae; however, such agreement expired on August 31, 2023 and NMIC no longer cedes pool risk under the 2016 QSR Transaction.</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 w:name="page16"/>
    <w:bookmarkEnd w:id="15"/>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2021 QSR Transaction, NMIC cedes premiums earned related to 22.5% of the risk on eligible policies written in 2021 (subject to an aggregate risk written limit which was exhausted on October 30, 2021), in exchange for reimbursement of ceded claims and claim expenses on covered policies, a 20% ceding commission, and a profit commission of up to 57.5% that varies directly and inversely with ceded claims.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2022 QSR Transaction, NMIC cedes premiums earned related to 20% of the risk on eligible policies written between October 30, 2021 and December 31, 2022, in exchange for reimbursement of ceded claims and claim expenses on covered policies, a 20% ceding commission, and a profit commission of up to 62% that varies directly and inversely with ceded claims.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 connection with the 2022 QSR Transaction, NMIC entered into the 2023 QSR Transaction as a springing back-to-back quota share agreement. Under the terms of the 2023 QSR Transaction, NMIC cedes premiums earned related to 20% of the risk on eligible policies written between January 1, 2023 and December 31, 2023, in exchange for reimbursement of ceded claims and claim expenses on covered policies, a 20% ceding commission, and a profit commission of up to 62% that varies directly and inversely with ceded claims.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in exchange for reimbursement of ceded claims and claim expenses on covered policies, a 35% ceding commission, and a profit commission of up to 55% that varies directly and inversely with ceded claims.</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reinsurers continue providing coverage on all risk ceded prior to the termination date, with no new cessions going forward) or cut-off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w:t>
      </w:r>
    </w:p>
    <w:p>
      <w:pPr>
        <w:spacing w:after="0" w:line="99" w:lineRule="exact"/>
        <w:rPr>
          <w:sz w:val="20"/>
          <w:szCs w:val="20"/>
          <w:color w:val="auto"/>
        </w:rPr>
      </w:pPr>
    </w:p>
    <w:p>
      <w:pPr>
        <w:jc w:val="both"/>
        <w:ind w:firstLine="621"/>
        <w:spacing w:after="0" w:line="247" w:lineRule="auto"/>
        <w:rPr>
          <w:sz w:val="20"/>
          <w:szCs w:val="20"/>
          <w:color w:val="auto"/>
        </w:rPr>
      </w:pPr>
      <w:r>
        <w:rPr>
          <w:rFonts w:ascii="Times New Roman" w:cs="Times New Roman" w:eastAsia="Times New Roman" w:hAnsi="Times New Roman"/>
          <w:sz w:val="17"/>
          <w:szCs w:val="17"/>
          <w:color w:val="auto"/>
        </w:rPr>
        <w:t>Effective December 31, 2023, NMIC elected to selectively terminate its engagement with certain reinsurers under the 2020 QSR Transaction and concurrently entered into an amended agreement effective January 1, 2024 (the Amended 2020 QSR Transaction) with the remaining reinsurance participants. Under the Amended 2020 QSR Transaction, NMIC retains consistent coverage with that provided under the original 2020 QSR Transaction and continues to cede premiums earned related to 21% of the risk on eligible policies written from April 1, 2020 to December 31, 2020, in exchange for reimbursement of ceded claims and claim expenses on covered policies, a 36% ceding commission, and a profit commission of up to 50% that varies directly and inversely with ceded claims.</w:t>
      </w:r>
    </w:p>
    <w:p>
      <w:pPr>
        <w:spacing w:after="0" w:line="13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Effective January 1, 2024, NMIC entered into a quota share reinsurance treaty with a broad panel of highly rated reinsurers that will provide coverage for mortgage insurance policies to be written between January 1, 2024 and December 31, 2024 (the 2024 QSR Transaction). Under the terms of the agreement, NMIC will cede premiums earned related to 20% of the risk on eligible policies in exchange for reimbursement of ceded claims and claim expenses on covered policies, a ceding commission equal to 20% and profit commission of up to 56% that varies directly and inversely with ceded claims.</w:t>
      </w:r>
    </w:p>
    <w:p>
      <w:pPr>
        <w:spacing w:after="0" w:line="114" w:lineRule="exact"/>
        <w:rPr>
          <w:sz w:val="20"/>
          <w:szCs w:val="20"/>
          <w:color w:val="auto"/>
        </w:rPr>
      </w:pPr>
    </w:p>
    <w:p>
      <w:pPr>
        <w:jc w:val="both"/>
        <w:ind w:firstLine="621"/>
        <w:spacing w:after="0" w:line="293" w:lineRule="auto"/>
        <w:rPr>
          <w:sz w:val="20"/>
          <w:szCs w:val="20"/>
          <w:color w:val="auto"/>
        </w:rPr>
      </w:pPr>
      <w:r>
        <w:rPr>
          <w:rFonts w:ascii="Times New Roman" w:cs="Times New Roman" w:eastAsia="Times New Roman" w:hAnsi="Times New Roman"/>
          <w:sz w:val="17"/>
          <w:szCs w:val="17"/>
          <w:color w:val="auto"/>
        </w:rPr>
        <w:t>For further discussion of the effect of reinsurance on our business, see Part II, Item 7, “</w:t>
      </w:r>
      <w:r>
        <w:rPr>
          <w:rFonts w:ascii="Times New Roman" w:cs="Times New Roman" w:eastAsia="Times New Roman" w:hAnsi="Times New Roman"/>
          <w:sz w:val="17"/>
          <w:szCs w:val="17"/>
          <w:i w:val="1"/>
          <w:iCs w:val="1"/>
          <w:color w:val="auto"/>
        </w:rPr>
        <w:t>Management's Discussion and Analysis of Financial Condition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Results of Operations - Key Factors Affecting Our Results - Effect of Reinsurance on Our Results.</w:t>
      </w:r>
      <w:r>
        <w:rPr>
          <w:rFonts w:ascii="Times New Roman" w:cs="Times New Roman" w:eastAsia="Times New Roman" w:hAnsi="Times New Roman"/>
          <w:sz w:val="17"/>
          <w:szCs w:val="17"/>
          <w:color w:val="auto"/>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Enterprise Risk Management</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have established enterprise wide policies, procedures and processes to allow us to identify, assess, monitor and manage credit market and operational risks in our business, as well as other risks discussed below in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Management of these risks is an interdepartmental endeavor including specific operational responsibilities and ongoing senior management and compliance personnel oversight. The Risk Committee of our Board of Directors (Board) has responsibility for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7"/>
          <w:szCs w:val="17"/>
          <w:color w:val="auto"/>
        </w:rPr>
        <w:t>oversight and review of our enterprise risk management approach and is supported by a management enterprise risk committee comprised of senior members of our management team and led by our Head of Internal Audit and Enterprise Risk. Our internal audit function, which reports to the Audit Committee of our Board, provides independent ongoing assessments of our management of certain enterprise risks and reports its findings to our Board's Risk Committee. Our internal audit function also engages external resources to assist in the assessment of enterprise risks and our related control and monitoring processes.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Credit Market Risk</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implemented a complementary range of strategies to actively monitor and manage the credit performance of our insured portfolio, including:</w:t>
      </w:r>
    </w:p>
    <w:p>
      <w:pPr>
        <w:spacing w:after="0" w:line="167" w:lineRule="exact"/>
        <w:rPr>
          <w:sz w:val="20"/>
          <w:szCs w:val="20"/>
          <w:color w:val="auto"/>
        </w:rPr>
      </w:pPr>
    </w:p>
    <w:p>
      <w:pPr>
        <w:jc w:val="both"/>
        <w:ind w:left="1100" w:hanging="320"/>
        <w:spacing w:after="0" w:line="272" w:lineRule="auto"/>
        <w:tabs>
          <w:tab w:leader="none" w:pos="109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prudential underwriting standards and loan-level eligibility matrices which describe the maximum LTV, minimum FICO, maximum borrower DTI ratio, maximum loan size, property type and occupancy status of loans that we will insure, and memorializing these standards and eligibility matrices in our underwriting guidelines;</w:t>
      </w:r>
    </w:p>
    <w:p>
      <w:pPr>
        <w:spacing w:after="0" w:line="59"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diligence of our lender customers before and after we formally engage with them to ensure they have appropriate financial resources, operational capabilities, management experience and a track record of strong origination quality, and subjecting them to well-defined parameters regarding underwriting delegation status, credit guideline requirements and, on a more limited basis, variances;</w:t>
      </w:r>
    </w:p>
    <w:p>
      <w:pPr>
        <w:spacing w:after="0" w:line="59" w:lineRule="exact"/>
        <w:rPr>
          <w:rFonts w:ascii="Times New Roman" w:cs="Times New Roman" w:eastAsia="Times New Roman" w:hAnsi="Times New Roman"/>
          <w:sz w:val="17"/>
          <w:szCs w:val="17"/>
          <w:color w:val="auto"/>
        </w:rPr>
      </w:pPr>
    </w:p>
    <w:p>
      <w:pPr>
        <w:jc w:val="both"/>
        <w:ind w:left="1100" w:hanging="320"/>
        <w:spacing w:after="0" w:line="266" w:lineRule="auto"/>
        <w:tabs>
          <w:tab w:leader="none" w:pos="109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 quality control process to ensure ongoing adherence with our underwriting guidelines and eligibility criteria, under which our quality control group performs audits of insured loans identified on a random, high risk and targeted basis to measure the quality of the underwriting decision and loan closing process, and specifically assess the accuracy and adequacy of the information and documentation used to underwrite our MI;</w:t>
      </w:r>
    </w:p>
    <w:p>
      <w:pPr>
        <w:spacing w:after="0" w:line="64" w:lineRule="exact"/>
        <w:rPr>
          <w:rFonts w:ascii="Times New Roman" w:cs="Times New Roman" w:eastAsia="Times New Roman" w:hAnsi="Times New Roman"/>
          <w:sz w:val="17"/>
          <w:szCs w:val="17"/>
          <w:color w:val="auto"/>
        </w:rPr>
      </w:pPr>
    </w:p>
    <w:p>
      <w:pPr>
        <w:jc w:val="both"/>
        <w:ind w:left="1100" w:hanging="320"/>
        <w:spacing w:after="0" w:line="266" w:lineRule="auto"/>
        <w:tabs>
          <w:tab w:leader="none" w:pos="109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setting concentration limits to regulate the aggregation of loan-level risks in our overall portfolio and manage our overall portfolio exposure to certain risk classes that typically experience greater volatility and loss during periods of economic and housing market downturns, such as higher LTV loans, loans with higher borrower DTIs, investor loans, cash-out refinances, certain state concentration levels and several other borrower or loan attributes;</w:t>
      </w:r>
    </w:p>
    <w:p>
      <w:pPr>
        <w:spacing w:after="0" w:line="6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individually underwriting the majority of the loans we insure through our non-delegated platform and DAR validation process, in order to evaluate borrower and loan-level risk characteristics on an individual policy level, and monitor and assess the manufacturing capabilities of our lender customers in order to provide them feedback to help enhance their own production and control processes;</w:t>
      </w:r>
    </w:p>
    <w:p>
      <w:pPr>
        <w:spacing w:after="0" w:line="53" w:lineRule="exact"/>
        <w:rPr>
          <w:rFonts w:ascii="Times New Roman" w:cs="Times New Roman" w:eastAsia="Times New Roman" w:hAnsi="Times New Roman"/>
          <w:sz w:val="17"/>
          <w:szCs w:val="17"/>
          <w:color w:val="auto"/>
        </w:rPr>
      </w:pPr>
    </w:p>
    <w:p>
      <w:pPr>
        <w:jc w:val="both"/>
        <w:ind w:left="1100" w:hanging="320"/>
        <w:spacing w:after="0" w:line="275" w:lineRule="auto"/>
        <w:tabs>
          <w:tab w:leader="none" w:pos="109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developing and deploying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our proprietary risk-based pricing platform, to dynamically consider a granular set of risk attributes in our policy pricing process and assign individualized premium rates based on the relative risk and anticipated performance of each loan we insure;</w:t>
      </w:r>
    </w:p>
    <w:p>
      <w:pPr>
        <w:spacing w:after="0" w:line="50" w:lineRule="exact"/>
        <w:rPr>
          <w:rFonts w:ascii="Times New Roman" w:cs="Times New Roman" w:eastAsia="Times New Roman" w:hAnsi="Times New Roman"/>
          <w:sz w:val="17"/>
          <w:szCs w:val="17"/>
          <w:color w:val="auto"/>
        </w:rPr>
      </w:pPr>
    </w:p>
    <w:p>
      <w:pPr>
        <w:ind w:left="1100" w:hanging="320"/>
        <w:spacing w:after="0" w:line="285" w:lineRule="auto"/>
        <w:tabs>
          <w:tab w:leader="none" w:pos="109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utilizing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to actively manage the flow of business into our portfolio and target loans with higher quality risk characteristics that typically experience lower volatility and loss across market cycles; and</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securing reinsurance coverage under quota share and excess-of-loss transactions that are structured to absorb losses in periods of economic and/or housing market stress and, in doing so, mitigate the impact of credit volatility on our financial results.</w:t>
      </w:r>
    </w:p>
    <w:p>
      <w:pPr>
        <w:spacing w:after="0" w:line="43"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view our comprehensive approach to credit risk management as a core competency and believe that it provides us with the ability to actively manage the aggregation of borrower default risk in our insured loan portfolio and mitigate the impact of such exposure under a range of macroeconomic scenarios.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Operational Risk</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Operational risks are inherent in our daily business activities, and include, among others, the risk of damage to physical assets, reliance on outside vendors, continued access to qualified underwriting resources, cyber security threats, including breaches of our system or other compromises resulting in unauthorized access to confidential, private and proprietary information, reliance on a complex IT system and employee fraud or negligence. We seek to manage our operational exposures through a variety of standard risk management practices and procedures, such as purchasing hazard and cyber insurance coverage, maintaining oversight of third-party vendors, establishing IT system redundancy and security and disaster recovery practices, maintaining internal controls and ensuring appropriate segregation of duties.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Information Technology Systems and Intellectual Property</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rely on information technology to directly engage with our lender customers, receive MI applications and supporting documentation, streamline our underwriting and validation processes, deliver binding policy certificates, and facilitate post-close MI policy servicing. Our customers and regulators require us to provide and service our products in a secure manner, either electronically via our internet website or through direct electronic data transmissions.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have invested in our infrastructure and technology through the design, development, integration and implementation of what we believe is an efficient, secure, scalable platform that supports our current business activities and provides capacity for significant future growth. We underwrite and service our MI portfolio within this proprietary insurance management platform, which we refer to as AXIS.</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Since the initial development of AXIS, we have continued to upgrade and enhance our systems and technical capabilities, including:</w:t>
      </w:r>
    </w:p>
    <w:p>
      <w:pPr>
        <w:spacing w:after="0" w:line="167" w:lineRule="exact"/>
        <w:rPr>
          <w:sz w:val="20"/>
          <w:szCs w:val="20"/>
          <w:color w:val="auto"/>
        </w:rPr>
      </w:pPr>
    </w:p>
    <w:p>
      <w:pPr>
        <w:ind w:left="1100" w:hanging="320"/>
        <w:spacing w:after="0" w:line="291"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deploying technology that enables our customers to transact business faster and easier, whether via a secure internet connection or through a secure system-to-system interface;</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integrating our platform with third-party technology providers used by our customers in their loan origination process to price and order our MI and in their servicing processes for servicing and maintaining their MI policies;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advanced document and business process management software that focuses on improving our underwriting productivity and that may also be used to improve our quality assurance and loss management functions;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launching our award-winning mobile applications, which enable customers to view and access information through mobile devices, including our premium rate calculators, guideline updates and other resources and information notices; and</w:t>
      </w:r>
    </w:p>
    <w:p>
      <w:pPr>
        <w:spacing w:after="0" w:line="36" w:lineRule="exact"/>
        <w:rPr>
          <w:rFonts w:ascii="Times New Roman" w:cs="Times New Roman" w:eastAsia="Times New Roman" w:hAnsi="Times New Roman"/>
          <w:sz w:val="17"/>
          <w:szCs w:val="17"/>
          <w:color w:val="auto"/>
        </w:rPr>
      </w:pPr>
    </w:p>
    <w:p>
      <w:pPr>
        <w:jc w:val="both"/>
        <w:ind w:left="1100" w:hanging="320"/>
        <w:spacing w:after="0" w:line="280"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developing and deploying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our risk-based pricing platform, which allows us to dynamically consider a granular set of risk attributes in our policy pricing process and assign individualized rates based on the relative risk and anticipated performance of each loan we insure.</w:t>
      </w:r>
    </w:p>
    <w:p>
      <w:pPr>
        <w:spacing w:after="0" w:line="27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utilize and develop technology that enhances our current operating capabilities and supports future growth, while allowing us to realize current efficiencies. Effective March 31, 2020, we entered into an agreement with Tata Consultancy Services (TCS), under which TCS provides IT services over a seven-year period across such functions as application development and support, infrastructure support and information security. Our engagement with TCS has enhanced our ability to provide innovative IT solutions for our internal and external constituents, while allowing us to realize cost efficiencies by leveraging TCS's global platform. In connection with the agreement, a majority of our IT employees at that time transitioned to TCS.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Portfolio</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primary objectives with respect to our investment portfolio are to preserve capital and generate investment income, while maintaining sufficient liquidity to cover our operating needs. We aim to achieve diversification as to type, quality, maturity, industry and issuer. At December 31, 2023, our investment portfolio was comprised of investment grade fixed maturity securities, including U.S. Treasury securities and obligations of U.S. government agencies, municipal debt securities, corporate debt securities, and asset-backed securities. We also held short-term investments, such as U.S. Treasury Bills and commercial paper.</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have adopted an investment policy that defines, among other things, eligible and ineligible investments, concentration limits for asset types, industry sectors, single issuers, and certain credit ratings, and includes benchmarks for asset duration. Our investments are rated by one or more nationally recognized statistical rating organizations. Our investment policies and strategies are subject to change depending upon regulatory, economic and market conditions, and our existing or anticipated financial condition and operating requirements.</w:t>
      </w:r>
    </w:p>
    <w:p>
      <w:pPr>
        <w:spacing w:after="0" w:line="104" w:lineRule="exact"/>
        <w:rPr>
          <w:sz w:val="20"/>
          <w:szCs w:val="20"/>
          <w:color w:val="auto"/>
        </w:rPr>
      </w:pPr>
    </w:p>
    <w:p>
      <w:pPr>
        <w:ind w:right="700" w:firstLine="621"/>
        <w:spacing w:after="0" w:line="275" w:lineRule="auto"/>
        <w:rPr>
          <w:sz w:val="20"/>
          <w:szCs w:val="20"/>
          <w:color w:val="auto"/>
        </w:rPr>
      </w:pPr>
      <w:r>
        <w:rPr>
          <w:rFonts w:ascii="Times New Roman" w:cs="Times New Roman" w:eastAsia="Times New Roman" w:hAnsi="Times New Roman"/>
          <w:sz w:val="17"/>
          <w:szCs w:val="17"/>
          <w:color w:val="auto"/>
        </w:rPr>
        <w:t>We engage a third-party investment manager Allspring Global Investments, formerly Wells Capital Management, Inc., to assist with day-to-day management of our portfolio and implementation of our investment policy.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2023, we had 238 full-time and part-time employees, and engaged third-party vendors to provide additional IT, underwriting and other support services.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8" w:name="page19"/>
    <w:bookmarkEnd w:id="18"/>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ability to operate efficiently and profitably, to offer products and services that meet the expectations of our customers, and to maintain an effective risk management framework is highly dependent on the competence and integrity of our employees, as well as the employees of the third-party service providers, vendors and others whom we engage.</w:t>
      </w:r>
    </w:p>
    <w:p>
      <w:pPr>
        <w:spacing w:after="0" w:line="11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prioritize our employees with the goal of attracting, retaining and developing a high-quality, diverse talent base and aim to foster an employee-driven, collaborative and productive work environment that emphasizes balance between organizational, community and personal goals. We offer competitive salaries and a comprehensive benefits package that includes annual cash bonuses and equity grants, life, health and supplemental insurance coverage, paid time off, paid caregiver leave, emergency backup child and elder care, a 401(k) Savings Plan with employer matching contributions, and programs to support employee mental, physical and financial well-being. We grant equity to every one of our employees annually and offer mortgage assistance to support our employees who are first-time homebuyers. We encourage our employees to continue their educational and professional development, and support those who do with tuition reimbursement and student loan payback programs, as well as ongoing firm wide training initiatives and access to third-party course materials.</w:t>
      </w:r>
    </w:p>
    <w:p>
      <w:pPr>
        <w:spacing w:after="0" w:line="122"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We value diversity as a company and believe that diverse perspectives promote innovation and are crucial to the long-term success of our business. We are committed to supporting diversity, equity and inclusion in our workplace, and have aimed to create an environment that welcomes and supports differences and encourages input and ideas from all. As of December 31, 2023, 75% of our employee population identified as members of a diverse group, including 56% as women and 33% as racial/ethnic minorities. In 2023, we continued to focus on taking action to: (i) enhance cultural awareness throughout the organization by creating substantive learning opportunities for all employees; (ii) broaden our leadership pipeline by creating and supporting programs and policies that foster leadership development; (iii) seek and support diverse backgrounds on our Board of Directors and amongst our management team; (iv) address potential bias during our hiring, evaluation and promotion processes; (v) support an inclusive corporate culture; and (vi) engage in initiatives that foster economic mobility, community development and financial education. We require our third-party recruiting firms to seek and source diverse candidates and have established an employee inclusion committee to further diversity, equity and inclusion initiatives across our company. Committee members reflect a cross-functional and diverse employee mix by gender, ethnicity, race, age and tenure, and work to address diversity topics in areas such as employee and leadership composition, employee education and cultural community outreach.</w:t>
      </w:r>
    </w:p>
    <w:p>
      <w:pPr>
        <w:spacing w:after="0" w:line="126" w:lineRule="exact"/>
        <w:rPr>
          <w:sz w:val="20"/>
          <w:szCs w:val="20"/>
          <w:color w:val="auto"/>
        </w:rPr>
      </w:pPr>
    </w:p>
    <w:p>
      <w:pPr>
        <w:jc w:val="both"/>
        <w:ind w:firstLine="621"/>
        <w:spacing w:after="0" w:line="233" w:lineRule="auto"/>
        <w:rPr>
          <w:sz w:val="20"/>
          <w:szCs w:val="20"/>
          <w:color w:val="auto"/>
        </w:rPr>
      </w:pPr>
      <w:r>
        <w:rPr>
          <w:rFonts w:ascii="Times New Roman" w:cs="Times New Roman" w:eastAsia="Times New Roman" w:hAnsi="Times New Roman"/>
          <w:sz w:val="17"/>
          <w:szCs w:val="17"/>
          <w:color w:val="auto"/>
        </w:rPr>
        <w:t>In 2023, we were recognized as a Great Place to Work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for the eighth consecutive year. Great Place to Work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is a global authority on workplace culture, employee experience and leadership, and partners with FORTUNE magazine to produce the annual FORTUNE "100 Best Companies to Work For” list.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 xml:space="preserve">Our principal office is located at 2100 Powell Street, 12th floor, Emeryville, CA 94608. Our main telephone number is (855) 530 - NMIC (6642), and our website address is </w:t>
      </w:r>
      <w:r>
        <w:rPr>
          <w:rFonts w:ascii="Times New Roman" w:cs="Times New Roman" w:eastAsia="Times New Roman" w:hAnsi="Times New Roman"/>
          <w:sz w:val="17"/>
          <w:szCs w:val="17"/>
          <w:i w:val="1"/>
          <w:iCs w:val="1"/>
          <w:color w:val="auto"/>
        </w:rPr>
        <w:t>www.nationalmi.com</w:t>
      </w:r>
      <w:r>
        <w:rPr>
          <w:rFonts w:ascii="Times New Roman" w:cs="Times New Roman" w:eastAsia="Times New Roman" w:hAnsi="Times New Roman"/>
          <w:sz w:val="17"/>
          <w:szCs w:val="17"/>
          <w:color w:val="auto"/>
        </w:rPr>
        <w:t>. Copies of our Annual Reports on Form 10-K, Quarterly Reports on Form 10-Q, Current Reports on Form 8-K and any amendments to those reports are available free of charge through our website as soon as reasonably practicable after they are electronically filed with, or furnished to, the Securities and Exchange Commission (SEC), and can be viewed at sec.gov. In addition, a written copy of the Company's Business Conduct and Ethics Policy, containing our code of ethics that is applicable to all of our directors, officers, employees and third-party vendor contractors, is available on our website. Information contained or referenced on our website is not incorporated by reference into, and does not form a part of, this report.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U.S. MORTGAGE INSURANCE REGULATION</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discussed below, private mortgage insurers operating in the U.S. are subject to comprehensive state and federal regulation and to significant oversight by the GSEs, the primary beneficiaries of our insurance coverage. NMIC and Re One are principally regulated by our domiciliary and primary regulator, the Wisconsin OCI and by state insurance departments in each state in which these companies are licensed. We are also significantly impacted and, in some cases, directly regulated by federal laws and regulations affecting the housing finance system.</w:t>
      </w:r>
    </w:p>
    <w:p>
      <w:pPr>
        <w:spacing w:after="0" w:line="116" w:lineRule="exact"/>
        <w:rPr>
          <w:sz w:val="20"/>
          <w:szCs w:val="20"/>
          <w:color w:val="auto"/>
        </w:rPr>
      </w:pPr>
    </w:p>
    <w:p>
      <w:pPr>
        <w:jc w:val="both"/>
        <w:ind w:firstLine="621"/>
        <w:spacing w:after="0" w:line="248" w:lineRule="auto"/>
        <w:rPr>
          <w:sz w:val="20"/>
          <w:szCs w:val="20"/>
          <w:color w:val="auto"/>
        </w:rPr>
      </w:pPr>
      <w:r>
        <w:rPr>
          <w:rFonts w:ascii="Times New Roman" w:cs="Times New Roman" w:eastAsia="Times New Roman" w:hAnsi="Times New Roman"/>
          <w:sz w:val="17"/>
          <w:szCs w:val="17"/>
          <w:color w:val="auto"/>
        </w:rPr>
        <w:t>We believe that a strong, viable private MI market is a critical component of the U.S. housing finance system. We routinely meet with regulatory agencies, including our state insurance regulators and the FHFA, the GSEs, our customers and other industry participants to promote the role and value of private MI and exchange views on the U.S. housing finance system. We believe we have an open dialogue with the Wisconsin OCI and often share our views on current matters regarding the MI industry. We actively participate in industry discussions regarding potential changes to the laws impacting private mortgage insurers and the regulatory environment. We intend to continue to promote legislative and regulatory policies that support a viable and competitive private MI industry and a well-functioning U.S. housing finance system. We are a member of U.S. Mortgage Insurers (USMI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 organization formed to promote the use of private MI as a credit risk mitigant in the U.S. residential mortgage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GSE Oversight</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GSEs are the principal purchasers of mortgages insured by private mortgage insurers. As a result, the nature of the private MI industry in the U.S. is driven in large part by the requirements and practices of the GSEs, which include, among others:</w:t>
      </w:r>
    </w:p>
    <w:p>
      <w:pPr>
        <w:spacing w:after="0" w:line="95" w:lineRule="exact"/>
        <w:rPr>
          <w:sz w:val="20"/>
          <w:szCs w:val="20"/>
          <w:color w:val="auto"/>
        </w:rPr>
      </w:pPr>
    </w:p>
    <w:p>
      <w:pPr>
        <w:ind w:left="1080" w:hanging="300"/>
        <w:spacing w:after="0"/>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PMIERs, including operational, business and remedial requirements and minimum capital levels applicable to GSE-qualified MI providers;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that the GSEs require to be included in MI policies for loans that they purchase, including terms governing rescission relief;</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underwriting standards and loan amount limits that determine what loans are eligible for purchase by the GSEs, which affect the quality of the risk insured by the mortgage insurer and the availability of mortgage loans;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MI coverage, subject to the requirements of the GSEs' charters, when MI is used as the required credit enhancement on high-LTV mortgages;</w:t>
      </w:r>
    </w:p>
    <w:p>
      <w:pPr>
        <w:spacing w:after="0" w:line="43" w:lineRule="exact"/>
        <w:rPr>
          <w:rFonts w:ascii="Times New Roman" w:cs="Times New Roman" w:eastAsia="Times New Roman" w:hAnsi="Times New Roman"/>
          <w:sz w:val="17"/>
          <w:szCs w:val="17"/>
          <w:color w:val="auto"/>
        </w:rPr>
      </w:pPr>
    </w:p>
    <w:p>
      <w:pPr>
        <w:ind w:left="1100" w:hanging="320"/>
        <w:spacing w:after="0" w:line="265"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circumstances in which MI coverage can be canceled before reaching the cancellation thresholds established by law, including under the HOPA;</w:t>
      </w:r>
    </w:p>
    <w:p>
      <w:pPr>
        <w:spacing w:after="0" w:line="301"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loan level delivery fees (which result in higher costs to borrowers) that the GSEs assess on loans that require private MI, which impacts private MI providers' ability to compete with government MIs and other forms of credit enhancement used by the GSEs in lieu of private MI;</w:t>
      </w:r>
    </w:p>
    <w:p>
      <w:pPr>
        <w:spacing w:after="0" w:line="59"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on which the GSEs offer lenders relief on their representations and warranties made to a GSE at the time of sale of a loan to a GSE, which creates pressure on private mortgage insurers to alter their rescission rights to conform to the GSE relief;</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data provided by the GSE and the consequences for any unintended disclosure of such information;</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mitigation programs established by the GSEs that impact insured mortgages and the circumstances under which servicers must implement such programs; and</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scope of different loan purchase programs, including first time home buyer and affordable lending initiatives, from the GSEs that allow different levels of MI coverage.</w:t>
      </w:r>
    </w:p>
    <w:p>
      <w:pPr>
        <w:spacing w:after="0" w:line="4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 xml:space="preserve">In January 2013, the GSEs approved NMIC as a qualified mortgage insurer (as defined in the PMIERs,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NMIC is subject to ongoing compliance with the PMIERs.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and are updated from time to time by the GSEs. The GSEs have significant discretion under the PMIERs as well as a broad range of consent rights and notice requirements with respect to various actions of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The PMIERs financial requirements prescribe a risk-based methodology whereby the amount of assets required to be held against each insured loan is determined based on certain risk characteristics, such as FICO, vintage (year of origination), performing vs. non-performing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current vs. delinquent), LTV and other risk features. An asset charge is calculated for each insured loan based on its risk profile. In general, higher quality loans carry lower charges.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0" w:name="page21"/>
    <w:bookmarkEnd w:id="20"/>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 xml:space="preserve">Under the PMIERs,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must maintain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that equal or exceed </w:t>
      </w:r>
      <w:r>
        <w:rPr>
          <w:rFonts w:ascii="Times New Roman" w:cs="Times New Roman" w:eastAsia="Times New Roman" w:hAnsi="Times New Roman"/>
          <w:sz w:val="17"/>
          <w:szCs w:val="17"/>
          <w:i w:val="1"/>
          <w:iCs w:val="1"/>
          <w:color w:val="auto"/>
        </w:rPr>
        <w:t>minimum required assets</w:t>
      </w:r>
      <w:r>
        <w:rPr>
          <w:rFonts w:ascii="Times New Roman" w:cs="Times New Roman" w:eastAsia="Times New Roman" w:hAnsi="Times New Roman"/>
          <w:sz w:val="17"/>
          <w:szCs w:val="17"/>
          <w:color w:val="auto"/>
        </w:rPr>
        <w:t xml:space="preserve">, which is an amount equal to the greater of (i) $400 million or (ii) a total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is a function of the risk profile of an </w:t>
      </w:r>
      <w:r>
        <w:rPr>
          <w:rFonts w:ascii="Times New Roman" w:cs="Times New Roman" w:eastAsia="Times New Roman" w:hAnsi="Times New Roman"/>
          <w:sz w:val="17"/>
          <w:szCs w:val="17"/>
          <w:i w:val="1"/>
          <w:iCs w:val="1"/>
          <w:color w:val="auto"/>
        </w:rPr>
        <w:t>approved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insurer's </w:t>
      </w:r>
      <w:r>
        <w:rPr>
          <w:rFonts w:ascii="Times New Roman" w:cs="Times New Roman" w:eastAsia="Times New Roman" w:hAnsi="Times New Roman"/>
          <w:sz w:val="17"/>
          <w:szCs w:val="17"/>
          <w:color w:val="auto"/>
        </w:rPr>
        <w:t>RIF, assessed on a loan-by-loan basis and considered against certain risk-based factors derived from tables set out in the PMIERs to gross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8"/>
          <w:szCs w:val="18"/>
          <w:color w:val="auto"/>
        </w:rPr>
        <w:t>RIF,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then adjusted on an aggregate basis for reinsurance transactions approved by the GSEs, such as with respect to our ILN Transactions, QSR Transactions and XOL Transactions. 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for performing, primary insurance is subject to a floor of 5.6% of </w:t>
      </w:r>
      <w:r>
        <w:rPr>
          <w:rFonts w:ascii="Times New Roman" w:cs="Times New Roman" w:eastAsia="Times New Roman" w:hAnsi="Times New Roman"/>
          <w:sz w:val="17"/>
          <w:szCs w:val="17"/>
          <w:i w:val="1"/>
          <w:iCs w:val="1"/>
          <w:color w:val="auto"/>
        </w:rPr>
        <w:t>performing primary adjusted RIF</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 xml:space="preserve">risk-based required asset </w:t>
      </w:r>
      <w:r>
        <w:rPr>
          <w:rFonts w:ascii="Times New Roman" w:cs="Times New Roman" w:eastAsia="Times New Roman" w:hAnsi="Times New Roman"/>
          <w:sz w:val="17"/>
          <w:szCs w:val="17"/>
          <w:color w:val="auto"/>
        </w:rPr>
        <w:t>amount for pool insurance considers both factors in the PMIERs tables and the</w:t>
      </w:r>
      <w:r>
        <w:rPr>
          <w:rFonts w:ascii="Times New Roman" w:cs="Times New Roman" w:eastAsia="Times New Roman" w:hAnsi="Times New Roman"/>
          <w:sz w:val="17"/>
          <w:szCs w:val="17"/>
          <w:i w:val="1"/>
          <w:iCs w:val="1"/>
          <w:color w:val="auto"/>
        </w:rPr>
        <w:t xml:space="preserve"> net remaining stop loss </w:t>
      </w:r>
      <w:r>
        <w:rPr>
          <w:rFonts w:ascii="Times New Roman" w:cs="Times New Roman" w:eastAsia="Times New Roman" w:hAnsi="Times New Roman"/>
          <w:sz w:val="17"/>
          <w:szCs w:val="17"/>
          <w:color w:val="auto"/>
        </w:rPr>
        <w:t>for each pool insurance policy.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PMIERs include a comprehensive reinsurance counter-party grading framework, which includes a modest haircut (based on the credit rating of the </w:t>
      </w:r>
      <w:r>
        <w:rPr>
          <w:rFonts w:ascii="Times New Roman" w:cs="Times New Roman" w:eastAsia="Times New Roman" w:hAnsi="Times New Roman"/>
          <w:sz w:val="17"/>
          <w:szCs w:val="17"/>
          <w:i w:val="1"/>
          <w:iCs w:val="1"/>
          <w:color w:val="auto"/>
        </w:rPr>
        <w:t>reinsurer</w:t>
      </w:r>
      <w:r>
        <w:rPr>
          <w:rFonts w:ascii="Times New Roman" w:cs="Times New Roman" w:eastAsia="Times New Roman" w:hAnsi="Times New Roman"/>
          <w:sz w:val="17"/>
          <w:szCs w:val="17"/>
          <w:color w:val="auto"/>
        </w:rPr>
        <w:t xml:space="preserve">) to the capital credit available to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for any un-collateralized reinsurance coverage.</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By April 15th of each year, NMIC must certify that it met all PMIERs requirements as of December 31st of the prior year. We certified to the GSEs by April 15, 2023 that NMIC was in full compliance with the PMIERs as of December 31, 2022. NMIC also has an ongoing obligation to immediately notify the GSEs in writing upon discovery of a failure to meet one or more PMIERs requirements. We continuously monitor NMIC's compliance with the PMIERs.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 Mortgage Insurance Regulation</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Certificates of Authority</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NMIC holds a certificate of authority, or insurance license, in all 50 states and D.C. As a licensed insurer in these jurisdictions, NMIC is subject to ongoing financial reporting, examination and disclosure requirements relating to its business, operations, management and affiliate arrangements.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State Insurance Laws</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Our insurance subsidiaries are subject to comprehensive regulation by state insurance departments. As mandated by certain state insurance laws, private MI companies are restricted to writing only MI business. We understand that the primary purpose underlying this restriction, which is referred to in the industry as a "monoline" requirement, is to make it easier for regulators to assess the overall risk in a mortgage insurer's insurance portfolio, to determine its capital adequacy under varying economic scenarios and to prevent the depletion of capital due to the diversion of financial resources in support of non-MI lines of business. State insurance laws and regulations are principally designed for the protection of insured policyholders rather than for the benefit of investors. Although their scope varies, state insurance laws generally grant broad supervisory powers to insurance regulatory officials to examine insurance companies and interpret and/or enforce rules or exercise discretion affecting almost every significant aspect of their insurance business.</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general, state insurance regulation of our business relates to:</w:t>
      </w:r>
    </w:p>
    <w:p>
      <w:pPr>
        <w:spacing w:after="0" w:line="167" w:lineRule="exact"/>
        <w:rPr>
          <w:sz w:val="20"/>
          <w:szCs w:val="20"/>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licenses to transact business;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producer licensing;</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policy forms;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premium rates;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insurable loans;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and quarterly financial reports prepared in accordance with statutory accounting principles;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loss, unearned premium and contingency reserves;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capital levels and adequacy ratios;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transactions;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reinsurance transactions and related requirements;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types of investment instruments which may be held in an investment portfolio;</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risks and limits on coverage of individual risks which may be insured;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deposits of securities;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dividends;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1" w:name="page22"/>
    <w:bookmarkEnd w:id="21"/>
    <w:p>
      <w:pPr>
        <w:ind w:left="1080" w:hanging="300"/>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policy sales practices;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and cybersecurity;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enterprise risk management;</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advertising compliance;</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transactions that have the effect of inducing lenders to place business with NMIC;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handling.</w:t>
      </w:r>
    </w:p>
    <w:p>
      <w:pPr>
        <w:spacing w:after="0" w:line="115"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As the ultimate controlling parent of an insurance holding company system, NMIH is registered with the Wisconsin OCI, which is NMIC and Re One's primary regulator, and must provide insurance holding company annual audited consolidated financial statements and other information to the Wisconsin OCI on an ongoing basis. We, as an insurance holding company, and each of our affiliates, are prohibited from engaging in certain transactions with our insurance subsidiaries without disclosure to, and in some instances, prior approval by, the Wisconsin OCI. Like all other states, Wisconsin regulates transactions between domestic insurance companies and their controlling stockholders or affiliates. Under Wisconsin law, all transactions involving us, or an affiliate, and an insurance subsidiary, must conform to certain standards, including that the transaction be "reasonable and fair" to the insurance subsidiary. Wisconsin law also provides that disclosure of certain affiliate transactions must be filed with the Wisconsin OCI at least 30 days before the transaction is entered into and that these transactions may be disapproved by the Wisconsin OCI within that period.</w:t>
      </w:r>
    </w:p>
    <w:p>
      <w:pPr>
        <w:spacing w:after="0" w:line="123"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Wisconsin law, domestic insurers, such as NMIC, are required to submit and obtain prior Wisconsin OCI approval on all reinsurance agreements with non-affiliate reinsurers. In addition, the Wisconsin OCI requires that reinsurance agreements with non-authorized and non-accredited reinsurers be collateralized through letters of credit and/or trust accounts in order for a domestic insurer to take credit for reinsurance on its statutory balance sheet.</w:t>
      </w:r>
    </w:p>
    <w:p>
      <w:pPr>
        <w:spacing w:after="0" w:line="11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Wisconsin's insurance regulations generally provide that no person may merge with or acquire control (which is defined as possession, directly or indirectly, of the power to direct or cause the direction of the management and policies of a person, whether through the ownership of voting securities, by contract, by common management or otherwise) of us or our insurance subsidiaries unless the merger or transaction in which control is acquired has been approved by the Wisconsin OCI. Wisconsin law provides for a rebuttable presumption of control when a person owns or has the right to vote, directly or indirectly, more than 10% of the voting securities of a company. Pursuant to applicable Wisconsin regulations, voting securities include securities convertible into or evidencing the right to acquire securities with the right to vote. For purposes of determining whether control exists, the Wisconsin OCI may aggregate the direct or indirect ownership of us by entities under common control with one another. Notwithstanding the presumption of control, any person or persons acting in concert or whose shares may be aggregated for purposes of determining control, may file a disclaimer of affiliation with the Wisconsin OCI if they do not intend to control or direct or influence the management of a domestic insurer. Such disclaimer will become effective unless it is expressly "disapproved" by the Wisconsin OCI within 30 days of the date filed. In addition, the insurance regulations of certain states require prior notification to the state's insurance department before a person acquires control of an insurance company licensed in such state. An insurance company's licenses to conduct business in those states could be affected by any such change in control. As of the date of this report, we are aware of one NMIH stockholder that owns more than 10% of our shares of common stock. We understand that this stockholder has filed a disclaimer of control with the Wisconsin OCI in connection therewith, which has not been disapproved.</w:t>
      </w:r>
    </w:p>
    <w:p>
      <w:pPr>
        <w:spacing w:after="0" w:line="125"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insurance subsidiaries are subject to Wisconsin statutory requirements as to maintenance of minimum policyholders' surplus and payment of dividends or distributions to stockholders. Under Wisconsin law, our insurance subsidiaries may pay "ordinary" stockholder dividends with 30 days' prior notice to the Wisconsin OCI. Ordinary dividends are defined as payments or distributions to stockholders in any twelve-month period that do not exceed the lesser of (i) 10% of statutory policyholders' surplus as of the preceding calendar year end or (ii) adjusted statutory net income. Adjusted statutory net income is defined for this purpose to be the greater of the following:</w:t>
      </w:r>
    </w:p>
    <w:p>
      <w:pPr>
        <w:spacing w:after="0" w:line="119" w:lineRule="exact"/>
        <w:rPr>
          <w:sz w:val="20"/>
          <w:szCs w:val="20"/>
          <w:color w:val="auto"/>
        </w:rPr>
      </w:pPr>
    </w:p>
    <w:p>
      <w:pPr>
        <w:ind w:left="1100" w:hanging="320"/>
        <w:spacing w:after="0" w:line="291" w:lineRule="auto"/>
        <w:tabs>
          <w:tab w:leader="none" w:pos="109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income of the insurer for the calendar year preceding the date of the dividend or distribution, minus realized capital gains for that calendar year; or</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1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of the net income of the insurer for the 3 calendar years preceding the date of the dividend or distribution, minus realized capital gains for those calendar years and minus dividends paid or credited and distributions made within the first 2 of the preceding 3 calendar years.</w:t>
      </w:r>
    </w:p>
    <w:p>
      <w:pPr>
        <w:spacing w:after="0" w:line="95"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Wisconsin OCI may prohibit the payment of ordinary dividends or other payments by our insurance subsidiaries to us if they determine that such payments could be adverse to policyholders. In addition, our insurance subsidiaries may make 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pay "extraordinary" stockholder dividends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amounts in excess of ordinary dividends) only with the prior approval of the Wisconsin OCI.</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In addition to Wisconsin, other states may limit or restrict our insurance subsidiaries' ability to pay stockholder dividends. For example, in California and New York, mortgage insurers licensed in such states are prohibited from declaring dividends except from undivided profits remaining above the aggregate of their paid-in capital, paid-in surplus and contingency reserves. In addition, Florida requires mortgage insurers to hold surplus of not less than the lesser of (i) 10% of its total liabilities, or (ii) $100 million. It is possible that Wisconsin, or other states, will adopt revised statutory provisions or interpretations of existing statutory provisions that will be more or less restrictive than those described above or will otherwise take actions that may further restrict the ability of our insurance subsidiaries to pay dividends or make distributions or returns of capital.</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Wisconsin has adopted the Risk Management and Own Risk and Solvency Assessment Act, which requires, among other things, that we conduct an Own Risk and Solvency Assessment at least annually to assess the material risks associated with our business and our current and estimated projected future solvency position, and maintain a risk management framework to assess, monitor, manage, and report on material risks. Additionally, Wisconsin has also adopted the annual enterprise risk reporting and “Corporate Governance Annual Disclosure” requirements of the National Association of Insurance Commissioners' (NAIC) model laws.</w:t>
      </w:r>
    </w:p>
    <w:p>
      <w:pPr>
        <w:spacing w:after="0" w:line="197"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Wisconsin has adopted the NAIC’s amendments to the model holding company act that implement the filing requirement for the group capital calculation (GCC). The GCC uses a risk-based capital aggregation methodology for all entities in an insurance holding company system. It is a tool that provides insurance regulators with a method to aggregate the available capital and the minimum capital of each entity in a group in a way that applies to all companies regardless of their structure. Under Wisconsin law, the ultimate controlling person of our insurance subsidiaries must file the GCC with the Wisconsin OCI.</w:t>
      </w:r>
    </w:p>
    <w:p>
      <w:pPr>
        <w:spacing w:after="0" w:line="194"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Mortgage insurers licensed in Wisconsin are required to establish a contingency loss reserve for purposes of statutory accounting, with annual contributions equal to the greater of (i) 50% of net earned premiums for such year or (ii) the minimum policyholders' position (as described below) relating to NIW in the period, divided by 7. These additions to contingency reserves cannot be withdrawn for a period of 10 years, except as permitted by insurance regulations. With prior approval from the Wisconsin OCI, an MI company may make early withdrawals from the contingency reserve when incurred losses and incurred loss expenses for a calendar quarter exceed the greater of either (i) 35% of net premiums earned in a calendar year or (ii) 70% of the annual amount contributed to the contingency loss reserve.</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applicable Wisconsin law and the laws of 15 other states, a mortgage insurer must maintain a minimum amount of statutory capital relative to its RIF in order for the mortgage insurer to continue to write new business. These are typically referred to as "risk-to-capital (RTC) requirements." While formulations of minimum capital may vary in certain jurisdictions, the most common measure applied allows for a maximum permitted RTC ratio of 25:1. Wisconsin has formula-based limits that generally result in RTC limits slightly higher than the 25:1 ratio.</w:t>
      </w:r>
    </w:p>
    <w:p>
      <w:pPr>
        <w:spacing w:after="0" w:line="11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compute the RTC ratio for NMIC. The RTC ratio is our net RIF divided by our statutory capital. Our net RIF includes both direct and assumed primary and pool RIF, less risk ceded and excluding risk on policies that are currently in default and for which loss reserves have been established. Wisconsin requires a mortgage insurer to maintain a "minimum policyholders' position" as calculated in accordance with the applicable regulations. Policyholders' position, which is also known as statutory capital, is generally the sum of statutory policyholders' surplus (which increases as a result of statutory net income and capital contributions, and decreases as a result of statutory net loss and capital distributions), plus the statutory contingency reserve. Under statutory accounting rules, the contingency reserve is reported as a liability on the statutory balance sheet; however, for purposes of statutory capital and RTC ratio calculations, it is included in capital.</w:t>
      </w:r>
    </w:p>
    <w:p>
      <w:pPr>
        <w:spacing w:after="0" w:line="320" w:lineRule="exact"/>
        <w:rPr>
          <w:sz w:val="20"/>
          <w:szCs w:val="20"/>
          <w:color w:val="auto"/>
        </w:rPr>
      </w:pPr>
    </w:p>
    <w:p>
      <w:pPr>
        <w:jc w:val="both"/>
        <w:ind w:firstLine="621"/>
        <w:spacing w:after="0" w:line="250" w:lineRule="auto"/>
        <w:rPr>
          <w:sz w:val="20"/>
          <w:szCs w:val="20"/>
          <w:color w:val="auto"/>
        </w:rPr>
      </w:pPr>
      <w:r>
        <w:rPr>
          <w:rFonts w:ascii="Times New Roman" w:cs="Times New Roman" w:eastAsia="Times New Roman" w:hAnsi="Times New Roman"/>
          <w:sz w:val="17"/>
          <w:szCs w:val="17"/>
          <w:color w:val="auto"/>
        </w:rPr>
        <w:t>State insurance regulators also have the authority to make changes to current regulations governing mortgage insurance, including, among other things, capital requirements, underwriting standards, claims practices and market conduct regulation. The NAIC formed a working group within its Financial Condition</w:t>
      </w:r>
    </w:p>
    <w:p>
      <w:pPr>
        <w:spacing w:after="0" w:line="1" w:lineRule="exact"/>
        <w:rPr>
          <w:sz w:val="20"/>
          <w:szCs w:val="20"/>
          <w:color w:val="auto"/>
        </w:rPr>
      </w:pPr>
    </w:p>
    <w:p>
      <w:pPr>
        <w:jc w:val="both"/>
        <w:ind w:firstLine="3"/>
        <w:spacing w:after="0" w:line="243" w:lineRule="auto"/>
        <w:tabs>
          <w:tab w:leader="none" w:pos="26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Committee, the Mortgage Guaranty Insurance Working Group, to discuss, develop and recommend changes to the solvency and market practices regulation of mortgage insurers, including changes to the Mortgage Guaranty Insurance Model Act #630 (Model Act). These efforts culminated in amendments to the Model</w:t>
      </w: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Act, which were adopted by the NAIC Financial Condition and Executive Committees in 2023. </w:t>
      </w:r>
      <w:r>
        <w:rPr>
          <w:rFonts w:ascii="Times New Roman" w:cs="Times New Roman" w:eastAsia="Times New Roman" w:hAnsi="Times New Roman"/>
          <w:sz w:val="20"/>
          <w:szCs w:val="20"/>
          <w:color w:val="auto"/>
        </w:rPr>
        <w:t>I</w:t>
      </w:r>
      <w:r>
        <w:rPr>
          <w:rFonts w:ascii="Times New Roman" w:cs="Times New Roman" w:eastAsia="Times New Roman" w:hAnsi="Times New Roman"/>
          <w:sz w:val="17"/>
          <w:szCs w:val="17"/>
          <w:color w:val="auto"/>
        </w:rPr>
        <w:t>t is expected that states, including Wisconsin, will consider adoption of the revised Model Act.</w:t>
      </w:r>
    </w:p>
    <w:p>
      <w:pPr>
        <w:spacing w:after="0" w:line="20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Most states, including Wisconsin, have enacted anti-inducement and anti-rebate laws applicable to mortgage insurers, which prohibit mortgage insurers from inducing lenders to enter into insurance contracts by offering benefits not specified in the policy, including rebates of insurance premiums. For example, Wisconsin prohibits mortgage insurers from allowing any commission, fee, remuneration, or other compensation to be paid to, or received by, any insured lender, including any subsidiary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3" w:name="page24"/>
    <w:bookmarkEnd w:id="23"/>
    <w:p>
      <w:pPr>
        <w:jc w:val="both"/>
        <w:spacing w:after="0" w:line="283" w:lineRule="auto"/>
        <w:rPr>
          <w:sz w:val="20"/>
          <w:szCs w:val="20"/>
          <w:color w:val="auto"/>
        </w:rPr>
      </w:pPr>
      <w:r>
        <w:rPr>
          <w:rFonts w:ascii="Times New Roman" w:cs="Times New Roman" w:eastAsia="Times New Roman" w:hAnsi="Times New Roman"/>
          <w:sz w:val="17"/>
          <w:szCs w:val="17"/>
          <w:color w:val="auto"/>
        </w:rPr>
        <w:t>or affiliate, officer, director, or employee of any insured, any member of their immediate family, any corporation, partnership, trust, trade association in which any insured is a member, or other entity in which any insured or any such officer, director, or employee or any member of their immediate family has a financial interest.</w:t>
      </w:r>
    </w:p>
    <w:p>
      <w:pPr>
        <w:spacing w:after="0" w:line="31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MI premium rates are subject to prior approval in certain states, which requirement is designed to protect policyholders against rates that are excessive, inadequate or unfairly discriminatory. In these states, any change in premium rates must be justified, generally on the basis of the insurer's loss experience, expenses and future trend analysis. Trends in mortgage default rates are also considered.</w:t>
      </w:r>
    </w:p>
    <w:p>
      <w:pPr>
        <w:spacing w:after="0" w:line="11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State insurance receivership law, not federal bankruptcy law, would govern any insolvency or financially hazardous condition of our insurance subsidiaries. The Wisconsin OCI has substantial authority to issue orders or seek to control a state insurance receivership proceeding to address the insolvency or financially hazardous condition of an insurance company that it regulates. Under Wisconsin law, the Wisconsin OCI has substantial flexibility to restructure an insurance company in a receivership proceeding. The Wisconsin OCI is obligated to maximize the value of an insolvent insurer's estate for the benefit of its policyholders. In all insurance receiverships under state insurance law, policyholder claims are prioritized relative to the claims of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U.S. Regulation</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Federal laws and regulations applicable to participants in the housing finance industry, including mortgage originators and servicers, purchasers of mortgage loans, such as the GSEs, and the government MIs directly and indirectly impact private mortgage insurers. Changes in federal housing legislation may have significant effects on the demand for private MI and, therefore, may materially affect our business.</w:t>
      </w:r>
    </w:p>
    <w:p>
      <w:pPr>
        <w:spacing w:after="0" w:line="11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are also impacted by federal regulation of residential mortgage transactions. Mortgage origination and servicing transactions are subject to compliance with various federal and state consumer protection laws, including the Real Estate Settlement Procedures Act of 1974 (RESPA), the Truth in Lending Act (TILA), the Equal Credit Opportunity Act (ECOA), the Fair Housing Act, the HOPA, the Fair Credit Reporting Act of 1970 (FCRA), the Fair Debt Collection Practices Act, the Gramm-Leach-Bliley Act of 1999 (GLBA) and others. Among other things, these laws and their implementing regulations prohibit payments for referrals of real estate settlement service business, require fairness and non-discrimination in granting or facilitating the granting of credit and insurance, govern the circumstances under which companies may obtain and use consumer credit information, establish standards for cancellation of BPMI, define the manner in which companies may pursue collection activities, require disclosures of the cost of credit and provide for other consumer protections.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Housing Finance Reform</w:t>
      </w:r>
    </w:p>
    <w:p>
      <w:pPr>
        <w:spacing w:after="0" w:line="169"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color w:val="auto"/>
        </w:rPr>
        <w:t>The federal government currently plays a dominant role in the U.S. housing finance system through the GSEs and government MIs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FHA, USDA and VA) and Ginnie Mae. There is broad policy consensus toward the need for continued and consistent private capital participation in the U.S. housing finance system.</w:t>
      </w:r>
    </w:p>
    <w:p>
      <w:pPr>
        <w:spacing w:after="0" w:line="11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On September 6, 2008, the FHFA used its authority to place the GSEs into conservatorship. As the GSEs' conservator, the FHFA has the authority to control and direct the GSEs' operations, and the FHFA's policy objectives can result in changes to the GSEs' requirements and practices. While in conservatorship, each GSE has been subject to the terms of Senior Preferred Stock Purchase Agreements, as amended, with the Treasury Department (PSPAs). Pursuant to the PSPAs, the Treasury Department committed to invest in the GSEs to the extent required for each to maintain a positive net worth. In exchange for its investment, the Treasury Department received shares of the GSEs' senior preferred stock and warrants to purchase 79.9% of the GSEs' common stock. The PSPAs have also historically required the GSEs to, among other things, make quarterly dividend payments to the Treasury Department, and also provide the Treasury Department with a liquidation preference.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4" w:name="page25"/>
    <w:bookmarkEnd w:id="24"/>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At the direction of the FHFA, the GSEs have expanded their credit and mortgage risk transfer programs with no public notice or opportunity to comment. These programs have included the use of structured finance vehicles, obtaining insurance from non-mortgage insurers, including off-shore reinsurance, engaging in credit-linked note transactions in the capital markets, or using other forms of debt issuances or securitizations that transfer credit risk directly to other investors. In particular, in 2018, each GSE began piloting a new credit risk transfer program under which the GSE purchases high-LTV loans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LTVs above 80%) without MI and subsequently places mortgage insurance with a captive insurer controlled by one of our competitors, which captive in turn cedes 100% of the risk to a panel of offshore reinsurers. In 2018, Freddie Mac launched the IMAGIN program and Fannie Mae launched the Enterprise-Paid Mortgage Insurance or EPMI program, both of which were suspended in 2021, but could be relaunched in their prior form or in a modified form in the future Any success of the relaunched or similar programs in the future or even the perception that some of these risk-sharing structures have beneficial features in comparison to private MI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lower costs, reduced counter-party risk due to collateral requirements or more diversified insurance exposures) may create increased competition for private MI on loans traditionally sold to the GSEs with private MI.</w:t>
      </w:r>
    </w:p>
    <w:p>
      <w:pPr>
        <w:spacing w:after="0" w:line="123"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On October 19, 2020, the FHFA announced that it was seeking comments on a notice of proposed rulemaking that requires the GSEs to provide advance notice to the FHFA of new activities and obtain prior approval before launching new products. Additionally, the proposed rule establishes revised criteria for determining whether new activity requires notice to the FHFA and for determining if that activity is a new product that merits public notice and comment. The proposed rule's requirements would also outline the process for the FHFA's review of any new activity and the timelines for approving a new product, including issuing a public notice and requesting public comment about a new product. The new enterprise products and activities final rule was announced on December 20, 2022 and was effective on April 28, 2023. The final rule retains the key concepts from the proposed rule but, among other changes, provided certain additional clarifications and requires FHFA to report on determinations made on new activity and new product submissions.</w:t>
      </w:r>
    </w:p>
    <w:p>
      <w:pPr>
        <w:spacing w:after="0" w:line="122"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With the GSEs in a prolonged conservatorship, there has been ongoing debate over the future role and purpose of the GSEs in the U.S. housing market. Since 2011, there have been numerous legislative proposals intended to incrementally scale back or eliminate the GSEs (such as a statutory mandate for the GSEs to transfer mortgage credit risk to the private sector) or to completely reform the housing finance system. Congress, however, has not enacted any legislation to date.</w:t>
      </w:r>
    </w:p>
    <w:p>
      <w:pPr>
        <w:spacing w:after="0" w:line="32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Under the Trump administration, there was increased focus on the possibility of administrative reform that the White House and Treasury Department, in collaboration with the previous Director of the FHFA, may pursue independent of any legislative action. In September 2019, the Treasury Department released a Housing Reform Plan that included a compilation of legislative and administrative recommendations for reforms to achieve various goals, including the goals of ending the conservatorships of the GSEs and setting regulations for the GSEs that provide for their safety and soundness. Additionally, the previous Director of the FHFA had also publicly stated as his priority to exit the GSEs from conservatorship. In December 2020, the FHFA finalized a rule establishing a new regulatory capital framework for the GSEs, noting that the rule was another step toward ending the conservatorships of the GSEs.</w:t>
      </w:r>
    </w:p>
    <w:p>
      <w:pPr>
        <w:spacing w:after="0" w:line="12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On January 14, 2021, the FHFA announced that it had agreed with the Treasury Department to amend the PSPAs. Among other things, these amendments increased the GSEs' permissible capital retention to approximately $283 billion, continued the suspension of quarterly dividend payments in favor of dollar-for-dollar increases in the Treasury Department's liquidation preference, and allowed each GSE to issue up to $70 billion in new stock. The amendments also imposed specific conditions required for the GSEs to exit conservatorship, including the resolution or settlement of all material litigation relating to the conservatorship, and each GSE achieving common equity tier 1 capital of at least 3% of its total assets. These amendments provide the most direct path for the GSEs to exit conservatorship established to date.</w:t>
      </w:r>
    </w:p>
    <w:p>
      <w:pPr>
        <w:spacing w:after="0" w:line="122"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On June 23, 2021, the U.S. Supreme Court ruled that the President could remove the FHFA Director other than for cause. Subsequently, President Biden removed the previous FHFA Director and appointed a new Director to lead the FHFA. The FHFA leadership change has added uncertainty to what role the GSEs, FHA and private capital, including private mortgage insurance, will play in the residential housing finance system in the future. On September 14, 2021, the FHFA together with the Treasury Department announced the suspension of certain portions of the 2021 PSPA amendments, specifically those limiting certain GSE lending activities, and that would, among other things, reduce the amount of capital the GSEs are required to hold. On March 16, 2022, the FHFA adopted the final rule (effective May 16, 2022) (2022 ERCF amendment) that amended the enterprise regulatory capital framework by refining the prescribed leverage buffer amount and credit risk transfer (CRT) securitization framework for the GSEs, which reduced the amount of capital the GSEs are required to hold, including by increasing the capital credit the GSEs receive for the credit risk that they distribute.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5" w:name="page26"/>
    <w:bookmarkEnd w:id="25"/>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passage and timing of comprehensive GSE reform or incremental change (whether legislative or administrative in nature) is uncertain, making the actual impact on us and our industry difficult to predict. Any such changes that come to pass could have a significant impact on our business. In addition, while the GSEs remain in conservatorship, the current leadership of the FHFA may exercise their oversight authority over the GSEs differently than previous Directors and/or have different objectives with regard to the GSEs' operations. Any such changes in how the FHFA engages with and influences the GSEs could have a significant impact on our business.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FHA Reform</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compete with the single-family MI programs of the FHA, which is part of the U.S. Department of Housing and Urban Development (HUD). During the financial crisis, the FHA captured an increasing share of the high-LTV MI market as incumbent private MIs came under significant financial stress. Previous FHA rate actions and product introductions continue to impact its market share and, by extension, the private MI market. On February 22, 2023, FHA announced a rate reduction to the annual mortgage insurance premiums charged to homebuyers who obtain an FHA-insured mortgage.</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FHA's role in the mortgage insurance industry is significantly dependent upon regulatory developments. Since 2012, there have been several legislative proposals intended to reform the FHA; however, no legislation has been enacted to date. The passage of FHA reform legislation in either the House or Senate, and how differences in proposed reforms between the House and Senate might be resolved in any final legislation, remain uncertain.</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 Dodd-Frank Act</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Dodd-Frank Wall Street Reform and Consumer Protection Act of 2010 (Dodd-Frank Act) amended certain provisions of TILA, RESPA and other statutes that have had a significant impact on our business and the residential mortgage market. The Dodd-Frank Act created the Consumer Financial Protection Bureau (CFPB), a federal agency with responsibility for regulating and enforcing the offering and provision of consumer financial products and services under the federal consumer financial laws. Actions taken or rules implemented by the CFPB have the potential to impact the overall housing finance market, and by extension the private MI industry and our business. Leadership at the CFPB changes from time-to-time. Given that the Director of the CFPB is removable by the President at will, the agency's agenda, policies and actions likely will be significantly influenced by the then current administration. Accordingly, it is difficult to predict whether or how the CFPB might seek to implement these laws beyond the current administration's term.</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Ability-to-Repay and Qualified Mortgage Rules</w:t>
      </w:r>
    </w:p>
    <w:p>
      <w:pPr>
        <w:spacing w:after="0" w:line="16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The CFPB issued final regulations, effective in 2014 and subsequently revised, requiring a residential mortgage loan originator to make a good faith determination, at the time a loan is originated, that the consumer has a reasonable ability to repay the loan (ATR). The ATR rule does not provide comprehensive underwriting standards but does set forth certain factors that a creditor must consider. The Dodd-Frank Act provides for a statutory presumption that a borrower will have the ability to repay a loan if the loan has the characteristics of a qualified mortgage (QM) as defined in the CFPB’s regulations, which has defined several types of QMs. The CFPB’s definition of a “General QM” places limits on points and fees, prohibits or restricts certain mortgage features, and generally limits a QM’s annual percentage rate to 2.25 percentage points above the average prime offer rate for comparable loans. If a General QM is a higher-priced loan, as defined by the CFPB, it obtains a rebuttable presumption of ATR compliance for that loan. If a General QM is not a higher-priced loan, it obtains a conclusive presumption of ATR compliance for that loan.</w:t>
      </w:r>
    </w:p>
    <w:p>
      <w:pPr>
        <w:spacing w:after="0" w:line="20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Dodd-Frank Act also gave statutory authority to HUD, the VA, and the USDA to develop their own definitions of QM. The ATR rule does not affect the QM definitions adopted by these agencies. To the extent lenders find that these agencies' definitions of QM are more favorable to certain segments of their borrowers, they may choose government MI products over private MI products. We, along with other industry participants, have observed that the significant majority of covered loans made after the effective date of the CFPB's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6" w:name="page27"/>
    <w:bookmarkEnd w:id="26"/>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Basel Rules</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 xml:space="preserve">The Basel Committee on Banking Supervision (Basel Committee), which consists of a group of central banks and banking regulators including the United States, developed </w:t>
      </w:r>
      <w:r>
        <w:rPr>
          <w:rFonts w:ascii="Arial" w:cs="Arial" w:eastAsia="Arial" w:hAnsi="Arial"/>
          <w:sz w:val="15"/>
          <w:szCs w:val="15"/>
          <w:color w:val="auto"/>
        </w:rPr>
        <w:t>t</w:t>
      </w:r>
      <w:r>
        <w:rPr>
          <w:rFonts w:ascii="Times New Roman" w:cs="Times New Roman" w:eastAsia="Times New Roman" w:hAnsi="Times New Roman"/>
          <w:sz w:val="17"/>
          <w:szCs w:val="17"/>
          <w:color w:val="auto"/>
        </w:rPr>
        <w:t>he Basel Capital Accord in 1988 to set out international benchmarks for assessing banks' capital adequacy requirements. The capital adequacy requirements, among other factors, govern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w:t>
      </w:r>
    </w:p>
    <w:p>
      <w:pPr>
        <w:spacing w:after="0" w:line="119"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In December 2017, the Basel Committee published final revisions to Basel III (informally known as "Basel IV") with target implementation by each participating country by January 1, 2022, later extended to January 1, 2023 due to the COVID-19 pandemic. Implementation of Basel IV reforms requires national legislation and, therefore, the final rules and the timetable for their implementation in each participating country may be subject to some level of national variation. As an example, the United Kingdom (UK) and the European Union (EU) have each separately targeted an effective date of January 1, 2025 for their rules implementing the Basel IV reforms to enter into force, but there is some divergence between the content of the UK and EU legislative proposals for implementation. Under Basel IV, banks using the standardized approach to determine their credit risk may consider mortgage insurance in calculating the exposure amount for real estate. However, such banks will need to determine the risk-weight for residential mortgages based on the LTV ratio at loan origination, without factoring in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Basel IV, mortgage insurance could not mitigate credit and lower the capital charge under the standardized approach.</w:t>
      </w:r>
    </w:p>
    <w:p>
      <w:pPr>
        <w:spacing w:after="0" w:line="339"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Basel Committee previously proposed rules that would further reduce the benefit of private MI by not taking into consideration any credit enhancement, including private MI; however, those revisions were not implemented, retaining the treatment of mortgage insurance. On September 9, 2022, the U.S. banking regulators announced their intent to revise U.S. regulatory capital requirements to align them with Basel IV. On July 27, 2023, the U.S. banking regulators jointly issued a proposed rule that would revise large bank capital requirements. On September 18, 2023, the U.S. banking regulators announced this proposed rule would increase risk-based capital requirements for banks with total assets of $100 billion or more. This proposal increases the risk weights for LTVs that are above 80% and eliminates the current capital relief credit that is given to these loans if they are covered by mortgage insurance. Accordingly, as proposed, the revised standards would mean mortgage insurance would not lower the LTV ratio of residential loans for capital purposes for these large banks, and therefore may decrease their demand for mortgage insurance. These large banks may also retreat from high LTV lending if the proposal, as drafted, is passed. However, we do not have clarity on when we can expect the final proposal or how much time will be provided for banking organizations to implement the final rule once it has been issued.</w:t>
      </w:r>
    </w:p>
    <w:p>
      <w:pPr>
        <w:spacing w:after="0" w:line="334"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believe the existing U.S. implementation of the Basel IV capital framework supports continued use of private MI by portfolio lenders as a risk and capital management tool; however, with the ongoing implementation of Basel IV and the continued evolution of the Basel framework, it is difficult to predict the extent of the impact, if any, on the MI industry and the ultimate form of any potential future modifications to the regulations by federal banking regulators. If the Basel Committee revises the Basel IV framework to reduce or eliminate the capital benefit banks receive from insuring low down payment loans with private MI, our current and future business may be adversely affected.</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Mortgage Servicing Rules</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Residential mortgage servicing rules under RESPA and TILA, promulgated by the CFPB, went into effect in 2014. These rules included new or enhanced servicer requirements for handling escrow accounts, responding to borrower assertions of error and inquiries from borrowers, special handling of loans that are in default and loss mitigation when borrowers default, along with other provisions. A provision of the required loss mitigation procedures prohibits the servicer from commencing foreclosure until 120 days after a borrower defaults. Additional servicing regulations became effective in October 2017, providing some borrowers with foreclosure protections more than once over the life of the loan, imposing specific timing requirements for loss mitigation activities when servicing rights are transferred, and requiring that loss mitigation applications be properly dispositioned before allowing pursuit of a foreclosure action, among other requirements. Violation of these loss mitigation rules, which mandate special notices, handling and processing procedures (with deadlines) based on borrower submissions, may subject the servicer to private rights of action under consumer protection laws. Such actions or threats of such actions could cause delays in and increase costs and expenses associated with default servicing, including foreclosure. As to servicing of delinquent mortgage loans covered by our insurance policies, these rules could contribute to delays in and increased costs associated with foreclosure proceedings and have a negative impact on the cost and resolution of claims.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Homeowners Protection Act of 1998 (HOPA)</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HOPA provides for the automatic termination, or cancellation upon a borrower's request, of BPMI, as defined in HOPA, upon satisfaction of certain conditions. HOPA requires that lenders give borrowers certain notices with regard to the automatic termination or cancellation of BPMI. These provisions apply to BPMI for purchase money, refinance and construction loans secured by the borrower's principal dwelling. Loans insured by government MIs are not covered by HOPA. Under HOPA, automatic termination of BPMI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BPMI when the LTV is first scheduled to reach 80% of the home's original value or when actual payments reduce the loan balance to 80% of the home's original value, whichever occurs earlier. If BPMI coverage is not canceled at the borrower's request or by the automatic termination provision, the mortgage servicer must terminate such BPMI coverage by the first day of the month following the date that is the midpoint of the loan's amortization, assuming the borrower is current on the required mortgage payments.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Section 8 of RESPA</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Section 8 of RESPA applies to most residential mortgages insured by us. Subject to limited exceptions, Section 8 of RESPA prohibits persons from giving or accepting anything of value pursuant to an agreement or understanding to refer a "settlement service." MI generally may be considered to be a "settlement service" for purposes of Section 8 of RESPA under applicable regulations. Section 8 of RESPA affects how we structure ancillary services that we may provide to our customers, if any, including loan review services, risk-share arrangements and customer training programs. RESPA authorizes the CFPB and other regulators to bring civil enforcement actions and also provides for criminal penalties and private rights of action. The CFPB has brought a number of enforcement actions under Section 8 of RESPA, including settlements with several private mortgage insurers. The CFPB's interpretation and enforcement of Section 8 of RESPA presents regulatory risk for many providers of "settlement services," including private mortgage insurers.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Mortgage Insurance Tax Deduction</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In 2006, Congress enacted a private mortgage insurance tax deduction on a temporary basis through the end of 2011. Upon expiration in 2011, Congress temporarily extended the deduction for each tax year from 2012 through 2021. Congress has not extended the deduction to the 2022 and 2023 tax years. Elimination of the private mortgage insurance tax deduction could have the effect of reducing demand for private MI products. Congress has periodically considered proposed legislation that would make the private mortgage insurance tax deduction permanent, but to date has not enacted any such legislation. Under the Tax Cuts and Jobs Act (TCJA) enacted in December 2017, Congress increased the standard deduction for individuals and maintained the tax deductibility of second mortgages. The combination of maintaining the deduction for second mortgages and not extending deductibility for private MI could have the effect of reducing demand for private MI products.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SAFE Act</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federal SAFE Act, enacted by Congress in 2008, establishes minimum standards for the licensing and registration of state-licensed "mortgage loan originators," as defined under state law. The SAFE Act also requires the establishment of a nationwide mortgage licensing system and registry for the residential mortgage industry and certain of its employees. As part of this licensing and registration process, loan originators who are employees of certain covered institutions must generally be licensed under the SAFE Act guidelines enacted by each state in which they engage in loan originator activities and registered with the registry. The CFPB administers and enforces the SAFE Act. Employees of NMIC are not required to be licensed and/or registered under the SAFE Act as NMIC does not originate, process or underwrite mortgage loans. NMIS currently offers loan review services that are performed by SAFE Act-licensed third-party service providers, which have represented and warranted to NMIS that they comply with SAFE Act requirements in all applicable jurisdictions.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Privacy and Information Security</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provide mortgage insurance products and services to financial institutions with which we have business relationships. In the normal course of providing our products and services, we may receive non-public personal information regarding such financial institutions' customers. The GLBA and related state and federal regulations implementing its privacy and safeguarding provisions impose privacy and information security requirements on financial institutions, including obligations to protect and safeguard consumers' non-public personal information. GLBA and its implementing regulations are enforced by state insurance regulators and state attorneys general, and by the U.S. Federal Trade Commission (FTC) and the CFPB.</w:t>
      </w:r>
    </w:p>
    <w:p>
      <w:pPr>
        <w:spacing w:after="0" w:line="11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In addition, many states have enacted privacy and data security laws which impose compliance obligations beyond GLBA. These state laws obligate us to protect social security numbers, maintain a comprehensive information security program,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28" w:name="page29"/>
    <w:bookmarkEnd w:id="28"/>
    <w:p>
      <w:pPr>
        <w:jc w:val="both"/>
        <w:spacing w:after="0" w:line="259" w:lineRule="auto"/>
        <w:rPr>
          <w:sz w:val="20"/>
          <w:szCs w:val="20"/>
          <w:color w:val="auto"/>
        </w:rPr>
      </w:pPr>
      <w:r>
        <w:rPr>
          <w:rFonts w:ascii="Times New Roman" w:cs="Times New Roman" w:eastAsia="Times New Roman" w:hAnsi="Times New Roman"/>
          <w:sz w:val="17"/>
          <w:szCs w:val="17"/>
          <w:color w:val="auto"/>
        </w:rPr>
        <w:t>submit annual compliance certifications regarding such programs (or an exemption thereto) and notify insurance regulators if a security breach results in a reasonable belief that unauthorized persons may have obtained access to consumer non-public personal information. For example, New York’s cybersecurity regulation establishes requirements for insurance entities under the New York Department of Financial Services’ jurisdiction, such as NMIC. The NAIC adopted the Insurance Data Security Model Law (Cybersecurity Model Law) for entities licensed under the relevant state’s insurance laws. The Cybersecurity Model Law requires such entities to develop and maintain a risk-based information security program, among other requirements. Several states, including Wisconsin, have adopted the Cybersecurity Model Law. State consumer privacy protection laws have also created new rights for their residents regarding certain personal information an organization collects and/or uses about them. We have adopted certain policies and procedures, and risk management and security practices designed to facilitate our compliance with these federal and state privacy and information security laws.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Fair Credit Reporting Act</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FCRA imposes restrictions on the permissible use of credit report information. The CFPB and FTC each have authority to enforce FCRA. FCRA has been interpreted by some FTC staff and federal courts to require mortgage insurers to provide "adverse action" notices to consumers if an application for mortgage insurance is declined or offered at higher than the best available rate for the program applied for on the basis of a review of the consumer's credit. We provide such notices when required.</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Anti-Discrimination Laws</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ECOA requires creditors and insurers to handle applications for credit and for insurance in accordance with specified requirements and prohibits discrimination in lending or insurance based on prohibited factors such as gender, race, ethnicity, age and familial status. The Fair Housing Act prohibits discrimination on the basis of race, gender and other prohibited bases in connection with housing-secured credit transactions.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67" w:lineRule="exact"/>
        <w:rPr>
          <w:sz w:val="20"/>
          <w:szCs w:val="20"/>
          <w:color w:val="auto"/>
        </w:rPr>
      </w:pPr>
    </w:p>
    <w:p>
      <w:pPr>
        <w:jc w:val="both"/>
        <w:ind w:firstLine="621"/>
        <w:spacing w:after="0" w:line="267"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as well as all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some or all of your investment.</w:t>
      </w:r>
    </w:p>
    <w:p>
      <w:pPr>
        <w:spacing w:after="0" w:line="113"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This report contains forward-looking statements that involve risks and uncertainties. See "Cautionary Note Regarding Forward-Looking Statements" on page </w:t>
      </w:r>
      <w:r>
        <w:rPr>
          <w:rFonts w:ascii="Times New Roman" w:cs="Times New Roman" w:eastAsia="Times New Roman" w:hAnsi="Times New Roman"/>
          <w:sz w:val="17"/>
          <w:szCs w:val="17"/>
          <w:i w:val="1"/>
          <w:iCs w:val="1"/>
          <w:u w:val="single" w:color="auto"/>
          <w:color w:val="0000FF"/>
        </w:rPr>
        <w:t>3</w:t>
      </w:r>
      <w:r>
        <w:rPr>
          <w:rFonts w:ascii="Times New Roman" w:cs="Times New Roman" w:eastAsia="Times New Roman" w:hAnsi="Times New Roman"/>
          <w:sz w:val="17"/>
          <w:szCs w:val="17"/>
          <w:i w:val="1"/>
          <w:iCs w:val="1"/>
          <w:color w:val="auto"/>
        </w:rPr>
        <w:t xml:space="preserve"> of this report. Our actual results could differ materially and adversely from those anticipated in these forward-looking statements, including any such statements made in Part II, Item 7, "Management's Discussion and Analysis of Financial Condition and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is a summary of the principal risks that could materially adversely affect our business operations, industry, and financial results. You should read this summary together with the more detailed description of each risk factor that immediately follows this summary.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Related to Our Business Operations</w:t>
      </w:r>
    </w:p>
    <w:p>
      <w:pPr>
        <w:spacing w:after="0" w:line="167" w:lineRule="exact"/>
        <w:rPr>
          <w:sz w:val="20"/>
          <w:szCs w:val="20"/>
          <w:color w:val="auto"/>
        </w:rPr>
      </w:pPr>
    </w:p>
    <w:p>
      <w:pPr>
        <w:ind w:left="320" w:hanging="317"/>
        <w:spacing w:after="0" w:line="293" w:lineRule="auto"/>
        <w:tabs>
          <w:tab w:leader="none" w:pos="315"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face intense competition for business in our industry, and if we are unable to compete effectively, we may not be able to achieve our business goals, which would adversely affect our business, financial condition and operating results.</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NIW volumes could be adversely affected if lenders and investors select alternatives to private MI.</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we are unable to continue to attract and retain the most significant mortgage originators as customers, our ability to achieve our business goals could be negatively impacted.</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the volume of high-LTV loan originations declines, our NIW volume could decline, which would reduce our revenues.</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underwriting and credit risk management policies and practices may not anticipate all risks and/or the magnitude of potential for loss as the result of unforeseen risks.</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Unexpected material increases in borrower defaults could cause our actual losses to materially exceed our expected loss rates, including in certain geographic regions in which our business may be concentrated and more susceptible to downturns.</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premiums we charge may be insufficient to cover claim payments and our operating costs.</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factors that impact the length of time that our policies remain in force may adversely affect our future revenues and claims experience.</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inflation, interest rates and mortgage interest rates may have adverse impact on our business, future revenue and financial condition.</w:t>
      </w:r>
    </w:p>
    <w:p>
      <w:pPr>
        <w:spacing w:after="0" w:line="114" w:lineRule="exact"/>
        <w:rPr>
          <w:rFonts w:ascii="Times New Roman" w:cs="Times New Roman" w:eastAsia="Times New Roman" w:hAnsi="Times New Roman"/>
          <w:sz w:val="17"/>
          <w:szCs w:val="17"/>
          <w:i w:val="1"/>
          <w:iCs w:val="1"/>
          <w:color w:val="auto"/>
        </w:rPr>
      </w:pPr>
    </w:p>
    <w:p>
      <w:pPr>
        <w:jc w:val="both"/>
        <w:ind w:left="320" w:hanging="317"/>
        <w:spacing w:after="0" w:line="273" w:lineRule="auto"/>
        <w:tabs>
          <w:tab w:leader="none" w:pos="315"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outsource the underwriting of our mortgage insurance on certain loans to third-party underwriting service providers (USPs). If these USPs fail to adequately perform their underwriting services or place our coverage on loans we would deem ineligible, we could experience increased claims on loans underwritten by them, and our customer relationships could be negatively impacted.</w:t>
      </w:r>
    </w:p>
    <w:p>
      <w:pPr>
        <w:spacing w:after="0" w:line="57" w:lineRule="exact"/>
        <w:rPr>
          <w:rFonts w:ascii="Times New Roman" w:cs="Times New Roman" w:eastAsia="Times New Roman" w:hAnsi="Times New Roman"/>
          <w:sz w:val="17"/>
          <w:szCs w:val="17"/>
          <w:i w:val="1"/>
          <w:iCs w:val="1"/>
          <w:color w:val="auto"/>
        </w:rPr>
      </w:pPr>
    </w:p>
    <w:p>
      <w:pPr>
        <w:jc w:val="both"/>
        <w:ind w:left="320" w:hanging="317"/>
        <w:spacing w:after="0" w:line="273" w:lineRule="auto"/>
        <w:tabs>
          <w:tab w:leader="none" w:pos="315"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Master Policies contain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spacing w:after="0" w:line="57"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mix of business we write affects our revenue stream and the likelihood of losses occurring.</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expect our claims to increase as our insured loan portfolio grows and matures.</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business depends, in part, on effective and reliable loan servicing.</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the estimates we use in establishing claims reserves are incorrect, the actual claim payments we make may materially exceed the amount of our corresponding claims reserves, resulting in unexpected charges to income, which could be material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30" w:name="page31"/>
    <w:bookmarkEnd w:id="30"/>
    <w:p>
      <w:pPr>
        <w:ind w:left="300" w:hanging="297"/>
        <w:spacing w:after="0"/>
        <w:tabs>
          <w:tab w:leader="none" w:pos="30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COVID-19 virus may continue to impact our financial results and may also continue to affect our business, liquidity and financial condition.</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occurrence of natural or man-made disasters or pandemics could adversely affect our business, financial condition and operating results.</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Climate change and efforts to manage or regulate climate risk by government agencies could affect our business and operations.</w:t>
      </w:r>
    </w:p>
    <w:p>
      <w:pPr>
        <w:spacing w:after="0" w:line="114" w:lineRule="exact"/>
        <w:rPr>
          <w:rFonts w:ascii="Times New Roman" w:cs="Times New Roman" w:eastAsia="Times New Roman" w:hAnsi="Times New Roman"/>
          <w:sz w:val="17"/>
          <w:szCs w:val="17"/>
          <w:i w:val="1"/>
          <w:iCs w:val="1"/>
          <w:color w:val="auto"/>
        </w:rPr>
      </w:pPr>
    </w:p>
    <w:p>
      <w:pPr>
        <w:jc w:val="both"/>
        <w:ind w:left="320" w:hanging="317"/>
        <w:spacing w:after="0" w:line="273" w:lineRule="auto"/>
        <w:tabs>
          <w:tab w:leader="none" w:pos="315"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spacing w:after="0" w:line="57"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operating results depend in large part on our ability to manage the risks related to the growth of our business and on maintaining and enhancing effective operating procedures and internal controls.</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are exposed to operational risk from fraud, malfeasance or error by borrowers, employees and third-party service providers, and any such fraud, malfeasance or error could materially and adversely affect us.</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we do not maintain connectivity with or otherwise meet the technological demands of our customers or are unable to develop, enhance and maintain our proprietary technology platform, our business and financial performance could be adversely affected.</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may not be able to prevent the unauthorized disclosure or misuse of confidential, personal or proprietary information.</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Adverse investment performance may affect our financial results and ability to conduct business.</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face regulatory and litigation risks associated with offering loan review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Related to Regulation of the Mortgage Insurance Industry</w:t>
      </w:r>
    </w:p>
    <w:p>
      <w:pPr>
        <w:spacing w:after="0" w:line="167" w:lineRule="exact"/>
        <w:rPr>
          <w:sz w:val="20"/>
          <w:szCs w:val="20"/>
          <w:color w:val="auto"/>
        </w:rPr>
      </w:pPr>
    </w:p>
    <w:p>
      <w:pPr>
        <w:ind w:left="320" w:hanging="317"/>
        <w:spacing w:after="0" w:line="29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There can be no assurance that the GSEs will continue to treat us as an approved insurer in the future, and changes to, or our failure to maintain compliance with, the GSEs' PMIERs, could adversely impact our business, financial condition and operating results.</w:t>
      </w:r>
    </w:p>
    <w:p>
      <w:pPr>
        <w:spacing w:after="0" w:line="40" w:lineRule="exact"/>
        <w:rPr>
          <w:rFonts w:ascii="Times New Roman" w:cs="Times New Roman" w:eastAsia="Times New Roman" w:hAnsi="Times New Roman"/>
          <w:sz w:val="17"/>
          <w:szCs w:val="17"/>
          <w:i w:val="1"/>
          <w:iCs w:val="1"/>
          <w:color w:val="auto"/>
        </w:rPr>
      </w:pPr>
    </w:p>
    <w:p>
      <w:pPr>
        <w:jc w:val="both"/>
        <w:ind w:left="320" w:hanging="317"/>
        <w:spacing w:after="0" w:line="27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the business practices of the GSEs, including a decision to decrease or discontinue the use of private MI, or changes in the terms on which mortgage insurance coverage may be cancelled, federal legislation that changes their charters or a restructuring of the GSEs or changes in loan delivery pricing imposed by the GSEs could reduce the private MI market opportunity, reduce our revenues or increase our losses.</w:t>
      </w:r>
    </w:p>
    <w:p>
      <w:pPr>
        <w:spacing w:after="0" w:line="57" w:lineRule="exact"/>
        <w:rPr>
          <w:rFonts w:ascii="Times New Roman" w:cs="Times New Roman" w:eastAsia="Times New Roman" w:hAnsi="Times New Roman"/>
          <w:sz w:val="17"/>
          <w:szCs w:val="17"/>
          <w:i w:val="1"/>
          <w:iCs w:val="1"/>
          <w:color w:val="auto"/>
        </w:rPr>
      </w:pPr>
    </w:p>
    <w:p>
      <w:pPr>
        <w:ind w:left="320" w:hanging="317"/>
        <w:spacing w:after="0" w:line="266"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are subject to comprehensive state insurance regulations and capital adequacy requirements, which we must satisfy to continue to operate our MI business.</w:t>
      </w:r>
    </w:p>
    <w:p>
      <w:pPr>
        <w:spacing w:after="0" w:line="30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private MI industry is, and as a participant we are, subject to litigation and regulatory enforcement risk generally.</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business prospects and operating results could be adversely impacted if, and to the extent that, the Consumer Financial Protection Bureau's ATR Rules defining a QM negatively impact the size of the origination market.</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implementation of the Basel rules may discourage the use of mortgage insurance.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Holding Company and Capital Structure</w:t>
      </w:r>
    </w:p>
    <w:p>
      <w:pPr>
        <w:spacing w:after="0" w:line="167" w:lineRule="exact"/>
        <w:rPr>
          <w:sz w:val="20"/>
          <w:szCs w:val="20"/>
          <w:color w:val="auto"/>
        </w:rPr>
      </w:pPr>
    </w:p>
    <w:p>
      <w:pPr>
        <w:ind w:left="320" w:hanging="317"/>
        <w:spacing w:after="0" w:line="293" w:lineRule="auto"/>
        <w:tabs>
          <w:tab w:leader="none" w:pos="315"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holding company structure and certain regulatory and other constraints could affect our ability to satisfy our obligations and potentially require us to raise more capital.</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substantial indebtedness could adversely affect our financial condition.</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existing, and any future, variable rate indebtedness subjects us to interest rate risk, which could cause our annual debt service obligations to increase significantly.</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Despite our substantial level of debt, we may incur more debt, which could exacerbate any or all of the risks described above.</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current credit ratings may adversely affect our ability to access capital and the cost of such capital, which could have a material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auto"/>
        </w:rPr>
        <w:t>General Risks Related to Ownership of Our Common Stock</w:t>
      </w:r>
    </w:p>
    <w:p>
      <w:pPr>
        <w:spacing w:after="0" w:line="167" w:lineRule="exact"/>
        <w:rPr>
          <w:sz w:val="20"/>
          <w:szCs w:val="20"/>
          <w:color w:val="auto"/>
        </w:rPr>
      </w:pPr>
    </w:p>
    <w:p>
      <w:pPr>
        <w:ind w:left="300" w:hanging="297"/>
        <w:spacing w:after="0"/>
        <w:tabs>
          <w:tab w:leader="none" w:pos="300"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do not currently pay any dividends on our common stock and may not do so in the future, and payment of any declared dividends may be delayed.</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market price of our common stock may be volatile, which could cause the value of an investment in our common stock to decline.</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Future issuance of debt or preferred stock, which would rank senior to our Class A common stock upon our liquidation, may adversely affect the market value of our common stock.</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Provisions contained in our organizational documents, as well as provisions of Delaware law and Wisconsin insurance law, could delay or prevent a change of control of us, which could adversely affect the price of shares of our common stock.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Operations</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face intense competition for business in our industry, and if we are unable to compete effectively, we may not be able to achieve our business goals, which would adversely affect our business, financial condition and operating results.</w:t>
      </w:r>
    </w:p>
    <w:p>
      <w:pPr>
        <w:spacing w:after="0" w:line="9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MI industry is highly competitive. With six private MI companies actively competing for business from the same residential mortgage originators, it is important that we continue to differentiate ourselves from the other mortgage insurers, each of which sells substantially similar products to ours. One or more of our competitors may seek to capture increased market share from the government MIs or from other private mortgage insurers. They may do that by reducing prices, offering alternative coverage and product options, including offerings for loans not intended to be sold to the GSEs, loosening their underwriting guidelines or relaxing risk management policies. Such behavior could, in turn, improve their competitive positions in the industry and negatively impact our ability to achieve our business goals. Competition within the private mortgage insurance industry could result in our loss of customers, lower premiums, riskier credit guidelines and other changes that could lower our revenues or increase our expenses. If our IT systems are inferior to our competitors', existing and potential customers may choose our competitors' products over ours. If we are unable to compete effectively against our competitors and attract and retain customers, our revenue may be adversely impacted, which could adversely impact our growth and profitability.</w:t>
      </w:r>
    </w:p>
    <w:p>
      <w:pPr>
        <w:spacing w:after="0" w:line="12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addition, we and most of our competitors, either directly or indirectly, offer certain ancillary services to mortgage lenders with which we also conduct MI business, including loan review, training and other services. For various reasons, including those related to resources or compliance, we may choose not to offer some or all of these services or not to offer them in a form or to the extent that is similar to the prevailing offerings of our competitors. If we choose not to offer these services, or if we were to offer ancillary services that are not well-received by the market and fail to perform as anticipated, we could be at a competitive disadvantage which could adversely impact our profitability.</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Certain of our competitors are subsidiaries of larger and more diversified corporations that may have access to greater amounts of capital and financial resources, or a lower cost of capital than we do. Some may have better financial strength ratings than we have. As a result, they may be better positioned to compete in and outside of the traditional MI market, including when the GSEs pursue alternative forms of credit enhancement or credit risk transfer other than private MI, such as their IMAGIN and EPMI programs that were suspended in 2021, but could be relaunched in the same or alternative form in the future.</w:t>
      </w:r>
    </w:p>
    <w:p>
      <w:pPr>
        <w:spacing w:after="0" w:line="116"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 xml:space="preserve">Our financial strength ratings are important for our customers to maintain confidence in our products and our competitive position. PMIERs require all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except newly-approved insurers, to maintain at least one rating with a rating agency acceptable to the GSEs. A downgrade in NMIC's ratings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ratings outlook, or our failure to maintain a rating acceptable to one or both of the GSEs, could have an adverse effect on our business, including (i) potentially impacting our eligibility 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(ii) increased scrutiny of our financial condition by our customers, resulting in potential reduction in our NIW, or</w:t>
      </w:r>
    </w:p>
    <w:p>
      <w:pPr>
        <w:spacing w:after="0" w:line="3" w:lineRule="exact"/>
        <w:rPr>
          <w:sz w:val="20"/>
          <w:szCs w:val="20"/>
          <w:color w:val="auto"/>
        </w:rPr>
      </w:pPr>
    </w:p>
    <w:p>
      <w:pPr>
        <w:ind w:firstLine="3"/>
        <w:spacing w:after="0" w:line="268" w:lineRule="auto"/>
        <w:tabs>
          <w:tab w:leader="none" w:pos="30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impacts to our ability to conduct business in the non-GSE mortgage market, where financial strength ratings may be a more important counter-party consideration for lenders.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NIW volumes could be adversely affected if lenders and investors select alternatives to private MI.</w:t>
      </w:r>
    </w:p>
    <w:p>
      <w:pPr>
        <w:spacing w:after="0" w:line="171"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If lenders and investors select alternatives to private MI on high-LTV loans, our business could be adversely affected. Among others, alternatives to private MI include, but are not limited 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32" w:name="page33"/>
    <w:bookmarkEnd w:id="32"/>
    <w:p>
      <w:pPr>
        <w:ind w:left="1100" w:hanging="320"/>
        <w:spacing w:after="0" w:line="291" w:lineRule="auto"/>
        <w:tabs>
          <w:tab w:leader="none" w:pos="109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using government mortgage insurance programs, including those of the FHA, USDA and VA, and state-supported mortgage insurance funds in several states, including Massachusetts and California;</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and other investors holding mortgages in their portfolios and self-insuring;</w:t>
      </w:r>
    </w:p>
    <w:p>
      <w:pPr>
        <w:spacing w:after="0" w:line="11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GSEs and other investors using credit enhancements other than MI (including alternative forms of credit risk transfer such as the suspended IMAGIN and EPMI programs that could be relaunched in the future), using other credit enhancements in conjunction with reduced levels of MI coverage, or accepting credit risk without credit enhancement;</w:t>
      </w:r>
    </w:p>
    <w:p>
      <w:pPr>
        <w:spacing w:after="0" w:line="59"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originating mortgages using "piggy-back" or other structures to avoid MI, such as a first mortgage with an 80% LTV and a second mortgage with a 10%, 15% or 20% LTV (referred to as 80-10-10, 80-15-5 or 80-20 loans, respectively) rather than a first mortgage with an LTV above 80% that has MI;</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 retention program;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paying cash or making large down payments versus securing mortgage financing.</w:t>
      </w:r>
    </w:p>
    <w:p>
      <w:pPr>
        <w:spacing w:after="0" w:line="115"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Any of these alternatives to private MI could reduce or eliminate the need for our products, cause us to lose existing business and/or limit our ability to attract the new business that we may prefer to insure.</w:t>
      </w:r>
    </w:p>
    <w:p>
      <w:pPr>
        <w:spacing w:after="0" w:line="95"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Further, at the direction of the FHFA, the GSEs have expanded their credit and mortgage risk transfer programs. These programs have included the use of structured finance vehicles, obtaining insurance from non-mortgage insurers, including off-shore reinsurance, engaging in credit-linked note transactions in the capital markets, or using other forms of debt issuances or securitizations that transfer credit risk directly to other investors. The growing success of these programs and the perception that some of these risk-sharing structures have beneficial features in comparison to private MI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lower costs, reduced counter-party risk due to collateral requirements or more diversified insurance exposures) may create increased competition for private MI on loans traditionally sold to the GSEs with private MI.</w:t>
      </w:r>
    </w:p>
    <w:p>
      <w:pPr>
        <w:spacing w:after="0" w:line="122"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During the 2008 financial crisis, the government MIs, principally the FHA and VA, captured an increasing share of the high-LTV MI market. While declining from peak market share, government MIs' market share remains substantially above their historical levels. Government mortgage insurance programs are not subject to the same capital requirements, costs of capital, risk tolerance or business objectives that we and other private mortgage insurers are. Therefore, the government MIs generally have greater financial flexibility in setting their pricing, guidelines, policy terms and capacity. That may put us at a competitive disadvantage. Although there has been broad policy consensus toward the need for private capital to play a continued and consistent role in the U.S. housing finance system, it remains difficult to predict whether the combined market share of the government MIs will recede to pre-2008 levels. Government MIs may continue to maintain a strong combined market position and could increase their market share in the future.</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If the government MIs maintain or increase their share of the mortgage insurance market, our business and industry could be negatively affected. Factors that could cause government MIs to remain significant include, among others:</w:t>
      </w:r>
    </w:p>
    <w:p>
      <w:pPr>
        <w:spacing w:after="0" w:line="95" w:lineRule="exact"/>
        <w:rPr>
          <w:sz w:val="20"/>
          <w:szCs w:val="20"/>
          <w:color w:val="auto"/>
        </w:rPr>
      </w:pPr>
    </w:p>
    <w:p>
      <w:pPr>
        <w:ind w:left="1100" w:hanging="320"/>
        <w:spacing w:after="0" w:line="291" w:lineRule="auto"/>
        <w:tabs>
          <w:tab w:leader="none" w:pos="10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to federal housing policy and/or priorities, including government MIs reducing their premiums, which may be more likely under the current Presidential administration, or loosening their underwriting guidelines;</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premium rates or tightening of underwriting guidelines by private mortgage insurers;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constraints in the private MI industry;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capital requirements imposed on private mortgage insurers by the GSEs or states;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continuation of increases to or imposition of new GSE loan delivery fees on loans that require MI, which may result in higher borrower costs for MI loans compared to loans insured by government MIs;</w:t>
      </w:r>
    </w:p>
    <w:p>
      <w:pPr>
        <w:spacing w:after="0" w:line="43"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insured under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 in the spread between GSE mortgage-backed securities and Ginnie Mae mortgage-backed securities;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government MIs' loan limits above GSE loan limits;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GSEs' demand to participate in the high-LTV or first-time homebuyer origination market;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operational ease of using insurance from government MIs compared to private MI.</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3" w:name="page34"/>
    <w:bookmarkEnd w:id="33"/>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degree to which lenders or borrowers may select these alternatives now, or in the future, is difficult to predict. As one or more of the alternatives described above, or new alternatives that may enter the market, are chosen over MI, our revenues could be adversely impacted. The loss of business in general or the specific loss of more profitable business could have a material adverse effect on our financial position and operating results.</w:t>
      </w:r>
    </w:p>
    <w:p>
      <w:pPr>
        <w:spacing w:after="0" w:line="10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continue to attract and retain the most significant mortgage originators as customers, our ability to achieve our business goals could be negatively impacted.</w:t>
      </w:r>
    </w:p>
    <w:p>
      <w:pPr>
        <w:spacing w:after="0" w:line="9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success of our mortgage insurance business is highly dependent on our ability to attract and retain as customers the most significant mortgage lenders in the U.S., measured through the combined volume of their retail originations and/or the insured loans they may acquire from other originators. As a result of their size and market share, these entities originate a significant majority of high-LTV mortgages in the U.S. and, therefore, influence the size and pricing of the MI market. We are currently doing business with a majority of these lenders. However, there is no assurance we will receive approvals from each of the remaining lenders to transact MI business with them or that those lenders who have approved us will continue to maintain business relationship with us. If we are unable to maintain our approved status with one or more of these mortgage lenders, our business, financial condition and operating results could be adversely impacted.</w:t>
      </w:r>
    </w:p>
    <w:p>
      <w:pPr>
        <w:spacing w:after="0" w:line="333"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cannot be certain that any loss of business from one or more of our lender customers would be offset or replaced by other new or existing lender customers. Some lenders may decide to write business only with certain mortgage insurers based on their views with respect to an insurer's pricing, price delivery system, service levels, underwriting guidelines, servicing and loss mitigation practices, financial strength or other factors. Our customers may choose to diversify the mortgage insurers with which they do business, which could negatively affect our level of NIW and our market share. In addition, our Master Policies do not require our customers to do business with us. Loss of business from significant customers, if not offset or replaced by additional business from other customers, could have an adverse effect on the amount of new business we are able to write and, consequently, our financial condition and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volume of high-LTV loan originations declines, our NIW volume could decline, which would reduce our revenues.</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Our NIW volume and revenues, in part, depend on the volume of high-LTV loan originations and may be negatively affected if the volume of high-LTV loan origination declines. The factors that affect the volume of high-LTV loan originations include, among others:</w:t>
      </w:r>
    </w:p>
    <w:p>
      <w:pPr>
        <w:spacing w:after="0" w:line="95" w:lineRule="exact"/>
        <w:rPr>
          <w:sz w:val="20"/>
          <w:szCs w:val="20"/>
          <w:color w:val="auto"/>
        </w:rPr>
      </w:pPr>
    </w:p>
    <w:p>
      <w:pPr>
        <w:ind w:left="1100" w:hanging="320"/>
        <w:spacing w:after="0" w:line="291" w:lineRule="auto"/>
        <w:tabs>
          <w:tab w:leader="none" w:pos="10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loan interest rates. Higher interest rates may increase the potential housing costs for consumers hoping to purchase homes, which may have the effect of reducing the pool of potential borrowers available to purchase homes;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mortgage credit due to more stringent underwriting standards, more restrictive regulatory and capital requirements and lender liquidity issues;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of the real estate industry and the national economy and conditions in regional and local economies, which may be impacted by inflation and the related Federal Reserve measures, which may cause potential economic downturn;</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housing affordability;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housing supply;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population trends, including the rate of household formation, preferences of potential mortgage borrowers and cultural shifts;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anticipated path of home price appreciation, which in times of heavy refinancing can affect whether refinance loans have LTVs that require MI;</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deductibility of mortgage interest or other changes in tax policy, including the TCJA of 2017, which may have an effect on the residential housing market;</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housing policy encouraging loans to first-time homebuyers;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GSEs' demand to participate in the high-LTV or first-time homebuyer origination market;</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GSEs' guaranty and other fees, credit underwriting guidelines and other business terms affect lenders' willingness to extend credit for high-LTV mortgages; and</w:t>
      </w:r>
    </w:p>
    <w:p>
      <w:pPr>
        <w:spacing w:after="0" w:line="95"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COVID-19 and any related imposed containment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4" w:name="page35"/>
    <w:bookmarkEnd w:id="34"/>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 decline in the volume of high-LTV loan originations could decrease demand for MI, decrease our NIW and therefore reduce our revenues and have a material adverse effect on our operating results.</w:t>
      </w:r>
    </w:p>
    <w:p>
      <w:pPr>
        <w:spacing w:after="0" w:line="9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underwriting and credit risk management policies and practices may not anticipate all risks and/or the magnitude of potential for loss as the result of unforeseen risks.</w:t>
      </w:r>
    </w:p>
    <w:p>
      <w:pPr>
        <w:spacing w:after="0" w:line="9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have established underwriting and credit risk management policies and practices that seek to mitigate our exposure to borrower default risk in our insured loan portfolio by anticipating future risks and their magnitude. Our underwriting and credit risk management guidelines are based on what we believe to be the major factors that influence the performance of mortgage credit. These factors include, among others, borrower and loan-level risk characteristics, lender origination practices and macroeconomic variables that influence the housing market. The presence of multiple higher-risk characteristics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layered risk) in a loan materially increases the likelihood of a default on such a loan unless, and to the extent, there are other characteristics to mitigate the layered risk.</w:t>
      </w:r>
    </w:p>
    <w:p>
      <w:pPr>
        <w:spacing w:after="0" w:line="11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frequency and severity of claims we incur is uncertain and depends largely on general economic conditions, including unemployment rate, interest rates, inflation and the effect of the Federal Reserve's action to control inflation (which could lead to potential economic downturn), and trends in home prices. These risks may also be impacted by developments relating to the COVID-19 virus in the future. To the extent that certain risks are unforeseen, or if we have underestimated the frequency and/or severity of loss of certain risks, our underwriting and credit risk management policies and practices may not be sufficient to mitigate the effects of these risks. If these policies and practices do not correctly anticipate risk or the potential for loss, we may underwrite business for which we have not charged premium commensurate with the risk, which could result in material adverse effects on our business, financial condition and operating results.</w:t>
      </w:r>
    </w:p>
    <w:p>
      <w:pPr>
        <w:spacing w:after="0" w:line="11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Unexpected material increases in borrower defaults could cause our actual losses to materially exceed our expected loss rates, including in certain geographic regions in which our business may be concentrated and more susceptible to downturns.</w:t>
      </w:r>
    </w:p>
    <w:p>
      <w:pPr>
        <w:spacing w:after="0" w:line="9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losses result from events that reduce a borrower's ability or willingness to continue to make mortgage payments. These events include borrower-specific factors, such as job loss, illness, death, divorce, and existing federal supported forbearance programs. These events also include macroeconomic factors, such as rising unemployment, market deterioration, rising interest rates and home price depreciation. Borrowers with high-LTV mortgages often have more difficulty (compared to borrowers with lower LTV mortgages) weathering personal financial hardships caused by unforeseen events, because they may not have sufficient personal savings or available credit to structure viable workout solutions. Rising unemployment rates and deterioration in economic conditions for</w:t>
      </w:r>
    </w:p>
    <w:p>
      <w:pPr>
        <w:spacing w:after="0" w:line="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extended periods of time, across the U.S. or in specific regional economies (such as the wave of layoffs in the technology sector in the recent past), generally increases the likelihood of borrower defaults.</w:t>
      </w:r>
    </w:p>
    <w:p>
      <w:pPr>
        <w:spacing w:after="0" w:line="95"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As inflation has lowered housing affordability, the use of adjustable-rate mortgages (ARMs) and interest rate buydown transactions have become more common. Interest rate buydown happens when the builder or seller, to increase the chances of selling a home, contributes funds that subsidizes the buyer's mortgage loan interest rate during a certain period of time, resulting in a lower monthly payment on the mortgage for the buyer. However, once the buydown rate ends, the buyer’s monthly payment increases. Increasing interest rates typically also lead to higher monthly payments for borrowers with existing ARMs and could materially impact the cost and availability of refinance options for borrowers. A decline in home values typically makes it more difficult for borrowers to sell or refinance their homes, generally increasing the likelihood of a default followed by a claim when borrowers are impacted by events that reduce their incomes or increase their expenses. In addition, home price depreciation may also decrease the willingness of borrowers with sufficient resources to make mortgage payments when their mortgage balances exceed the values of their homes. Declines in home values typically increase the severity of any claims we may pay. Home values may decline even absent deterioration in economic conditions due to declines in demand for homes, which may result from changes in buyers' perceptions of the potential for future home price appreciation, rising interest rates or availability of mortgage credit. The ending of any widely embraced forbearance programs may also increase the realization of losses related to borrower defaults. If our default and loss projections are materially inaccurate, our actual losses could materially exceed our expectations and adversely affect our financial condition and operating results.</w:t>
      </w:r>
    </w:p>
    <w:p>
      <w:pPr>
        <w:spacing w:after="0" w:line="127"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Additionally, while we seek to diversify our insured loan portfolio geographically, the availability of business might lead to concentrations in specific regions in the U.S., which could make our business more susceptible to economic downturns in these regions. Certain regions of the U.S. from time to time will experience weaker economic conditions, higher unemployment, lower property values or weaker housing markets. Consequently, loans in these regions will experience higher rates of default, foreclosure and loss than on loans nationally, and struggling borrowers in regions with an oversupply of homes may be unable to sell their homes as a means to avoid foreclosure. Any deterioration in housing prices, housing markets or economic conditions in regions in which we have a significant concentration of IIF and which adversely affects the ability of borrowers to make payments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5" w:name="page36"/>
    <w:bookmarkEnd w:id="35"/>
    <w:p>
      <w:pPr>
        <w:jc w:val="both"/>
        <w:spacing w:after="0" w:line="291" w:lineRule="auto"/>
        <w:rPr>
          <w:sz w:val="20"/>
          <w:szCs w:val="20"/>
          <w:color w:val="auto"/>
        </w:rPr>
      </w:pPr>
      <w:r>
        <w:rPr>
          <w:rFonts w:ascii="Times New Roman" w:cs="Times New Roman" w:eastAsia="Times New Roman" w:hAnsi="Times New Roman"/>
          <w:sz w:val="17"/>
          <w:szCs w:val="17"/>
          <w:color w:val="auto"/>
        </w:rPr>
        <w:t>on their insured loans may increase the likelihood and severity of our losses, which could have a material adverse effect on our financial condition and operating results.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premiums we charge may be insufficient to cover claim payments and our operating costs.</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Our mortgage insurance premiums may not be adequate to cover our future claim payments. We set premiums at the time a policy is issued based on our expectations regarding likely performance over the term of the policy. Our premium rates are developed based on certain expectations that may ultimately prove to be inaccurate. Our premiums are subject to approval by certain state insurance regulators, which can delay or limit our ability to increase our premiums. Generally, we will not be able to cancel the MI coverage or adjust renewal premiums during the life of an MI policy to mitigate adverse development. As a result, when facing higher than anticipated claims, we generally will not be able to offset it by increasing premiums on policies in force, or mitigate it by not renewing or cancelling any coverage. While we believe our capital, premiums and investment earnings will provide a pool of resources sufficient to cover expected loss payments and we have made estimates regarding loss payments and potential claims, we cannot predict with certainty the ultimate number and magnitude of claims we experience. Therefore, the actual premiums (along with investment earnings) may not be sufficient to cover losses and/or our operating costs. An increase in the number or size of claims, compared to what we anticipate, could adversely affect our operating results or financial condition. We may not be able to achieve the results that we expect, and there can be no assurance that losses will not exceed our total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factors that impact the length of time that our policies remain in force may adversely affect our future revenues and claims experience.</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set premiums at the time our policies are issued based on a broad range of variables, including property, loan, borrower, lender and market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tax reform) factors to target through-the-cycle returns that exceed our cost of capital. The premium from a single premium policy is collected up front and generally earned over the estimated life of the policy. In contrast, premiums from a monthly premium policy are received and earned each month over the life of the policy and generally cannot be adjusted after coverage is placed. Each year, most of our premiums will be from insurance that has been written in prior years. As a result, the length of time insurance remains in force, which is also generally referred to as persistency, is a primary determinant of our future revenues and claims paying resources.</w:t>
      </w:r>
    </w:p>
    <w:p>
      <w:pPr>
        <w:spacing w:after="0" w:line="12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 lower level of persistency could reduce our future revenues from our monthly-paid premium products, which constituted about 90% of our primary IIF at year-end 2023. Higher than expected persistency rates could negatively impact our future profitability on monthly premium policies if market and economic conditions change significantly from those we expected when we established the premium rates. In addition, a higher than expected persistency rate will decrease the profitability from single premium policies if they remain in force longer than was estimated when the policies were written.</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factors affecting persistency may include, among others, the following:</w:t>
      </w:r>
    </w:p>
    <w:p>
      <w:pPr>
        <w:spacing w:after="0" w:line="167" w:lineRule="exact"/>
        <w:rPr>
          <w:sz w:val="20"/>
          <w:szCs w:val="20"/>
          <w:color w:val="auto"/>
        </w:rPr>
      </w:pPr>
    </w:p>
    <w:p>
      <w:pPr>
        <w:ind w:left="1100" w:hanging="320"/>
        <w:spacing w:after="0" w:line="291" w:lineRule="auto"/>
        <w:tabs>
          <w:tab w:leader="none" w:pos="10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guidelines and other policies of the GSEs and other mortgage investors determining the timing and rationale for cancelling mortgage insurance;</w:t>
      </w:r>
    </w:p>
    <w:p>
      <w:pPr>
        <w:spacing w:after="0" w:line="41" w:lineRule="exact"/>
        <w:rPr>
          <w:rFonts w:ascii="Times New Roman" w:cs="Times New Roman" w:eastAsia="Times New Roman" w:hAnsi="Times New Roman"/>
          <w:sz w:val="17"/>
          <w:szCs w:val="17"/>
          <w:color w:val="auto"/>
        </w:rPr>
      </w:pPr>
    </w:p>
    <w:p>
      <w:pPr>
        <w:ind w:left="1100" w:hanging="320"/>
        <w:spacing w:after="0" w:line="293" w:lineRule="auto"/>
        <w:tabs>
          <w:tab w:leader="none" w:pos="10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current mortgage interest rates compared to the mortgage rates on the IIF, which affects the sensitivity of the IIF to refinancings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lower current interest rates make it more attractive for borrowers to refinance and receive a lower interest rate);</w:t>
      </w:r>
    </w:p>
    <w:p>
      <w:pPr>
        <w:spacing w:after="0" w:line="42"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of equity in a home, as homeowners with more equity in their homes can more readily move to a new residence or refinance their existing mortgage;</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rates of home price appreciation or depreciation;</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that affect a borrower's decision to pay-off a mortgage earlier than required;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credit policies, which may make it more difficult for borrowers to refinance their loans;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efforts of lenders to solicit borrower refinancing; and</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of BPMI mandated by the HOPA, with the time-frames for HOPA required cancellations generally accelerating in a lower interest rate environment relative to a higher interest rate environment.</w:t>
      </w:r>
    </w:p>
    <w:p>
      <w:pPr>
        <w:spacing w:after="0" w:line="82" w:lineRule="exact"/>
        <w:rPr>
          <w:sz w:val="20"/>
          <w:szCs w:val="20"/>
          <w:color w:val="auto"/>
        </w:rPr>
      </w:pPr>
    </w:p>
    <w:p>
      <w:pPr>
        <w:jc w:val="both"/>
        <w:ind w:firstLine="621"/>
        <w:spacing w:after="0" w:line="250" w:lineRule="auto"/>
        <w:rPr>
          <w:sz w:val="20"/>
          <w:szCs w:val="20"/>
          <w:color w:val="auto"/>
        </w:rPr>
      </w:pPr>
      <w:r>
        <w:rPr>
          <w:rFonts w:ascii="Times New Roman" w:cs="Times New Roman" w:eastAsia="Times New Roman" w:hAnsi="Times New Roman"/>
          <w:sz w:val="17"/>
          <w:szCs w:val="17"/>
          <w:color w:val="auto"/>
        </w:rPr>
        <w:t>Mortgage interest rates tend to follow the 10-year Treasury yield, which rises and falls based on expectations for the benchmark rate set by the Federal Reserve. In the years leading up to 2022, mortgage interest rates had been at historical lows, primarily as a result of monetary policy by the Federal Reserve which kept the federal funds rate at historical lows. Starting in 2022, in an attempt to curb rising inflation, the Federal Reserve repeatedly and rapidly increased the federal funds rate which, 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6" w:name="page37"/>
    <w:bookmarkEnd w:id="36"/>
    <w:p>
      <w:pPr>
        <w:jc w:val="both"/>
        <w:spacing w:after="0" w:line="256" w:lineRule="auto"/>
        <w:rPr>
          <w:sz w:val="20"/>
          <w:szCs w:val="20"/>
          <w:color w:val="auto"/>
        </w:rPr>
      </w:pPr>
      <w:r>
        <w:rPr>
          <w:rFonts w:ascii="Times New Roman" w:cs="Times New Roman" w:eastAsia="Times New Roman" w:hAnsi="Times New Roman"/>
          <w:sz w:val="17"/>
          <w:szCs w:val="17"/>
          <w:color w:val="auto"/>
        </w:rPr>
        <w:t>July 2023, hit its highest levels in 22 years, and led to rising interest rates and mortgage interest rates in 2022 and 2023. As a result of the higher mortgage interest rates in 2022 and 2023, we observed lower refinancing activities in the mortgage market compared to what we had observed in recent years prior to 2022, and therefore decreased turnover in our IIF.</w:t>
      </w:r>
    </w:p>
    <w:p>
      <w:pPr>
        <w:spacing w:after="0" w:line="189" w:lineRule="exact"/>
        <w:rPr>
          <w:sz w:val="20"/>
          <w:szCs w:val="20"/>
          <w:color w:val="auto"/>
        </w:rPr>
      </w:pPr>
    </w:p>
    <w:p>
      <w:pPr>
        <w:jc w:val="both"/>
        <w:ind w:firstLine="621"/>
        <w:spacing w:after="0"/>
        <w:rPr>
          <w:sz w:val="20"/>
          <w:szCs w:val="20"/>
          <w:color w:val="auto"/>
        </w:rPr>
      </w:pPr>
      <w:r>
        <w:rPr>
          <w:rFonts w:ascii="Times New Roman" w:cs="Times New Roman" w:eastAsia="Times New Roman" w:hAnsi="Times New Roman"/>
          <w:sz w:val="17"/>
          <w:szCs w:val="17"/>
          <w:color w:val="auto"/>
        </w:rPr>
        <w:t>However, if in the future inflation lowers and the Federal Reserve subsequently loosens its monetary policy, mortgage interest rates would likely decline. As in the years leading up to 2022, if we experience a lower interest rate environment in the future, we expect that to drive higher levels of refinancing in the mortgage market, including with respect to loans we insure which may have interest rates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such as those written in 2022 and 2023 in a higher interest rate environment) that are higher than the future prevailing rates. A lower interest environment could subsequently lead to an increased turnover in our IIF, which could negatively impact our future revenues. We are unsure, however, what the ultimate impact on our revenues will be as insured mortgages are refinanced, because the number of policies we write for replacement mortgages may be more or less than the terminated policies associated with the refinanced mortgages and could be written at lower premium rates. In addition, the GSEs and other mortgage investors who hold the mortgages on which we write mortgage insurance largely control the decision on whether to maintain mortgage insurance. If the GSEs and other mortgage investors change their view on the timing of cancellation of mortgage insurance due to house price appreciation, policy goals, other risk appetite decisions or otherwise, we could experience increased and unexpected turnover in our IIF, which could negatively impact our future revenues.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inflation, interest rates and mortgage interest rates may have an adverse impact on our business, future revenue and financial condition.</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Since 2021, inflation has increased dramatically. Rising inflation may negatively impact our expense base by increasing the costs (including for services) we have to pay contractors, employees, service providers and vendors. Higher inflation also puts a strain on consumer spending. As general costs for goods and services increase for consumers, their housing and mortgage affordability decrease. Inflation's adverse impact on housing and mortgage affordability may therefore lower overall housing demand, result in lower NIW volume and negatively impact our business, future revenue and financial condition.</w:t>
      </w:r>
    </w:p>
    <w:p>
      <w:pPr>
        <w:spacing w:after="0" w:line="194"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In an attempt to curb rising inflation, the Federal Reserve repeatedly and rapidly increased the federal funds rate in 2022 and 2023 which led to rising interest rates and mortgage interest rates, before announcing a pause in September 2023. Higher interest rates and mortgage rates may have an adverse impact on the refinancing origination market and purchase origination market. Higher rates have an adverse impact on the refinancing origination market because higher mortgage interest rates lower the opportunity to refinance an existing loan at a lower mortgage interest rate. Higher rates also have an adverse impact on the purchase origination market because higher mortgage interest rates lower housing and mortgage affordability, and thus consumers' demand for homes. Affordability issues and increases in mortgage rates may also put downward pressure on home prices as buyers' demand for homes decreases. Falling housing demand may result in fewer mortgage originations and a lower price per transaction, reducing the overall size of the MI market. Falling home prices may also result in an increase in our default losses as borrowers' equity in their homes declines and thus decreases our future revenues and returns.</w:t>
      </w:r>
    </w:p>
    <w:p>
      <w:pPr>
        <w:spacing w:after="0" w:line="20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addition, if the Federal Reserve decides to resume its interest rate hikes in the future, there can be no guarantee it will raise rates at a gradual pace, nor can there be any assurance that markets will not adversely react to rate increases and that the rate hikes would not trigger an economic downturn. Downturns in the domestic economy may result in more homeowners defaulting and our losses increasing, with a corresponding decrease in our returns. Therefore, the ultimate impact that higher inflation rates will have on the mortgage origination and mortgage insurance markets, and our loan delinquencies, is unknown, and changes in inflation, interest rates and mortgage interest rates may have an adverse impact on our business, future revenue and financial condition.</w:t>
      </w:r>
    </w:p>
    <w:p>
      <w:pPr>
        <w:spacing w:after="0" w:line="11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outsource the underwriting of our mortgage insurance on certain loans to third-party underwriting service providers (USPs). If these USPs fail to adequately perform their underwriting services or place our coverage on loans we would deem ineligible, we could experience increased claims on loans underwritten by them, and our customer relationships could be negatively impacted.</w:t>
      </w:r>
    </w:p>
    <w:p>
      <w:pPr>
        <w:spacing w:after="0" w:line="108"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If our USPs fail to adequately perform their underwriting services, such as mishandling of customer inquiries or an inability to underwrite a sufficient volume of applications per day, we may lose opportunities to place mortgage insurance coverage on particular loans. Our reputation may also suffer and customers may choose not to do business with us. In addition, if our USPs place our MI coverage on loans that are ineligible for coverage under our underwriting guidelines, our risk of claims will be increased on those loans or the premiums we charge may be inadequate for the corresponding risk. We do not have the right under our Master Policies to cancel coverage of an ineligible loan as a result of a USP making an incorrect decision. Further, other than being able to terminate our contracts with these USPs, we generally do not have express loan-level monetary contractual remedies against these USPs if we are obligated to pay claims on ineligible loans that they improperly agreed to insure on our behalf. If these USPs fail to perform their services as expected, we could experience increased claims on loans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37" w:name="page38"/>
    <w:bookmarkEnd w:id="37"/>
    <w:p>
      <w:pPr>
        <w:jc w:val="both"/>
        <w:spacing w:after="0" w:line="291" w:lineRule="auto"/>
        <w:rPr>
          <w:sz w:val="20"/>
          <w:szCs w:val="20"/>
          <w:color w:val="auto"/>
        </w:rPr>
      </w:pPr>
      <w:r>
        <w:rPr>
          <w:rFonts w:ascii="Times New Roman" w:cs="Times New Roman" w:eastAsia="Times New Roman" w:hAnsi="Times New Roman"/>
          <w:sz w:val="17"/>
          <w:szCs w:val="17"/>
          <w:color w:val="auto"/>
        </w:rPr>
        <w:t>underwritten by them, and our customer relationships could be negatively impacted, which would have an adverse impact on our business, financial condition and operating results.</w:t>
      </w:r>
    </w:p>
    <w:p>
      <w:pPr>
        <w:spacing w:after="0" w:line="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Master Policies contain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spacing w:after="0" w:line="108"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Under our Master Policies' rescission relief provisions, we agree that we will not rescind coverage of an insured loan for material misrepresentation (including borrower fraud) or underwriting defects if the conditions for such relief are satisfied as specified in the applicable Master Policy. In addition, after a loan has achieved rescission relief, we have agreed to limitations on our ability to initiate certain investigations of fraud or misrepresentation by parties involved in the origination of an insured loan. Our earliest rescission relief on an insured loan is subject to our successful completion of an independent validation on such loan. The current processes we have in place to validate insured loans may be ineffective in detecting material misrepresentations and/or underwriting defects. After a loan meets the conditions for rescission relief, we are contractually prohibited from exercising our rights of rescission for material underwriting defects and certain misrepresentations (including borrower fraud) made in connection with the origination of the insured loan and placement of our mortgage insurance. In addition, after a loan attains rescission relief, our rights to conduct investigations of potential fraud or misrepresentation are significantly curtailed and the evidentiary standards we must meet to pursue rescission for fraud are more stringent. See Item 1, "</w:t>
      </w:r>
      <w:r>
        <w:rPr>
          <w:rFonts w:ascii="Times New Roman" w:cs="Times New Roman" w:eastAsia="Times New Roman" w:hAnsi="Times New Roman"/>
          <w:sz w:val="17"/>
          <w:szCs w:val="17"/>
          <w:i w:val="1"/>
          <w:iCs w:val="1"/>
          <w:color w:val="auto"/>
        </w:rPr>
        <w:t>Business - Underwriting - Independent Validation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Rescission Relief.</w:t>
      </w:r>
      <w:r>
        <w:rPr>
          <w:rFonts w:ascii="Times New Roman" w:cs="Times New Roman" w:eastAsia="Times New Roman" w:hAnsi="Times New Roman"/>
          <w:sz w:val="17"/>
          <w:szCs w:val="17"/>
          <w:color w:val="auto"/>
        </w:rPr>
        <w:t>" With these provisions in our Master Policies, we may be obligated to pay claims on certain loans with unacceptable risk characteristics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failed to meet our underwriting guidelines at the time of origination. As a result, we could suffer unexpected losses, which could adversely impact our business, financial condition and operating results.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mix of business we write affects our revenue stream and the likelihood of losses occurring.</w:t>
      </w:r>
    </w:p>
    <w:p>
      <w:pPr>
        <w:spacing w:after="0" w:line="17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Even when housing values are stable or rising, mortgages with certain characteristics have higher probabilities of claims. These characteristics include loans with LTVs over 95% (or in certain markets that have experienced declining housing values, over 90%), lower credit scores, with lower scores tending to have higher probabilities of claims, or higher total DTI ratios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DTIs greater than 45%). Loans with high LTVs leave the borrower with little, no or negative equity in the related property, which may result in increased defaults by such borrowers. In addition, depreciation in the values of properties underpinning our insured loans may increase the likelihood of default, and consequently the frequency or severity of losses. Loans with combinations of these risk factors have a higher degree of layered risk. In general, we charge higher premiums for loans with higher risk characteristics; however, there is no guarantee that our premiums will compensate us for any losses we incur on such loans.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programmatic or loan-by-loan exceptions to our underwriting guidelines, including for certain customer programs. We could incur greater than expected claims incidence and claim severity on insured loans that fall outside of our guidelines, which could negatively impact our revenues and operating results.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expect our claims to increase as our insured loan portfolio grows and matures.</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our claims experience is affected by macroeconomic factors such as housing prices, inflation, interest rates, mortgage rates, unemployment rates and other events, such as natural disasters or global pandemics, and any federal, state or local governmental response thereto. See Part II, Item 7, "</w:t>
      </w:r>
      <w:r>
        <w:rPr>
          <w:rFonts w:ascii="Times New Roman" w:cs="Times New Roman" w:eastAsia="Times New Roman" w:hAnsi="Times New Roman"/>
          <w:sz w:val="17"/>
          <w:szCs w:val="17"/>
          <w:i w:val="1"/>
          <w:iCs w:val="1"/>
          <w:color w:val="auto"/>
        </w:rPr>
        <w:t>Management's Discussion and Analysis of Financial Condition and Results of Operations - Insurance Claims and Claim Expenses."</w:t>
      </w:r>
      <w:r>
        <w:rPr>
          <w:rFonts w:ascii="Times New Roman" w:cs="Times New Roman" w:eastAsia="Times New Roman" w:hAnsi="Times New Roman"/>
          <w:sz w:val="17"/>
          <w:szCs w:val="17"/>
          <w:color w:val="auto"/>
        </w:rPr>
        <w:t xml:space="preserve"> Incurred losses and claims may exceed our expectations in the event of general economic weakness or decreases in housing values. An increase in the number or size of claims, compared to what we anticipate, could adversely affect our operating results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in part, on effective and reliable loan servicing.</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depend on reliable, consistent third-party servicing of the loans that we insure. Among other things, our Master Policies require our insureds and their servicers to timely submit premium and IIF and default reports, use commercially reasonable efforts to limit and mitigate loss when a loan is in default, and if loss mitigation efforts are unsuccessful, to pursue foreclosure of the underlying property in accordance with required timelines and practices, which are generally set by the GSEs. Servicers are required to comply with a multitude of legal, regulatory and GSE requirements, procedures and standards for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8" w:name="page39"/>
    <w:bookmarkEnd w:id="38"/>
    <w:p>
      <w:pPr>
        <w:jc w:val="both"/>
        <w:spacing w:after="0" w:line="291" w:lineRule="auto"/>
        <w:rPr>
          <w:sz w:val="20"/>
          <w:szCs w:val="20"/>
          <w:color w:val="auto"/>
        </w:rPr>
      </w:pPr>
      <w:r>
        <w:rPr>
          <w:rFonts w:ascii="Times New Roman" w:cs="Times New Roman" w:eastAsia="Times New Roman" w:hAnsi="Times New Roman"/>
          <w:sz w:val="17"/>
          <w:szCs w:val="17"/>
          <w:color w:val="auto"/>
        </w:rPr>
        <w:t>servicing residential mortgage loans. If servicers of our insured loans fail to adhere to applicable requirements, procedures and standards, our losses may unexpectedly increase.</w:t>
      </w:r>
    </w:p>
    <w:p>
      <w:pPr>
        <w:spacing w:after="0" w:line="93"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have delegated the authority to implement certain loss mitigation options on loans we insure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modifications, short sales and deeds-in-lieu) to the GSEs, who have in turn delegated such authority to most of their approved servicers, pursuant to the delegation agreements. Servicers who service GSE-owned loans are required to operate under the GSEs' required standards in accepting certain loss mitigation alternatives. We are dependent on these servicers to appropriately make these decisions under their delegated authority to mitigate our exposure to loss. In some cases, loss mitigation decisions favorable to the GSEs may not be favorable to us and may increase the incidence of paid claims. Inappropriate delegation procedures or failure of servicers to adhere to required standards may increase the magnitude of our losses and have an adverse effect on our business, financial condition and operating results. Our delegation of loss management decisions to the GSEs is subject to cancellation; however, exercise of these rights may have an adverse effect on our relationship with the GSEs and servicers.</w:t>
      </w:r>
    </w:p>
    <w:p>
      <w:pPr>
        <w:spacing w:after="0" w:line="33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COVID-19 pandemic demonstrated that government actions in response to a national pandemic could create strains on servicers in connection with the remittance of premiums. We cannot estimate how the rise of new variants and government actions in response to them could affect our servicers in the future. If one or more of our large servicers were to experience adverse effects to its business, such servicers could experience delays in meeting their reporting requirements, which could result in our inability to correctly record new loans as they are underwritten and/or properly recognize and establish loss reserves on loans when defaults exist or occur but are not reported timely or at all. Significant failures by large servicers or disruptions in the servicing of mortgage loans we insure would adversely impact our business, financial condition and operating results.</w:t>
      </w:r>
    </w:p>
    <w:p>
      <w:pPr>
        <w:spacing w:after="0" w:line="11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the estimates we use in establishing claims reserves are incorrect, the actual claim payments we make may materially exceed the amount of our corresponding claims reserves, resulting in unexpected charges to income, which could be material and adversely affect our results of operations.</w:t>
      </w:r>
    </w:p>
    <w:p>
      <w:pPr>
        <w:spacing w:after="0" w:line="9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establish reserves for claims and claim expenses for insured mortgage loans that are in default. A loan is considered to be in default as of the payment date at which a borrower has missed the preceding two or more consecutive monthly payments. We establish reserves for loans that have been reported to us as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Reserves are established by estimating the number of loans in default that will result in a claim payment, referred to as claim frequency, and the amount of the claim payment expected to be paid on each such loan in default, referred to as claim severity. Claim frequency and severity estimates are established based on historical observed experience regarding certain loan factors, such as age of the default, cure rates, size of the loan and estimated change in property value.</w:t>
      </w:r>
    </w:p>
    <w:p>
      <w:pPr>
        <w:spacing w:after="0" w:line="11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establishment of claims and IBNR reserves is subject to inherent uncertainty and requires significant judgment by management. Our estimates of claim frequency and severity are strongly influenced by prevailing economic conditions, including current rates or trends in unemployment, housing price appreciation and/or interest rates, the availability of forbearance, foreclosure moratorium, modification and other assistance programs available to defaulted borrowers, and our best judgments as to the future values or trends of these macroeconomic factors. These factors are outside of our control and difficult to predict. Further, our expectations regarding future claims may change significantly over time. If prevailing economic conditions deteriorate suddenly and/or unexpectedly, our estimates of loss reserves could be materially understated. Due to the inherent uncertainty and significant judgment involved in the numerous assumptions required to estimate our losses, our loss estimates may vary widely. Because claims and IBNR reserves are based on such estimates and judgments, there can be no assurance that even in a stable economic environment, actual claims paid by us will not be substantially different than the reserves we established for such claims. Our business, operating results and financial condition will be adversely impacted if, and to the extent, our actual losses are greater than our claims and IBNR reserves.</w:t>
      </w:r>
    </w:p>
    <w:p>
      <w:pPr>
        <w:spacing w:after="0" w:line="33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future results if, and when, such losses emerge.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i w:val="1"/>
          <w:iCs w:val="1"/>
          <w:color w:val="auto"/>
        </w:rPr>
        <w:t>The COVID-19 virus may continue to impact our financial results and may also continue to affect our business, liquidity and financial condition.</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COVID-19 virus has had and may continue to have negative impacts on the economy and on the financial, equity and credit markets, both globally and within the U.S. The rise of new variants (including those with greater transmissibility and/or mortality rates), may continue to pose a global risk and affect communities across the U.S. During the pandemic, there were a number of governmental and GSE efforts to implement programs designed to assist individuals and businesses impacted by the COVID-19 virus, among them the Coronavirus Aid, Relief, and Economic Security Act (CARES Act). These programs provided financial assistance for businesses and individuals, and targeted regulatory relief for financial institutions. Among other things, the CARES Act previously suspended foreclosures and evictions. The GSEs, the primary purchasers of mortgages we insure, also adopted certain measures during the pandemic to assist borrowers impacted by COVID-19, including providing a forbearance plan to certain borrowers. Since the COVID-related forbearance programs have since ended, there can be no assurance that borrowers will be able to remain current on their mortgages, and a significant percentage could remain in default and result in mortgage insurance claims. The extent to which the COVID-19 virus and future variants may materially impact our future financial results, business, liquidity and/or financial condition is uncertain and cannot be predicted.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occurrence of natural or man-made disasters or pandemics could adversely affect our business, financial condition and operating results.</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We are exposed to various risks arising out of natural disasters, including pandemics, earthquakes, wildfires, hurricanes, floods, tornadoes and other events that could be related to and could be worsened by changing climatic conditions. We are also exposed to various risks arising out of man-made disasters, including acts of terrorism, and military actions. For example, a natural disaster event could lead to unexpected changes in persistency rates as policyholders and borrowers who are affected by the disaster may be unable to meet their contractual obligations, such as mortgage payments on loans we insure.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new business and increased claims from those areas, and adverse effects on home prices in those areas, which could result in unexpected loss experience in our business. These events also could disrupt public and private infrastructure, including communications and financial services, which could disrupt our normal business operations. In addition, the value of the assets in our investment portfolio could be adversely affected if such an event affects companies' ability to pay us principal or interest on their securities.</w:t>
      </w:r>
    </w:p>
    <w:p>
      <w:pPr>
        <w:spacing w:after="0" w:line="334"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We insure mortgages for homes in areas that have been impacted by natural disasters, including from hurricanes and wildfires. Following such natural disasters, we and other MIs typically experience an increase in defaults on insured mortgages secured by homes in the impacted areas that negatively impact our incurred losses. Our ultimate claims exposure when we experience these events depends on the number of loans in default, proximate cause of each default and cure rate of the default population. Cure rates on loan defaults following natural disasters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 We have observed that loans in default in disaster zones typically cure at a higher rate than non-disaster related loans in default. As such, we historically have established lower reserves for these type of defaults than we otherwise do for similarly situated loans in default in non-disaster zones. Due to the inherent uncertainty and significant judgment involved in our assumptions, our loss estimates may turn out to be materially inaccurate, and we can provide no assurance that actual claims paid by us, if any, on defaulted loans in disaster zones will not be substantially different than the reserves we establish for such claims.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Climate change and efforts to manage climate risk by government agencies could affect our business and operations.</w:t>
      </w:r>
    </w:p>
    <w:p>
      <w:pPr>
        <w:spacing w:after="0" w:line="17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do not directly insure climate-related risks. Our insurance policies also generally exclude losses resulting from physical damage to the properties securing the loans we insure. While climate related risks such as flood, wildfire, wind, and earthquake do not directly cause losses to our business, we are indirectly exposed to risks of climate change. A natural disaster event could be triggered by climate change and could lead to unexpected changes in persistency rates as policyholders and borrowers who are affected by the disaster may be unable to meet their contractual obligations, such as mortgage payments on loans we insure. A natural disaster triggered by climate change could also trigger an economic downturn in the areas directly or indirectly affected by the natural disaster. These consequences could, among other things, result in a decline in new business and increased claims from those areas, and adverse effects on home prices in those areas, which could result in unexpected loss experience in our business. These events also could disrupt public and private infrastructure, including communications and financial services, which could disrupt normal business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40" w:name="page41"/>
    <w:bookmarkEnd w:id="40"/>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Since 2020, the FHFA has been increasingly vocal about climate and natural disasters and their impact on the GSEs and the Federal Home Loan Banks (together, the regulated entities) and the national housing market, and has designated climate change as a priority concern and instructed the GSEs to actively consider its effects in their decision making. In January 2021, the FHFA issued a Request for Input (RFI) regarding Climate and Natural Disaster Risk Management on the regulated entities and hosted a public listening session. The RFI asked for information on data, FHFA’s supervisory and regulatory responsibilities, financial disclosures, affordability, and fairness and equity. In December 2021, the FHFA's current director (and then acting director) Sandra Thompson issued a statement that instructed FHFA's regulated entities to designate climate change as a priority concern and actively consider its effects in their decision making. To that end, the FHFA announced a new Conservatorship Scorecard which would hold the GSEs accountable for ensuring resiliency to climate risks, and also enhanced its monitoring and supervision of climate change issues. The FHFA has also established eight agency-wide internal working groups and a steering committee to assess the progress of the regulated entities in managing climate risk. The goals of the working groups and steering committee are to better understand the impact of climate risk on the housing and mortgage markets. It is possible that efforts to manage climate risk by the FHFA, GSEs (including through GSE guideline or mortgage insurance policy changes) or others could materially impact the volume and characteristics of our NIW (including its policy terms), home prices in certain areas and defaults by borrowers in certain areas, as well as increase the costs to us of providing mortgage insurance in certain areas, and therefore may impact our business and operations.</w:t>
      </w:r>
    </w:p>
    <w:p>
      <w:pPr>
        <w:spacing w:after="0" w:line="1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spacing w:after="0" w:line="108"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use third-party reinsurance, including the ILN Transactions, QSR Transactions, and XOL Transactions, to actively manage our risk, ensure compliance with PMIERs, state regulatory and other applicable capital requirements and support the growth of our business. There is a risk that these transactions will not continue to provide the benefits we expected when we entered into them, including as a result of our counter-parties under the QSR Transactions and XOL Transactions (which are not fully collateralized like the ILN Transactions) not performing their obligations, the GSEs or the Wisconsin OCI not continuing to give us full capital credit as anticipated for the duration of the contracts, or if one or more reinsurers under any of the QSR Transactions or XOL Transactions experiences a downgrade or other adverse business event. Any of these events could have negative impacts on the credit for the risk transferred under the reinsurance agreements and, in turn, on our capital needs, PMIERs position and growth potential.</w:t>
      </w:r>
    </w:p>
    <w:p>
      <w:pPr>
        <w:spacing w:after="0" w:line="122"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Reinsurance does not relieve us of our direct liability to our insureds to pay claims, even when there are reinsurance recoverables available to us under the QSR Transactions or XOL Transactions. Accordingly, we bear credit risk with respect to such reinsurers. To mitigate this risk, there are certain contractual protections that establish sources from which we may directly obtain our reinsurance recoverables under the QSR Transactions or XOL Transactions. The ILN Transactions are fully collateralized with funds deposited into trust accounts to secure the obligations of the reinsurers to NMIC under the respective reinsurance agreement. See Part II, Item 8, "</w:t>
      </w:r>
      <w:r>
        <w:rPr>
          <w:rFonts w:ascii="Times New Roman" w:cs="Times New Roman" w:eastAsia="Times New Roman" w:hAnsi="Times New Roman"/>
          <w:sz w:val="17"/>
          <w:szCs w:val="17"/>
          <w:i w:val="1"/>
          <w:iCs w:val="1"/>
          <w:color w:val="auto"/>
        </w:rPr>
        <w:t>Financial Statements and Supplementary Data - Notes to Consolidated Financial Statements - Note 6, Reinsurance</w:t>
      </w:r>
      <w:r>
        <w:rPr>
          <w:rFonts w:ascii="Times New Roman" w:cs="Times New Roman" w:eastAsia="Times New Roman" w:hAnsi="Times New Roman"/>
          <w:sz w:val="17"/>
          <w:szCs w:val="17"/>
          <w:color w:val="auto"/>
        </w:rPr>
        <w:t>," below. To the extent the amounts in the QSR Transaction or XOL Transaction trust accounts are insufficient to cover loss recoveries and other amounts to which we are entitled under the QSR Transactions or XOL Transactions, we would attempt to recover such amounts directly from the reinsurers. One or more reinsurers may be unable or unwilling to pay reinsurance recoverables owed to us in the future, which could have an adverse effect on our financial condition.</w:t>
      </w:r>
    </w:p>
    <w:p>
      <w:pPr>
        <w:spacing w:after="0" w:line="123"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If any reinsurer under the QSR Transactions or XOL Transactions experiences a ratings downgrade, the related reinsurance agreements obligate any such reinsurer, consistent with PMIERs requirements, to increase collateral in the related trust account. If the reinsurer breaches its collateral obligations, and fails to cure after notice, we may terminate the agreement with respect to such reinsurer. The QSR Transactions and XOL Transactions generally also give us the right to terminate the agreements in certain other circumstances, including, among other reasons, if a reinsurer becomes insolvent, has its license revoked or reinsures its entire liability under the relevant QSR Transaction or XOL Transaction with another entity. If we experience an early termination, we would be required to re-assume the risk ceded to the breaching reinsurer, and the PMIERs and statutory capital credit we received when we entered into the agreement would be reversed. Depending on the timing and severity, such an event could have a material adverse effect on our financial condition, growth potential and future capital needs.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addition, the GSEs and the Wisconsin OCI have the right periodically to review performance under our third-party reinsurance transactions, including the reinsurers' financial strength and other factors (which may be unknown to us) the GSEs and Wisconsin OCI may believe are important to an evaluation of the transactions. As a result of such reviews, the GSEs or the Wisconsin OCI could withdraw their approvals or continue their approvals, but grant less than full capital credit. If we do not continue to receive full capital credit in connection with these transactions, we would likely need to seek other sources of capital or reductions in RIF sooner than we would have expected with full capital credit under PMIERs and state insurance laws. Future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1" w:name="page42"/>
    <w:bookmarkEnd w:id="41"/>
    <w:p>
      <w:pPr>
        <w:jc w:val="both"/>
        <w:spacing w:after="0" w:line="291" w:lineRule="auto"/>
        <w:rPr>
          <w:sz w:val="20"/>
          <w:szCs w:val="20"/>
          <w:color w:val="auto"/>
        </w:rPr>
      </w:pPr>
      <w:r>
        <w:rPr>
          <w:rFonts w:ascii="Times New Roman" w:cs="Times New Roman" w:eastAsia="Times New Roman" w:hAnsi="Times New Roman"/>
          <w:sz w:val="17"/>
          <w:szCs w:val="17"/>
          <w:color w:val="auto"/>
        </w:rPr>
        <w:t>sources of capital will depend on the cost, availability and terms and conditions that are acceptable to us, our regulators and the GSEs. We cannot be sure that we will be able to secure other sources of capital or substitute reductions in RIF in the amounts we require and on favorable terms, if at all.</w:t>
      </w:r>
    </w:p>
    <w:p>
      <w:pPr>
        <w:spacing w:after="0" w:line="9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depend in large part on our ability to manage the risks related to the growth of our business and on maintaining and enhancing effective operating procedures and internal controls.</w:t>
      </w:r>
    </w:p>
    <w:p>
      <w:pPr>
        <w:spacing w:after="0" w:line="9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mortgage insurance business has been quickly growing since 2013. Our future operating results depend to a large extent on our ability to successfully manage the continued growth of our business and the demands such growth places on our operations personnel and senior management team. The unexpected loss of key management and other personnel, or the inability to recruit, develop and retain qualified management talent in the future, could have an adverse effect on our business, financial condition or operating results.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future operating results also depend on our ability to continue to implement and improve our operational, credit, financial, management and other disclosure and internal risk controls and procedures and our reporting systems and procedures. Our management does not expect that our disclosure and internal risk controls and procedures will prevent all potential errors and fraud. We may not successfully implement improvements to, or integrate, our controls and procedures in an efficient or timely manner and may discover deficiencies in existing controls and procedures. There can be no guarantee that we will not experience flaws in our internal controls and procedures in the future.</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design of any system of controls is based in part upon certain assumptions about the likelihood of future events, and there can be no assurance that any design will succeed in achieving its stated goals under all potential future conditions. If our controls are not effective or not properly implemented, we could suffer financial or other loss, disruption of our business, regulatory sanctions or damage to our reputation. Losses resulting from these failures can vary significantly in size, scope and scale and may have a material adverse effect on our business, financial condition and operating results.</w:t>
      </w:r>
    </w:p>
    <w:p>
      <w:pPr>
        <w:spacing w:after="0" w:line="11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are exposed to operational risk from fraud, malfeasance or error by borrowers, employees and third-party service providers, and any such fraud, malfeasance or error could materially and adversely affect us.</w:t>
      </w:r>
    </w:p>
    <w:p>
      <w:pPr>
        <w:spacing w:after="0" w:line="9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are exposed to many types of operational risk, including the risk of fraud or malfeasance by borrowers, employees and outsiders, including third-party service providers, clerical record-keeping errors and transactional errors. Our business depends on our employees and third parties to process a large number of transactions. We could be materially and adversely affected if one of our employees or one of our systems causes a significant operational breakdown or failure, either as a result of human error or where an individual purposefully sabotages or fraudulently manipulates our operations or systems. Third parties with whom we do business also could be sources of operational risk to us, including breakdowns or failures of such parties' own systems or employees. Given our hybrid and remote work arrangements of our employees and staff, the effectiveness of our compliance programs and overall ability to prevent and detect fraud or malfeasance by our employees or contractors may be diminished. Any of these occurrences could result in a diminished ability to operate our business, potential liability to customers, reputational damage and regulatory intervention, which could result in a material adverse effect on our financial position and operating results.</w:t>
      </w:r>
    </w:p>
    <w:p>
      <w:pPr>
        <w:spacing w:after="0" w:line="1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we do not maintain connectivity with or otherwise meet the technological demands of our customers or are unable to develop, enhance and maintain our proprietary technology platform, our business and financial performance could be adversely affected.</w:t>
      </w:r>
    </w:p>
    <w:p>
      <w:pPr>
        <w:spacing w:after="0" w:line="9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We primarily rely on e-commerce and other technologies to provide and distribute our MI products and services. Our customers require us to provide and service our MI products in a secure manner, including through our proprietary technology platform, our internet website or direct electronic data transmissions. To enhance our ability to provide innovative IT solutions for our internal and external constituents, we are party to an agreement with TCS, whereby TCS provides services across such functions as application development and support, infrastructure support (service desk, end user computing and engineering services) and information security functions. We underwrite and service our MI portfolio within a proprietary insurance management platform which has deployed technology that enables our customers to transact business in a secure manner. Our lender customers may choose to do business only with mortgage insurers with which they are already technologically compatible and may choose to retain existing MI providers rather than invest the time and resources to integrate with a new MI provider. Our business, financial condition and operating results may be adversely impacted if we do not successfully establish and maintain these arrangements and relationships, or otherwise keep pace with the technological demands of customers.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2" w:name="page43"/>
    <w:bookmarkEnd w:id="42"/>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The success of our business depends on our ability to timely and effectively resolve any significant issues that may arise with the operation of our technology platform. While we anticipate that our engagement with TCS will enhance our ability to further develop, deploy, and service our technology platform, any delays caused by the outsourcing of these functions, deterioration in our relationship with TCS, or termination of our engagement with TCS could lead to significant disruptions in our operations. If our technology platforms fail to perform in the manner we expect, our business, financial condition and operating results may be significantly harmed. Further, our business would be negatively impacted if we are unable to enhance our platform when necessary to support our primary business functions, including to match or exceed the technological capabilities of our competitors over time.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financial condition and operating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prevent the unauthorized disclosure or misuse of confidential, personal or proprietary information.</w:t>
      </w:r>
    </w:p>
    <w:p>
      <w:pPr>
        <w:spacing w:after="0" w:line="158" w:lineRule="exact"/>
        <w:rPr>
          <w:sz w:val="20"/>
          <w:szCs w:val="20"/>
          <w:color w:val="auto"/>
        </w:rPr>
      </w:pPr>
    </w:p>
    <w:p>
      <w:pPr>
        <w:jc w:val="both"/>
        <w:ind w:firstLine="621"/>
        <w:spacing w:after="0" w:line="247" w:lineRule="auto"/>
        <w:rPr>
          <w:sz w:val="20"/>
          <w:szCs w:val="20"/>
          <w:color w:val="auto"/>
        </w:rPr>
      </w:pPr>
      <w:r>
        <w:rPr>
          <w:rFonts w:ascii="Times New Roman" w:cs="Times New Roman" w:eastAsia="Times New Roman" w:hAnsi="Times New Roman"/>
          <w:sz w:val="17"/>
          <w:szCs w:val="17"/>
          <w:color w:val="auto"/>
        </w:rPr>
        <w:t>Our IT systems process, transmit, store and protect large amounts of personal information of borrowers whose mortgages we insure, in addition to the confidential, proprietary, financial and other information that are critical to our business. See Item 1C, "</w:t>
      </w:r>
      <w:r>
        <w:rPr>
          <w:rFonts w:ascii="Times New Roman" w:cs="Times New Roman" w:eastAsia="Times New Roman" w:hAnsi="Times New Roman"/>
          <w:sz w:val="17"/>
          <w:szCs w:val="17"/>
          <w:i w:val="1"/>
          <w:iCs w:val="1"/>
          <w:color w:val="auto"/>
        </w:rPr>
        <w:t>Cybersecurity</w:t>
      </w:r>
      <w:r>
        <w:rPr>
          <w:rFonts w:ascii="Times New Roman" w:cs="Times New Roman" w:eastAsia="Times New Roman" w:hAnsi="Times New Roman"/>
          <w:sz w:val="17"/>
          <w:szCs w:val="17"/>
          <w:color w:val="auto"/>
        </w:rPr>
        <w:t>." Our IT systems and networks, including those functions that we may outsource, are vulnerable to unauthorized access, interruptions or failures due to events that are often beyond our control, including cyber-attacks, natural disasters, theft, terrorist attacks and general technology failures. We may, from time to time, upgrade certain of our information systems, and transform and automate certain of our business processes. We also have outsourced certain technology and business functions to third parties, and may continue to</w:t>
      </w:r>
    </w:p>
    <w:p>
      <w:pPr>
        <w:spacing w:after="0" w:line="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do so in the future. If we fail to timely and successfully implement and integrate new technology systems or if the systems and/or transformed and automated business processes do not operate as expected, this may expose us to increased risk related to data and information security and unexpected service disruptions, which could result in monetary and reputational damage or harm to our competitive position. Our remote and hybrid working arrangements may also increase the risk of cyber-security attacks or data security incidents. In particular, in the current remote and hybrid working arrangements environment, our employees and vendors rely on the use of portable computers and mobile devices, which can be stolen, lost or misused, making information accessible through such devices more vulnerable to unauthorized access, including by employee malfeasance.</w:t>
      </w:r>
    </w:p>
    <w:p>
      <w:pPr>
        <w:spacing w:after="0" w:line="201" w:lineRule="exact"/>
        <w:rPr>
          <w:sz w:val="20"/>
          <w:szCs w:val="20"/>
          <w:color w:val="auto"/>
        </w:rPr>
      </w:pPr>
    </w:p>
    <w:p>
      <w:pPr>
        <w:jc w:val="both"/>
        <w:ind w:firstLine="621"/>
        <w:spacing w:after="0" w:line="239" w:lineRule="auto"/>
        <w:rPr>
          <w:sz w:val="20"/>
          <w:szCs w:val="20"/>
          <w:color w:val="auto"/>
        </w:rPr>
      </w:pPr>
      <w:r>
        <w:rPr>
          <w:rFonts w:ascii="Times New Roman" w:cs="Times New Roman" w:eastAsia="Times New Roman" w:hAnsi="Times New Roman"/>
          <w:sz w:val="17"/>
          <w:szCs w:val="17"/>
          <w:color w:val="auto"/>
        </w:rPr>
        <w:t>We have adopted information security procedures and controls to safeguard our systems and the information that we process, transmit and store, including multi-factor authentication and a new biometrics solution to authenticate employee login. Despite these efforts, we may not be able to anticipate or implement effective preventive measures against all cyber threats, or detect and contain a breach in a timely manner, including because employees or contractors may not follow the controls we have implemented, the invasive techniques used change frequently or are not recognized until launched, and because security attacks can originate from a wide variety of sources and methods. Our remote or hybrid working arrangements may exacerbate these risks. Our employees, contractors, customers or other users of our systems are from time-to-time subject to fraudulent inducements by parties attempting to gain access to our data or that of our customers. Although we seek to have appropriate information security policies and systems in place, there is no assurance that our information security policies and systems in place can prevent unauthorized use or disclosure of confidential information, including nonpublic personal information. Any compromise of the security of our IT systems may result in loss of personally identifiable information, financial losses, loss of customers and the inability to transact business; could be costly and time-consuming to address and resolve; could expose us to liability for further compromise, damages, harm our reputation; and may subject us to regulatory scrutiny and/or expose us to civil litigation or regulatory action. If any of these were to occur, our business, financial condition and operating results could be materially adversely affected. Further, the technology errors and omissions, and insurance coverage we maintain may be unavailable or inadequate to fully cover claims and/or costs associated with incidents that may occur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Adverse investment performance may affect our financial results and ability to conduct business.</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Income from our investment portfolio provides a growing source of revenue and cash flow to support our operations and claim payments. If we improperly structure our investments to meet those future liabilities or have unexpected losses in our portfolio, including losses resulting from impairments or the forced liquidation of investments before their maturity, we may be unable to meet those obligations. NMIC's investments and investment policies are subject to state insurance laws and PMIERs, which results in our portfolio being predominantly limited to highly rated fixed income securities. Much of our investment portfolio has been established at a time of historically low interest rates. If market interest rates rise above the rates on our fixed income securities, it would increase unrealized losses on these securities and decrease the market value of our investment portfolio. If it was necessary to sell these securities while they are in an unrealized loss position, it would adversely impact our financial condition.</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may be required or find it advisable to change our investments or investment policies depending upon regulatory, economic, social and market requirements or conditions, or our existing or anticipated financial condition and operating requirements, including the tax position, of our business. Our investment objectives may not be achieved. The success of our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3" w:name="page44"/>
    <w:bookmarkEnd w:id="43"/>
    <w:p>
      <w:pPr>
        <w:jc w:val="both"/>
        <w:spacing w:after="0" w:line="291" w:lineRule="auto"/>
        <w:rPr>
          <w:sz w:val="20"/>
          <w:szCs w:val="20"/>
          <w:color w:val="auto"/>
        </w:rPr>
      </w:pPr>
      <w:r>
        <w:rPr>
          <w:rFonts w:ascii="Times New Roman" w:cs="Times New Roman" w:eastAsia="Times New Roman" w:hAnsi="Times New Roman"/>
          <w:sz w:val="17"/>
          <w:szCs w:val="17"/>
          <w:color w:val="auto"/>
        </w:rPr>
        <w:t>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 income securities.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regulatory and litigation risks associated with offering loan review services.</w:t>
      </w:r>
    </w:p>
    <w:p>
      <w:pPr>
        <w:spacing w:after="0" w:line="17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NMIS offers loan review services for certain of our customers that are performed by SAFE Act-licensed third-party service providers, including on loans for which NMIC is not providing mortgage insurance. Under the terms of our service agreements and subject to such agreements' contractual limitations on liability, we provide limited indemnity rights for "material errors," if such errors materially impair the saleability of a reviewed loan, results in a material reduction in the value of such loan or results in the customer being required to repurchase such loan. The indemnification may be in the form of monetary or other remedies, subject to per loan and annual limitations. Accordingly, we have assumed some credit risk in connection with providing these services. NMIS contracts with SAFE Act-licensed third-party service providers to provide loan review services, and we believe we have structured NMIS' operations so that it does not itself engage in any activities that would trigger licensure under the SAFE Act. However, the CFPB or other regulators could take a different position, thereby increasing the risk of regulatory scrutiny and potential enforcement action and/or litigation involving these loan review services. Any such scrutiny, enforcement action or litigation could result in a diminished ability to operate our business, potential liability to customers, reputational damage and regulatory intervention, which could in turn result in a material adverse effect on our financial position and operating results. See "</w:t>
      </w:r>
      <w:r>
        <w:rPr>
          <w:rFonts w:ascii="Times New Roman" w:cs="Times New Roman" w:eastAsia="Times New Roman" w:hAnsi="Times New Roman"/>
          <w:sz w:val="17"/>
          <w:szCs w:val="17"/>
          <w:i w:val="1"/>
          <w:iCs w:val="1"/>
          <w:color w:val="auto"/>
        </w:rPr>
        <w:t>The private MI industry is, and as a participant we 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subject to litigation and regulatory enforcement risk generally</w:t>
      </w:r>
      <w:r>
        <w:rPr>
          <w:rFonts w:ascii="Times New Roman" w:cs="Times New Roman" w:eastAsia="Times New Roman" w:hAnsi="Times New Roman"/>
          <w:sz w:val="17"/>
          <w:szCs w:val="17"/>
          <w:color w:val="auto"/>
        </w:rPr>
        <w:t>,"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Regulation of the Mortgage Insurance Industry</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There can be no assurance that the GSEs will continue to treat us as an approved insurer in the future, and changes to, or our failure to maintain compliance with the GSEs' PMIERs, could adversely impact our business, financial condition and operating results.</w:t>
      </w:r>
    </w:p>
    <w:p>
      <w:pPr>
        <w:spacing w:after="0" w:line="8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NMIC is a GSE-</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and the significant majority of insurance we write is on loans sold to the GSEs. The GSEs set their own counter-party standards for private mortgage insurers, known as PMIERs.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a result, our compliance with the PMIERs is necessary to maintain NMIC's status 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By April 15th of each year, NMIC must certify it met all PMIERs requirements as of December 31st of the prior year. NMIC also has an ongoing obligation to immediately notify the GSEs in writing upon discovery of its failure to meet one or more of the PMIERs requirements, some of which do not have materiality thresholds. We certified to the GSEs by April 15, 2023 that NMIC was in full compliance with the PMIERs as of December 31, 2022.</w:t>
      </w:r>
    </w:p>
    <w:p>
      <w:pPr>
        <w:spacing w:after="0" w:line="124"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There can be no assurance, however, that NMIC will continue to comply with the PMIERs financial requirements. If NMIC were to experience a material reduction to revenues or an unexpected, significant increase in losses, NMIC's available assets could fall below the minimum required assets mandated by the PMIERs financial requirements. In addition, as NMIC continues to grow its business and increase its net RIF, NMIC may need to raise additional capital or reduce its net RIF, including through the use of additional reinsurance, to remain in compliance with the PMIERs financial requirements and to continue to support new business writings. Any future growth capital may be in the form of debt, equity, or a combination of both. We can give no assurance that our efforts to raise capital, obtain additional reinsurance or otherwise reduce our RIF would be successful.</w:t>
      </w:r>
    </w:p>
    <w:p>
      <w:pPr>
        <w:spacing w:after="0" w:line="12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PMIERs provide that the table of factors that determine minimum required assets will be updated every two years or more frequently to reflect macroeconomic conditions, loan performance or to address other issues the GSEs deem important. In addition, the GSEs may amend or clarify other aspects of the PMIERs at any time. There is no assurance NMIC will remain in compliance or that the GSEs will not make the PMIERs financial requirements more onerous in the future. If any future updates to the PMIERs would require NMIC to materially increase the amount of available assets to support its business writings, the amount of capital NMIC is required to hold will increase, which may have a negative effect on our returns. Any such effect could have a negative impact on our flexibility to meet our business plans and our future operating results.</w:t>
      </w:r>
    </w:p>
    <w:p>
      <w:pPr>
        <w:spacing w:after="0" w:line="12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 xml:space="preserve">Compliance with PMIERs requires us to seek the GSEs' prior approval before taking many actions, including implementing new products or services or entering into inter-company agreements among other actions. In addition, for an approved insurer to receive a reduction in its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for new or revised reinsurance transactions, the approved insurer must obtain the GSEs' written approval. PMIERs' approval requirements could prohibit, materially modify or delay us in our intended course of action. Further, the GSEs may modify or change their interpretation of terms they require us to include in our mortgage insurance policies for loans purchased by them, requiring us to modify our terms of coverage or operational procedures to remain an approved insurer, and such changes could have a material adverse impact on our financial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7"/>
          <w:szCs w:val="17"/>
          <w:color w:val="auto"/>
        </w:rPr>
        <w:t>position and operating results. For example, we and other approved insurers were required to implement new master policies to, among other things, include terms that conform to the GSEs' RRP. It is possible the GSEs could, in their own discretion, require additional limitations and/or conditions on certain of our activities and practices that are not currently in the PMIERs or otherwise required by the GSEs for us to remain an approved insurer. Additional requirements or conditions imposed by the GSEs could further limit our operating flexibility and the areas in which we may write new business.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If, in the future, NMIC fails to comply with the PMIERs, including the financial requirements, it may lose its approved insurer status from one or both GSEs, or may have to enter into a remediation plan (with the approval of the GSEs), curtail its business writings or cease transacting new business altogether. Any of these events would have a material adverse impact on our financial condition and future business prospects.</w:t>
      </w:r>
    </w:p>
    <w:p>
      <w:pPr>
        <w:spacing w:after="0" w:line="1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Changes in the business practices of the GSEs, including a decision to decrease or discontinue the use of private MI, or changes in the terms on which mortgage insurance coverage may be cancelled, federal legislation that changes their charters or a restructuring of the GSEs or changes in loan delivery pricing imposed by the GSEs could reduce the private MI market opportunity, reduce our revenues or increase our losses.</w:t>
      </w:r>
    </w:p>
    <w:p>
      <w:pPr>
        <w:spacing w:after="0" w:line="10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requirements and practices of the GSEs impact the operating results and financial performance of approved insurers, including NMIC. Changes in the charters or business practices of the GSEs could materially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spacing w:after="0" w:line="116"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With the GSEs in a prolonged conservatorship, there has been ongoing debate over the future role and purpose of the GSEs in the U.S. housing market. The U.S.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The proposals vary with regard to the government's role in the housing market and, more specifically, with regard to the existence of an explicit or implicit government guarantee. Recently, there has been increased focus on and discussion of administrative reform independent of legislative action. The former director of FHFA leadership was more focused on preparing the GSEs to exit from conservatorship by increasing the GSEs’ overall capital levels and reducing their credit risk profile. In December 2020, the FHFA published a final rule (2020 ERCF rule) establishing a new enterprise regulatory capital framework (ERCF) for the GSEs, which included provisions governing the capital relief allowed to the GSEs for loans with private MI. The 2020 ERCF rule established that loans with private MI, as opposed to loans without private MI, provide more favorable capital relief to the GSEs.</w:t>
      </w:r>
    </w:p>
    <w:p>
      <w:pPr>
        <w:spacing w:after="0" w:line="123"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Leadership at the FHFA changes from time-to-time. Given that the Director of the FHFA is removable by the President at will, the agency's agenda, policies and actions likely will be significantly influenced by the then current administration. Accordingly, it is difficult to predict whether or how the FHFA might seek to implement GSE oversight beyond the current administration's term. In 2021, President Biden removed the former director of FHFA and appointed a new director to lead the FHFA. Unlike the prior Director's focus to exit the GSEs from conservatorship, Director Thompson's actions are more focused on balancing the dual mandate of the GSEs, including safety and soundness of the housing finance system and on increasing the accessibility and affordability of mortgage credit, especially to low-and-moderate income borrowers and underserved communities. Between Director Thompson and the Treasury Department, they possess significant capacity to effect administrative GSE reforms. In September 2021, the FHFA under Director Thompson, together with the Treasury Department, proposed amendments to the 2020 ERCF rule. On March 16, 2022, the FHFA adopted the final rule (effective May 16, 2022) (2022 ERCF amendment) that amended the ERCF by refining the prescribed leverage buffer amount and the CRT securitization framework for the GSEs, which reduced the amount of capital the GSEs are required to hold, including by increasing the capital credit the GSEs receive for the credit risk that they distribute. While the 2022 ERCF amendment made positive modifications to the ERCF, the total capital required to be held by the GSEs upon implementation of the final rule remains significant. An increase in the capital required to be held by us under PMIERs could make our products more expensive and could have a material adverse impact on our financial condition and future business prospects.</w:t>
      </w:r>
    </w:p>
    <w:p>
      <w:pPr>
        <w:spacing w:after="0" w:line="112" w:lineRule="exact"/>
        <w:rPr>
          <w:sz w:val="20"/>
          <w:szCs w:val="20"/>
          <w:color w:val="auto"/>
        </w:rPr>
      </w:pPr>
    </w:p>
    <w:p>
      <w:pPr>
        <w:jc w:val="both"/>
        <w:ind w:firstLine="621"/>
        <w:spacing w:after="0" w:line="256" w:lineRule="auto"/>
        <w:rPr>
          <w:sz w:val="20"/>
          <w:szCs w:val="20"/>
          <w:color w:val="auto"/>
        </w:rPr>
      </w:pPr>
      <w:r>
        <w:rPr>
          <w:rFonts w:ascii="Times New Roman" w:cs="Times New Roman" w:eastAsia="Times New Roman" w:hAnsi="Times New Roman"/>
          <w:sz w:val="17"/>
          <w:szCs w:val="17"/>
          <w:color w:val="auto"/>
        </w:rPr>
        <w:t>Other potential GSE reforms, whether through legislation or administrative action, could impact the current role of private mortgage insurance as credit enhancement, including its reduction or elimination, which would have an adverse effect on our revenue, operating results, prospects or financial condition. Some other examples of potential GSE reforms or policy changes that could impact our business may also include, but are not limited by, the following:</w:t>
      </w:r>
    </w:p>
    <w:p>
      <w:pPr>
        <w:spacing w:after="0" w:line="202" w:lineRule="exact"/>
        <w:rPr>
          <w:sz w:val="20"/>
          <w:szCs w:val="20"/>
          <w:color w:val="auto"/>
        </w:rPr>
      </w:pPr>
    </w:p>
    <w:p>
      <w:pPr>
        <w:ind w:left="620" w:hanging="306"/>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Policies or requirements that may result in a reduction in the number of mortgages GSEs acquire;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61"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5" w:name="page46"/>
    <w:bookmarkEnd w:id="45"/>
    <w:p>
      <w:pPr>
        <w:ind w:left="620" w:hanging="306"/>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national conforming loan limit for mortgages GSEs acquire;</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mortgage insurance required;</w:t>
      </w:r>
    </w:p>
    <w:p>
      <w:pPr>
        <w:spacing w:after="0" w:line="114" w:lineRule="exact"/>
        <w:rPr>
          <w:rFonts w:ascii="Times New Roman" w:cs="Times New Roman" w:eastAsia="Times New Roman" w:hAnsi="Times New Roman"/>
          <w:sz w:val="17"/>
          <w:szCs w:val="17"/>
          <w:color w:val="auto"/>
        </w:rPr>
      </w:pPr>
    </w:p>
    <w:p>
      <w:pPr>
        <w:ind w:left="620" w:hanging="306"/>
        <w:spacing w:after="0" w:line="291"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on which mortgage insurance coverage may be canceled, including GSE requirements and programs that permit cancellation prior to reaching the cancellation thresholds and conditions established by law;</w:t>
      </w:r>
    </w:p>
    <w:p>
      <w:pPr>
        <w:spacing w:after="0" w:line="4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required to be included in master policies for the mortgage insurance policies GSEs acquire;</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loan level price adjustments or guarantee fees that the GSEs charge on loans that require mortgage insurance; and</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of influence that the GSEs have over a mortgage lender’s selection of the mortgage insurer providing coverage.</w:t>
      </w:r>
    </w:p>
    <w:p>
      <w:pPr>
        <w:spacing w:after="0" w:line="11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a result of these matters, it is uncertain what role private capital, including MI, will play in the domestic residential housing finance system in the future or the impact of any such changes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significant impact on our business.</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recent years, the FHFA has set goals for the GSEs to transfer significant portions of the GSEs' mortgage credit risk to the private sector. Several credit risk transfer products had been created to transfer mortgage credit risk to the private sector, including the now suspended IMAGIN and EPMI and others discussed above in "</w:t>
      </w:r>
      <w:r>
        <w:rPr>
          <w:rFonts w:ascii="Times New Roman" w:cs="Times New Roman" w:eastAsia="Times New Roman" w:hAnsi="Times New Roman"/>
          <w:sz w:val="17"/>
          <w:szCs w:val="17"/>
          <w:i w:val="1"/>
          <w:iCs w:val="1"/>
          <w:color w:val="auto"/>
        </w:rPr>
        <w:t>Our NIW volumes could be adversely affected if lenders and investors select alternatives to private MI.</w:t>
      </w:r>
      <w:r>
        <w:rPr>
          <w:rFonts w:ascii="Times New Roman" w:cs="Times New Roman" w:eastAsia="Times New Roman" w:hAnsi="Times New Roman"/>
          <w:sz w:val="17"/>
          <w:szCs w:val="17"/>
          <w:color w:val="auto"/>
        </w:rPr>
        <w:t>" To the extent these and any other current or potential credit risk products that may evolve in a manner that displace primary MI coverage, the amount of insurance we write may be reduced. It is difficult to predict the impact of any other current or potential alternative credit risk transfer products, if any, that are developed to meet the goals established by the FHFA.</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comprehensive state insurance regulations and capital adequacy requirements, which we must satisfy to continue to operate our MI business.</w:t>
      </w:r>
    </w:p>
    <w:p>
      <w:pPr>
        <w:spacing w:after="0" w:line="316"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The U.S. MI industry and our insurance subsidiaries are subject to comprehensive state regulation in each jurisdiction in which they are licensed or authorized to do business. Regulatory scrutiny could lead to new legal precedents, new regulations or new practices, or regulatory actions or investigations, which could adversely affect our financial condition and operating results. Although their scope varies, state insurance laws generally grant broad supervisory powers to state insurance regulatory authorities to examine insurance companies and enforce rules or exercise discretion affecting almost every significant aspect of the insurance business, including premium rates, trade and claims practices, accounting methods, marketing practices, policy forms and capital adequacy. These state insurance regulatory authorities could take actions that could materially impact the types of products and services we and our industry are permitted to offer, including requiring us (and other MI companies) to modify current pricing and business practices. Further, failure to comply with the applicable regulations could lead to enforcement or disciplinary action, including the imposition of penalties and the revocation of our authorization to operate.</w:t>
      </w:r>
    </w:p>
    <w:p>
      <w:pPr>
        <w:spacing w:after="0" w:line="123"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NMIC's principal regulator is the Wisconsin OCI. Under applicable Wisconsin law, as well as that of 15 other states, a mortgage insurer must maintain a minimum amount of statutory capital relative to its RIF for the mortgage insurer to continue to write new business. While formulations of minimum capital may vary in each jurisdiction that has such a requirement, the most common measure applied allows for a maximum permitted RTC ratio of 25:1. Wisconsin and certain other states, including California and Illinois, apply a substantially similar requirement referred to as minimum policyholders' position. If our business grows faster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our RIF grows faster than expected) or is less profitable than expected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our revenues do not generate the return we expect), our actual RTC ratios over the short to mid-term could exceed our expected RTC ratios and could begin to approach the limits to which we are subject, which could require us to enter into alternative arrangements to reduce our RIF, including through additional reinsurance or raising additional capital. If this were to occur, we can give no assurance that our efforts to obtain additional reinsurance or otherwise reduce our RIF, or to raise capital would be successful, and if such efforts are unsuccessful, we could exceed state-imposed capital requirements. Accordingly, if we fail to meet the capital adequacy requirements in one or more states, we could be required to suspend writing business in some or all of the states in which we do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private MI industry is, and as a participant we are, subject to litigation and regulatory enforcement risk generally.</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operate in highly regulated industries that inherently pose a heightened risk of litigation and regulatory proceedings. As a result, the members of the MI industry, including NMIC, face litigation risk, including the risk of class action lawsuits, and administrative enforcement by federal regulators and state insurance agencies in the ordinary course of operations. In addition, the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6" w:name="page47"/>
    <w:bookmarkEnd w:id="46"/>
    <w:p>
      <w:pPr>
        <w:jc w:val="both"/>
        <w:spacing w:after="0" w:line="291" w:lineRule="auto"/>
        <w:rPr>
          <w:sz w:val="20"/>
          <w:szCs w:val="20"/>
          <w:color w:val="auto"/>
        </w:rPr>
      </w:pPr>
      <w:r>
        <w:rPr>
          <w:rFonts w:ascii="Times New Roman" w:cs="Times New Roman" w:eastAsia="Times New Roman" w:hAnsi="Times New Roman"/>
          <w:sz w:val="17"/>
          <w:szCs w:val="17"/>
          <w:color w:val="auto"/>
        </w:rPr>
        <w:t>private MI industry, including NMIC, may be affected by changes in the laws and regulations to which we are subject or the way they are interpreted or applied. See "</w:t>
      </w:r>
      <w:r>
        <w:rPr>
          <w:rFonts w:ascii="Times New Roman" w:cs="Times New Roman" w:eastAsia="Times New Roman" w:hAnsi="Times New Roman"/>
          <w:sz w:val="17"/>
          <w:szCs w:val="17"/>
          <w:i w:val="1"/>
          <w:iCs w:val="1"/>
          <w:color w:val="auto"/>
        </w:rPr>
        <w:t>Item 1 - Business - U.S. Mortgage Insurance Regulation</w:t>
      </w:r>
      <w:r>
        <w:rPr>
          <w:rFonts w:ascii="Times New Roman" w:cs="Times New Roman" w:eastAsia="Times New Roman" w:hAnsi="Times New Roman"/>
          <w:sz w:val="17"/>
          <w:szCs w:val="17"/>
          <w:color w:val="auto"/>
        </w:rPr>
        <w:t>."</w:t>
      </w:r>
    </w:p>
    <w:p>
      <w:pPr>
        <w:spacing w:after="0" w:line="95"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In the past, other mortgage insurers (not including us) have been involved in litigation and regulatory enforcement actions alleging violations of Section 8 of RESPA. Among other things, Section 8 of RESPA generally precludes mortgage insurers from paying referral fees to mortgage lenders for the referral of MI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Various regulators, including the CFPB, state insurance commissioners and state attorneys general, may bring actions seeking various forms of relief in connection with alleged violations of the referral fee limitations of RESPA, as can private litigants in class actions. In the years following the 2008 financial crisis, the CFPB pursued a higher volume of enforcement actions against mortgage industry participants, including mortgage insurers. In particular, the CFPB focused on challenging mortgage insurers' captive reinsurance arrangements under Section 8 of RESPA. The insurance law provisions of many states also prohibit paying for the referral of insurance business and provide various mechanisms to enforce this prohibition. Leadership change at the CFPB or the White House may also have an impact on future CFPB enforcement activity. The CFPB's interpretation and enforcement of Section 8 of RESPA presents regulatory risk for many providers of "settlement services," including mortgage insurers.</w:t>
      </w:r>
    </w:p>
    <w:p>
      <w:pPr>
        <w:spacing w:after="0" w:line="129"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7"/>
          <w:szCs w:val="17"/>
          <w:color w:val="auto"/>
        </w:rPr>
        <w:t>We currently are not a party to any federal or state regulatory enforcement actions; however, such proceedings could arise in the future. The cost to defend, and the ultimate resolution of, any such action or proceeding could have a material adverse impact on our business, financial condition and operating results. Should we become a party to an action by any of these regulators, the ultimate outcome is difficult to predict, and it is possible that any outcome could be negative to us specifically or the industry in general, and such a negative outcome could have an adverse effect on our business, financial position and operating results.</w:t>
      </w:r>
    </w:p>
    <w:p>
      <w:pPr>
        <w:spacing w:after="0" w:line="330"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From time-to-time, we have been involved in certain legal proceedings in the ordinary course of business. To date, we have not recognized a material liability related to any of our legal proceedings. However, the outcome of litigation and other legal and regulatory matters is inherently uncertain, and it is possible that one or more of any such matters in the future could have an unanticipated material adverse effect on our liquidity, financial position and operating results.</w:t>
      </w:r>
    </w:p>
    <w:p>
      <w:pPr>
        <w:spacing w:after="0" w:line="10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business prospects and operating results could be adversely impacted if, and to the extent that, the Consumer Financial Protection Bureau's ATR Rules defining a QM negatively impact the size of the origination market.</w:t>
      </w:r>
    </w:p>
    <w:p>
      <w:pPr>
        <w:spacing w:after="0" w:line="78" w:lineRule="exact"/>
        <w:rPr>
          <w:sz w:val="20"/>
          <w:szCs w:val="20"/>
          <w:color w:val="auto"/>
        </w:rPr>
      </w:pPr>
    </w:p>
    <w:p>
      <w:pPr>
        <w:ind w:right="40" w:firstLine="621"/>
        <w:spacing w:after="0"/>
        <w:rPr>
          <w:sz w:val="20"/>
          <w:szCs w:val="20"/>
          <w:color w:val="auto"/>
        </w:rPr>
      </w:pPr>
      <w:r>
        <w:rPr>
          <w:rFonts w:ascii="Times New Roman" w:cs="Times New Roman" w:eastAsia="Times New Roman" w:hAnsi="Times New Roman"/>
          <w:sz w:val="17"/>
          <w:szCs w:val="17"/>
          <w:color w:val="auto"/>
        </w:rPr>
        <w:t>In January 2014, the CFPB implemented the Dodd-Frank Act ATR mortgage provisions, which govern the obligation of lenders to determine a borrower's ability to pay when originating a mortgage loan covered by ATR. A subset of mortgages falling under the ATR that has certain low-risk characteristics are known as QMs. QMs that are deemed to have the lowest risk profiles are entitled to a safe-harbor presumption of compliance with the ability-to-pay requirements. In the fourth quarter of 2020, the CFPB released a series of final rules to (i) eliminate the temporary QM category, typically referred to as the "QM Patch", (ii) amend the definition of a General QM, and (iii) provide for a new, Seasoned QM category. The General QM final rule was effective on March 1, 2021 with an extended mandatory compliance date of October 1, 2022. However, the GSEs announced on April 8, 2021 that, for loan applications received on or after July 1, 2021, they will only purchase loans satisfying the New General QM Definition. See "Item 1, "</w:t>
      </w:r>
      <w:r>
        <w:rPr>
          <w:rFonts w:ascii="Times New Roman" w:cs="Times New Roman" w:eastAsia="Times New Roman" w:hAnsi="Times New Roman"/>
          <w:sz w:val="17"/>
          <w:szCs w:val="17"/>
          <w:i w:val="1"/>
          <w:iCs w:val="1"/>
          <w:color w:val="auto"/>
        </w:rPr>
        <w:t>Business - U.S. Mortgage Insurance Regulation - Other 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Regulation - Housing Finance Reform</w:t>
      </w:r>
      <w:r>
        <w:rPr>
          <w:rFonts w:ascii="Times New Roman" w:cs="Times New Roman" w:eastAsia="Times New Roman" w:hAnsi="Times New Roman"/>
          <w:sz w:val="17"/>
          <w:szCs w:val="17"/>
          <w:color w:val="auto"/>
        </w:rPr>
        <w:t>" above for a summary of the GSEs final rules related to QMs. The long-term effects of the expiration of the QM Patch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implementation of the General QM and Seasoned QM final rules could affect the residential mortgage market and demand for private mortgage insurance.</w:t>
      </w:r>
    </w:p>
    <w:p>
      <w:pPr>
        <w:spacing w:after="0" w:line="129" w:lineRule="exact"/>
        <w:rPr>
          <w:sz w:val="20"/>
          <w:szCs w:val="20"/>
          <w:color w:val="auto"/>
        </w:rPr>
      </w:pPr>
    </w:p>
    <w:p>
      <w:pPr>
        <w:ind w:right="200" w:firstLine="621"/>
        <w:spacing w:after="0" w:line="248" w:lineRule="auto"/>
        <w:rPr>
          <w:sz w:val="20"/>
          <w:szCs w:val="20"/>
          <w:color w:val="auto"/>
        </w:rPr>
      </w:pPr>
      <w:r>
        <w:rPr>
          <w:rFonts w:ascii="Times New Roman" w:cs="Times New Roman" w:eastAsia="Times New Roman" w:hAnsi="Times New Roman"/>
          <w:sz w:val="17"/>
          <w:szCs w:val="17"/>
          <w:color w:val="auto"/>
        </w:rPr>
        <w:t>The Dodd-Frank Act also gave statutory authority to the HUD, the VA, and the USDA to develop their own definitions of "QM," which those agencies have completed. To the extent lenders find that the HUD definition of QM is more favorable to certain segments of their borrowers, they may choose FHA products over private MI products.</w:t>
      </w:r>
    </w:p>
    <w:p>
      <w:pPr>
        <w:spacing w:after="0" w:line="118"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along with other industry participants, have observed that the significant majority of covered loans made after the effective date of the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 As a result, we believe ATR regulations have given rise to a subset of borrowers who cannot meet the regulatory QM standards, thus restricting their access to mortgage credit and reducing the size of the residential mortgage market. It is unclear whether the expiration of the QM Patch or the revised General QM rule or the new Seasoned QM category will have any impact on access to mortgage credit or the size of the mortgage market. Our business prospects and operating results could be adversely impacted if, and to the extent that, the QM regulations or the CFPB's actions negatively impact the size of the origination market.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i w:val="1"/>
          <w:iCs w:val="1"/>
          <w:color w:val="auto"/>
        </w:rPr>
        <w:t>The implementation of the Basel rules may discourage the use of mortgage insurance.</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 xml:space="preserve">The Basel Committee developed </w:t>
      </w:r>
      <w:r>
        <w:rPr>
          <w:rFonts w:ascii="Arial" w:cs="Arial" w:eastAsia="Arial" w:hAnsi="Arial"/>
          <w:sz w:val="15"/>
          <w:szCs w:val="15"/>
          <w:color w:val="auto"/>
        </w:rPr>
        <w:t>t</w:t>
      </w:r>
      <w:r>
        <w:rPr>
          <w:rFonts w:ascii="Times New Roman" w:cs="Times New Roman" w:eastAsia="Times New Roman" w:hAnsi="Times New Roman"/>
          <w:sz w:val="17"/>
          <w:szCs w:val="17"/>
          <w:color w:val="auto"/>
        </w:rPr>
        <w:t>he Basel Capital Accord in 1988 to set out international benchmarks for assessing banks' capital adequacy requirements. See Item 1, "</w:t>
      </w:r>
      <w:r>
        <w:rPr>
          <w:rFonts w:ascii="Times New Roman" w:cs="Times New Roman" w:eastAsia="Times New Roman" w:hAnsi="Times New Roman"/>
          <w:sz w:val="17"/>
          <w:szCs w:val="17"/>
          <w:i w:val="1"/>
          <w:iCs w:val="1"/>
          <w:color w:val="auto"/>
        </w:rPr>
        <w:t>U.S. Mortgage Insurance Regulations - Basel Rules.</w:t>
      </w:r>
      <w:r>
        <w:rPr>
          <w:rFonts w:ascii="Times New Roman" w:cs="Times New Roman" w:eastAsia="Times New Roman" w:hAnsi="Times New Roman"/>
          <w:sz w:val="17"/>
          <w:szCs w:val="17"/>
          <w:color w:val="auto"/>
        </w:rPr>
        <w:t>" The capital adequacy requirements, among other factors, govern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 In December 2017, the Basel Committee published final revisions to Basel III (informally known as "Basel IV"). Under Basel IV, banks using the standardized approach to determine their credit risk may consider mortgage insurance in calculating the exposure amount for real estate. However, such banks will need to determine the risk-weight for residential mortgages based on the LTV ratio at loan origination, without factoring in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Basel IV, mortgage insurance could not mitigate credit and lower the capital charge under the standardized approach.</w:t>
      </w:r>
    </w:p>
    <w:p>
      <w:pPr>
        <w:spacing w:after="0" w:line="123" w:lineRule="exact"/>
        <w:rPr>
          <w:sz w:val="20"/>
          <w:szCs w:val="20"/>
          <w:color w:val="auto"/>
        </w:rPr>
      </w:pPr>
    </w:p>
    <w:p>
      <w:pPr>
        <w:jc w:val="both"/>
        <w:ind w:firstLine="621"/>
        <w:spacing w:after="0" w:line="256" w:lineRule="auto"/>
        <w:rPr>
          <w:sz w:val="20"/>
          <w:szCs w:val="20"/>
          <w:color w:val="auto"/>
        </w:rPr>
      </w:pPr>
      <w:r>
        <w:rPr>
          <w:rFonts w:ascii="Times New Roman" w:cs="Times New Roman" w:eastAsia="Times New Roman" w:hAnsi="Times New Roman"/>
          <w:sz w:val="17"/>
          <w:szCs w:val="17"/>
          <w:color w:val="auto"/>
        </w:rPr>
        <w:t>On September 9, 2022, the U.S. banking regulators announced their intent to revise U.S. regulatory capital requirements to align them with Basel IV. On July 27, 2023, the U.S. banking regulators jointly issued a proposed rule that would revise large bank capital requirements. On September 18, 2023, the U.S. banking regulators announced this proposed rule would increase risk-based capital requirements for banks with total assets of $100 billion or more. This proposal increases the risk weights for LTVs that are above 80% and eliminates the current capital relief credit that is given to these loans if they are covered by mortgage insurance. Accordingly, as proposed, the revised standards would mean mortgage insurance would not lower the LTV ratio of residential loans for capital purposes for these large banks, and therefore may decrease their demand for mortgage insurance. These large banks may also retreat from high LTV lending if the proposal, as drafted, is passed. However, we do not have clarity on when we can expect the final proposal or how much time will be provided for banking organizations to implement the final rule once it has been issued. Further, it is possible (but not mandated by Basel IV) that the U.S. banking regulators and the GSEs might likewise discontinue taking mortgage insurance into account when determining a mortgage’s LTV ratio for prudential (non-capital) purposes. We believe the existing U.S. implementation of the Basel IV capital framework supports continued use of private MI by portfolio lenders as a risk and capital management tool; however, with the ongoing implementation of Basel IV and the continued evolution of the Basel framework, it is difficult to predict the extent of the impact, if any, on the MI industry and the ultimate form of any potential future modifications to the regulations by federal banking regulators. If the Basel Committee revises the Basel IV framework to reduce or eliminate the capital benefit banks receive from insuring low down payment loans with private MI, our current and future business may be adversely affected.</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Holding Company and Capital Structure</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holding company structure and certain regulatory and other constraints could affect our ability to satisfy our obligations and potentially require us to raise more capital.</w:t>
      </w:r>
    </w:p>
    <w:p>
      <w:pPr>
        <w:spacing w:after="0" w:line="9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NMIH serves as the holding company for our operating subsidiaries and does not have any significant operations of its own. NMIH's principal source of operating cash is investment income, and could in the future include dividends from NMIC and Re One, which currently does not have active insurance exposure. NMIC has the capacity to pay aggregate ordinary dividends of $96.3 million to NMIH during the twelve-month period ending December 31, 2024, without prior approval from the Wisconsin OCI. NMIH also has access to $250 million of undrawn revolving credit capacity under the senior secured credit facilities. In addition, NMIH currently receives cash from our insurance subsidiaries, consisting of payments made under our tax and expense-sharing arrangements. Among such agreements, the Wisconsin OCI has approved the allocation of interest expense on our $400 million aggregate principal amount of senior secured notes that mature on June 1, 2025 (the Notes) and senior secured credit facilities to NMIC to the extent proceeds from the Notes offering and facility are distributed to NMIC or used to repay, redeem or otherwise defease amounts raised by NMIC under prior credit arrangements that have previously been distributed to NMIC. The expense-sharing arrangements between us and our subsidiaries, as amended, have been approved by the Wisconsin OCI, but such approval may be revoked at any time. NMIH depends on these sources of liquidity to make principal and interest payments under its current debt arrangements and to pay certain corporate expenses and income taxes, among other things. If payments to NMIH were curtailed or limited, there is a risk that NMIH would be unable to satisfy its financial obligations.</w:t>
      </w:r>
    </w:p>
    <w:p>
      <w:pPr>
        <w:spacing w:after="0" w:line="33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NMIH's dividend income is limited to upstream dividend payments from our subsidiaries. With respect to our insurance subsidiaries, under Wisconsin law, dividends in excess of prescribed limits are deemed "extraordinary" and require approval of the Wisconsin OCI. Other states in which our insurance subsidiaries are licensed also limit or restrict their ability to pay dividends. It is possible that Wisconsin and other states that have dividend restrictions will adopt revised statutory provisions 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48" w:name="page49"/>
    <w:bookmarkEnd w:id="48"/>
    <w:p>
      <w:pPr>
        <w:jc w:val="both"/>
        <w:spacing w:after="0" w:line="272" w:lineRule="auto"/>
        <w:rPr>
          <w:sz w:val="20"/>
          <w:szCs w:val="20"/>
          <w:color w:val="auto"/>
        </w:rPr>
      </w:pPr>
      <w:r>
        <w:rPr>
          <w:rFonts w:ascii="Times New Roman" w:cs="Times New Roman" w:eastAsia="Times New Roman" w:hAnsi="Times New Roman"/>
          <w:sz w:val="17"/>
          <w:szCs w:val="17"/>
          <w:color w:val="auto"/>
        </w:rPr>
        <w:t>interpretations of existing statutory provisions that could be more restrictive than those currently in effect or will otherwise take actions that may further restrict the ability of our insurance subsidiaries to pay dividends or make distributions or returns of capital. In addition, under the PMIERs, if an approved insurer fails to meet the PMIERs financial requirements, such approved insurer may not pay dividends without the prior written approval of the GSEs.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In addition, to support NMIC's future growth, we could be required to provide additional capital support for NMIC if additional capital is required by the GSEs or pursuant to insurance laws and regulations. If we were unable to meet our obligations, NMIC could lose GSE approval and/or be required to cease writing business in one or more states, which would adversely impact our business, financial condition and operating results.</w:t>
      </w:r>
    </w:p>
    <w:p>
      <w:pPr>
        <w:spacing w:after="0" w:line="11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To the extent that the funds generated from investment income or by our ongoing operations and capitalization are insufficient to fund future operating requirements, we may need to raise additional funds through future financing activities, including through the issuance of additional debt, equity, or a combination of both, reduce our RIF, including through additional reinsurance, or curtail our growth and reduce our expenses. NMIH's future capital requirements depend on many factors, including NMIC's ability to successfully write new business, establish premium rates at levels sufficient to cover claims and operating costs and meet minimum required asset thresholds under the PMIERs. We can give no assurance that our efforts to raise capital, obtain additional reinsurance or otherwise reduce our RIF would be successful. If we cannot obtain adequate capital, our business, financial condition and operating results could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substantial indebtedness could adversely affect our financial condition.</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currently have and will continue to have a substantial amount of indebtedness. As of December 31, 2023 our debt totaled approximately $397.6 million.</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indebtedness could have significant negative consequences for our business, financial condition and operating results, including:</w:t>
      </w:r>
    </w:p>
    <w:p>
      <w:pPr>
        <w:spacing w:after="0" w:line="190" w:lineRule="exact"/>
        <w:rPr>
          <w:sz w:val="20"/>
          <w:szCs w:val="20"/>
          <w:color w:val="auto"/>
        </w:rPr>
      </w:pPr>
    </w:p>
    <w:p>
      <w:pPr>
        <w:ind w:left="620" w:hanging="306"/>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increasing our vulnerability to adverse economic and industry conditions;</w:t>
      </w:r>
    </w:p>
    <w:p>
      <w:pPr>
        <w:spacing w:after="0" w:line="107" w:lineRule="exact"/>
        <w:rPr>
          <w:rFonts w:ascii="Arial" w:cs="Arial" w:eastAsia="Arial" w:hAnsi="Arial"/>
          <w:sz w:val="21"/>
          <w:szCs w:val="21"/>
          <w:color w:val="auto"/>
        </w:rPr>
      </w:pPr>
    </w:p>
    <w:p>
      <w:pPr>
        <w:ind w:left="620" w:hanging="306"/>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limiting our ability to obtain additional financing;</w:t>
      </w:r>
    </w:p>
    <w:p>
      <w:pPr>
        <w:spacing w:after="0" w:line="123" w:lineRule="exact"/>
        <w:rPr>
          <w:rFonts w:ascii="Arial" w:cs="Arial" w:eastAsia="Arial" w:hAnsi="Arial"/>
          <w:sz w:val="21"/>
          <w:szCs w:val="21"/>
          <w:color w:val="auto"/>
        </w:rPr>
      </w:pPr>
    </w:p>
    <w:p>
      <w:pPr>
        <w:ind w:left="620" w:hanging="306"/>
        <w:spacing w:after="0" w:line="250" w:lineRule="auto"/>
        <w:tabs>
          <w:tab w:leader="none" w:pos="6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requiring the dedication of a substantial portion of the cash flow from our subsidiaries' operations to service our indebtedness, thereby reducing the amount of cash flow available for other purposes;</w:t>
      </w:r>
    </w:p>
    <w:p>
      <w:pPr>
        <w:spacing w:after="0" w:line="98" w:lineRule="exact"/>
        <w:rPr>
          <w:rFonts w:ascii="Arial" w:cs="Arial" w:eastAsia="Arial" w:hAnsi="Arial"/>
          <w:sz w:val="21"/>
          <w:szCs w:val="21"/>
          <w:color w:val="auto"/>
        </w:rPr>
      </w:pPr>
    </w:p>
    <w:p>
      <w:pPr>
        <w:ind w:left="620" w:hanging="306"/>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making it more difficult for us to retain our existing ratings or to obtain investment-grade credit ratings in the future;</w:t>
      </w:r>
    </w:p>
    <w:p>
      <w:pPr>
        <w:spacing w:after="0" w:line="123" w:lineRule="exact"/>
        <w:rPr>
          <w:rFonts w:ascii="Arial" w:cs="Arial" w:eastAsia="Arial" w:hAnsi="Arial"/>
          <w:sz w:val="21"/>
          <w:szCs w:val="21"/>
          <w:color w:val="auto"/>
        </w:rPr>
      </w:pPr>
    </w:p>
    <w:p>
      <w:pPr>
        <w:ind w:left="620" w:hanging="306"/>
        <w:spacing w:after="0" w:line="237" w:lineRule="auto"/>
        <w:tabs>
          <w:tab w:leader="none" w:pos="6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making it more difficult to conduct our business successfully or to grow our business, or limiting our flexibility in planning for, or reacting to, changes in our business; and</w:t>
      </w:r>
    </w:p>
    <w:p>
      <w:pPr>
        <w:spacing w:after="0" w:line="108" w:lineRule="exact"/>
        <w:rPr>
          <w:rFonts w:ascii="Arial" w:cs="Arial" w:eastAsia="Arial" w:hAnsi="Arial"/>
          <w:sz w:val="21"/>
          <w:szCs w:val="21"/>
          <w:color w:val="auto"/>
        </w:rPr>
      </w:pPr>
    </w:p>
    <w:p>
      <w:pPr>
        <w:ind w:left="620" w:hanging="306"/>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placing us at a possible competitive disadvantage with less leveraged competitors and competitors that may have better access to capital resources.</w:t>
      </w:r>
    </w:p>
    <w:p>
      <w:pPr>
        <w:spacing w:after="0" w:line="85"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addition, our senior secured credit facilities and the indenture governing our senior secured notes contain certain restrictive covenants that, among other things, limit our ability to incur additional indebtedness, make investments, incur liens, transfer or dispose of assets, merge with or acquire other companies and pay dividends. Our senior secured credit facilities require us to comply with certain financial and other maintenance covenants. A failure to comply with covenants or the other terms of our senior secured credit facilities and the indenture governing our senior secured notes could result in an event of default under such indebtedness, which, if not remedied, may trigger an event of default under certain other indebtedness.</w:t>
      </w:r>
    </w:p>
    <w:p>
      <w:pPr>
        <w:spacing w:after="0" w:line="197"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If the lenders under our senior secured credit facilities terminate their commitments or we are unable to satisfy certain covenants or representations, we may not have access to funding in a timely manner, or at all, when we require it. If funding is not available under the senior secured credit facilities when we require it, our ability to continue our business practices or pursue our current strategy could be limited. If any indebtedness under the senior secured credit facilities or our senior notes is accelerated, we cannot assure you that our assets would be sufficient to repay such amounts in full, and the lenders and/or noteholders could foreclose on the collateral securing the obligations under the senior secured credit facilities and the senior notes, including, subject to regulatory approval, the stock of NMIC and Re One. Any of these actions could have a material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9" w:name="page50"/>
    <w:bookmarkEnd w:id="49"/>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existing, and any future, variable rate indebtedness subjects us to interest rate risk, which could cause our annual debt service obligations to increase significantly.</w:t>
      </w:r>
    </w:p>
    <w:p>
      <w:pPr>
        <w:spacing w:after="0" w:line="9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Any indebtedness we may incur under our senior secured credit facilities and our future indebtedness may be subject to variable rates of interest, exposing us to interest rate risk. If interest rates increase, our debt service obligations on such variable rate indebtedness would increase, resulting in a reduction of our net income that could be significant, even though the principal amount borrowed would remain the same.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Despite our substantial level of debt, we may incur more debt, which could exacerbate any or all of the risks described above.</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may incur substantial additional debt in the future, including up to $250 million in borrowings we may choose to make under our 2021 Revolving Credit Facility. Although the credit agreement governing our 2021 Revolving Credit Facility and the indenture governing our senior secured notes each limit our ability and the ability of certain of our subsidiaries to incur additional debt, these restrictions are subject to a number of qualifications and exceptions, and, under certain circumstances, we may incur additional debt in compliance with these restrictions. In addition, our 2021 Revolving Credit Facility and indenture does not prevent us from incurring certain obligations that do not constitute "indebtedness" as defined therein. To the extent that we incur additional debt or such other obligations, the risks associated with our credit agreement and indenture described above, including our possible inability to service our debt or other obligations, would increase.</w:t>
      </w:r>
    </w:p>
    <w:p>
      <w:pPr>
        <w:spacing w:after="0" w:line="11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current credit ratings may adversely affect our ability to access capital and the cost of such capital, which could have a material adverse effect on our business, financial condition and operating results.</w:t>
      </w:r>
    </w:p>
    <w:p>
      <w:pPr>
        <w:spacing w:after="0" w:line="9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current credit ratings, or any future negative actions the credit agencies may take, could affect our ability to access the reinsurance, credit and capital markets in the future and could lead to worsened trade terms, adversely affecting the cost. An inability to access reinsurance, capital and credit markets when needed to continue to grow our business, refinance our existing debt or raise new debt or equity could have a material adverse effect on our business, financial condition, operating results and liquidity.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Ownership of Our Common Stock</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do not currently pay any dividends on our common stock and may not pay any dividends on our common stock in the future, and payment of any declared dividends may be delayed.</w:t>
      </w:r>
    </w:p>
    <w:p>
      <w:pPr>
        <w:spacing w:after="0" w:line="9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have not declared or paid dividends in the past, and we may not pay dividends in the future. As a result, until we otherwise declare and pay dividends on our common stock, only appreciation in the price of our common stock, which may not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additional credit agreements or other debt arrangements in the future that could restrict our ability to declare or pay cash dividends on our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be volatile, which could cause the value of an investment in our common stock to decline.</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market price of our common stock may fluctuate substantially and be highly volatile, which may make it difficult for stockholders to sell their shares of our common stock at the volume, prices and times desired. There are many factors that impact the market price of our common stock, including, without limitation:</w:t>
      </w:r>
    </w:p>
    <w:p>
      <w:pPr>
        <w:spacing w:after="0" w:line="111" w:lineRule="exact"/>
        <w:rPr>
          <w:sz w:val="20"/>
          <w:szCs w:val="20"/>
          <w:color w:val="auto"/>
        </w:rPr>
      </w:pPr>
    </w:p>
    <w:p>
      <w:pPr>
        <w:ind w:left="1080" w:hanging="300"/>
        <w:spacing w:after="0"/>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 including price levels and volume and changes in interest rates and rising inflation;</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regional and local economic or business conditions;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and changes in, trade, tax, monetary and fiscal policies, including the interest rate policies of the Federal Reserve;</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housing and housing finance policy, including changes to the GSEs and the role of government MIs;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actual or projected financial condition, liquidity, operating results, cash flows and capital levels;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or failure to meet, our publicly disclosed expectations as to our future financial and operating performance;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50" w:name="page51"/>
    <w:bookmarkEnd w:id="50"/>
    <w:p>
      <w:pPr>
        <w:ind w:left="1100" w:hanging="320"/>
        <w:spacing w:after="0" w:line="291" w:lineRule="auto"/>
        <w:tabs>
          <w:tab w:leader="none" w:pos="109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valuations, as well as the financial and operating performance and prospects, of similar companies;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issuances or sales, or anticipated issuances or sales, of our common stock or other securities convertible into or exchangeable or exercisable for our common stock;</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indebtedness we may incur in the future;</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connection with changes in our stock price, such as changes in the value of the liability reflected on our financial statements associated with outstanding warrants;</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failure to establish and maintain effective internal controls over financial reporting;</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personnel and management;</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satisfy the continued listing requirements of the Nasdaq;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the Sarbanes-Oxley Act of 2002.</w:t>
      </w:r>
    </w:p>
    <w:p>
      <w:pPr>
        <w:spacing w:after="0" w:line="11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of certain companies other than NMIH have sometimes instituted securities class action litigation against such companies following periods of volatility in the market price of their securities. Any similar litigation against us could result in substantial costs, divert management's attention and resources and harm our business or operating results.</w:t>
      </w:r>
    </w:p>
    <w:p>
      <w:pPr>
        <w:spacing w:after="0" w:line="11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spacing w:after="0" w:line="9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As of December 31, 2023, we had 87,334,138 shares of our common stock issued and 80,881,280 shares outstanding.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Amended and Restated 2014 Omnibus Incentive Plan (2014 Plan) has a total of 8,250,000 shares authorized for issuance. Any shares issued under our 2014 Plan, including as a result of the exercise of stock options, would dilute the percentage ownership held by investors who purchase our shares prior to such issuance.</w:t>
      </w:r>
    </w:p>
    <w:p>
      <w:pPr>
        <w:spacing w:after="0" w:line="99" w:lineRule="exact"/>
        <w:rPr>
          <w:sz w:val="20"/>
          <w:szCs w:val="20"/>
          <w:color w:val="auto"/>
        </w:rPr>
      </w:pPr>
    </w:p>
    <w:p>
      <w:pPr>
        <w:jc w:val="both"/>
        <w:ind w:firstLine="621"/>
        <w:spacing w:after="0" w:line="250" w:lineRule="auto"/>
        <w:rPr>
          <w:sz w:val="20"/>
          <w:szCs w:val="20"/>
          <w:color w:val="auto"/>
        </w:rPr>
      </w:pPr>
      <w:r>
        <w:rPr>
          <w:rFonts w:ascii="Times New Roman" w:cs="Times New Roman" w:eastAsia="Times New Roman" w:hAnsi="Times New Roman"/>
          <w:sz w:val="17"/>
          <w:szCs w:val="17"/>
          <w:color w:val="auto"/>
        </w:rPr>
        <w:t>We have the authority, without action or vote of our stockholders except as required under Nasdaq rules, to issue all or any part of our authorized but unissued shares of common stock, including shares that may be issued to satisfy our obligations under our stock incentive plans, and securities and instruments that are convertible into shares of our common stock. Such stock issuances could be made at a price that reflects a discount or a premium from the then-current trading price of our common stock and might dilute the book value of our common stock or result in a decrease in the per share price of our common stock.</w:t>
      </w:r>
    </w:p>
    <w:p>
      <w:pPr>
        <w:spacing w:after="0" w:line="20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Future issuance of debt or preferred stock, which would rank senior to our Class A common stock upon our liquidation, may adversely affect the market value of our common stock.</w:t>
      </w:r>
    </w:p>
    <w:p>
      <w:pPr>
        <w:spacing w:after="0" w:line="9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Shares of our common stock are equity interests and do not constitute indebtedness of NMIH. In the future, we may attempt to increase our capital resources by issuing additional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if we were liquidated, holders of our debt securities and preferred stock and lenders with respect to our 2021 Revolving Credit Facility or other future borrowings, if any, would receive a distribution of our available assets prior to the holders of shares of our common stock. Any decision to issue debt or preferred stock in the future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1" w:name="page52"/>
    <w:bookmarkEnd w:id="51"/>
    <w:p>
      <w:pPr>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Provisions contained in our organizational documents, as well as provisions of Delaware law and Wisconsin insurance law, could delay or prevent a change of control of us, which could adversely affect the price of shares of our common stock.</w:t>
      </w:r>
    </w:p>
    <w:p>
      <w:pPr>
        <w:spacing w:after="0" w:line="91"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Our certificate of incorporation and bylaws and Delaware law contain provisions that could have the effect of rendering more difficult or discouraging an acquisition deemed undesirable by our Board. Our corporate governance documents include, among others, provisions that:</w:t>
      </w:r>
    </w:p>
    <w:p>
      <w:pPr>
        <w:spacing w:after="0" w:line="95" w:lineRule="exact"/>
        <w:rPr>
          <w:sz w:val="20"/>
          <w:szCs w:val="20"/>
          <w:color w:val="auto"/>
        </w:rPr>
      </w:pPr>
    </w:p>
    <w:p>
      <w:pPr>
        <w:ind w:left="1100" w:hanging="320"/>
        <w:spacing w:after="0" w:line="291" w:lineRule="auto"/>
        <w:tabs>
          <w:tab w:leader="none" w:pos="109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special meetings of our stockholders generally can only be called by the chairman of the Board, the Chief Executive Officer or by resolution of the Board;</w:t>
      </w:r>
    </w:p>
    <w:p>
      <w:pPr>
        <w:spacing w:after="0" w:line="43"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our Board the ability to issue undesignated preferred stock, the terms of which may be established and the shares of which may be issued without stockholder approval, and which may grant preferred holders voting, special approval, dividend or other rights or preferences superior to the rights of the holder of common stock;</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our Board the ability to issue common stock and warrants within the amount of authorized capital;</w:t>
      </w:r>
    </w:p>
    <w:p>
      <w:pPr>
        <w:spacing w:after="0" w:line="11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subject to the rights of the holders of any series of preferred stock with respect to such series of preferred stock, any action required or permitted to be taken by our stockholders must be effected at a duly called annual or special meeting of our stockholders and may not be effected by any consent in writing by such stockholders; and</w:t>
      </w:r>
    </w:p>
    <w:p>
      <w:pPr>
        <w:spacing w:after="0" w:line="59"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first anniversary of the previous year's annual meeting.</w:t>
      </w:r>
    </w:p>
    <w:p>
      <w:pPr>
        <w:spacing w:after="0" w:line="60"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These provisions, alone or together, could delay hostile takeovers and changes of control of the Company or changes in our management. Additionally, cumulative voting in the election of our directors is not allowed.</w:t>
      </w:r>
    </w:p>
    <w:p>
      <w:pPr>
        <w:spacing w:after="0" w:line="95"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As a Delaware corporation, we are also subject to anti-takeover provisions of Delaware law, including Section 203 of the Delaware General Corporation Law,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such corporation approved either the business combination or the transaction that resulted in the stockholder becoming an interested stockholder;</w:t>
      </w:r>
    </w:p>
    <w:p>
      <w:pPr>
        <w:spacing w:after="0" w:line="3" w:lineRule="exact"/>
        <w:rPr>
          <w:sz w:val="20"/>
          <w:szCs w:val="20"/>
          <w:color w:val="auto"/>
        </w:rPr>
      </w:pPr>
    </w:p>
    <w:p>
      <w:pPr>
        <w:jc w:val="both"/>
        <w:ind w:firstLine="3"/>
        <w:spacing w:after="0" w:line="256" w:lineRule="auto"/>
        <w:tabs>
          <w:tab w:leader="none" w:pos="25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such corporation and authorized at a meeting of stockholders by the affirmative vote of at least two-thirds of the outstanding voting stock of such corporation not owned by the interested stockholder.</w:t>
      </w:r>
    </w:p>
    <w:p>
      <w:pPr>
        <w:spacing w:after="0" w:line="12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addition, Wisconsin's insurance laws and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our voting securities. In addition, the insurance laws and regulations of other states in which NMIC and/or Re One are licensed insurers require notification to the state's insurance department a specified period before a person acquires control of us. If regulators in these states disapprove the change of control, our licenses to conduct business in the disapproving states could be terminated.</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Any provision of our certificate of incorporation or bylaws or Delaware law or under the Wisconsin insurance regulations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integrate technology into many aspects of our business. We use technology to engage with our customers and employees, and to deliver our products and services. The business information and data managed and stored in our technology systems is used in many of our daily functions, including accounting processes, financial forecasting, pricing, underwriting, sales, compliance, and communications, among others. We are mindful of the risk in the operation of our business presented by cybersecurity threats and remain aware of the potential risk to our IT systems and data.</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anticipation and in response to such risks, we have a comprehensive information security/cybersecurity program, including controls and procedures designed to safeguard and maintain the integrity of our IT systems, and prevent and detect unauthorized access to our IT systems by threats or bad actors, both internally and externally. Due to the ever-changing nature of cyber threats, we seek to proactively mitigate risks through prevention and preparation. We take a risk-based approach and identify new and continuing threats to our information systems that could potentially compromise their secure and efficient operation. Our cybersecurity program is fully integrated into our overall risk management framework and is regularly evaluated by internal and external experts.</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information security program is managed by a dedicated Chief Information Security Officer (CISO), who has over 25 years of relevant experience. Our CISO is charged with the maintenance and execution of our security program and reports to our Chief Information Officer, who leads the management of our information systems. The CISO manages a team that assesses, evaluates, and responds to cybersecurity threats. Our CISO, and other senior leaders in our IT, law, and internal audit departments, provide periodic reports to our Chief Executive Officer and other members of our senior management team and the Board, as appropriate, on cybersecurity risks and program updates.</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Board oversees cybersecurity risks through the Board’s audit and risk committees. The Board's Audit Committee has primary oversight of cybersecurity risk. In performing its oversight function, the Audit Committee considers information from the senior leaders in various departments (including the IT, internal audit and law departments) who provide periodic reports on cybersecurity, including updates on the Company’s cyber risks and threats, the status of projects to strengthen our information security systems, assessments of the information security program, and the emerging threat landscape.</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cybersecurity program is aligned with industry standards, such as the National Institute of Standards and Technology (NIST) Cybersecurity Framework, and we periodically engage third parties as part of our continuing efforts to evaluate, enhance and test the adequacy and effectiveness of our security measures and controls. We require our third-party service providers to implement and maintain comprehensive cybersecurity practices commensurate with the services they perform for us, and consistent with applicable legal standards and practices. In addition, we maintain and test a business continuity plan that is designed to allow us to continue to operate in the midst of certain disruptive events, including disruptions to our IT systems, and we have an incident response plan that is designed to address information security incidents, including any breaches of our IT systems.</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believe all of these functions serve the process of prevention, detection, mitigation, and remediation of cybersecurity incidents. While we have not experienced any material cybersecurity events, we believe that disruptions to and breaches of our IT systems are possible and may negatively impact our business in the future. Despite robust controls and safeguards in place, no system can guarantee complete security from internal and external threats. See Item 1A,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We may not be able to prevent the unauthorized disclosure or misuse of confidential, personal or proprietary information.</w:t>
      </w:r>
      <w:r>
        <w:rPr>
          <w:rFonts w:ascii="Times New Roman" w:cs="Times New Roman" w:eastAsia="Times New Roman" w:hAnsi="Times New Roman"/>
          <w:sz w:val="17"/>
          <w:szCs w:val="17"/>
          <w:color w:val="auto"/>
        </w:rPr>
        <w: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lease approximately 36,983 square feet of office space in Emeryville, California pursuant to an office facility lease that we initially entered into in 2012 (as amended, the Lease). The term of the Lease extends through March 2030.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As we have previously disclosed, we were named as a defendant in one litigation case that involves refunds of mortgage insurance premiums under the Homeowners Protection Act. In September 2023, the United States District Court for the Eastern District of Virginia granted our motion to dismiss the case. Subsequently, the plaintiff filed a notice of appeal in October 2023, appealing the District Court’s decision to the United States Court of Appeals for the Fourth Circuit. The appeal is currently pending. 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200" w:lineRule="exact"/>
        <w:rPr>
          <w:sz w:val="20"/>
          <w:szCs w:val="20"/>
          <w:color w:val="auto"/>
        </w:rPr>
      </w:pPr>
    </w:p>
    <w:p>
      <w:pPr>
        <w:spacing w:after="0" w:line="309"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69"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4" w:name="page55"/>
    <w:bookmarkEnd w:id="54"/>
    <w:p>
      <w:pPr>
        <w:ind w:left="53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common stock is listed on the Nasdaq stock exchange under the symbol "NMIH." On February 9, 2024, there were 80,879,843 shares of our Class A common stock outstanding and approximately twelve holders of record. There are no shares of our Class B common stock outstanding. The closing price of our common stock on Nasdaq on February 9, 2024 was $30.19.</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No dividends on our common stock have previously been declared or paid, and we may not declare or pay dividends in the future. For information on our ability to pay dividends, see Item 7, "</w:t>
      </w:r>
      <w:r>
        <w:rPr>
          <w:rFonts w:ascii="Times New Roman" w:cs="Times New Roman" w:eastAsia="Times New Roman" w:hAnsi="Times New Roman"/>
          <w:sz w:val="17"/>
          <w:szCs w:val="17"/>
          <w:i w:val="1"/>
          <w:iCs w:val="1"/>
          <w:color w:val="auto"/>
        </w:rPr>
        <w:t>Management's Discussion and Analysis of Financial Condition and Results of Operations - Liquidity and Capital Resources</w:t>
      </w:r>
      <w:r>
        <w:rPr>
          <w:rFonts w:ascii="Times New Roman" w:cs="Times New Roman" w:eastAsia="Times New Roman" w:hAnsi="Times New Roman"/>
          <w:sz w:val="17"/>
          <w:szCs w:val="17"/>
          <w:color w:val="auto"/>
        </w:rPr>
        <w:t>" and Item 8, "</w:t>
      </w:r>
      <w:r>
        <w:rPr>
          <w:rFonts w:ascii="Times New Roman" w:cs="Times New Roman" w:eastAsia="Times New Roman" w:hAnsi="Times New Roman"/>
          <w:sz w:val="17"/>
          <w:szCs w:val="17"/>
          <w:i w:val="1"/>
          <w:iCs w:val="1"/>
          <w:color w:val="auto"/>
        </w:rPr>
        <w:t>Financial Statements and Supplementary Data - Notes to Consolidated Financial Statements - Note 16, Regulatory Information - Dividend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Restrictions.</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of NMI Holdings, Inc. common stock by us during the three months ended December 31,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960" w:type="dxa"/>
            <w:vAlign w:val="bottom"/>
            <w:gridSpan w:val="2"/>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w w:val="97"/>
              </w:rPr>
              <w:t>Approximate Dollar Value of</w:t>
            </w:r>
          </w:p>
        </w:tc>
        <w:tc>
          <w:tcPr>
            <w:tcW w:w="0" w:type="dxa"/>
            <w:vAlign w:val="bottom"/>
          </w:tcPr>
          <w:p>
            <w:pPr>
              <w:spacing w:after="0"/>
              <w:rPr>
                <w:sz w:val="1"/>
                <w:szCs w:val="1"/>
                <w:color w:val="auto"/>
              </w:rPr>
            </w:pPr>
          </w:p>
        </w:tc>
      </w:tr>
      <w:tr>
        <w:trPr>
          <w:trHeight w:val="141"/>
        </w:trPr>
        <w:tc>
          <w:tcPr>
            <w:tcW w:w="3500" w:type="dxa"/>
            <w:vAlign w:val="bottom"/>
          </w:tcPr>
          <w:p>
            <w:pPr>
              <w:spacing w:after="0"/>
              <w:rPr>
                <w:sz w:val="12"/>
                <w:szCs w:val="12"/>
                <w:color w:val="auto"/>
              </w:rPr>
            </w:pPr>
          </w:p>
        </w:tc>
        <w:tc>
          <w:tcPr>
            <w:tcW w:w="18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Repurchased as Part of</w:t>
            </w:r>
          </w:p>
        </w:tc>
        <w:tc>
          <w:tcPr>
            <w:tcW w:w="260" w:type="dxa"/>
            <w:vAlign w:val="bottom"/>
          </w:tcPr>
          <w:p>
            <w:pPr>
              <w:spacing w:after="0"/>
              <w:rPr>
                <w:sz w:val="12"/>
                <w:szCs w:val="12"/>
                <w:color w:val="auto"/>
              </w:rPr>
            </w:pPr>
          </w:p>
        </w:tc>
        <w:tc>
          <w:tcPr>
            <w:tcW w:w="1700" w:type="dxa"/>
            <w:vAlign w:val="bottom"/>
          </w:tcPr>
          <w:p>
            <w:pPr>
              <w:jc w:val="center"/>
              <w:ind w:right="81"/>
              <w:spacing w:after="0" w:line="141" w:lineRule="exact"/>
              <w:rPr>
                <w:sz w:val="20"/>
                <w:szCs w:val="20"/>
                <w:color w:val="auto"/>
              </w:rPr>
            </w:pPr>
            <w:r>
              <w:rPr>
                <w:rFonts w:ascii="Times New Roman" w:cs="Times New Roman" w:eastAsia="Times New Roman" w:hAnsi="Times New Roman"/>
                <w:sz w:val="14"/>
                <w:szCs w:val="14"/>
                <w:b w:val="1"/>
                <w:bCs w:val="1"/>
                <w:color w:val="auto"/>
                <w:w w:val="96"/>
              </w:rPr>
              <w:t>Shares That May Yet Be</w:t>
            </w:r>
          </w:p>
        </w:tc>
        <w:tc>
          <w:tcPr>
            <w:tcW w:w="0" w:type="dxa"/>
            <w:vAlign w:val="bottom"/>
          </w:tcPr>
          <w:p>
            <w:pPr>
              <w:spacing w:after="0"/>
              <w:rPr>
                <w:sz w:val="1"/>
                <w:szCs w:val="1"/>
                <w:color w:val="auto"/>
              </w:rPr>
            </w:pPr>
          </w:p>
        </w:tc>
      </w:tr>
      <w:tr>
        <w:trPr>
          <w:trHeight w:val="142"/>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c>
          <w:tcPr>
            <w:tcW w:w="1880" w:type="dxa"/>
            <w:vAlign w:val="bottom"/>
            <w:vMerge w:val="continue"/>
          </w:tcPr>
          <w:p>
            <w:pPr>
              <w:spacing w:after="0"/>
              <w:rPr>
                <w:sz w:val="12"/>
                <w:szCs w:val="12"/>
                <w:color w:val="auto"/>
              </w:rPr>
            </w:pPr>
          </w:p>
        </w:tc>
        <w:tc>
          <w:tcPr>
            <w:tcW w:w="204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8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Publicly Announced Plans or</w:t>
            </w:r>
          </w:p>
        </w:tc>
        <w:tc>
          <w:tcPr>
            <w:tcW w:w="1960" w:type="dxa"/>
            <w:vAlign w:val="bottom"/>
            <w:gridSpan w:val="2"/>
          </w:tcPr>
          <w:p>
            <w:pPr>
              <w:jc w:val="center"/>
              <w:ind w:left="5"/>
              <w:spacing w:after="0" w:line="143" w:lineRule="exact"/>
              <w:rPr>
                <w:sz w:val="20"/>
                <w:szCs w:val="20"/>
                <w:color w:val="auto"/>
              </w:rPr>
            </w:pPr>
            <w:r>
              <w:rPr>
                <w:rFonts w:ascii="Times New Roman" w:cs="Times New Roman" w:eastAsia="Times New Roman" w:hAnsi="Times New Roman"/>
                <w:sz w:val="14"/>
                <w:szCs w:val="14"/>
                <w:b w:val="1"/>
                <w:bCs w:val="1"/>
                <w:color w:val="auto"/>
                <w:w w:val="98"/>
              </w:rPr>
              <w:t>Repurchased Under the Plans</w:t>
            </w:r>
          </w:p>
        </w:tc>
        <w:tc>
          <w:tcPr>
            <w:tcW w:w="0" w:type="dxa"/>
            <w:vAlign w:val="bottom"/>
          </w:tcPr>
          <w:p>
            <w:pPr>
              <w:spacing w:after="0"/>
              <w:rPr>
                <w:sz w:val="1"/>
                <w:szCs w:val="1"/>
                <w:color w:val="auto"/>
              </w:rPr>
            </w:pPr>
          </w:p>
        </w:tc>
      </w:tr>
      <w:tr>
        <w:trPr>
          <w:trHeight w:val="194"/>
        </w:trPr>
        <w:tc>
          <w:tcPr>
            <w:tcW w:w="350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40" w:type="dxa"/>
            <w:vAlign w:val="bottom"/>
            <w:tcBorders>
              <w:bottom w:val="single" w:sz="8" w:color="auto"/>
            </w:tcBorders>
            <w:gridSpan w:val="2"/>
            <w:vMerge w:val="continue"/>
          </w:tcPr>
          <w:p>
            <w:pPr>
              <w:spacing w:after="0"/>
              <w:rPr>
                <w:sz w:val="16"/>
                <w:szCs w:val="16"/>
                <w:color w:val="auto"/>
              </w:rPr>
            </w:pPr>
          </w:p>
        </w:tc>
        <w:tc>
          <w:tcPr>
            <w:tcW w:w="186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4"/>
              </w:rPr>
              <w:t xml:space="preserve">Programs </w:t>
            </w:r>
            <w:r>
              <w:rPr>
                <w:rFonts w:ascii="Times New Roman" w:cs="Times New Roman" w:eastAsia="Times New Roman" w:hAnsi="Times New Roman"/>
                <w:sz w:val="17"/>
                <w:szCs w:val="17"/>
                <w:b w:val="1"/>
                <w:bCs w:val="1"/>
                <w:color w:val="auto"/>
                <w:w w:val="94"/>
                <w:vertAlign w:val="superscript"/>
              </w:rPr>
              <w:t>(1)</w:t>
            </w: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81"/>
              <w:spacing w:after="0" w:line="194" w:lineRule="exact"/>
              <w:rPr>
                <w:sz w:val="20"/>
                <w:szCs w:val="20"/>
                <w:color w:val="auto"/>
              </w:rPr>
            </w:pPr>
            <w:r>
              <w:rPr>
                <w:rFonts w:ascii="Times New Roman" w:cs="Times New Roman" w:eastAsia="Times New Roman" w:hAnsi="Times New Roman"/>
                <w:sz w:val="14"/>
                <w:szCs w:val="14"/>
                <w:b w:val="1"/>
                <w:bCs w:val="1"/>
                <w:color w:val="auto"/>
                <w:w w:val="94"/>
              </w:rPr>
              <w:t xml:space="preserve">or Program </w:t>
            </w:r>
            <w:r>
              <w:rPr>
                <w:rFonts w:ascii="Times New Roman" w:cs="Times New Roman" w:eastAsia="Times New Roman" w:hAnsi="Times New Roman"/>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10/1/2023 to 10/31/2023</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549,758</w:t>
            </w:r>
          </w:p>
        </w:tc>
        <w:tc>
          <w:tcPr>
            <w:tcW w:w="84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27.11</w:t>
            </w:r>
          </w:p>
        </w:tc>
        <w:tc>
          <w:tcPr>
            <w:tcW w:w="18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549,758</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193,582</w:t>
            </w: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11/1/2023 to 11/30/2023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321,094</w:t>
            </w: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27.80</w:t>
            </w:r>
          </w:p>
        </w:tc>
        <w:tc>
          <w:tcPr>
            <w:tcW w:w="1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321,094</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184,655</w:t>
            </w:r>
          </w:p>
        </w:tc>
        <w:tc>
          <w:tcPr>
            <w:tcW w:w="0" w:type="dxa"/>
            <w:vAlign w:val="bottom"/>
          </w:tcPr>
          <w:p>
            <w:pPr>
              <w:spacing w:after="0"/>
              <w:rPr>
                <w:sz w:val="1"/>
                <w:szCs w:val="1"/>
                <w:color w:val="auto"/>
              </w:rPr>
            </w:pPr>
          </w:p>
        </w:tc>
      </w:tr>
      <w:tr>
        <w:trPr>
          <w:trHeight w:val="22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12/1/2023 to 12/31/2023</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271,998</w:t>
            </w:r>
          </w:p>
        </w:tc>
        <w:tc>
          <w:tcPr>
            <w:tcW w:w="8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ind w:right="74"/>
              <w:spacing w:after="0"/>
              <w:rPr>
                <w:sz w:val="20"/>
                <w:szCs w:val="20"/>
                <w:color w:val="auto"/>
              </w:rPr>
            </w:pPr>
            <w:r>
              <w:rPr>
                <w:rFonts w:ascii="Times New Roman" w:cs="Times New Roman" w:eastAsia="Times New Roman" w:hAnsi="Times New Roman"/>
                <w:sz w:val="17"/>
                <w:szCs w:val="17"/>
                <w:color w:val="auto"/>
              </w:rPr>
              <w:t>28.36</w:t>
            </w:r>
          </w:p>
        </w:tc>
        <w:tc>
          <w:tcPr>
            <w:tcW w:w="1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271,998</w:t>
            </w:r>
          </w:p>
        </w:tc>
        <w:tc>
          <w:tcPr>
            <w:tcW w:w="26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176,940</w:t>
            </w:r>
          </w:p>
        </w:tc>
        <w:tc>
          <w:tcPr>
            <w:tcW w:w="0" w:type="dxa"/>
            <w:vAlign w:val="bottom"/>
          </w:tcPr>
          <w:p>
            <w:pPr>
              <w:spacing w:after="0"/>
              <w:rPr>
                <w:sz w:val="1"/>
                <w:szCs w:val="1"/>
                <w:color w:val="auto"/>
              </w:rPr>
            </w:pPr>
          </w:p>
        </w:tc>
      </w:tr>
      <w:tr>
        <w:trPr>
          <w:trHeight w:val="23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1,142,850</w:t>
            </w:r>
          </w:p>
        </w:tc>
        <w:tc>
          <w:tcPr>
            <w:tcW w:w="840" w:type="dxa"/>
            <w:vAlign w:val="bottom"/>
            <w:tcBorders>
              <w:bottom w:val="single" w:sz="8" w:color="CCEEFF"/>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27.60</w:t>
            </w:r>
          </w:p>
        </w:tc>
        <w:tc>
          <w:tcPr>
            <w:tcW w:w="1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1,142,850</w:t>
            </w:r>
          </w:p>
        </w:tc>
        <w:tc>
          <w:tcPr>
            <w:tcW w:w="2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20" w:hanging="317"/>
        <w:spacing w:after="0" w:line="252" w:lineRule="auto"/>
        <w:tabs>
          <w:tab w:leader="none" w:pos="31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10, 2022, our Board of Directors approved a $125 million share repurchase program effective through December 31, 2023, excluding associated costs and applicable taxes. On July 31, 2023, our Board of Directors approved an extension of the $125 million repurchase program through December 31, 2025. The Board also approved a new $200 million share repurchase program (excluding associated costs and applicable taxes) effective through December 31, 2025. As of December 31, 2023, no repurchase authority remained available under the February 2022 share repurchase program and $176.9 million repurchase authority remained under the July 2023 share repurchase program. See Item 8, "</w:t>
      </w:r>
      <w:r>
        <w:rPr>
          <w:rFonts w:ascii="Times New Roman" w:cs="Times New Roman" w:eastAsia="Times New Roman" w:hAnsi="Times New Roman"/>
          <w:sz w:val="14"/>
          <w:szCs w:val="14"/>
          <w:i w:val="1"/>
          <w:iCs w:val="1"/>
          <w:color w:val="auto"/>
        </w:rPr>
        <w:t>Financial Statements and Supplementary Data - Notes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Consolidated Financial Statements - Note 15, Common Stock,</w:t>
      </w:r>
      <w:r>
        <w:rPr>
          <w:rFonts w:ascii="Times New Roman" w:cs="Times New Roman" w:eastAsia="Times New Roman" w:hAnsi="Times New Roman"/>
          <w:sz w:val="14"/>
          <w:szCs w:val="14"/>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5" w:name="page56"/>
    <w:bookmarkEnd w:id="55"/>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Common Stock Performance Graph</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following graph compares the cumulative total stockholder return on our Class A common stock from December 31, 2018 until December 31, 2023, with the cumulative total stockholder return on the Russell 2000 Index, S&amp;P Small Cap 600 Index and an index of selected mortgage insurance companies (Peer Index). The Peer Index includes Essent, MGIC and Radian. The total stockholder's returns are not necessarily indicative of future returns. Information contained or referenced in the stock performance graph below is being furnished with this report and will not be deemed "filed" for purposes of Section 18 of the Exchange Act or deemed to be incorporated by reference into any filing under the Exchange Act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5683885" cy="22834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83885" cy="228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200" w:type="dxa"/>
            <w:vAlign w:val="bottom"/>
          </w:tcPr>
          <w:p>
            <w:pPr>
              <w:spacing w:after="0"/>
              <w:rPr>
                <w:sz w:val="15"/>
                <w:szCs w:val="15"/>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8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20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200" w:type="dxa"/>
            <w:vAlign w:val="bottom"/>
          </w:tcPr>
          <w:p>
            <w:pPr>
              <w:spacing w:after="0"/>
              <w:rPr>
                <w:sz w:val="15"/>
                <w:szCs w:val="15"/>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180" w:type="dxa"/>
            <w:vAlign w:val="bottom"/>
          </w:tcPr>
          <w:p>
            <w:pPr>
              <w:spacing w:after="0"/>
              <w:rPr>
                <w:sz w:val="15"/>
                <w:szCs w:val="15"/>
                <w:color w:val="auto"/>
              </w:rPr>
            </w:pPr>
          </w:p>
        </w:tc>
        <w:tc>
          <w:tcPr>
            <w:tcW w:w="9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12/31/2023</w:t>
            </w:r>
          </w:p>
        </w:tc>
      </w:tr>
      <w:tr>
        <w:trPr>
          <w:trHeight w:val="23"/>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7"/>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NMI Holdings, Inc.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20"/>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Russell 2000 Index</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2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 Small Cap 600</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26"/>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Peer Index (ESNT, MTG, RDN)</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bl>
    <w:p>
      <w:pPr>
        <w:spacing w:after="0" w:line="25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67" w:lineRule="exact"/>
        <w:rPr>
          <w:sz w:val="20"/>
          <w:szCs w:val="20"/>
          <w:color w:val="auto"/>
        </w:rPr>
      </w:pPr>
    </w:p>
    <w:p>
      <w:pPr>
        <w:jc w:val="both"/>
        <w:ind w:firstLine="19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The following analysis of our financial condition and results of operations should be read in conjunction with our consolidated financial statements and notes thereto included below in Item 8 of this report and the Risk Factors included above in Part I, Item 1A of this report. In addition, investors should review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Cautionary Note Regarding Forward-Looking Statements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above.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2023, we had issued master policies with 1,974 customers, including national and regional mortgage banks, money center banks, credit unions, community banks, builder-owned mortgage lenders, internet-sourced lenders and other non-bank lenders. As of December 31, 2023, we had $197.0 billion of primary IIF and $51.8 billion of primary RIF.</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18"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 xml:space="preserve">Our common stock trades on the Nasdaq under the symbol "NMIH." Our headquarters is located in Emeryville, California. As of December 31, 2023, we had 238 employees. Our corporate website is located at </w:t>
      </w:r>
      <w:r>
        <w:rPr>
          <w:rFonts w:ascii="Times New Roman" w:cs="Times New Roman" w:eastAsia="Times New Roman" w:hAnsi="Times New Roman"/>
          <w:sz w:val="17"/>
          <w:szCs w:val="17"/>
          <w:i w:val="1"/>
          <w:iCs w:val="1"/>
          <w:color w:val="auto"/>
        </w:rPr>
        <w:t>www.nationalmi.com</w:t>
      </w:r>
      <w:r>
        <w:rPr>
          <w:rFonts w:ascii="Times New Roman" w:cs="Times New Roman" w:eastAsia="Times New Roman" w:hAnsi="Times New Roman"/>
          <w:sz w:val="17"/>
          <w:szCs w:val="17"/>
          <w:color w:val="auto"/>
        </w:rPr>
        <w:t>. Our website and the information contained on or accessible through our website are not incorporated by reference into this report.</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7" w:name="page58"/>
    <w:bookmarkEnd w:id="57"/>
    <w:p>
      <w:pPr>
        <w:jc w:val="center"/>
        <w:ind w:right="7800"/>
        <w:spacing w:after="0"/>
        <w:rPr>
          <w:sz w:val="20"/>
          <w:szCs w:val="20"/>
          <w:color w:val="auto"/>
        </w:rPr>
      </w:pPr>
      <w:r>
        <w:rPr>
          <w:rFonts w:ascii="Times New Roman" w:cs="Times New Roman" w:eastAsia="Times New Roman" w:hAnsi="Times New Roman"/>
          <w:sz w:val="17"/>
          <w:szCs w:val="17"/>
          <w:b w:val="1"/>
          <w:bCs w:val="1"/>
          <w:color w:val="auto"/>
        </w:rPr>
        <w:t>Conditions and Trends Affecting Our Business</w:t>
      </w:r>
    </w:p>
    <w:p>
      <w:pPr>
        <w:spacing w:after="0" w:line="113" w:lineRule="exact"/>
        <w:rPr>
          <w:sz w:val="20"/>
          <w:szCs w:val="20"/>
          <w:color w:val="auto"/>
        </w:rPr>
      </w:pPr>
    </w:p>
    <w:p>
      <w:pPr>
        <w:jc w:val="center"/>
        <w:ind w:right="7800"/>
        <w:spacing w:after="0"/>
        <w:rPr>
          <w:sz w:val="20"/>
          <w:szCs w:val="20"/>
          <w:color w:val="auto"/>
        </w:rPr>
      </w:pPr>
      <w:r>
        <w:rPr>
          <w:rFonts w:ascii="Times New Roman" w:cs="Times New Roman" w:eastAsia="Times New Roman" w:hAnsi="Times New Roman"/>
          <w:sz w:val="17"/>
          <w:szCs w:val="17"/>
          <w:b w:val="1"/>
          <w:bCs w:val="1"/>
          <w:i w:val="1"/>
          <w:iCs w:val="1"/>
          <w:color w:val="auto"/>
        </w:rPr>
        <w:t>Macroeconomic Developments</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Macroeconomic factors, including resurgent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NIW volume, or contribute to an increase in our future default and claim experience.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Results</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Customer Development</w:t>
      </w:r>
    </w:p>
    <w:p>
      <w:pPr>
        <w:spacing w:after="0" w:line="17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have important relationships with customers across all categories and allocation profiles, including National Accounts and Regional Accounts, and centralized and decentralized lenders. Our sales and marketing efforts are broadly focused on expanding our presence with existing customers and activating new customer relationships. We consider an activation to be the point at which we have signed a Master Policy, established IT connectivity and generated a first application or first dollar of NIW from a customer. During the year ended December 31, 2023, we activated 70 lenders, compared to 120 and 122 for the years ended December 31, 2022 and 2021, respectively. We also continued to expand our business with existing customers, deepening our existing relationships and capturing what we believe to be an increasing portion of their annual MI volume. At December 31, 2023, we had issued 1,974 Master Policies and established 1,503 active customer relationships, compared to 1,875 and 1,434, respectively, as of December 31, 2022 and 1,732 and 1,316, respectively, as of December 31, 2021.</w:t>
      </w:r>
    </w:p>
    <w:p>
      <w:pPr>
        <w:spacing w:after="0" w:line="3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New Insurance Written, Insurance-In-Force and Risk-In-Force</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3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Net Premiums Written and Net Premiums Earned</w:t>
      </w:r>
    </w:p>
    <w:p>
      <w:pPr>
        <w:spacing w:after="0" w:line="171" w:lineRule="exact"/>
        <w:rPr>
          <w:sz w:val="20"/>
          <w:szCs w:val="20"/>
          <w:color w:val="auto"/>
        </w:rPr>
      </w:pPr>
    </w:p>
    <w:p>
      <w:pPr>
        <w:jc w:val="both"/>
        <w:ind w:firstLine="621"/>
        <w:spacing w:after="0" w:line="254" w:lineRule="auto"/>
        <w:rPr>
          <w:sz w:val="20"/>
          <w:szCs w:val="20"/>
          <w:color w:val="auto"/>
        </w:rPr>
      </w:pPr>
      <w:r>
        <w:rPr>
          <w:rFonts w:ascii="Times New Roman" w:cs="Times New Roman" w:eastAsia="Times New Roman" w:hAnsi="Times New Roman"/>
          <w:sz w:val="17"/>
          <w:szCs w:val="17"/>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in June 2018 to replace our previous rate card pricing system. While most of our new business is priced through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we also continue to offer a rate card pricing option to a limited number of lender customers who require a rate card for operational reasons. We believe the introduction and utilization of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3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11" w:lineRule="exact"/>
        <w:rPr>
          <w:sz w:val="20"/>
          <w:szCs w:val="20"/>
          <w:color w:val="auto"/>
        </w:rPr>
      </w:pPr>
    </w:p>
    <w:p>
      <w:pPr>
        <w:ind w:left="620" w:hanging="306"/>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NIW;</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premium rates and the mix of premium payment type, which are either single, monthly or annual premiums, as described below;</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8" w:name="page59"/>
    <w:bookmarkEnd w:id="58"/>
    <w:p>
      <w:pPr>
        <w:jc w:val="both"/>
        <w:ind w:left="620" w:hanging="306"/>
        <w:spacing w:after="0" w:line="283"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2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cession of premiums under third-party reinsurance arrangements.</w:t>
      </w:r>
    </w:p>
    <w:p>
      <w:pPr>
        <w:spacing w:after="0" w:line="167"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Premiums are paid either by the borrower (borrower-paid mortgage insurance or BPMI) or the lender (lender-paid mortgage insurance or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December 31, 2023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22"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Effect of Reinsurance on Our Results</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Excess-of-Loss Reinsurance</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Insurance-Linked Notes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respective reinsurance coverage amounts provided by the Oaktown Re Vehicles decrease (over a ten-year period in the case of Oaktown Re III Ltd. and Oaktown Re V Ltd. and 12.5-year period in the case of Oaktown Re VI Ltd. and Oaktown Re VII Ltd.)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insurance-linked note principal is suspended if certain credit enhancement or delinquency thresholds, as defined in each agreement, are triggered (each, a Lock-Out Event). At December 31, 2023, the 2019 ILN Transaction was deemed to be in Lock-Out due to the default experience of its underlying pool.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9" w:name="page60"/>
    <w:bookmarkEnd w:id="59"/>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Effective July 25, 2023, NMIC exercised its optional call to terminate and commute its previously outstanding excess of loss reinsurance agreement with Oaktown Re II Ltd. In connection with the termination and commutation of the agreement, the insurance-linked notes issued by Oaktown Re II Ltd. were redeemed in full with a distribution of remaining collateral assets.</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December 31,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Initial First</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Current First Layer</w:t>
            </w:r>
          </w:p>
        </w:tc>
        <w:tc>
          <w:tcPr>
            <w:tcW w:w="0" w:type="dxa"/>
            <w:vAlign w:val="bottom"/>
          </w:tcPr>
          <w:p>
            <w:pPr>
              <w:spacing w:after="0"/>
              <w:rPr>
                <w:sz w:val="1"/>
                <w:szCs w:val="1"/>
                <w:color w:val="auto"/>
              </w:rPr>
            </w:pPr>
          </w:p>
        </w:tc>
      </w:tr>
      <w:tr>
        <w:trPr>
          <w:trHeight w:val="141"/>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 values in thousands)</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3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1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Reinsurance</w:t>
            </w:r>
          </w:p>
        </w:tc>
        <w:tc>
          <w:tcPr>
            <w:tcW w:w="12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Layer Retained</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8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4"/>
              </w:rPr>
              <w:t xml:space="preserve">Retained Loss </w:t>
            </w:r>
            <w:r>
              <w:rPr>
                <w:rFonts w:ascii="Times New Roman" w:cs="Times New Roman" w:eastAsia="Times New Roman" w:hAnsi="Times New Roman"/>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1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2019 ILN Transaction</w:t>
            </w: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30, 2019</w:t>
            </w:r>
          </w:p>
        </w:tc>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6/1/2018 – 6/30/2019</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$326,905</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$159,476</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$123,424</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$121,751</w:t>
            </w:r>
          </w:p>
        </w:tc>
        <w:tc>
          <w:tcPr>
            <w:tcW w:w="0" w:type="dxa"/>
            <w:vAlign w:val="bottom"/>
          </w:tcPr>
          <w:p>
            <w:pPr>
              <w:spacing w:after="0"/>
              <w:rPr>
                <w:sz w:val="1"/>
                <w:szCs w:val="1"/>
                <w:color w:val="auto"/>
              </w:rPr>
            </w:pPr>
          </w:p>
        </w:tc>
      </w:tr>
      <w:tr>
        <w:trPr>
          <w:trHeight w:val="220"/>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2020-2 ILN Transaction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29, 2020</w:t>
            </w:r>
          </w:p>
        </w:tc>
        <w:tc>
          <w:tcPr>
            <w:tcW w:w="2360" w:type="dxa"/>
            <w:vAlign w:val="bottom"/>
            <w:gridSpan w:val="2"/>
          </w:tcPr>
          <w:p>
            <w:pPr>
              <w:jc w:val="center"/>
              <w:ind w:right="140"/>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4/1/2020 – 9/30/2020 </w:t>
            </w:r>
            <w:r>
              <w:rPr>
                <w:rFonts w:ascii="Times New Roman" w:cs="Times New Roman" w:eastAsia="Times New Roman" w:hAnsi="Times New Roman"/>
                <w:sz w:val="22"/>
                <w:szCs w:val="22"/>
                <w:color w:val="auto"/>
                <w:w w:val="98"/>
                <w:vertAlign w:val="superscript"/>
              </w:rPr>
              <w:t>(2)</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242,351</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55,792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121,777</w:t>
            </w: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121,177</w:t>
            </w:r>
          </w:p>
        </w:tc>
        <w:tc>
          <w:tcPr>
            <w:tcW w:w="0" w:type="dxa"/>
            <w:vAlign w:val="bottom"/>
          </w:tcPr>
          <w:p>
            <w:pPr>
              <w:spacing w:after="0"/>
              <w:rPr>
                <w:sz w:val="1"/>
                <w:szCs w:val="1"/>
                <w:color w:val="auto"/>
              </w:rPr>
            </w:pPr>
          </w:p>
        </w:tc>
      </w:tr>
      <w:tr>
        <w:trPr>
          <w:trHeight w:val="22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2021-1 ILN Transaction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27, 2021</w:t>
            </w:r>
          </w:p>
        </w:tc>
        <w:tc>
          <w:tcPr>
            <w:tcW w:w="2360" w:type="dxa"/>
            <w:vAlign w:val="bottom"/>
            <w:gridSpan w:val="2"/>
            <w:shd w:val="clear" w:color="auto" w:fill="CCEEFF"/>
          </w:tcPr>
          <w:p>
            <w:pPr>
              <w:jc w:val="center"/>
              <w:ind w:right="140"/>
              <w:spacing w:after="0" w:line="220" w:lineRule="exact"/>
              <w:rPr>
                <w:sz w:val="20"/>
                <w:szCs w:val="20"/>
                <w:color w:val="auto"/>
              </w:rPr>
            </w:pPr>
            <w:r>
              <w:rPr>
                <w:rFonts w:ascii="Times New Roman" w:cs="Times New Roman" w:eastAsia="Times New Roman" w:hAnsi="Times New Roman"/>
                <w:sz w:val="17"/>
                <w:szCs w:val="17"/>
                <w:color w:val="auto"/>
                <w:w w:val="98"/>
              </w:rPr>
              <w:t xml:space="preserve">10/1/2020 – 3/31/2021 </w:t>
            </w:r>
            <w:r>
              <w:rPr>
                <w:rFonts w:ascii="Times New Roman" w:cs="Times New Roman" w:eastAsia="Times New Roman" w:hAnsi="Times New Roman"/>
                <w:sz w:val="22"/>
                <w:szCs w:val="22"/>
                <w:color w:val="auto"/>
                <w:w w:val="98"/>
                <w:vertAlign w:val="superscript"/>
              </w:rPr>
              <w:t>(3)</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367,238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217,630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163,708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163,394</w:t>
            </w:r>
          </w:p>
        </w:tc>
        <w:tc>
          <w:tcPr>
            <w:tcW w:w="0" w:type="dxa"/>
            <w:vAlign w:val="bottom"/>
          </w:tcPr>
          <w:p>
            <w:pPr>
              <w:spacing w:after="0"/>
              <w:rPr>
                <w:sz w:val="1"/>
                <w:szCs w:val="1"/>
                <w:color w:val="auto"/>
              </w:rPr>
            </w:pPr>
          </w:p>
        </w:tc>
      </w:tr>
      <w:tr>
        <w:trPr>
          <w:trHeight w:val="296"/>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2021-2 ILN Transaction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26, 2021</w:t>
            </w: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8"/>
              </w:rPr>
              <w:t xml:space="preserve">4/1/2021 – 9/30/2021 </w:t>
            </w:r>
            <w:r>
              <w:rPr>
                <w:rFonts w:ascii="Times New Roman" w:cs="Times New Roman" w:eastAsia="Times New Roman" w:hAnsi="Times New Roman"/>
                <w:sz w:val="22"/>
                <w:szCs w:val="22"/>
                <w:color w:val="auto"/>
                <w:w w:val="98"/>
                <w:vertAlign w:val="superscript"/>
              </w:rPr>
              <w:t>(4)</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363,596</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310,567</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146,229</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145,858</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hanging="317"/>
        <w:spacing w:after="0" w:line="241" w:lineRule="auto"/>
        <w:tabs>
          <w:tab w:leader="none" w:pos="329"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spacing w:after="0" w:line="1" w:lineRule="exact"/>
        <w:rPr>
          <w:rFonts w:ascii="Times New Roman" w:cs="Times New Roman" w:eastAsia="Times New Roman" w:hAnsi="Times New Roman"/>
          <w:sz w:val="14"/>
          <w:szCs w:val="14"/>
          <w:color w:val="auto"/>
        </w:rPr>
      </w:pPr>
    </w:p>
    <w:p>
      <w:pPr>
        <w:ind w:left="320" w:hanging="317"/>
        <w:spacing w:after="0" w:line="231" w:lineRule="auto"/>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2020-2 ILN Transaction has coverage reporting dates between July 1, 2019 and March 31, 2020.</w:t>
      </w:r>
    </w:p>
    <w:p>
      <w:pPr>
        <w:ind w:left="300" w:hanging="297"/>
        <w:spacing w:after="0"/>
        <w:tabs>
          <w:tab w:leader="none" w:pos="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spacing w:after="0" w:line="3"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Traditional Reinsurance</w:t>
      </w:r>
    </w:p>
    <w:p>
      <w:pPr>
        <w:spacing w:after="0" w:line="156"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NMIC is party to five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and the 2023-2 XOL Transaction, effective July 1, 2023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23"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of the third-party reinsurance providers that is party to the XOL Transactions has an insurer financial strength rating of A- or better by S&amp;P, A.M.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Best or both.</w:t>
      </w:r>
    </w:p>
    <w:p>
      <w:pPr>
        <w:spacing w:after="0" w:line="148"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XOL Transaction. Current amounts are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color w:val="auto"/>
        </w:rPr>
        <w:t>presented as of December 31,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 First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Current First</w:t>
            </w:r>
          </w:p>
        </w:tc>
        <w:tc>
          <w:tcPr>
            <w:tcW w:w="0" w:type="dxa"/>
            <w:vAlign w:val="bottom"/>
          </w:tcPr>
          <w:p>
            <w:pPr>
              <w:spacing w:after="0"/>
              <w:rPr>
                <w:sz w:val="1"/>
                <w:szCs w:val="1"/>
                <w:color w:val="auto"/>
              </w:rPr>
            </w:pPr>
          </w:p>
        </w:tc>
      </w:tr>
      <w:tr>
        <w:trPr>
          <w:trHeight w:val="141"/>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4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18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4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0" w:type="dxa"/>
            <w:vAlign w:val="bottom"/>
          </w:tcPr>
          <w:p>
            <w:pPr>
              <w:spacing w:after="0"/>
              <w:rPr>
                <w:sz w:val="1"/>
                <w:szCs w:val="1"/>
                <w:color w:val="auto"/>
              </w:rPr>
            </w:pPr>
          </w:p>
        </w:tc>
      </w:tr>
      <w:tr>
        <w:trPr>
          <w:trHeight w:val="188"/>
        </w:trPr>
        <w:tc>
          <w:tcPr>
            <w:tcW w:w="2560" w:type="dxa"/>
            <w:vAlign w:val="bottom"/>
            <w:gridSpan w:val="2"/>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Loss </w:t>
            </w:r>
            <w:r>
              <w:rPr>
                <w:rFonts w:ascii="Times New Roman" w:cs="Times New Roman" w:eastAsia="Times New Roman" w:hAnsi="Times New Roman"/>
                <w:sz w:val="8"/>
                <w:szCs w:val="8"/>
                <w:b w:val="1"/>
                <w:bCs w:val="1"/>
                <w:color w:val="auto"/>
                <w:w w:val="99"/>
              </w:rPr>
              <w:t>(1)</w:t>
            </w:r>
          </w:p>
        </w:tc>
        <w:tc>
          <w:tcPr>
            <w:tcW w:w="0" w:type="dxa"/>
            <w:vAlign w:val="bottom"/>
          </w:tcPr>
          <w:p>
            <w:pPr>
              <w:spacing w:after="0"/>
              <w:rPr>
                <w:sz w:val="1"/>
                <w:szCs w:val="1"/>
                <w:color w:val="auto"/>
              </w:rPr>
            </w:pPr>
          </w:p>
        </w:tc>
      </w:tr>
      <w:tr>
        <w:trPr>
          <w:trHeight w:val="218"/>
        </w:trPr>
        <w:tc>
          <w:tcPr>
            <w:tcW w:w="2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2022-1 XOL Transaction</w:t>
            </w: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c>
          <w:tcPr>
            <w:tcW w:w="2320" w:type="dxa"/>
            <w:vAlign w:val="bottom"/>
            <w:tcBorders>
              <w:top w:val="single" w:sz="8" w:color="auto"/>
            </w:tcBorders>
            <w:shd w:val="clear" w:color="auto" w:fill="CCEEFF"/>
          </w:tcPr>
          <w:p>
            <w:pPr>
              <w:jc w:val="center"/>
              <w:spacing w:after="0" w:line="219" w:lineRule="exact"/>
              <w:rPr>
                <w:sz w:val="20"/>
                <w:szCs w:val="20"/>
                <w:color w:val="auto"/>
              </w:rPr>
            </w:pPr>
            <w:r>
              <w:rPr>
                <w:rFonts w:ascii="Times New Roman" w:cs="Times New Roman" w:eastAsia="Times New Roman" w:hAnsi="Times New Roman"/>
                <w:sz w:val="17"/>
                <w:szCs w:val="17"/>
                <w:color w:val="auto"/>
                <w:w w:val="98"/>
              </w:rPr>
              <w:t xml:space="preserve">10/1/2021 – 3/31/2022 </w:t>
            </w:r>
            <w:r>
              <w:rPr>
                <w:rFonts w:ascii="Times New Roman" w:cs="Times New Roman" w:eastAsia="Times New Roman" w:hAnsi="Times New Roman"/>
                <w:sz w:val="22"/>
                <w:szCs w:val="22"/>
                <w:color w:val="auto"/>
                <w:w w:val="98"/>
                <w:vertAlign w:val="superscript"/>
              </w:rPr>
              <w:t>(2)</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$289,741</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$253,252</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$133,366</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$133,123</w:t>
            </w:r>
          </w:p>
        </w:tc>
        <w:tc>
          <w:tcPr>
            <w:tcW w:w="0" w:type="dxa"/>
            <w:vAlign w:val="bottom"/>
          </w:tcPr>
          <w:p>
            <w:pPr>
              <w:spacing w:after="0"/>
              <w:rPr>
                <w:sz w:val="1"/>
                <w:szCs w:val="1"/>
                <w:color w:val="auto"/>
              </w:rPr>
            </w:pPr>
          </w:p>
        </w:tc>
      </w:tr>
      <w:tr>
        <w:trPr>
          <w:trHeight w:val="220"/>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2022-2</w:t>
            </w:r>
          </w:p>
        </w:tc>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XOL 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1, 2022</w:t>
            </w:r>
          </w:p>
        </w:tc>
        <w:tc>
          <w:tcPr>
            <w:tcW w:w="2400" w:type="dxa"/>
            <w:vAlign w:val="bottom"/>
            <w:gridSpan w:val="2"/>
          </w:tcPr>
          <w:p>
            <w:pPr>
              <w:jc w:val="center"/>
              <w:ind w:right="20"/>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4/1/2022 – 6/30/2022 </w:t>
            </w:r>
            <w:r>
              <w:rPr>
                <w:rFonts w:ascii="Times New Roman" w:cs="Times New Roman" w:eastAsia="Times New Roman" w:hAnsi="Times New Roman"/>
                <w:sz w:val="22"/>
                <w:szCs w:val="22"/>
                <w:color w:val="auto"/>
                <w:w w:val="98"/>
                <w:vertAlign w:val="superscript"/>
              </w:rPr>
              <w:t>(3)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154,306</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152,347</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78,906</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78,736</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2022-3</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XOL Transaction</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1, 2022</w:t>
            </w:r>
          </w:p>
        </w:tc>
        <w:tc>
          <w:tcPr>
            <w:tcW w:w="24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7/1/2022 – 9/30/2022</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96,779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96,197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106,265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106,265</w:t>
            </w:r>
          </w:p>
        </w:tc>
        <w:tc>
          <w:tcPr>
            <w:tcW w:w="0" w:type="dxa"/>
            <w:vAlign w:val="bottom"/>
          </w:tcPr>
          <w:p>
            <w:pPr>
              <w:spacing w:after="0"/>
              <w:rPr>
                <w:sz w:val="1"/>
                <w:szCs w:val="1"/>
                <w:color w:val="auto"/>
              </w:rPr>
            </w:pPr>
          </w:p>
        </w:tc>
      </w:tr>
      <w:tr>
        <w:trPr>
          <w:trHeight w:val="220"/>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2023-1</w:t>
            </w:r>
          </w:p>
        </w:tc>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XOL 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1, 2023</w:t>
            </w:r>
          </w:p>
        </w:tc>
        <w:tc>
          <w:tcPr>
            <w:tcW w:w="24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10/1/2022 – 6/30/2023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89,864</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88,351</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146,513</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146,348</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2023-2</w:t>
            </w:r>
          </w:p>
        </w:tc>
        <w:tc>
          <w:tcPr>
            <w:tcW w:w="20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XOL Transaction </w:t>
            </w:r>
            <w:r>
              <w:rPr>
                <w:rFonts w:ascii="Times New Roman" w:cs="Times New Roman" w:eastAsia="Times New Roman" w:hAnsi="Times New Roman"/>
                <w:sz w:val="22"/>
                <w:szCs w:val="22"/>
                <w:color w:val="auto"/>
                <w:vertAlign w:val="superscript"/>
              </w:rPr>
              <w:t>(4)</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1, 2023</w:t>
            </w:r>
          </w:p>
        </w:tc>
        <w:tc>
          <w:tcPr>
            <w:tcW w:w="24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7/1/2023 – 12/31/2023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71,602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71,602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113,372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113,372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20" w:hanging="317"/>
        <w:spacing w:after="0" w:line="249" w:lineRule="auto"/>
        <w:tabs>
          <w:tab w:leader="none" w:pos="32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20" w:hanging="317"/>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spacing w:after="0" w:line="7" w:lineRule="exact"/>
        <w:rPr>
          <w:rFonts w:ascii="Times New Roman" w:cs="Times New Roman" w:eastAsia="Times New Roman" w:hAnsi="Times New Roman"/>
          <w:sz w:val="14"/>
          <w:szCs w:val="14"/>
          <w:color w:val="auto"/>
        </w:rPr>
      </w:pPr>
    </w:p>
    <w:p>
      <w:pPr>
        <w:ind w:left="320" w:hanging="317"/>
        <w:spacing w:after="0" w:line="236" w:lineRule="auto"/>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ind w:left="320" w:hanging="317"/>
        <w:spacing w:after="0" w:line="238" w:lineRule="auto"/>
        <w:tabs>
          <w:tab w:leader="none" w:pos="33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2023-2 XOL Transaction provides coverage for production generated between July 1, 2023 and December 31, 2023. The current reinsurance coverage and current first layer retained loss will decrease in future periods to the extent the PMIERs minimum required assets of the covered pool declines.</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Quota Share Reinsurance</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is party to seven quota share reinsurance treaties – the 2016 QSR Transaction, effective September 1, 2016, the 2018 QSR Transaction, effective January 1, 2018, the 2020 QSR Transaction, effective April 1, 2020 (and amended effective January 1, 2024), the 2021 QSR Transaction, effective January 1, 2021, the 2022 QSR Transaction, effective October 1, 2021, the 2022 Seasoned QSR Transaction, effective July 1, 2022 and the 2023 QSR Transaction, effective January 1, 2023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the 2016 QSR Transaction, NMIC cedes premiums written related to 25% of the risk on eligible primary policies written for all periods through December 31, 2017 in exchange for reimbursement of ceded claims and claim expenses on covered policies, a 20% ceding commission, and a profit commission of up to 60% that varies directly and inversely with ceded claims. NMIC previously ceded 100% of the risk under its pool agreement with Fannie Mae; however, such agreement expired on August 31, 2023 and NMIC no longer cedes pool risk under the 2016 QSR Transaction.</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99" w:lineRule="exact"/>
        <w:rPr>
          <w:sz w:val="20"/>
          <w:szCs w:val="20"/>
          <w:color w:val="auto"/>
        </w:rPr>
      </w:pPr>
    </w:p>
    <w:p>
      <w:pPr>
        <w:jc w:val="both"/>
        <w:ind w:firstLine="621"/>
        <w:spacing w:after="0" w:line="256" w:lineRule="auto"/>
        <w:rPr>
          <w:sz w:val="20"/>
          <w:szCs w:val="20"/>
          <w:color w:val="auto"/>
        </w:rPr>
      </w:pPr>
      <w:r>
        <w:rPr>
          <w:rFonts w:ascii="Times New Roman" w:cs="Times New Roman" w:eastAsia="Times New Roman" w:hAnsi="Times New Roman"/>
          <w:sz w:val="17"/>
          <w:szCs w:val="17"/>
          <w:color w:val="auto"/>
        </w:rPr>
        <w:t>Under the terms of the 2021 QSR Transaction, NMIC cedes premiums earned related to 22.5% of the risk on eligible policies written in 2021 (subject to an aggregate risk written limit which was exhausted on October 30, 2021), in exchange for reimbursement of ceded claims and claim expenses on covered policies, a 20% ceding commission, and a profit commission of up to 57.5% that varies directly and inversely with ceded claims.</w:t>
      </w:r>
    </w:p>
    <w:p>
      <w:pPr>
        <w:spacing w:after="0" w:line="20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2022 QSR Transaction, NMIC cedes premiums earned related to 20% of the risk on eligible policies written between October 30, 2021 and December 31, 2022, in exchange for reimbursement of ceded claims and claim expenses on covered policies, a 20% ceding commission, and a profit commission of up to 62% that varies directly and inversely with ceded claims.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In connection with the 2022 QSR Transaction, NMIC entered into the 2023 QSR Transaction as a springing back-to-back quota share agreement. Under the terms of the 2023 QSR Transaction, NMIC cedes premiums earned related to 20% of the risk on eligible policies written from January 1, 2023 to December 31, 2023, in exchange for reimbursement of ceded claims and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color w:val="auto"/>
        </w:rPr>
        <w:t>claim expenses on covered policies, a 20% ceding commission, and a profit commission of up to 62% that varies directly and inversely with ceded claims.</w:t>
      </w:r>
    </w:p>
    <w:p>
      <w:pPr>
        <w:spacing w:after="0" w:line="167"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in exchange for reimbursement of ceded claims and claim expenses on covered policies, a 35% ceding commission, and a profit commission of up to 55% that varies directly and inversely with ceded claims.</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(i.e., reinsurers continue providing coverage on all risk ceded prior to the termination date, with no new cessions going forward) or cut-off basis (i.e.,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w:t>
      </w:r>
    </w:p>
    <w:p>
      <w:pPr>
        <w:spacing w:after="0" w:line="99" w:lineRule="exact"/>
        <w:rPr>
          <w:sz w:val="20"/>
          <w:szCs w:val="20"/>
          <w:color w:val="auto"/>
        </w:rPr>
      </w:pPr>
    </w:p>
    <w:p>
      <w:pPr>
        <w:jc w:val="both"/>
        <w:ind w:firstLine="621"/>
        <w:spacing w:after="0" w:line="247" w:lineRule="auto"/>
        <w:rPr>
          <w:sz w:val="20"/>
          <w:szCs w:val="20"/>
          <w:color w:val="auto"/>
        </w:rPr>
      </w:pPr>
      <w:r>
        <w:rPr>
          <w:rFonts w:ascii="Times New Roman" w:cs="Times New Roman" w:eastAsia="Times New Roman" w:hAnsi="Times New Roman"/>
          <w:sz w:val="17"/>
          <w:szCs w:val="17"/>
          <w:color w:val="auto"/>
        </w:rPr>
        <w:t>Effective December 31, 2023, NMIC elected to selectively terminate its engagement with certain reinsurers under the 2020 QSR Transaction and concurrently entered into an amended agreement effective January 1, 2024 (the Amended 2020 QSR Transaction) with the remaining reinsurance participants. Under the Amended 2020 QSR Transaction, NMIC retains consistent coverage with that provided under the original 2020 QSR Transaction and continues to cede premiums earned related to 21% of the risk on eligible policies written from April 1, 2020 to December 31, 2020, in exchange for reimbursement of ceded claims and claim expenses on covered policies, a 36% ceding commission, and a profit commission of up to 50% that varies directly and inversely with ceded claims.</w:t>
      </w:r>
    </w:p>
    <w:p>
      <w:pPr>
        <w:spacing w:after="0" w:line="208" w:lineRule="exact"/>
        <w:rPr>
          <w:sz w:val="20"/>
          <w:szCs w:val="20"/>
          <w:color w:val="auto"/>
        </w:rPr>
      </w:pPr>
    </w:p>
    <w:p>
      <w:pPr>
        <w:ind w:right="40" w:firstLine="172"/>
        <w:spacing w:after="0" w:line="293" w:lineRule="auto"/>
        <w:rPr>
          <w:sz w:val="20"/>
          <w:szCs w:val="20"/>
          <w:color w:val="auto"/>
        </w:rPr>
      </w:pPr>
      <w:r>
        <w:rPr>
          <w:rFonts w:ascii="Times New Roman" w:cs="Times New Roman" w:eastAsia="Times New Roman" w:hAnsi="Times New Roman"/>
          <w:sz w:val="17"/>
          <w:szCs w:val="17"/>
          <w:color w:val="auto"/>
        </w:rPr>
        <w:t>See Item 8, “</w:t>
      </w:r>
      <w:r>
        <w:rPr>
          <w:rFonts w:ascii="Times New Roman" w:cs="Times New Roman" w:eastAsia="Times New Roman" w:hAnsi="Times New Roman"/>
          <w:sz w:val="17"/>
          <w:szCs w:val="17"/>
          <w:i w:val="1"/>
          <w:iCs w:val="1"/>
          <w:color w:val="auto"/>
        </w:rPr>
        <w:t>Financial Statements and Supplementary Data - Notes to Consolidated Financial Statements - Note 6, Reinsurance</w:t>
      </w:r>
      <w:r>
        <w:rPr>
          <w:rFonts w:ascii="Times New Roman" w:cs="Times New Roman" w:eastAsia="Times New Roman" w:hAnsi="Times New Roman"/>
          <w:sz w:val="17"/>
          <w:szCs w:val="17"/>
          <w:color w:val="auto"/>
        </w:rPr>
        <w:t>” for further discussion of these third-party reinsurance arrangements.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Portfolio Data</w:t>
      </w:r>
    </w:p>
    <w:p>
      <w:pPr>
        <w:spacing w:after="0" w:line="171"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primary and pool IIF and NIW as of the dates and for the periods indicated. Unless otherwise noted, the tables below do not include the effects of our third-party reinsurance arrangements described above.</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and pool IIF and NIW</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As of and for the years ended December 31,</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
        </w:trPr>
        <w:tc>
          <w:tcPr>
            <w:tcW w:w="3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3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spacing w:after="0"/>
              <w:rPr>
                <w:sz w:val="15"/>
                <w:szCs w:val="15"/>
                <w:color w:val="auto"/>
              </w:rPr>
            </w:pPr>
          </w:p>
        </w:tc>
      </w:tr>
      <w:tr>
        <w:trPr>
          <w:trHeight w:val="187"/>
        </w:trPr>
        <w:tc>
          <w:tcPr>
            <w:tcW w:w="3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IIF</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NIW</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IIF</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NIW</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IIF</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NIW</w:t>
            </w:r>
          </w:p>
        </w:tc>
      </w:tr>
      <w:tr>
        <w:trPr>
          <w:trHeight w:val="187"/>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5"/>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Monthly</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177,764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39,468</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77,019</w:t>
            </w:r>
          </w:p>
        </w:tc>
      </w:tr>
      <w:tr>
        <w:trPr>
          <w:trHeight w:val="220"/>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Single</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8,555</w:t>
            </w:r>
          </w:p>
        </w:tc>
      </w:tr>
      <w:tr>
        <w:trPr>
          <w:trHeight w:val="21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Primary</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85,574</w:t>
            </w:r>
          </w:p>
        </w:tc>
      </w:tr>
      <w:tr>
        <w:trPr>
          <w:trHeight w:val="103"/>
        </w:trPr>
        <w:tc>
          <w:tcPr>
            <w:tcW w:w="3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Pool</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40,473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185,017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153,572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85,574</w:t>
            </w:r>
          </w:p>
        </w:tc>
      </w:tr>
      <w:tr>
        <w:trPr>
          <w:trHeight w:val="20"/>
        </w:trPr>
        <w:tc>
          <w:tcPr>
            <w:tcW w:w="3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NIW for the years ended December 31, 2023, 2022 and 2021 was $40.5 billion, $58.7 billion and $85.6 billion, respectively. The sequential decrease in NIW during each successive year was primarily due to a decline in the size of the total mortgage insurance market.</w:t>
      </w:r>
    </w:p>
    <w:p>
      <w:pPr>
        <w:spacing w:after="0" w:line="95"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Total IIF increased 6% at December 31, 2023 compared to December 31, 2022, which in turn grew 20% compared to December 31, 2021, primarily due to the NIW generated between such measurement dates, partially offset by the run-off of in-force policies.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2" w:name="page63"/>
    <w:bookmarkEnd w:id="62"/>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persistency rate improved to 86% at December 31, 2023, compared to 84% at December 31, 2022 and 64% at December 31, 2021. Our persistency rate improved in each successive year primarily due to a slowdown in the pace of refinancing activity tied to rising interest and mortgage note rates. Our persistency rate as of December 31, 2021 was historically low, reflecting the impact of significant mortgage refinancing activity during the preceding twelve-month period due to record low interest and mortgage rates.</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net premiums written and earned for the periods indicated:</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and pool premiums written and earned</w:t>
            </w: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20" w:type="dxa"/>
            <w:vAlign w:val="bottom"/>
            <w:gridSpan w:val="3"/>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320" w:type="dxa"/>
            <w:vAlign w:val="bottom"/>
          </w:tcPr>
          <w:p>
            <w:pPr>
              <w:spacing w:after="0"/>
              <w:rPr>
                <w:sz w:val="15"/>
                <w:szCs w:val="15"/>
                <w:color w:val="auto"/>
              </w:rPr>
            </w:pPr>
          </w:p>
        </w:tc>
      </w:tr>
      <w:tr>
        <w:trPr>
          <w:trHeight w:val="23"/>
        </w:trPr>
        <w:tc>
          <w:tcPr>
            <w:tcW w:w="5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72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center"/>
              <w:ind w:right="222"/>
              <w:spacing w:after="0"/>
              <w:rPr>
                <w:sz w:val="20"/>
                <w:szCs w:val="20"/>
                <w:color w:val="auto"/>
              </w:rPr>
            </w:pPr>
            <w:r>
              <w:rPr>
                <w:rFonts w:ascii="Times New Roman" w:cs="Times New Roman" w:eastAsia="Times New Roman" w:hAnsi="Times New Roman"/>
                <w:sz w:val="14"/>
                <w:szCs w:val="14"/>
                <w:i w:val="1"/>
                <w:iCs w:val="1"/>
                <w:color w:val="auto"/>
                <w:w w:val="96"/>
              </w:rPr>
              <w:t>(In Thousands)</w:t>
            </w: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premiums written</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480,540</w:t>
            </w:r>
          </w:p>
        </w:tc>
        <w:tc>
          <w:tcPr>
            <w:tcW w:w="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460,246</w:t>
            </w:r>
          </w:p>
        </w:tc>
        <w:tc>
          <w:tcPr>
            <w:tcW w:w="5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468,511</w:t>
            </w:r>
          </w:p>
        </w:tc>
      </w:tr>
      <w:tr>
        <w:trPr>
          <w:trHeight w:val="226"/>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premiums earned</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510,768</w:t>
            </w:r>
          </w:p>
        </w:tc>
        <w:tc>
          <w:tcPr>
            <w:tcW w:w="440" w:type="dxa"/>
            <w:vAlign w:val="bottom"/>
          </w:tcPr>
          <w:p>
            <w:pPr>
              <w:spacing w:after="0"/>
              <w:rPr>
                <w:sz w:val="19"/>
                <w:szCs w:val="19"/>
                <w:color w:val="auto"/>
              </w:rPr>
            </w:pPr>
          </w:p>
        </w:tc>
        <w:tc>
          <w:tcPr>
            <w:tcW w:w="148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rPr>
              <w:t>475,266</w:t>
            </w: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444,294</w:t>
            </w:r>
          </w:p>
        </w:tc>
      </w:tr>
    </w:tbl>
    <w:p>
      <w:pPr>
        <w:spacing w:after="0" w:line="2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Net premiums written increased 4% during the year ended December 31, 2023 compared to the year ended December 31, 2022, reflecting the growth in our monthly IIF and monthly pay premium receipts, partially offset by an increase in total premiums ceded under our reinsurance treaties and a decline in single premium policy production.</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Net premiums written decreased 2% during the year ended December 31, 2022 compared to the year ended December 31, 2021, reflecting an increase in cessions under our reinsurance treaties and a decline in single premium policy production, balanced by growth in our monthly IIF and monthly pay policy premium receipts during the year.</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Net premiums earned increased 7% during both the years ended December 31, 2023 and 2022. The sequential increase in net premiums earned during each successive year was primarily driven by our NIW production and the growth of our IIF, partially offset by the increase in total premiums ceded under our reinsurance treaties and a decline in the contribution from single premiums policy cancellations.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Pool premiums written and earned for the years ended December 31, 2023, 2022 and 2021 were $0.7 million, $1.2 million and $1.6 million, respectively, before giving effect to the 2016 QSR Transaction, under which all of our written and earned pool premiums are ceded. A portion of our ceded pool premiums written and earned are recouped through profit commission. Our pool insurance agreement with Fannie Mae expired on August 31, 2023 and we will not recognize any pool premiums written, earned or ceded in connection with the agreement in future periods.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3" w:name="page64"/>
    <w:bookmarkEnd w:id="63"/>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Portfolio Statistics</w:t>
      </w:r>
    </w:p>
    <w:p>
      <w:pPr>
        <w:spacing w:after="0" w:line="171"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76"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portfolio trends</w:t>
            </w:r>
          </w:p>
        </w:tc>
        <w:tc>
          <w:tcPr>
            <w:tcW w:w="1220" w:type="dxa"/>
            <w:vAlign w:val="bottom"/>
          </w:tcPr>
          <w:p>
            <w:pPr>
              <w:spacing w:after="0"/>
              <w:rPr>
                <w:sz w:val="15"/>
                <w:szCs w:val="15"/>
                <w:color w:val="auto"/>
              </w:rPr>
            </w:pPr>
          </w:p>
        </w:tc>
        <w:tc>
          <w:tcPr>
            <w:tcW w:w="362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As of and for the years ended December 31,</w:t>
            </w:r>
          </w:p>
        </w:tc>
        <w:tc>
          <w:tcPr>
            <w:tcW w:w="1540" w:type="dxa"/>
            <w:vAlign w:val="bottom"/>
          </w:tcPr>
          <w:p>
            <w:pPr>
              <w:spacing w:after="0"/>
              <w:rPr>
                <w:sz w:val="15"/>
                <w:szCs w:val="15"/>
                <w:color w:val="auto"/>
              </w:rPr>
            </w:pPr>
          </w:p>
        </w:tc>
      </w:tr>
      <w:tr>
        <w:trPr>
          <w:trHeight w:val="23"/>
        </w:trPr>
        <w:tc>
          <w:tcPr>
            <w:tcW w:w="4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1"/>
        </w:trPr>
        <w:tc>
          <w:tcPr>
            <w:tcW w:w="476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4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2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i w:val="1"/>
                <w:iCs w:val="1"/>
                <w:color w:val="auto"/>
              </w:rPr>
              <w:t>($ Values In Millions, except as noted below)</w:t>
            </w:r>
          </w:p>
        </w:tc>
        <w:tc>
          <w:tcPr>
            <w:tcW w:w="1540" w:type="dxa"/>
            <w:vAlign w:val="bottom"/>
          </w:tcPr>
          <w:p>
            <w:pPr>
              <w:spacing w:after="0"/>
              <w:rPr>
                <w:sz w:val="16"/>
                <w:szCs w:val="16"/>
                <w:color w:val="auto"/>
              </w:rPr>
            </w:pPr>
          </w:p>
        </w:tc>
      </w:tr>
      <w:tr>
        <w:trPr>
          <w:trHeight w:val="225"/>
        </w:trPr>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New insurance written</w:t>
            </w: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40,473</w:t>
            </w:r>
          </w:p>
        </w:tc>
        <w:tc>
          <w:tcPr>
            <w:tcW w:w="5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58,734</w:t>
            </w:r>
          </w:p>
        </w:tc>
        <w:tc>
          <w:tcPr>
            <w:tcW w:w="5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85,574</w:t>
            </w:r>
          </w:p>
        </w:tc>
      </w:tr>
      <w:tr>
        <w:trPr>
          <w:trHeight w:val="220"/>
        </w:trPr>
        <w:tc>
          <w:tcPr>
            <w:tcW w:w="47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Percentage of monthly premium</w:t>
            </w:r>
          </w:p>
        </w:tc>
        <w:tc>
          <w:tcPr>
            <w:tcW w:w="1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r>
      <w:tr>
        <w:trPr>
          <w:trHeight w:val="220"/>
        </w:trPr>
        <w:tc>
          <w:tcPr>
            <w:tcW w:w="47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Percentage of single premium</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20"/>
        </w:trPr>
        <w:tc>
          <w:tcPr>
            <w:tcW w:w="4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New risk written</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10,661</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15,520</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21,607</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Insurance-in-force </w:t>
            </w:r>
            <w:r>
              <w:rPr>
                <w:rFonts w:ascii="Times New Roman" w:cs="Times New Roman" w:eastAsia="Times New Roman" w:hAnsi="Times New Roman"/>
                <w:sz w:val="22"/>
                <w:szCs w:val="22"/>
                <w:color w:val="auto"/>
                <w:vertAlign w:val="superscript"/>
              </w:rPr>
              <w:t>(1)</w:t>
            </w: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197,029</w:t>
            </w:r>
          </w:p>
        </w:tc>
        <w:tc>
          <w:tcPr>
            <w:tcW w:w="5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183,968</w:t>
            </w:r>
          </w:p>
        </w:tc>
        <w:tc>
          <w:tcPr>
            <w:tcW w:w="5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152,343</w:t>
            </w:r>
          </w:p>
        </w:tc>
      </w:tr>
      <w:tr>
        <w:trPr>
          <w:trHeight w:val="220"/>
        </w:trPr>
        <w:tc>
          <w:tcPr>
            <w:tcW w:w="47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Percentage of monthly premium</w:t>
            </w:r>
          </w:p>
        </w:tc>
        <w:tc>
          <w:tcPr>
            <w:tcW w:w="1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87 %</w:t>
            </w:r>
          </w:p>
        </w:tc>
      </w:tr>
      <w:tr>
        <w:trPr>
          <w:trHeight w:val="220"/>
        </w:trPr>
        <w:tc>
          <w:tcPr>
            <w:tcW w:w="47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Percentage of single premium</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20"/>
        </w:trPr>
        <w:tc>
          <w:tcPr>
            <w:tcW w:w="4760" w:type="dxa"/>
            <w:vAlign w:val="bottom"/>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Risk-in-force </w:t>
            </w:r>
            <w:r>
              <w:rPr>
                <w:rFonts w:ascii="Times New Roman" w:cs="Times New Roman" w:eastAsia="Times New Roman" w:hAnsi="Times New Roman"/>
                <w:sz w:val="22"/>
                <w:szCs w:val="22"/>
                <w:color w:val="auto"/>
                <w:vertAlign w:val="superscript"/>
              </w:rPr>
              <w:t>(1)</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51,796</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47,648</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38,661</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Policies in force (count) </w:t>
            </w:r>
            <w:r>
              <w:rPr>
                <w:rFonts w:ascii="Times New Roman" w:cs="Times New Roman" w:eastAsia="Times New Roman" w:hAnsi="Times New Roman"/>
                <w:sz w:val="22"/>
                <w:szCs w:val="22"/>
                <w:color w:val="auto"/>
                <w:vertAlign w:val="superscript"/>
              </w:rPr>
              <w:t>(1)</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629,690</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594,142</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512,316</w:t>
            </w:r>
          </w:p>
        </w:tc>
      </w:tr>
      <w:tr>
        <w:trPr>
          <w:trHeight w:val="220"/>
        </w:trPr>
        <w:tc>
          <w:tcPr>
            <w:tcW w:w="4760" w:type="dxa"/>
            <w:vAlign w:val="bottom"/>
          </w:tcPr>
          <w:p>
            <w:pPr>
              <w:ind w:left="200"/>
              <w:spacing w:after="0" w:line="220" w:lineRule="exact"/>
              <w:rPr>
                <w:sz w:val="20"/>
                <w:szCs w:val="20"/>
                <w:color w:val="auto"/>
              </w:rPr>
            </w:pPr>
            <w:r>
              <w:rPr>
                <w:rFonts w:ascii="Times New Roman" w:cs="Times New Roman" w:eastAsia="Times New Roman" w:hAnsi="Times New Roman"/>
                <w:sz w:val="17"/>
                <w:szCs w:val="17"/>
                <w:color w:val="auto"/>
              </w:rPr>
              <w:t>Average loan size (</w:t>
            </w:r>
            <w:r>
              <w:rPr>
                <w:rFonts w:ascii="Times New Roman" w:cs="Times New Roman" w:eastAsia="Times New Roman" w:hAnsi="Times New Roman"/>
                <w:sz w:val="17"/>
                <w:szCs w:val="17"/>
                <w:i w:val="1"/>
                <w:iCs w:val="1"/>
                <w:color w:val="auto"/>
              </w:rPr>
              <w:t>$ value in thousands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2"/>
                <w:szCs w:val="22"/>
                <w:color w:val="auto"/>
                <w:vertAlign w:val="superscript"/>
              </w:rPr>
              <w:t>(1)</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313</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310</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297</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Coverage percentage </w:t>
            </w:r>
            <w:r>
              <w:rPr>
                <w:rFonts w:ascii="Times New Roman" w:cs="Times New Roman" w:eastAsia="Times New Roman" w:hAnsi="Times New Roman"/>
                <w:sz w:val="22"/>
                <w:szCs w:val="22"/>
                <w:color w:val="auto"/>
                <w:vertAlign w:val="superscript"/>
              </w:rPr>
              <w:t>(2)</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r>
      <w:tr>
        <w:trPr>
          <w:trHeight w:val="220"/>
        </w:trPr>
        <w:tc>
          <w:tcPr>
            <w:tcW w:w="4760" w:type="dxa"/>
            <w:vAlign w:val="bottom"/>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Loans in default (count) </w:t>
            </w:r>
            <w:r>
              <w:rPr>
                <w:rFonts w:ascii="Times New Roman" w:cs="Times New Roman" w:eastAsia="Times New Roman" w:hAnsi="Times New Roman"/>
                <w:sz w:val="22"/>
                <w:szCs w:val="22"/>
                <w:color w:val="auto"/>
                <w:vertAlign w:val="superscript"/>
              </w:rPr>
              <w:t>(1)</w:t>
            </w:r>
          </w:p>
        </w:tc>
        <w:tc>
          <w:tcPr>
            <w:tcW w:w="1220" w:type="dxa"/>
            <w:vAlign w:val="bottom"/>
          </w:tcPr>
          <w:p>
            <w:pPr>
              <w:spacing w:after="0"/>
              <w:rPr>
                <w:sz w:val="19"/>
                <w:szCs w:val="19"/>
                <w:color w:val="auto"/>
              </w:rPr>
            </w:pP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5,099</w:t>
            </w:r>
          </w:p>
        </w:tc>
        <w:tc>
          <w:tcPr>
            <w:tcW w:w="560" w:type="dxa"/>
            <w:vAlign w:val="bottom"/>
          </w:tcPr>
          <w:p>
            <w:pPr>
              <w:spacing w:after="0"/>
              <w:rPr>
                <w:sz w:val="19"/>
                <w:szCs w:val="19"/>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4,449</w:t>
            </w:r>
          </w:p>
        </w:tc>
        <w:tc>
          <w:tcPr>
            <w:tcW w:w="58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6,227</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Default rate </w:t>
            </w:r>
            <w:r>
              <w:rPr>
                <w:rFonts w:ascii="Times New Roman" w:cs="Times New Roman" w:eastAsia="Times New Roman" w:hAnsi="Times New Roman"/>
                <w:sz w:val="22"/>
                <w:szCs w:val="22"/>
                <w:color w:val="auto"/>
                <w:vertAlign w:val="superscript"/>
              </w:rPr>
              <w:t>(1)</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1.22 %</w:t>
            </w:r>
          </w:p>
        </w:tc>
      </w:tr>
      <w:tr>
        <w:trPr>
          <w:trHeight w:val="220"/>
        </w:trPr>
        <w:tc>
          <w:tcPr>
            <w:tcW w:w="4760" w:type="dxa"/>
            <w:vAlign w:val="bottom"/>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Risk-in-force on defaulted loans </w:t>
            </w:r>
            <w:r>
              <w:rPr>
                <w:rFonts w:ascii="Times New Roman" w:cs="Times New Roman" w:eastAsia="Times New Roman" w:hAnsi="Times New Roman"/>
                <w:sz w:val="22"/>
                <w:szCs w:val="22"/>
                <w:color w:val="auto"/>
                <w:vertAlign w:val="superscript"/>
              </w:rPr>
              <w:t>(1)</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408</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323</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435</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Average net premium yield </w:t>
            </w:r>
            <w:r>
              <w:rPr>
                <w:rFonts w:ascii="Times New Roman" w:cs="Times New Roman" w:eastAsia="Times New Roman" w:hAnsi="Times New Roman"/>
                <w:sz w:val="22"/>
                <w:szCs w:val="22"/>
                <w:color w:val="auto"/>
                <w:vertAlign w:val="superscript"/>
              </w:rPr>
              <w:t>(3)</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0.34 %</w:t>
            </w:r>
          </w:p>
        </w:tc>
      </w:tr>
      <w:tr>
        <w:trPr>
          <w:trHeight w:val="220"/>
        </w:trPr>
        <w:tc>
          <w:tcPr>
            <w:tcW w:w="4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Earnings from cancellations</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4</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8</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30</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Annual persistency </w:t>
            </w:r>
            <w:r>
              <w:rPr>
                <w:rFonts w:ascii="Times New Roman" w:cs="Times New Roman" w:eastAsia="Times New Roman" w:hAnsi="Times New Roman"/>
                <w:sz w:val="22"/>
                <w:szCs w:val="22"/>
                <w:color w:val="auto"/>
                <w:vertAlign w:val="superscript"/>
              </w:rPr>
              <w:t>(4)</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64 %</w:t>
            </w:r>
          </w:p>
        </w:tc>
      </w:tr>
      <w:tr>
        <w:trPr>
          <w:trHeight w:val="296"/>
        </w:trPr>
        <w:tc>
          <w:tcPr>
            <w:tcW w:w="4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Quarterly run-off </w:t>
            </w:r>
            <w:r>
              <w:rPr>
                <w:rFonts w:ascii="Times New Roman" w:cs="Times New Roman" w:eastAsia="Times New Roman" w:hAnsi="Times New Roman"/>
                <w:sz w:val="22"/>
                <w:szCs w:val="22"/>
                <w:color w:val="auto"/>
                <w:vertAlign w:val="superscript"/>
              </w:rPr>
              <w:t>(5)</w:t>
            </w:r>
          </w:p>
        </w:tc>
        <w:tc>
          <w:tcPr>
            <w:tcW w:w="1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5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5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6.7 %</w:t>
            </w:r>
          </w:p>
        </w:tc>
      </w:tr>
    </w:tbl>
    <w:p>
      <w:pPr>
        <w:spacing w:after="0" w:line="46" w:lineRule="exact"/>
        <w:rPr>
          <w:sz w:val="20"/>
          <w:szCs w:val="20"/>
          <w:color w:val="auto"/>
        </w:rPr>
      </w:pPr>
    </w:p>
    <w:p>
      <w:pPr>
        <w:ind w:left="300" w:hanging="297"/>
        <w:spacing w:after="0"/>
        <w:tabs>
          <w:tab w:leader="none" w:pos="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as of the end of the period.</w:t>
      </w:r>
    </w:p>
    <w:p>
      <w:pPr>
        <w:spacing w:after="0" w:line="8"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end of period RIF divided by end of period IIF.</w:t>
      </w:r>
    </w:p>
    <w:p>
      <w:pPr>
        <w:spacing w:after="0" w:line="3" w:lineRule="exact"/>
        <w:rPr>
          <w:rFonts w:ascii="Times New Roman" w:cs="Times New Roman" w:eastAsia="Times New Roman" w:hAnsi="Times New Roman"/>
          <w:sz w:val="14"/>
          <w:szCs w:val="14"/>
          <w:color w:val="auto"/>
        </w:rPr>
      </w:pPr>
    </w:p>
    <w:p>
      <w:pPr>
        <w:ind w:left="340" w:hanging="337"/>
        <w:spacing w:after="0"/>
        <w:tabs>
          <w:tab w:leader="none" w:pos="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net premiums earned divided by average primary IIF for the period.</w:t>
      </w:r>
    </w:p>
    <w:p>
      <w:pPr>
        <w:spacing w:after="0" w:line="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percentage of IIF that remains on our books after a given twelve-month period.</w:t>
      </w:r>
    </w:p>
    <w:p>
      <w:pPr>
        <w:spacing w:after="0" w:line="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percentage of IIF that is no longer on our books after a given three-month period. Figures shown represent fourth quarter values for the respective years.</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table below presents a summary of the change in total primary IIF for the dates and periods indicated.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w:t>
            </w:r>
          </w:p>
        </w:tc>
        <w:tc>
          <w:tcPr>
            <w:tcW w:w="1060" w:type="dxa"/>
            <w:vAlign w:val="bottom"/>
          </w:tcPr>
          <w:p>
            <w:pPr>
              <w:spacing w:after="0"/>
              <w:rPr>
                <w:sz w:val="15"/>
                <w:szCs w:val="15"/>
                <w:color w:val="auto"/>
              </w:rPr>
            </w:pPr>
          </w:p>
        </w:tc>
        <w:tc>
          <w:tcPr>
            <w:tcW w:w="3140" w:type="dxa"/>
            <w:vAlign w:val="bottom"/>
            <w:gridSpan w:val="6"/>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8"/>
              </w:rPr>
              <w:t>As of and for the years ended December 31,</w:t>
            </w:r>
          </w:p>
        </w:tc>
        <w:tc>
          <w:tcPr>
            <w:tcW w:w="1220" w:type="dxa"/>
            <w:vAlign w:val="bottom"/>
          </w:tcPr>
          <w:p>
            <w:pPr>
              <w:spacing w:after="0"/>
              <w:rPr>
                <w:sz w:val="15"/>
                <w:szCs w:val="15"/>
                <w:color w:val="auto"/>
              </w:rPr>
            </w:pPr>
          </w:p>
        </w:tc>
      </w:tr>
      <w:tr>
        <w:trPr>
          <w:trHeight w:val="23"/>
        </w:trPr>
        <w:tc>
          <w:tcPr>
            <w:tcW w:w="5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572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IIF, beginning of period</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111,252</w:t>
            </w:r>
          </w:p>
        </w:tc>
      </w:tr>
      <w:tr>
        <w:trPr>
          <w:trHeight w:val="220"/>
        </w:trPr>
        <w:tc>
          <w:tcPr>
            <w:tcW w:w="5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NIW</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85,574</w:t>
            </w:r>
          </w:p>
        </w:tc>
      </w:tr>
      <w:tr>
        <w:trPr>
          <w:trHeight w:val="220"/>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Cancellations, principal repayments and other reductions</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(27,109)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(44,483)</w:t>
            </w: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IIF, end of period</w:t>
            </w: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152,343</w:t>
            </w:r>
          </w:p>
        </w:tc>
      </w:tr>
      <w:tr>
        <w:trPr>
          <w:trHeight w:val="20"/>
        </w:trPr>
        <w:tc>
          <w:tcPr>
            <w:tcW w:w="5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64" w:name="page65"/>
    <w:bookmarkEnd w:id="64"/>
    <w:p>
      <w:pPr>
        <w:ind w:left="620"/>
        <w:spacing w:after="0"/>
        <w:rPr>
          <w:sz w:val="20"/>
          <w:szCs w:val="20"/>
          <w:color w:val="auto"/>
        </w:rPr>
      </w:pPr>
      <w:r>
        <w:rPr>
          <w:rFonts w:ascii="Times New Roman" w:cs="Times New Roman" w:eastAsia="Times New Roman" w:hAnsi="Times New Roman"/>
          <w:sz w:val="17"/>
          <w:szCs w:val="17"/>
          <w:color w:val="auto"/>
        </w:rPr>
        <w:t>The table below presents a summary of our primary IIF and RIF by book year as of the dates indicated.</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and RIF</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
        </w:trPr>
        <w:tc>
          <w:tcPr>
            <w:tcW w:w="2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2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Borders>
              <w:bottom w:val="single" w:sz="8" w:color="auto"/>
            </w:tcBorders>
          </w:tcPr>
          <w:p>
            <w:pPr>
              <w:spacing w:after="0"/>
              <w:rPr>
                <w:sz w:val="15"/>
                <w:szCs w:val="15"/>
                <w:color w:val="auto"/>
              </w:rPr>
            </w:pPr>
          </w:p>
        </w:tc>
      </w:tr>
      <w:tr>
        <w:trPr>
          <w:trHeight w:val="185"/>
        </w:trPr>
        <w:tc>
          <w:tcPr>
            <w:tcW w:w="2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IIF</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RIF</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IIF</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w w:val="99"/>
              </w:rPr>
              <w:t>RIF</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IIF</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RIF</w:t>
            </w:r>
          </w:p>
        </w:tc>
      </w:tr>
      <w:tr>
        <w:trPr>
          <w:trHeight w:val="188"/>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Book year</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15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56,579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20,591</w:t>
            </w: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34,656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11,023</w:t>
            </w:r>
          </w:p>
        </w:tc>
      </w:tr>
      <w:tr>
        <w:trPr>
          <w:trHeight w:val="22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3,249</w:t>
            </w:r>
          </w:p>
        </w:tc>
      </w:tr>
      <w:tr>
        <w:trPr>
          <w:trHeight w:val="22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2018 and before</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3,798</w:t>
            </w:r>
          </w:p>
        </w:tc>
      </w:tr>
      <w:tr>
        <w:trPr>
          <w:trHeight w:val="238"/>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38,661</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FICO</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20" w:type="dxa"/>
            <w:vAlign w:val="bottom"/>
            <w:gridSpan w:val="6"/>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40" w:type="dxa"/>
            <w:vAlign w:val="bottom"/>
          </w:tcPr>
          <w:p>
            <w:pPr>
              <w:spacing w:after="0"/>
              <w:rPr>
                <w:sz w:val="15"/>
                <w:szCs w:val="15"/>
                <w:color w:val="auto"/>
              </w:rPr>
            </w:pPr>
          </w:p>
        </w:tc>
      </w:tr>
      <w:tr>
        <w:trPr>
          <w:trHeight w:val="23"/>
        </w:trPr>
        <w:tc>
          <w:tcPr>
            <w:tcW w:w="5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1"/>
        </w:trPr>
        <w:tc>
          <w:tcPr>
            <w:tcW w:w="5640" w:type="dxa"/>
            <w:vAlign w:val="bottom"/>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&gt;= 760</w:t>
            </w: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22,995</w:t>
            </w:r>
          </w:p>
        </w:tc>
        <w:tc>
          <w:tcPr>
            <w:tcW w:w="4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40,408</w:t>
            </w:r>
          </w:p>
        </w:tc>
      </w:tr>
      <w:tr>
        <w:trPr>
          <w:trHeight w:val="220"/>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740-759</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15,927</w:t>
            </w:r>
          </w:p>
        </w:tc>
      </w:tr>
      <w:tr>
        <w:trPr>
          <w:trHeight w:val="22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720-739</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12,511</w:t>
            </w:r>
          </w:p>
        </w:tc>
      </w:tr>
      <w:tr>
        <w:trPr>
          <w:trHeight w:val="220"/>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700-719</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8,450</w:t>
            </w:r>
          </w:p>
        </w:tc>
      </w:tr>
      <w:tr>
        <w:trPr>
          <w:trHeight w:val="22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680-699</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5,792</w:t>
            </w:r>
          </w:p>
        </w:tc>
      </w:tr>
      <w:tr>
        <w:trPr>
          <w:trHeight w:val="220"/>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&lt;=679</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2,486</w:t>
            </w:r>
          </w:p>
        </w:tc>
      </w:tr>
      <w:tr>
        <w:trPr>
          <w:trHeight w:val="21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40,473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85,574</w:t>
            </w: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FICO</w:t>
            </w: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w:t>
            </w:r>
          </w:p>
        </w:tc>
      </w:tr>
      <w:tr>
        <w:trPr>
          <w:trHeight w:val="20"/>
        </w:trPr>
        <w:tc>
          <w:tcPr>
            <w:tcW w:w="5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LTV</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
        </w:trPr>
        <w:tc>
          <w:tcPr>
            <w:tcW w:w="5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1"/>
        </w:trPr>
        <w:tc>
          <w:tcPr>
            <w:tcW w:w="538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5"/>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95.01% and above</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3,713</w:t>
            </w:r>
          </w:p>
        </w:tc>
        <w:tc>
          <w:tcPr>
            <w:tcW w:w="4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5,199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8,153</w:t>
            </w:r>
          </w:p>
        </w:tc>
      </w:tr>
      <w:tr>
        <w:trPr>
          <w:trHeight w:val="220"/>
        </w:trPr>
        <w:tc>
          <w:tcPr>
            <w:tcW w:w="5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90.01% to 95.00%</w:t>
            </w:r>
          </w:p>
        </w:tc>
        <w:tc>
          <w:tcPr>
            <w:tcW w:w="1100" w:type="dxa"/>
            <w:vAlign w:val="bottom"/>
          </w:tcPr>
          <w:p>
            <w:pPr>
              <w:spacing w:after="0"/>
              <w:rPr>
                <w:sz w:val="19"/>
                <w:szCs w:val="19"/>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18,929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30,031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38,215</w:t>
            </w:r>
          </w:p>
        </w:tc>
      </w:tr>
      <w:tr>
        <w:trPr>
          <w:trHeight w:val="220"/>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85.01% to 90.00%</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16,637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24,655</w:t>
            </w:r>
          </w:p>
        </w:tc>
      </w:tr>
      <w:tr>
        <w:trPr>
          <w:trHeight w:val="220"/>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85.00% and below</w:t>
            </w: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4,234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rPr>
              <w:t>6,867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14,551</w:t>
            </w:r>
          </w:p>
        </w:tc>
      </w:tr>
      <w:tr>
        <w:trPr>
          <w:trHeight w:val="21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40,473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58,734</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85,574</w:t>
            </w:r>
          </w:p>
        </w:tc>
      </w:tr>
      <w:tr>
        <w:trPr>
          <w:trHeight w:val="21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LTV</w:t>
            </w:r>
          </w:p>
        </w:tc>
        <w:tc>
          <w:tcPr>
            <w:tcW w:w="1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92.2 %</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91.4 %</w:t>
            </w:r>
          </w:p>
        </w:tc>
      </w:tr>
      <w:tr>
        <w:trPr>
          <w:trHeight w:val="20"/>
        </w:trPr>
        <w:tc>
          <w:tcPr>
            <w:tcW w:w="5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purchase/refinance mix</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20" w:type="dxa"/>
            <w:vAlign w:val="bottom"/>
            <w:gridSpan w:val="6"/>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40" w:type="dxa"/>
            <w:vAlign w:val="bottom"/>
          </w:tcPr>
          <w:p>
            <w:pPr>
              <w:spacing w:after="0"/>
              <w:rPr>
                <w:sz w:val="15"/>
                <w:szCs w:val="15"/>
                <w:color w:val="auto"/>
              </w:rPr>
            </w:pPr>
          </w:p>
        </w:tc>
      </w:tr>
      <w:tr>
        <w:trPr>
          <w:trHeight w:val="23"/>
        </w:trPr>
        <w:tc>
          <w:tcPr>
            <w:tcW w:w="5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1"/>
        </w:trPr>
        <w:tc>
          <w:tcPr>
            <w:tcW w:w="5640" w:type="dxa"/>
            <w:vAlign w:val="bottom"/>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w:t>
            </w: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39,629</w:t>
            </w:r>
          </w:p>
        </w:tc>
        <w:tc>
          <w:tcPr>
            <w:tcW w:w="4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57,045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70,318</w:t>
            </w:r>
          </w:p>
        </w:tc>
      </w:tr>
      <w:tr>
        <w:trPr>
          <w:trHeight w:val="220"/>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Refinance</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1,689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15,256</w:t>
            </w:r>
          </w:p>
        </w:tc>
      </w:tr>
      <w:tr>
        <w:trPr>
          <w:trHeight w:val="23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40,473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85,574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tables below present our total primary IIF and RIF by FICO and LTV, and total primary RIF by loan type as of the dates indicated.</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IIF by FICO</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
        </w:trPr>
        <w:tc>
          <w:tcPr>
            <w:tcW w:w="3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r>
      <w:tr>
        <w:trPr>
          <w:trHeight w:val="181"/>
        </w:trPr>
        <w:tc>
          <w:tcPr>
            <w:tcW w:w="36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87"/>
        </w:trPr>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140"/>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5"/>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&gt;= 760</w:t>
            </w:r>
          </w:p>
        </w:tc>
        <w:tc>
          <w:tcPr>
            <w:tcW w:w="2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98,034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89,554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76,449</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740-759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32,691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26,219</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720-739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21,356</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700-719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14,401</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680-699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9,654</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&lt;=679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4,264</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152,343</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02"/>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RIF by FICO</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3"/>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r>
      <w:tr>
        <w:trPr>
          <w:trHeight w:val="181"/>
        </w:trPr>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87"/>
        </w:trPr>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180"/>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5"/>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&gt;= 760</w:t>
            </w:r>
          </w:p>
        </w:tc>
        <w:tc>
          <w:tcPr>
            <w:tcW w:w="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19,125</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740-759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6,707</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720-739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5,497</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700-719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3,771</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680-699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&lt;=679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38,661</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15"/>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IIF by LTV</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3"/>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3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r>
      <w:tr>
        <w:trPr>
          <w:trHeight w:val="181"/>
        </w:trPr>
        <w:tc>
          <w:tcPr>
            <w:tcW w:w="36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87"/>
        </w:trPr>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140"/>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5"/>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95.01% and above</w:t>
            </w:r>
          </w:p>
        </w:tc>
        <w:tc>
          <w:tcPr>
            <w:tcW w:w="2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14,058</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90.01% to 95.00%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87,354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68,537</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45</w:t>
            </w:r>
          </w:p>
        </w:tc>
      </w:tr>
      <w:tr>
        <w:trPr>
          <w:trHeight w:val="22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85.01% to 90.00%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55,075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46,971</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85.00% and below</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22,777</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r>
      <w:tr>
        <w:trPr>
          <w:trHeight w:val="238"/>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152,343</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15"/>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RIF by LTV</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3"/>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r>
      <w:tr>
        <w:trPr>
          <w:trHeight w:val="181"/>
        </w:trPr>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87"/>
        </w:trPr>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180"/>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5"/>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95.01% and above</w:t>
            </w:r>
          </w:p>
        </w:tc>
        <w:tc>
          <w:tcPr>
            <w:tcW w:w="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4,230</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90.01% to 95.00%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20,210</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52</w:t>
            </w:r>
          </w:p>
        </w:tc>
      </w:tr>
      <w:tr>
        <w:trPr>
          <w:trHeight w:val="22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85.01% to 90.00%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11,533</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85.00% and below</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r>
      <w:tr>
        <w:trPr>
          <w:trHeight w:val="238"/>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38,661</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71755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80" w:top="1163" w:right="399" w:bottom="1440" w:gutter="0" w:footer="0" w:header="0"/>
        </w:sectPr>
      </w:pPr>
    </w:p>
    <w:bookmarkStart w:id="66" w:name="page67"/>
    <w:bookmarkEnd w:id="66"/>
    <w:tbl>
      <w:tblPr>
        <w:tblLayout w:type="fixed"/>
        <w:tblInd w:w="57" w:type="dxa"/>
        <w:tblCellMar>
          <w:top w:w="0" w:type="dxa"/>
          <w:left w:w="0" w:type="dxa"/>
          <w:bottom w:w="0" w:type="dxa"/>
          <w:right w:w="0" w:type="dxa"/>
        </w:tblCellMar>
      </w:tblPr>
      <w:tr>
        <w:trPr>
          <w:trHeight w:val="183"/>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Loan Type</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760" w:type="dxa"/>
            <w:vAlign w:val="bottom"/>
          </w:tcPr>
          <w:p>
            <w:pPr>
              <w:spacing w:after="0"/>
              <w:rPr>
                <w:sz w:val="15"/>
                <w:szCs w:val="15"/>
                <w:color w:val="auto"/>
              </w:rPr>
            </w:pPr>
          </w:p>
        </w:tc>
      </w:tr>
      <w:tr>
        <w:trPr>
          <w:trHeight w:val="23"/>
        </w:trPr>
        <w:tc>
          <w:tcPr>
            <w:tcW w:w="68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1"/>
        </w:trPr>
        <w:tc>
          <w:tcPr>
            <w:tcW w:w="568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4"/>
        </w:trPr>
        <w:tc>
          <w:tcPr>
            <w:tcW w:w="5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20"/>
        </w:trPr>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Fixed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99 %</w:t>
            </w:r>
          </w:p>
        </w:tc>
      </w:tr>
      <w:tr>
        <w:trPr>
          <w:trHeight w:val="220"/>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Adjustable rate mortgages: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0"/>
        </w:trPr>
        <w:tc>
          <w:tcPr>
            <w:tcW w:w="6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Less than five years</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Five years and longer</w:t>
            </w: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74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76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bl>
    <w:p>
      <w:pPr>
        <w:spacing w:after="0" w:line="227"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The table below presents selected primary portfolio statistics, by book year, as of December 31, 2023.</w:t>
      </w:r>
    </w:p>
    <w:p>
      <w:pPr>
        <w:spacing w:after="0" w:line="148" w:lineRule="exact"/>
        <w:rPr>
          <w:sz w:val="20"/>
          <w:szCs w:val="20"/>
          <w:color w:val="auto"/>
        </w:rPr>
      </w:pPr>
    </w:p>
    <w:tbl>
      <w:tblPr>
        <w:tblLayout w:type="fixed"/>
        <w:tblInd w:w="57" w:type="dxa"/>
        <w:tblCellMar>
          <w:top w:w="0" w:type="dxa"/>
          <w:left w:w="0" w:type="dxa"/>
          <w:bottom w:w="0" w:type="dxa"/>
          <w:right w:w="0" w:type="dxa"/>
        </w:tblCellMar>
      </w:tblP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2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As of December 31, 2023</w:t>
            </w: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20" w:type="dxa"/>
            <w:vAlign w:val="bottom"/>
          </w:tcPr>
          <w:p>
            <w:pPr>
              <w:spacing w:after="0"/>
              <w:rPr>
                <w:sz w:val="10"/>
                <w:szCs w:val="10"/>
                <w:color w:val="auto"/>
              </w:rPr>
            </w:pPr>
          </w:p>
        </w:tc>
        <w:tc>
          <w:tcPr>
            <w:tcW w:w="780" w:type="dxa"/>
            <w:vAlign w:val="bottom"/>
          </w:tcPr>
          <w:p>
            <w:pPr>
              <w:jc w:val="center"/>
              <w:ind w:right="16"/>
              <w:spacing w:after="0" w:line="123"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8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7"/>
              </w:rPr>
              <w:t>% Remaining of</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Policies Ever</w:t>
            </w:r>
          </w:p>
        </w:tc>
        <w:tc>
          <w:tcPr>
            <w:tcW w:w="1020" w:type="dxa"/>
            <w:vAlign w:val="bottom"/>
            <w:gridSpan w:val="3"/>
          </w:tcPr>
          <w:p>
            <w:pPr>
              <w:jc w:val="center"/>
              <w:ind w:right="180"/>
              <w:spacing w:after="0" w:line="123"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2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2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400" w:type="dxa"/>
            <w:vAlign w:val="bottom"/>
          </w:tcPr>
          <w:p>
            <w:pPr>
              <w:jc w:val="center"/>
              <w:ind w:right="58"/>
              <w:spacing w:after="0" w:line="123" w:lineRule="exact"/>
              <w:rPr>
                <w:sz w:val="20"/>
                <w:szCs w:val="20"/>
                <w:color w:val="auto"/>
              </w:rPr>
            </w:pPr>
            <w:r>
              <w:rPr>
                <w:rFonts w:ascii="Times New Roman" w:cs="Times New Roman" w:eastAsia="Times New Roman" w:hAnsi="Times New Roman"/>
                <w:sz w:val="14"/>
                <w:szCs w:val="14"/>
                <w:b w:val="1"/>
                <w:bCs w:val="1"/>
                <w:color w:val="auto"/>
                <w:w w:val="97"/>
              </w:rPr>
              <w:t>Incurred Loss</w:t>
            </w:r>
          </w:p>
        </w:tc>
        <w:tc>
          <w:tcPr>
            <w:tcW w:w="120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Current Default</w:t>
            </w:r>
          </w:p>
        </w:tc>
        <w:tc>
          <w:tcPr>
            <w:tcW w:w="0" w:type="dxa"/>
            <w:vAlign w:val="bottom"/>
          </w:tcPr>
          <w:p>
            <w:pPr>
              <w:spacing w:after="0"/>
              <w:rPr>
                <w:sz w:val="1"/>
                <w:szCs w:val="1"/>
                <w:color w:val="auto"/>
              </w:rPr>
            </w:pPr>
          </w:p>
        </w:tc>
      </w:tr>
      <w:tr>
        <w:trPr>
          <w:trHeight w:val="142"/>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Book year</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6"/>
              </w:rPr>
              <w:t>Insurance</w:t>
            </w:r>
          </w:p>
        </w:tc>
        <w:tc>
          <w:tcPr>
            <w:tcW w:w="90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Insurance in</w:t>
            </w:r>
          </w:p>
        </w:tc>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980" w:type="dxa"/>
            <w:vAlign w:val="bottom"/>
            <w:gridSpan w:val="2"/>
            <w:vMerge w:val="continue"/>
          </w:tcPr>
          <w:p>
            <w:pPr>
              <w:spacing w:after="0"/>
              <w:rPr>
                <w:sz w:val="12"/>
                <w:szCs w:val="12"/>
                <w:color w:val="auto"/>
              </w:rPr>
            </w:pPr>
          </w:p>
        </w:tc>
        <w:tc>
          <w:tcPr>
            <w:tcW w:w="102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Policies in</w:t>
            </w:r>
          </w:p>
        </w:tc>
        <w:tc>
          <w:tcPr>
            <w:tcW w:w="82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Loans in</w:t>
            </w: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Claims</w:t>
            </w:r>
          </w:p>
        </w:tc>
        <w:tc>
          <w:tcPr>
            <w:tcW w:w="1400" w:type="dxa"/>
            <w:vAlign w:val="bottom"/>
          </w:tcPr>
          <w:p>
            <w:pPr>
              <w:jc w:val="center"/>
              <w:ind w:right="38"/>
              <w:spacing w:after="0" w:line="143" w:lineRule="exact"/>
              <w:rPr>
                <w:sz w:val="20"/>
                <w:szCs w:val="20"/>
                <w:color w:val="auto"/>
              </w:rPr>
            </w:pPr>
            <w:r>
              <w:rPr>
                <w:rFonts w:ascii="Times New Roman" w:cs="Times New Roman" w:eastAsia="Times New Roman" w:hAnsi="Times New Roman"/>
                <w:sz w:val="14"/>
                <w:szCs w:val="14"/>
                <w:b w:val="1"/>
                <w:bCs w:val="1"/>
                <w:color w:val="auto"/>
                <w:w w:val="98"/>
              </w:rPr>
              <w:t>Ratio (Inception</w:t>
            </w:r>
          </w:p>
        </w:tc>
        <w:tc>
          <w:tcPr>
            <w:tcW w:w="12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Written</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9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Force</w:t>
            </w:r>
          </w:p>
        </w:tc>
        <w:tc>
          <w:tcPr>
            <w:tcW w:w="10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8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Paid</w:t>
            </w:r>
          </w:p>
        </w:tc>
        <w:tc>
          <w:tcPr>
            <w:tcW w:w="1400" w:type="dxa"/>
            <w:vAlign w:val="bottom"/>
            <w:tcBorders>
              <w:bottom w:val="single" w:sz="8" w:color="auto"/>
            </w:tcBorders>
          </w:tcPr>
          <w:p>
            <w:pPr>
              <w:jc w:val="center"/>
              <w:ind w:right="58"/>
              <w:spacing w:after="0" w:line="194" w:lineRule="exact"/>
              <w:rPr>
                <w:sz w:val="20"/>
                <w:szCs w:val="20"/>
                <w:color w:val="auto"/>
              </w:rPr>
            </w:pPr>
            <w:r>
              <w:rPr>
                <w:rFonts w:ascii="Times New Roman" w:cs="Times New Roman" w:eastAsia="Times New Roman" w:hAnsi="Times New Roman"/>
                <w:sz w:val="14"/>
                <w:szCs w:val="14"/>
                <w:b w:val="1"/>
                <w:bCs w:val="1"/>
                <w:color w:val="auto"/>
                <w:w w:val="96"/>
              </w:rPr>
              <w:t xml:space="preserve">to Date) </w:t>
            </w:r>
            <w:r>
              <w:rPr>
                <w:rFonts w:ascii="Times New Roman" w:cs="Times New Roman" w:eastAsia="Times New Roman" w:hAnsi="Times New Roman"/>
                <w:sz w:val="17"/>
                <w:szCs w:val="17"/>
                <w:b w:val="1"/>
                <w:bCs w:val="1"/>
                <w:color w:val="auto"/>
                <w:w w:val="96"/>
                <w:vertAlign w:val="superscript"/>
              </w:rPr>
              <w:t>(1)</w:t>
            </w:r>
          </w:p>
        </w:tc>
        <w:tc>
          <w:tcPr>
            <w:tcW w:w="12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 xml:space="preserve">Default Rate </w:t>
            </w:r>
            <w:r>
              <w:rPr>
                <w:rFonts w:ascii="Times New Roman" w:cs="Times New Roman" w:eastAsia="Times New Roman" w:hAnsi="Times New Roman"/>
                <w:sz w:val="8"/>
                <w:szCs w:val="8"/>
                <w:b w:val="1"/>
                <w:bCs w:val="1"/>
                <w:color w:val="auto"/>
              </w:rPr>
              <w:t>(2)</w:t>
            </w:r>
          </w:p>
        </w:tc>
        <w:tc>
          <w:tcPr>
            <w:tcW w:w="10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181"/>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0" w:type="dxa"/>
            <w:vAlign w:val="bottom"/>
            <w:gridSpan w:val="5"/>
          </w:tcPr>
          <w:p>
            <w:pPr>
              <w:jc w:val="center"/>
              <w:ind w:left="718"/>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2014 and</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prior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4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3.7 %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20"/>
        </w:trPr>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2015</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8 %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52,548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40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2.5 %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2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2016</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9 %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83,626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4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1.8 %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20"/>
        </w:trPr>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2,487</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12 %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85,897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40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2.2 %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2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2018</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11 %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104,043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3.1 %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20"/>
        </w:trPr>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7,602</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17 %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148,423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32,733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2.3 %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2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27,428</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44 %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186,174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92,425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1.9 %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0" w:type="dxa"/>
            <w:vAlign w:val="bottom"/>
          </w:tcPr>
          <w:p>
            <w:pPr>
              <w:spacing w:after="0"/>
              <w:rPr>
                <w:sz w:val="1"/>
                <w:szCs w:val="1"/>
                <w:color w:val="auto"/>
              </w:rPr>
            </w:pPr>
          </w:p>
        </w:tc>
      </w:tr>
      <w:tr>
        <w:trPr>
          <w:trHeight w:val="220"/>
        </w:trPr>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62,051</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73 %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257,972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199,115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4.6 %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0" w:type="dxa"/>
            <w:vAlign w:val="bottom"/>
          </w:tcPr>
          <w:p>
            <w:pPr>
              <w:spacing w:after="0"/>
              <w:rPr>
                <w:sz w:val="1"/>
                <w:szCs w:val="1"/>
                <w:color w:val="auto"/>
              </w:rPr>
            </w:pPr>
          </w:p>
        </w:tc>
      </w:tr>
      <w:tr>
        <w:trPr>
          <w:trHeight w:val="22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52,783</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90 %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163,281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150,963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20.9 %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38,586</w:t>
            </w:r>
          </w:p>
        </w:tc>
        <w:tc>
          <w:tcPr>
            <w:tcW w:w="128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17"/>
                <w:szCs w:val="17"/>
                <w:color w:val="auto"/>
              </w:rPr>
              <w:t>95 %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111,994</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108,080</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0" w:type="dxa"/>
            <w:vAlign w:val="bottom"/>
            <w:tcBorders>
              <w:bottom w:val="single" w:sz="8" w:color="CCEEFF"/>
            </w:tcBorders>
          </w:tcPr>
          <w:p>
            <w:pPr>
              <w:jc w:val="right"/>
              <w:ind w:right="18"/>
              <w:spacing w:after="0" w:line="220" w:lineRule="exact"/>
              <w:rPr>
                <w:sz w:val="20"/>
                <w:szCs w:val="20"/>
                <w:color w:val="auto"/>
              </w:rPr>
            </w:pPr>
            <w:r>
              <w:rPr>
                <w:rFonts w:ascii="Times New Roman" w:cs="Times New Roman" w:eastAsia="Times New Roman" w:hAnsi="Times New Roman"/>
                <w:sz w:val="17"/>
                <w:szCs w:val="17"/>
                <w:color w:val="auto"/>
              </w:rPr>
              <w:t xml:space="preserve">8.9 % </w:t>
            </w:r>
            <w:r>
              <w:rPr>
                <w:rFonts w:ascii="Times New Roman" w:cs="Times New Roman" w:eastAsia="Times New Roman" w:hAnsi="Times New Roman"/>
                <w:sz w:val="20"/>
                <w:szCs w:val="20"/>
                <w:color w:val="auto"/>
                <w:vertAlign w:val="superscript"/>
              </w:rPr>
              <w:t>(4)</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0" w:type="dxa"/>
            <w:vAlign w:val="bottom"/>
          </w:tcPr>
          <w:p>
            <w:pPr>
              <w:spacing w:after="0"/>
              <w:rPr>
                <w:sz w:val="1"/>
                <w:szCs w:val="1"/>
                <w:color w:val="auto"/>
              </w:rPr>
            </w:pPr>
          </w:p>
        </w:tc>
      </w:tr>
      <w:tr>
        <w:trPr>
          <w:trHeight w:val="238"/>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378,723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1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1,209,399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629,690</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5,099</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97" w:hanging="297"/>
        <w:spacing w:after="0"/>
        <w:tabs>
          <w:tab w:leader="none" w:pos="29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total claims incurred (paid and reserved) divided by cumulative premiums earned, net of reinsurance.</w:t>
      </w:r>
    </w:p>
    <w:p>
      <w:pPr>
        <w:spacing w:after="0" w:line="17" w:lineRule="exact"/>
        <w:rPr>
          <w:rFonts w:ascii="Times New Roman" w:cs="Times New Roman" w:eastAsia="Times New Roman" w:hAnsi="Times New Roman"/>
          <w:sz w:val="14"/>
          <w:szCs w:val="14"/>
          <w:color w:val="auto"/>
        </w:rPr>
      </w:pPr>
    </w:p>
    <w:p>
      <w:pPr>
        <w:ind w:left="297" w:hanging="297"/>
        <w:spacing w:after="0"/>
        <w:tabs>
          <w:tab w:leader="none" w:pos="29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sum of the number of claims paid ever to date and number of loans in default divided by policies ever in force.</w:t>
      </w:r>
    </w:p>
    <w:p>
      <w:pPr>
        <w:spacing w:after="0" w:line="7" w:lineRule="exact"/>
        <w:rPr>
          <w:rFonts w:ascii="Times New Roman" w:cs="Times New Roman" w:eastAsia="Times New Roman" w:hAnsi="Times New Roman"/>
          <w:sz w:val="14"/>
          <w:szCs w:val="14"/>
          <w:color w:val="auto"/>
        </w:rPr>
      </w:pPr>
    </w:p>
    <w:p>
      <w:pPr>
        <w:ind w:left="297" w:hanging="297"/>
        <w:spacing w:after="0"/>
        <w:tabs>
          <w:tab w:leader="none" w:pos="29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number of loans in default divided by number of policies in force.</w:t>
      </w:r>
    </w:p>
    <w:p>
      <w:pPr>
        <w:spacing w:after="0" w:line="7" w:lineRule="exact"/>
        <w:rPr>
          <w:rFonts w:ascii="Times New Roman" w:cs="Times New Roman" w:eastAsia="Times New Roman" w:hAnsi="Times New Roman"/>
          <w:sz w:val="14"/>
          <w:szCs w:val="14"/>
          <w:color w:val="auto"/>
        </w:rPr>
      </w:pPr>
    </w:p>
    <w:p>
      <w:pPr>
        <w:ind w:left="297" w:hanging="297"/>
        <w:spacing w:after="0"/>
        <w:tabs>
          <w:tab w:leader="none" w:pos="29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 $0.7 million termination fee incurred in connection with the amendment of the 2020 QSR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71755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97"/>
          </w:cols>
          <w:pgMar w:left="323" w:top="1163" w:right="379" w:bottom="1440" w:gutter="0" w:footer="0" w:header="0"/>
        </w:sectPr>
      </w:pPr>
    </w:p>
    <w:bookmarkStart w:id="67" w:name="page68"/>
    <w:bookmarkEnd w:id="67"/>
    <w:p>
      <w:pPr>
        <w:ind w:left="620"/>
        <w:spacing w:after="0"/>
        <w:rPr>
          <w:sz w:val="20"/>
          <w:szCs w:val="20"/>
          <w:color w:val="auto"/>
        </w:rPr>
      </w:pPr>
      <w:r>
        <w:rPr>
          <w:rFonts w:ascii="Times New Roman" w:cs="Times New Roman" w:eastAsia="Times New Roman" w:hAnsi="Times New Roman"/>
          <w:sz w:val="17"/>
          <w:szCs w:val="17"/>
          <w:i w:val="1"/>
          <w:iCs w:val="1"/>
          <w:color w:val="auto"/>
        </w:rPr>
        <w:t>Geographic Dispersion</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shows the distribution by state of our primary RIF as of the dates indicated. The distribution of our primary RIF as of December 31, 2023 is not necessarily representative of the geographic distribution we expect in the future.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Top 10 primary RIF by state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40" w:type="dxa"/>
            <w:vAlign w:val="bottom"/>
          </w:tcPr>
          <w:p>
            <w:pPr>
              <w:spacing w:after="0"/>
              <w:rPr>
                <w:sz w:val="15"/>
                <w:szCs w:val="15"/>
                <w:color w:val="auto"/>
              </w:rPr>
            </w:pPr>
          </w:p>
        </w:tc>
      </w:tr>
      <w:tr>
        <w:trPr>
          <w:trHeight w:val="23"/>
        </w:trPr>
        <w:tc>
          <w:tcPr>
            <w:tcW w:w="6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81"/>
        </w:trPr>
        <w:tc>
          <w:tcPr>
            <w:tcW w:w="53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9.7</w:t>
            </w:r>
          </w:p>
        </w:tc>
      </w:tr>
      <w:tr>
        <w:trPr>
          <w:trHeight w:val="22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8.6</w:t>
            </w: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Georgia</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3.8</w:t>
            </w:r>
          </w:p>
        </w:tc>
      </w:tr>
      <w:tr>
        <w:trPr>
          <w:trHeight w:val="22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Washington</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3.7</w:t>
            </w: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4.7</w:t>
            </w: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Pennsylvania</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3.3</w:t>
            </w:r>
          </w:p>
        </w:tc>
      </w:tr>
      <w:tr>
        <w:trPr>
          <w:trHeight w:val="22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Maryland</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3.7</w:t>
            </w:r>
          </w:p>
        </w:tc>
      </w:tr>
      <w:tr>
        <w:trPr>
          <w:trHeight w:val="22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Colorado</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3.8</w:t>
            </w:r>
          </w:p>
        </w:tc>
      </w:tr>
      <w:tr>
        <w:trPr>
          <w:trHeight w:val="23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52.4 %</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53.8 %</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Insurance Claims and Claim Expenses</w:t>
      </w:r>
    </w:p>
    <w:p>
      <w:pPr>
        <w:spacing w:after="0" w:line="171"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w:t>
      </w:r>
    </w:p>
    <w:p>
      <w:pPr>
        <w:spacing w:after="0" w:line="43" w:lineRule="exact"/>
        <w:rPr>
          <w:sz w:val="20"/>
          <w:szCs w:val="20"/>
          <w:color w:val="auto"/>
        </w:rPr>
      </w:pPr>
    </w:p>
    <w:p>
      <w:pPr>
        <w:jc w:val="both"/>
        <w:ind w:left="1100" w:hanging="320"/>
        <w:spacing w:after="0" w:line="266" w:lineRule="auto"/>
        <w:tabs>
          <w:tab w:leader="none" w:pos="109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macroeconomic factors, including national and regional unemployment rates, which affect the likelihood that borrowers may default on their loans and probability of claims, and interest rates, which tend to drive increased persistency as they rise, thereby extending the average life of our insured portfolio and increasing expected future claims and decrease persistency as they fall, thereby shortening the average life of our insured portfolio and moderating future expected claims;</w:t>
      </w:r>
    </w:p>
    <w:p>
      <w:pPr>
        <w:spacing w:after="0" w:line="6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as such changes affect loss mitigation opportunities (available to us and a borrower) on loans in default, as well as borrowers' behaviors and willingness to default if the values of their homes are below or perceived to be below the balance of their mortgage;</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FICO scores, with lower FICO scores tending to have a higher probability of claims;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DTI ratios, with higher DTI ratios tending to have a higher probability of claims;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LTV ratios, with higher average LTV ratios tending to increase the probability of claims;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loans insured, with higher loan amounts tending to result in higher incurred claim amounts than smaller loan amounts;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coverage on insured loans, with higher percentages of insurance coverage tending to result in higher incurred claim amounts than lower percentages of insurance coverage;</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borrower, property-type and loan level risk characteristics, such as cash-out refinancings, second homes or investment properties;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and amount of reinsurance coverage maintained with third parties.</w:t>
      </w:r>
    </w:p>
    <w:p>
      <w:pPr>
        <w:spacing w:after="0" w:line="115"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68" w:name="page69"/>
    <w:bookmarkEnd w:id="68"/>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ILN Transactions and XOL Transactions as applicable under each treaty. We have not yet ceded reserves under any of the ILN Transactions or XOL Transactions as incurred claims and claim expenses on each respective reference pool remain within our retained coverage layer of each transaction.</w:t>
      </w:r>
    </w:p>
    <w:p>
      <w:pPr>
        <w:spacing w:after="0" w:line="122"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Our reserve setting process considers the beneficial impact of forbearance, foreclosure moratorium and other assistance programs that may be made available to certain defaulted borrowers. The effectiveness of forbearance and other such assistance programs can be further enhanced by the availability of various repayment and loan modification options which typically allow borrowers to amortize or, in certain instances, outright defer payments otherwise missed during a period of dislocation over an extended length of time. We generally observe that forbearance, repayment and modification, and other assistance programs are an effective tool to bridge dislocated borrowers from a time of acute stress to a future date when they can resume timely payment of their mortgage obligations, and note higher cure rates on defaults benefitting from broad-based assistance programs than would otherwise be expected on similarly situated loans that did not benefit from such programs.</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 response to the COVID-19 pandemic, politicians, regulators, lenders, loan servicers and others offered extraordinary assistance to dislocated borrowers through, among other programs, the forbearance, foreclosure moratorium and other assistance programs codified under the Coronavirus Aid, Relief, and Economic Security Act (CARES Act). The FHFA and GSEs offered further assistance by introducing new repayment and loan modification options to assist borrowers with their transition out of forbearance programs and default status.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Macroeconomic factors, including resurgent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9" w:name="page70"/>
    <w:bookmarkEnd w:id="69"/>
    <w:p>
      <w:pPr>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gross reserve balances for primary insurance claims and claim expenses (benefits):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60" w:type="dxa"/>
            <w:vAlign w:val="bottom"/>
            <w:gridSpan w:val="6"/>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280" w:type="dxa"/>
            <w:vAlign w:val="bottom"/>
          </w:tcPr>
          <w:p>
            <w:pPr>
              <w:spacing w:after="0"/>
              <w:rPr>
                <w:sz w:val="15"/>
                <w:szCs w:val="15"/>
                <w:color w:val="auto"/>
              </w:rPr>
            </w:pPr>
          </w:p>
        </w:tc>
      </w:tr>
      <w:tr>
        <w:trPr>
          <w:trHeight w:val="23"/>
        </w:trPr>
        <w:tc>
          <w:tcPr>
            <w:tcW w:w="5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56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90,567</w:t>
            </w:r>
          </w:p>
        </w:tc>
      </w:tr>
      <w:tr>
        <w:trPr>
          <w:trHeight w:val="220"/>
        </w:trPr>
        <w:tc>
          <w:tcPr>
            <w:tcW w:w="568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(17,608)</w:t>
            </w:r>
          </w:p>
        </w:tc>
      </w:tr>
      <w:tr>
        <w:trPr>
          <w:trHeight w:val="21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net of reinsurance recoverables</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78,249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83,231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72,959</w:t>
            </w:r>
          </w:p>
        </w:tc>
      </w:tr>
      <w:tr>
        <w:trPr>
          <w:trHeight w:val="239"/>
        </w:trPr>
        <w:tc>
          <w:tcPr>
            <w:tcW w:w="5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claims incurred:</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0"/>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(benefits) incurred:</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5680" w:type="dxa"/>
            <w:vAlign w:val="bottom"/>
            <w:shd w:val="clear" w:color="auto" w:fill="CCEEFF"/>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23,433</w:t>
            </w:r>
          </w:p>
        </w:tc>
      </w:tr>
      <w:tr>
        <w:trPr>
          <w:trHeight w:val="220"/>
        </w:trPr>
        <w:tc>
          <w:tcPr>
            <w:tcW w:w="5680" w:type="dxa"/>
            <w:vAlign w:val="bottom"/>
            <w:tcBorders>
              <w:bottom w:val="single" w:sz="8" w:color="CCEEFF"/>
            </w:tcBorders>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(48,762)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(11,128)</w:t>
            </w:r>
          </w:p>
        </w:tc>
      </w:tr>
      <w:tr>
        <w:trPr>
          <w:trHeight w:val="213"/>
        </w:trPr>
        <w:tc>
          <w:tcPr>
            <w:tcW w:w="56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Total claims and claim expenses (benefits) incurred </w:t>
            </w:r>
            <w:r>
              <w:rPr>
                <w:rFonts w:ascii="Times New Roman" w:cs="Times New Roman" w:eastAsia="Times New Roman" w:hAnsi="Times New Roman"/>
                <w:sz w:val="22"/>
                <w:szCs w:val="22"/>
                <w:color w:val="auto"/>
                <w:vertAlign w:val="superscript"/>
              </w:rPr>
              <w:t>(4)</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12,305</w:t>
            </w:r>
          </w:p>
        </w:tc>
      </w:tr>
      <w:tr>
        <w:trPr>
          <w:trHeight w:val="239"/>
        </w:trPr>
        <w:tc>
          <w:tcPr>
            <w:tcW w:w="5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0"/>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paid:</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5680" w:type="dxa"/>
            <w:vAlign w:val="bottom"/>
            <w:shd w:val="clear" w:color="auto" w:fill="CCEEFF"/>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0"/>
        </w:trPr>
        <w:tc>
          <w:tcPr>
            <w:tcW w:w="5680" w:type="dxa"/>
            <w:vAlign w:val="bottom"/>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w:t>
            </w:r>
          </w:p>
        </w:tc>
      </w:tr>
      <w:tr>
        <w:trPr>
          <w:trHeight w:val="220"/>
        </w:trPr>
        <w:tc>
          <w:tcPr>
            <w:tcW w:w="5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Reinsurance terminations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claims and claim expenses paid</w:t>
            </w: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2,033</w:t>
            </w:r>
          </w:p>
        </w:tc>
      </w:tr>
      <w:tr>
        <w:trPr>
          <w:trHeight w:val="239"/>
        </w:trPr>
        <w:tc>
          <w:tcPr>
            <w:tcW w:w="56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0"/>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Reserve at end of period, net of reinsurance recoverables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83,231</w:t>
            </w:r>
          </w:p>
        </w:tc>
      </w:tr>
      <w:tr>
        <w:trPr>
          <w:trHeight w:val="220"/>
        </w:trPr>
        <w:tc>
          <w:tcPr>
            <w:tcW w:w="56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20,320</w:t>
            </w:r>
          </w:p>
        </w:tc>
      </w:tr>
      <w:tr>
        <w:trPr>
          <w:trHeight w:val="213"/>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2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123,974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99,836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103,551</w:t>
            </w:r>
          </w:p>
        </w:tc>
      </w:tr>
      <w:tr>
        <w:trPr>
          <w:trHeight w:val="20"/>
        </w:trPr>
        <w:tc>
          <w:tcPr>
            <w:tcW w:w="5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320" w:hanging="317"/>
        <w:spacing w:after="0" w:line="252" w:lineRule="auto"/>
        <w:tabs>
          <w:tab w:leader="none" w:pos="32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ceded losses recoverable under the QSR Transactions. See Item 8, "</w:t>
      </w:r>
      <w:r>
        <w:rPr>
          <w:rFonts w:ascii="Times New Roman" w:cs="Times New Roman" w:eastAsia="Times New Roman" w:hAnsi="Times New Roman"/>
          <w:sz w:val="14"/>
          <w:szCs w:val="14"/>
          <w:i w:val="1"/>
          <w:iCs w:val="1"/>
          <w:color w:val="auto"/>
        </w:rPr>
        <w:t>Financial Statements and Supplementary Data - Notes to Consolidated Financial Statements - Note 6, Reinsurance</w:t>
      </w:r>
      <w:r>
        <w:rPr>
          <w:rFonts w:ascii="Times New Roman" w:cs="Times New Roman" w:eastAsia="Times New Roman" w:hAnsi="Times New Roman"/>
          <w:sz w:val="14"/>
          <w:szCs w:val="14"/>
          <w:color w:val="auto"/>
        </w:rPr>
        <w:t>," for additional information.</w:t>
      </w:r>
    </w:p>
    <w:p>
      <w:pPr>
        <w:jc w:val="both"/>
        <w:ind w:left="320" w:hanging="317"/>
        <w:spacing w:after="0" w:line="247" w:lineRule="auto"/>
        <w:tabs>
          <w:tab w:leader="none" w:pos="314"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$70.6 million attributed to net case reserves and $6.3 million attributed to net IBNR reserves for the year ended December 31, 2023, $39.9 million attributed to net case reserves and $4.5 million attributed to net IBNR reserves for the year ended December 31, 2022, and $18.1 million attributed to net case reserves and $4.7 million attributed to net IBNR reserves for the year ended December 31, 2021.</w:t>
      </w:r>
    </w:p>
    <w:p>
      <w:pPr>
        <w:jc w:val="both"/>
        <w:ind w:left="320" w:hanging="317"/>
        <w:spacing w:after="0" w:line="249" w:lineRule="auto"/>
        <w:tabs>
          <w:tab w:leader="none" w:pos="334"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$50.9 million attributed to net case reserves and $4.5 million attributed to net IBNR reserves for the year ended December 31, 2023, $42.5 million attributed to net case reserves and $4.7 million attributed to net IBNR reserves for the year ended December 31, 2022, and $6.3 million attributed to net case reserves and $5.0 million attributed to net IBNR reserves for the year ended December 31, 2021.</w:t>
      </w:r>
    </w:p>
    <w:p>
      <w:pPr>
        <w:spacing w:after="0" w:line="1"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 $0.7 million termination fee for the year ended December 31, 2023 incurred in connection with the amendment of the 2020 QSR Transaction.</w:t>
      </w:r>
    </w:p>
    <w:p>
      <w:pPr>
        <w:spacing w:after="0" w:line="21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“claims incurred” section of the table above shows claims and claim expenses (benefits)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$24.0 million related to prior year defaults remained as of December 31, 2023.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0" w:name="page71"/>
    <w:bookmarkEnd w:id="70"/>
    <w:p>
      <w:pPr>
        <w:ind w:left="62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count of loans in default:</w:t>
      </w:r>
    </w:p>
    <w:p>
      <w:pPr>
        <w:spacing w:after="0" w:line="148"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2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default inventory</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4,449</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6,227</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12,209</w:t>
            </w:r>
          </w:p>
        </w:tc>
      </w:tr>
      <w:tr>
        <w:trPr>
          <w:trHeight w:val="22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Plus: new defaults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5,730</w:t>
            </w:r>
          </w:p>
        </w:tc>
      </w:tr>
      <w:tr>
        <w:trPr>
          <w:trHeight w:val="22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(11,626)</w:t>
            </w:r>
          </w:p>
        </w:tc>
      </w:tr>
      <w:tr>
        <w:trPr>
          <w:trHeight w:val="22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rescission and claims denied</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Ending default inventory</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6,227</w:t>
            </w:r>
          </w:p>
        </w:tc>
      </w:tr>
      <w:tr>
        <w:trPr>
          <w:trHeight w:val="20"/>
        </w:trPr>
        <w:tc>
          <w:tcPr>
            <w:tcW w:w="6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Ending default inventory increased from December 31, 2022 to December 31, 2023, primarily due to the growth and natural seasoning of our insured portfolio, largely offset by cure activity within our default population. Ending default inventory decreased from December 31, 2021 to December 31, 2022, as borrowers initially impacted by the COVID-19 pandemic cured their delinquencies and fewer new defaults emerged as the acute economic stress of the pandemic receded.</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details of our claims paid, before giving effect to claims ceded under the QSR Transactions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380" w:type="dxa"/>
            <w:vAlign w:val="bottom"/>
            <w:gridSpan w:val="3"/>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5"/>
                <w:szCs w:val="15"/>
                <w:color w:val="auto"/>
              </w:rPr>
            </w:pPr>
          </w:p>
        </w:tc>
      </w:tr>
      <w:tr>
        <w:trPr>
          <w:trHeight w:val="23"/>
        </w:trPr>
        <w:tc>
          <w:tcPr>
            <w:tcW w:w="6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6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6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w w:val="96"/>
              </w:rPr>
              <w:t>Values In Thousands)</w:t>
            </w: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5"/>
        </w:trPr>
        <w:tc>
          <w:tcPr>
            <w:tcW w:w="61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Number of claims paid </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5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81</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82</w:t>
            </w:r>
          </w:p>
        </w:tc>
      </w:tr>
      <w:tr>
        <w:trPr>
          <w:trHeight w:val="220"/>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amount paid for claims</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5,192</w:t>
            </w:r>
          </w:p>
        </w:tc>
        <w:tc>
          <w:tcPr>
            <w:tcW w:w="540" w:type="dxa"/>
            <w:vAlign w:val="bottom"/>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rPr>
              <w:t>1,741</w:t>
            </w:r>
          </w:p>
        </w:tc>
        <w:tc>
          <w:tcPr>
            <w:tcW w:w="44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2,554</w:t>
            </w: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amount paid per claim</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5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w:t>
            </w:r>
          </w:p>
        </w:tc>
        <w:tc>
          <w:tcPr>
            <w:tcW w:w="4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31</w:t>
            </w:r>
          </w:p>
        </w:tc>
      </w:tr>
      <w:tr>
        <w:trPr>
          <w:trHeight w:val="296"/>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Severity </w:t>
            </w:r>
            <w:r>
              <w:rPr>
                <w:rFonts w:ascii="Times New Roman" w:cs="Times New Roman" w:eastAsia="Times New Roman" w:hAnsi="Times New Roman"/>
                <w:sz w:val="22"/>
                <w:szCs w:val="22"/>
                <w:color w:val="auto"/>
                <w:vertAlign w:val="superscript"/>
              </w:rPr>
              <w:t>(2)</w:t>
            </w:r>
          </w:p>
        </w:tc>
        <w:tc>
          <w:tcPr>
            <w:tcW w:w="400" w:type="dxa"/>
            <w:vAlign w:val="bottom"/>
          </w:tcPr>
          <w:p>
            <w:pPr>
              <w:spacing w:after="0"/>
              <w:rPr>
                <w:sz w:val="24"/>
                <w:szCs w:val="24"/>
                <w:color w:val="auto"/>
              </w:rPr>
            </w:pPr>
          </w:p>
        </w:tc>
        <w:tc>
          <w:tcPr>
            <w:tcW w:w="1620" w:type="dxa"/>
            <w:vAlign w:val="bottom"/>
            <w:gridSpan w:val="2"/>
          </w:tcPr>
          <w:p>
            <w:pPr>
              <w:jc w:val="right"/>
              <w:ind w:right="322"/>
              <w:spacing w:after="0"/>
              <w:rPr>
                <w:sz w:val="20"/>
                <w:szCs w:val="20"/>
                <w:color w:val="auto"/>
              </w:rPr>
            </w:pPr>
            <w:r>
              <w:rPr>
                <w:rFonts w:ascii="Times New Roman" w:cs="Times New Roman" w:eastAsia="Times New Roman" w:hAnsi="Times New Roman"/>
                <w:sz w:val="17"/>
                <w:szCs w:val="17"/>
                <w:color w:val="auto"/>
              </w:rPr>
              <w:t>55 %</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59 %</w:t>
            </w:r>
          </w:p>
        </w:tc>
      </w:tr>
    </w:tbl>
    <w:p>
      <w:pPr>
        <w:spacing w:after="0" w:line="46" w:lineRule="exact"/>
        <w:rPr>
          <w:sz w:val="20"/>
          <w:szCs w:val="20"/>
          <w:color w:val="auto"/>
        </w:rPr>
      </w:pPr>
    </w:p>
    <w:p>
      <w:pPr>
        <w:ind w:left="300" w:hanging="297"/>
        <w:spacing w:after="0"/>
        <w:tabs>
          <w:tab w:leader="none" w:pos="3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 includes 70, 30 and 15 claims settled without payment during the years ended December 31, 2023, 2022 and 2021, respectively.</w:t>
      </w:r>
    </w:p>
    <w:p>
      <w:pPr>
        <w:spacing w:after="0" w:line="8" w:lineRule="exact"/>
        <w:rPr>
          <w:rFonts w:ascii="Times New Roman" w:cs="Times New Roman" w:eastAsia="Times New Roman" w:hAnsi="Times New Roman"/>
          <w:sz w:val="14"/>
          <w:szCs w:val="14"/>
          <w:color w:val="auto"/>
        </w:rPr>
      </w:pPr>
    </w:p>
    <w:p>
      <w:pPr>
        <w:ind w:left="320" w:right="420" w:hanging="317"/>
        <w:spacing w:after="0" w:line="256" w:lineRule="auto"/>
        <w:tabs>
          <w:tab w:leader="none" w:pos="30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136"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paid 199, 81 and 82 claims during the years ended December 31, 2023, 2022 and 2021, respectively. The number of claims paid in each year was modest relative to the size of our insured portfolio and we generally observe that the borrowers of the loans we insure are well-situated with strong credit profiles, stable 30-year fixed rate mortgages, manageable debt service obligations and significant appreciated equity in their homes. An increase in the value of the homes collateralizing the mortgages we insure provides defaulted borrowers with alternative paths and incentives to cure their loan prior to the development of a claim. Claims paid during the years ended December 31, 2022 and 2021 further benefited from the forbearance and other assistance programs implemented by the GSEs in response to the COVID-19 pandemic and codified under the CARES Act, which served to bridge dislocated borrowers from a time of acute stress to a point when they can resume timely payment of their mortgage obligations and interrupted the cycle through which certain loans may otherwise have progressed from an initial default to a paid claim. Such programs were largely phased out by 2023.</w:t>
      </w:r>
    </w:p>
    <w:p>
      <w:pPr>
        <w:spacing w:after="0" w:line="123"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claims severity for the years ended December 31, 2023, 2022 and 2021 was 55%, 49% and 59%, respectively. Our claims severity for each year was below long-term industry norms and benefited from the same broad national house price appreciation that supported our claims paid experience. Claims severity for each year benefited from the same broad national house price appreciation that supported our claims paid experience.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number of claims paid and our severity experience in future periods may be impacted by developing economic cycles and each could increase if house price declines serve to limit the alternative paths and incentives to cure delinquencies that are available to defaulted borrowers or erode the equity value of the homes collateralizing the mortgages we insure.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1" w:name="page72"/>
    <w:bookmarkEnd w:id="71"/>
    <w:p>
      <w:pPr>
        <w:ind w:left="700"/>
        <w:spacing w:after="0"/>
        <w:rPr>
          <w:sz w:val="20"/>
          <w:szCs w:val="20"/>
          <w:color w:val="auto"/>
        </w:rPr>
      </w:pPr>
      <w:r>
        <w:rPr>
          <w:rFonts w:ascii="Times New Roman" w:cs="Times New Roman" w:eastAsia="Times New Roman" w:hAnsi="Times New Roman"/>
          <w:sz w:val="17"/>
          <w:szCs w:val="17"/>
          <w:color w:val="auto"/>
        </w:rPr>
        <w:t>The following table provides detail on our average reserve per default, before giving effect to reserves ceded under the QSR Transactions, as of the dates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reserve per default:</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
        </w:trPr>
        <w:tc>
          <w:tcPr>
            <w:tcW w:w="6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6420" w:type="dxa"/>
            <w:vAlign w:val="bottom"/>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6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5"/>
        </w:trPr>
        <w:tc>
          <w:tcPr>
            <w:tcW w:w="64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Case </w:t>
            </w:r>
            <w:r>
              <w:rPr>
                <w:rFonts w:ascii="Times New Roman" w:cs="Times New Roman" w:eastAsia="Times New Roman" w:hAnsi="Times New Roman"/>
                <w:sz w:val="22"/>
                <w:szCs w:val="22"/>
                <w:color w:val="auto"/>
                <w:vertAlign w:val="superscript"/>
              </w:rPr>
              <w:t>(1)</w:t>
            </w:r>
          </w:p>
        </w:tc>
        <w:tc>
          <w:tcPr>
            <w:tcW w:w="104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20"/>
        </w:trPr>
        <w:tc>
          <w:tcPr>
            <w:tcW w:w="642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IBNR</w:t>
            </w:r>
            <w:r>
              <w:rPr>
                <w:rFonts w:ascii="Times New Roman" w:cs="Times New Roman" w:eastAsia="Times New Roman" w:hAnsi="Times New Roman"/>
                <w:sz w:val="10"/>
                <w:szCs w:val="10"/>
                <w:color w:val="auto"/>
              </w:rPr>
              <w:t xml:space="preserve"> (1) (2)</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r>
    </w:tbl>
    <w:p>
      <w:pPr>
        <w:spacing w:after="0" w:line="161" w:lineRule="exact"/>
        <w:rPr>
          <w:sz w:val="20"/>
          <w:szCs w:val="20"/>
          <w:color w:val="auto"/>
        </w:rPr>
      </w:pPr>
    </w:p>
    <w:p>
      <w:pPr>
        <w:ind w:left="300" w:hanging="297"/>
        <w:spacing w:after="0"/>
        <w:tabs>
          <w:tab w:leader="none" w:pos="3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gross reserve per insured loan in default.</w:t>
      </w:r>
    </w:p>
    <w:p>
      <w:pPr>
        <w:spacing w:after="0" w:line="1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claims adjustment expenses.</w:t>
      </w:r>
    </w:p>
    <w:p>
      <w:pPr>
        <w:spacing w:after="0" w:line="15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Average reserve per default increased from December 31, 2022 to December 31, 2023, primarily due to changes in the composition of our default inventory as measured by the size, vintage and current estimated LTV of defaulted loans, as well as the proportion of such loans benefiting from a forbearance program granted in response to a financial hardship related to COVID-19. Average reserves per default were further impacted by changes in observed and forecasted housing market conditions and macroeconomic factors between the measurement dates.</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Average reserve per default increased from December 31, 2021 to December 31, 2022, primarily due to an incrementally conservative set of assumptions about future macroeconomic and housing market conditions compared to those assumed at December 31, 2021. The increased average reserve per default at December 31, 2022 also reflects the “aging” of early COVID-related defaults. While we initially established lower reserves for defaults that we consider to be connected to the COVID-19 pandemic given our expectation that forbearance, repayment and modification, and other assistance programs would aid affected borrowers and drive higher cure rates on such defaults than we would otherwise expect to experience on similarly situated loans that did not benefit from broad-based assistance programs, we increased such reserves over time as individual defaults remained outstanding or “aged.”</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Historically, our business has been subject to modest seasonality in both NIW production and default experience.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is instead primarily influenced by mortgage rates. Fluctuations in refinancing volume (driven by changes in prevailing mortgage rates) may serve to mute or magnify the seasonal effect of home purchase patterns on mortgage insurance NIW.</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GSE Oversight</w:t>
      </w:r>
    </w:p>
    <w:p>
      <w:pPr>
        <w:spacing w:after="0" w:line="169" w:lineRule="exact"/>
        <w:rPr>
          <w:sz w:val="20"/>
          <w:szCs w:val="20"/>
          <w:color w:val="auto"/>
        </w:rPr>
      </w:pPr>
    </w:p>
    <w:p>
      <w:pPr>
        <w:jc w:val="both"/>
        <w:ind w:firstLine="660"/>
        <w:spacing w:after="0" w:line="263"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NMIC is subject to ongoing compliance with the PMIERs established by each of the GSEs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described below).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The PMIERs financial requirements prescribe a risk-based methodology whereby the amount of assets required to be held against each insured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 is determined based on certain loan-level risk characteristics, such as FICO, vintage (year of origination), performing vs. non-performing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current vs. delinquent), LTV ratio and other risk features. In general, higher quality loans carry lower asset charges.</w:t>
      </w:r>
    </w:p>
    <w:p>
      <w:pPr>
        <w:spacing w:after="0" w:line="119" w:lineRule="exact"/>
        <w:rPr>
          <w:sz w:val="20"/>
          <w:szCs w:val="20"/>
          <w:color w:val="auto"/>
        </w:rPr>
      </w:pPr>
    </w:p>
    <w:p>
      <w:pPr>
        <w:jc w:val="both"/>
        <w:ind w:firstLine="660"/>
        <w:spacing w:after="0" w:line="263" w:lineRule="auto"/>
        <w:rPr>
          <w:sz w:val="20"/>
          <w:szCs w:val="20"/>
          <w:color w:val="auto"/>
        </w:rPr>
      </w:pPr>
      <w:r>
        <w:rPr>
          <w:rFonts w:ascii="Times New Roman" w:cs="Times New Roman" w:eastAsia="Times New Roman" w:hAnsi="Times New Roman"/>
          <w:sz w:val="17"/>
          <w:szCs w:val="17"/>
          <w:color w:val="auto"/>
        </w:rPr>
        <w:t xml:space="preserve">Under the PMIERs,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must maintain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that equal or exceed </w:t>
      </w:r>
      <w:r>
        <w:rPr>
          <w:rFonts w:ascii="Times New Roman" w:cs="Times New Roman" w:eastAsia="Times New Roman" w:hAnsi="Times New Roman"/>
          <w:sz w:val="17"/>
          <w:szCs w:val="17"/>
          <w:i w:val="1"/>
          <w:iCs w:val="1"/>
          <w:color w:val="auto"/>
        </w:rPr>
        <w:t>minimum required assets</w:t>
      </w:r>
      <w:r>
        <w:rPr>
          <w:rFonts w:ascii="Times New Roman" w:cs="Times New Roman" w:eastAsia="Times New Roman" w:hAnsi="Times New Roman"/>
          <w:sz w:val="17"/>
          <w:szCs w:val="17"/>
          <w:color w:val="auto"/>
        </w:rPr>
        <w:t xml:space="preserve">, which is an amount equal to the greater of (i) $400 million or (ii) a total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is a function of the risk profile of an </w:t>
      </w:r>
      <w:r>
        <w:rPr>
          <w:rFonts w:ascii="Times New Roman" w:cs="Times New Roman" w:eastAsia="Times New Roman" w:hAnsi="Times New Roman"/>
          <w:sz w:val="17"/>
          <w:szCs w:val="17"/>
          <w:i w:val="1"/>
          <w:iCs w:val="1"/>
          <w:color w:val="auto"/>
        </w:rPr>
        <w:t>approved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insurer's </w:t>
      </w:r>
      <w:r>
        <w:rPr>
          <w:rFonts w:ascii="Times New Roman" w:cs="Times New Roman" w:eastAsia="Times New Roman" w:hAnsi="Times New Roman"/>
          <w:sz w:val="17"/>
          <w:szCs w:val="17"/>
          <w:color w:val="auto"/>
        </w:rPr>
        <w:t>RIF, assessed on a loan-by-loan basis and considered against certain risk-based factors derived from tables set out in the PMIERs, which is then adjusted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on an aggregate basis for reinsurance transactions approved by the GSEs, such as with respect to our ILN Transactions, XOL Transactions and QSR Transactions. The </w:t>
      </w:r>
      <w:r>
        <w:rPr>
          <w:rFonts w:ascii="Times New Roman" w:cs="Times New Roman" w:eastAsia="Times New Roman" w:hAnsi="Times New Roman"/>
          <w:sz w:val="17"/>
          <w:szCs w:val="17"/>
          <w:i w:val="1"/>
          <w:iCs w:val="1"/>
          <w:color w:val="auto"/>
        </w:rPr>
        <w:t>aggregate gross risk-based required asset</w:t>
      </w:r>
      <w:r>
        <w:rPr>
          <w:rFonts w:ascii="Times New Roman" w:cs="Times New Roman" w:eastAsia="Times New Roman" w:hAnsi="Times New Roman"/>
          <w:sz w:val="17"/>
          <w:szCs w:val="17"/>
          <w:color w:val="auto"/>
        </w:rPr>
        <w:t xml:space="preserve"> amount for performing, primary insurance is subject to a floor of 5.6% of </w:t>
      </w:r>
      <w:r>
        <w:rPr>
          <w:rFonts w:ascii="Times New Roman" w:cs="Times New Roman" w:eastAsia="Times New Roman" w:hAnsi="Times New Roman"/>
          <w:sz w:val="17"/>
          <w:szCs w:val="17"/>
          <w:i w:val="1"/>
          <w:iCs w:val="1"/>
          <w:color w:val="auto"/>
        </w:rPr>
        <w:t>performing primary adjusted RIF</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By April 15th of each year, NMIC must certify it met all PMIERs requirements as of December 31st of the prior year. We certified to the GSEs by April 15, 2023 that NMIC was in full compliance with the PMIERs as of December 31, 2022. NMIC also has an ongoing obligation to immediately notify the GSEs in writing upon discovery of a failure to meet one or more of the PMIERs requirements. We continuously monitor NMIC's compliance with the PMIERs.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2" w:name="page73"/>
    <w:bookmarkEnd w:id="72"/>
    <w:p>
      <w:pPr>
        <w:jc w:val="both"/>
        <w:ind w:firstLine="621"/>
        <w:spacing w:after="0" w:line="293" w:lineRule="auto"/>
        <w:rPr>
          <w:sz w:val="20"/>
          <w:szCs w:val="20"/>
          <w:color w:val="auto"/>
        </w:rPr>
      </w:pPr>
      <w:r>
        <w:rPr>
          <w:rFonts w:ascii="Times New Roman" w:cs="Times New Roman" w:eastAsia="Times New Roman" w:hAnsi="Times New Roman"/>
          <w:sz w:val="17"/>
          <w:szCs w:val="17"/>
          <w:color w:val="auto"/>
        </w:rPr>
        <w:t xml:space="preserve">The following table provides a comparison of the PMIERs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as reported by NMIC as of the dates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
        </w:trPr>
        <w:tc>
          <w:tcPr>
            <w:tcW w:w="6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6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6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36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 assets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2,717,804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2,378,627</w:t>
            </w:r>
          </w:p>
        </w:tc>
        <w:tc>
          <w:tcPr>
            <w:tcW w:w="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2,041,193</w:t>
            </w:r>
          </w:p>
        </w:tc>
      </w:tr>
      <w:tr>
        <w:trPr>
          <w:trHeight w:val="226"/>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Risk-based required assets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1,516,140</w:t>
            </w:r>
          </w:p>
        </w:tc>
        <w:tc>
          <w:tcPr>
            <w:tcW w:w="200" w:type="dxa"/>
            <w:vAlign w:val="bottom"/>
          </w:tcPr>
          <w:p>
            <w:pPr>
              <w:spacing w:after="0"/>
              <w:rPr>
                <w:sz w:val="19"/>
                <w:szCs w:val="19"/>
                <w:color w:val="auto"/>
              </w:rPr>
            </w:pP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1,203,708</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1,186,272</w:t>
            </w:r>
          </w:p>
        </w:tc>
      </w:tr>
    </w:tbl>
    <w:p>
      <w:pPr>
        <w:spacing w:after="0" w:line="220"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Available assets </w:t>
      </w:r>
      <w:r>
        <w:rPr>
          <w:rFonts w:ascii="Times New Roman" w:cs="Times New Roman" w:eastAsia="Times New Roman" w:hAnsi="Times New Roman"/>
          <w:sz w:val="17"/>
          <w:szCs w:val="17"/>
          <w:color w:val="auto"/>
        </w:rPr>
        <w:t>were $2.7 billion at December 31, 2023, compared to $2.4 billion at December 31, 2022 and $2.0 billion at December 31, 2021.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sequential increase 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between the dates presented was primarily driven by NMIC's positive cash flow from operations during the intervening periods, partially offset by the payment of ordinary course dividends from NMIC to NMIH during each year.</w:t>
      </w:r>
    </w:p>
    <w:p>
      <w:pPr>
        <w:spacing w:after="0" w:line="109" w:lineRule="exact"/>
        <w:rPr>
          <w:sz w:val="20"/>
          <w:szCs w:val="20"/>
          <w:color w:val="auto"/>
        </w:rPr>
      </w:pPr>
    </w:p>
    <w:p>
      <w:pPr>
        <w:jc w:val="both"/>
        <w:ind w:firstLine="621"/>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Risk-based required assets </w:t>
      </w:r>
      <w:r>
        <w:rPr>
          <w:rFonts w:ascii="Times New Roman" w:cs="Times New Roman" w:eastAsia="Times New Roman" w:hAnsi="Times New Roman"/>
          <w:sz w:val="17"/>
          <w:szCs w:val="17"/>
          <w:color w:val="auto"/>
        </w:rPr>
        <w:t>were $1.5 billion at December 31, 2023, compared to $1.2 billion at December 31, 2022 and 2021. The increase in the r</w:t>
      </w:r>
      <w:r>
        <w:rPr>
          <w:rFonts w:ascii="Times New Roman" w:cs="Times New Roman" w:eastAsia="Times New Roman" w:hAnsi="Times New Roman"/>
          <w:sz w:val="17"/>
          <w:szCs w:val="17"/>
          <w:i w:val="1"/>
          <w:iCs w:val="1"/>
          <w:color w:val="auto"/>
        </w:rPr>
        <w:t xml:space="preserve">isk-based required asset </w:t>
      </w:r>
      <w:r>
        <w:rPr>
          <w:rFonts w:ascii="Times New Roman" w:cs="Times New Roman" w:eastAsia="Times New Roman" w:hAnsi="Times New Roman"/>
          <w:sz w:val="17"/>
          <w:szCs w:val="17"/>
          <w:color w:val="auto"/>
        </w:rPr>
        <w:t>amount between the dates presented was primarily due to the growth in our gross RIF and aggregate gross</w:t>
      </w:r>
      <w:r>
        <w:rPr>
          <w:rFonts w:ascii="Times New Roman" w:cs="Times New Roman" w:eastAsia="Times New Roman" w:hAnsi="Times New Roman"/>
          <w:sz w:val="17"/>
          <w:szCs w:val="17"/>
          <w:i w:val="1"/>
          <w:iCs w:val="1"/>
          <w:color w:val="auto"/>
        </w:rPr>
        <w:t xml:space="preserve"> risk-based required asset </w:t>
      </w:r>
      <w:r>
        <w:rPr>
          <w:rFonts w:ascii="Times New Roman" w:cs="Times New Roman" w:eastAsia="Times New Roman" w:hAnsi="Times New Roman"/>
          <w:sz w:val="17"/>
          <w:szCs w:val="17"/>
          <w:color w:val="auto"/>
        </w:rPr>
        <w:t>amount.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IT capabilities. We expect the private MI market to remain competitive, with pressure for industry participants to maintain or grow their market share.</w:t>
      </w:r>
    </w:p>
    <w:p>
      <w:pPr>
        <w:spacing w:after="0" w:line="11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premium rates and other charges, loan eligibility requirements, the cancelability of private coverage, loan size limits and the relative ease of use of private MI products compared to government MI alternatives.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Cybersecurity</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rely on technology to engage with customers, access borrower information and deliver our products and services. We have established and implemented security measures, controls and procedures to safeguard our IT systems, and prevent and detect unauthorized access to such systems or any data processed and/or stored therein. We periodically engage third parties to evaluate and test the adequacy of such security measures, controls and procedures. In addition, we have a business continuity plan that is designed to mitigate the operational impact of certain disruptive events, including disruptions to our IT systems, and we have an incident response plan that is designed to address information security incidents, including any breaches of our IT systems. Despite these safeguards, disruptions to and breaches of our IT systems are possible and may negatively impact our business.</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We maintain a cybersecurity errors and omissions insurance policy to limit our exposure to loss in the event of an incident. This policy provides coverage for (i) claims related to, among other things, unauthorized network or computer access, unintentional disclosure or misuse of personally identifiable information in our possession, and unintentional failure to disclose a breach, and (ii) certain costs related to privacy notification, crisis management, cyber extortion, data recovery, business interruption and reputational harm. For further information, see </w:t>
      </w:r>
      <w:r>
        <w:rPr>
          <w:rFonts w:ascii="Times New Roman" w:cs="Times New Roman" w:eastAsia="Times New Roman" w:hAnsi="Times New Roman"/>
          <w:sz w:val="17"/>
          <w:szCs w:val="17"/>
          <w:i w:val="1"/>
          <w:iCs w:val="1"/>
          <w:color w:val="auto"/>
        </w:rPr>
        <w:t>Part I, Item 1C, "Cybersecurity."</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LIBOR Transition</w:t>
      </w:r>
    </w:p>
    <w:p>
      <w:pPr>
        <w:spacing w:after="0" w:line="158" w:lineRule="exact"/>
        <w:rPr>
          <w:sz w:val="20"/>
          <w:szCs w:val="20"/>
          <w:color w:val="auto"/>
        </w:rPr>
      </w:pPr>
    </w:p>
    <w:p>
      <w:pPr>
        <w:jc w:val="both"/>
        <w:ind w:firstLine="621"/>
        <w:spacing w:after="0" w:line="241" w:lineRule="auto"/>
        <w:rPr>
          <w:sz w:val="20"/>
          <w:szCs w:val="20"/>
          <w:color w:val="auto"/>
        </w:rPr>
      </w:pPr>
      <w:r>
        <w:rPr>
          <w:rFonts w:ascii="Times New Roman" w:cs="Times New Roman" w:eastAsia="Times New Roman" w:hAnsi="Times New Roman"/>
          <w:sz w:val="17"/>
          <w:szCs w:val="17"/>
          <w:color w:val="auto"/>
        </w:rPr>
        <w:t>On March 5, 2021, ICE Benchmark Administration Limited (IBA), the administrator for the London Interbank Offered Rate (LIBOR), confirmed it would permanently cease the publication of overnight, one-month, three-month, six-month and twelve-month USD LIBOR settings in their current form after June 30, 2023. The U.K. Financial Conduct Authority, the regulator of IBA, announced on the same day that it intends to stop requiring panel banks to continue to submit to LIBOR and all USD LIBOR settings in their current form will either cease to be provided by any administrator or no longer be representative after June 30, 2023. As of December 31, 2023, all of our LIBOR-indexed financial contracts and substantially all of our LIBOR-indexed investment holdings have been transitioned to a Secured Overnight Financing Rate (SOFR) base. The impact of the transition from LIBOR to SOFR did not have a material impact on our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0"/>
        </w:trPr>
        <w:tc>
          <w:tcPr>
            <w:tcW w:w="56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35"/>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7"/>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0" w:type="dxa"/>
            <w:vAlign w:val="bottom"/>
            <w:gridSpan w:val="6"/>
          </w:tcPr>
          <w:p>
            <w:pPr>
              <w:jc w:val="center"/>
              <w:ind w:left="556"/>
              <w:spacing w:after="0"/>
              <w:rPr>
                <w:sz w:val="20"/>
                <w:szCs w:val="20"/>
                <w:color w:val="auto"/>
              </w:rPr>
            </w:pPr>
            <w:r>
              <w:rPr>
                <w:rFonts w:ascii="Times New Roman" w:cs="Times New Roman" w:eastAsia="Times New Roman" w:hAnsi="Times New Roman"/>
                <w:sz w:val="14"/>
                <w:szCs w:val="14"/>
                <w:i w:val="1"/>
                <w:iCs w:val="1"/>
                <w:color w:val="auto"/>
                <w:w w:val="98"/>
              </w:rPr>
              <w:t>($ In Thousands, except for per share data)</w:t>
            </w:r>
          </w:p>
        </w:tc>
        <w:tc>
          <w:tcPr>
            <w:tcW w:w="1240" w:type="dxa"/>
            <w:vAlign w:val="bottom"/>
          </w:tcPr>
          <w:p>
            <w:pPr>
              <w:spacing w:after="0"/>
              <w:rPr>
                <w:sz w:val="17"/>
                <w:szCs w:val="17"/>
                <w:color w:val="auto"/>
              </w:rPr>
            </w:pP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premiums earned</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510,768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475,266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444,294</w:t>
            </w:r>
          </w:p>
        </w:tc>
      </w:tr>
      <w:tr>
        <w:trPr>
          <w:trHeight w:val="220"/>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investment income</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67,512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46,406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38,072</w:t>
            </w: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(losses) gains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729</w:t>
            </w:r>
          </w:p>
        </w:tc>
      </w:tr>
      <w:tr>
        <w:trPr>
          <w:trHeight w:val="220"/>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revenues</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756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1,192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1,977</w:t>
            </w:r>
          </w:p>
        </w:tc>
      </w:tr>
      <w:tr>
        <w:trPr>
          <w:trHeight w:val="21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579,003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523,345</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485,072</w:t>
            </w:r>
          </w:p>
        </w:tc>
      </w:tr>
      <w:tr>
        <w:trPr>
          <w:trHeight w:val="200"/>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Insurance claims and claim expenses (benefits)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22,618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(3,594)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12,305</w:t>
            </w:r>
          </w:p>
        </w:tc>
      </w:tr>
      <w:tr>
        <w:trPr>
          <w:trHeight w:val="220"/>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110,699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117,490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142,303</w:t>
            </w: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 expenses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771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2,509</w:t>
            </w:r>
          </w:p>
        </w:tc>
      </w:tr>
      <w:tr>
        <w:trPr>
          <w:trHeight w:val="220"/>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32,212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32,163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31,796</w:t>
            </w: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(566)</w:t>
            </w:r>
          </w:p>
        </w:tc>
      </w:tr>
      <w:tr>
        <w:trPr>
          <w:trHeight w:val="21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166,300</w:t>
            </w: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146,040</w:t>
            </w:r>
          </w:p>
        </w:tc>
        <w:tc>
          <w:tcPr>
            <w:tcW w:w="10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188,347</w:t>
            </w:r>
          </w:p>
        </w:tc>
      </w:tr>
      <w:tr>
        <w:trPr>
          <w:trHeight w:val="122"/>
        </w:trPr>
        <w:tc>
          <w:tcPr>
            <w:tcW w:w="56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220"/>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412,703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377,305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296,725</w:t>
            </w: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90,593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84,403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65,595</w:t>
            </w: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322,110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292,902</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231,130</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08"/>
        </w:trPr>
        <w:tc>
          <w:tcPr>
            <w:tcW w:w="5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220"/>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 Basic</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2.70</w:t>
            </w:r>
          </w:p>
        </w:tc>
      </w:tr>
      <w:tr>
        <w:trPr>
          <w:trHeight w:val="22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 Diluted</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2.65</w:t>
            </w:r>
          </w:p>
        </w:tc>
      </w:tr>
      <w:tr>
        <w:trPr>
          <w:trHeight w:val="142"/>
        </w:trPr>
        <w:tc>
          <w:tcPr>
            <w:tcW w:w="5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20"/>
        </w:trPr>
        <w:tc>
          <w:tcPr>
            <w:tcW w:w="56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Loss ratio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220"/>
        </w:trPr>
        <w:tc>
          <w:tcPr>
            <w:tcW w:w="560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Expense ratio </w:t>
            </w:r>
            <w:r>
              <w:rPr>
                <w:rFonts w:ascii="Times New Roman" w:cs="Times New Roman" w:eastAsia="Times New Roman" w:hAnsi="Times New Roman"/>
                <w:sz w:val="22"/>
                <w:szCs w:val="22"/>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21.7 %</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24.7 %</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32.0 %</w:t>
            </w:r>
          </w:p>
        </w:tc>
      </w:tr>
      <w:tr>
        <w:trPr>
          <w:trHeight w:val="213"/>
        </w:trPr>
        <w:tc>
          <w:tcPr>
            <w:tcW w:w="56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Combined ratio </w:t>
            </w:r>
            <w:r>
              <w:rPr>
                <w:rFonts w:ascii="Times New Roman" w:cs="Times New Roman" w:eastAsia="Times New Roman" w:hAnsi="Times New Roman"/>
                <w:sz w:val="22"/>
                <w:szCs w:val="22"/>
                <w:color w:val="auto"/>
                <w:vertAlign w:val="superscript"/>
              </w:rPr>
              <w:t>(3)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34.8 %</w:t>
            </w:r>
          </w:p>
        </w:tc>
      </w:tr>
      <w:tr>
        <w:trPr>
          <w:trHeight w:val="414"/>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Non-GAAP financial measures </w:t>
            </w:r>
            <w:r>
              <w:rPr>
                <w:rFonts w:ascii="Times New Roman" w:cs="Times New Roman" w:eastAsia="Times New Roman" w:hAnsi="Times New Roman"/>
                <w:sz w:val="17"/>
                <w:szCs w:val="17"/>
                <w:b w:val="1"/>
                <w:bCs w:val="1"/>
                <w:color w:val="auto"/>
                <w:vertAlign w:val="superscript"/>
              </w:rPr>
              <w:t>(4)</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1"/>
        </w:trPr>
        <w:tc>
          <w:tcPr>
            <w:tcW w:w="5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0" w:type="dxa"/>
            <w:vAlign w:val="bottom"/>
            <w:gridSpan w:val="6"/>
          </w:tcPr>
          <w:p>
            <w:pPr>
              <w:jc w:val="right"/>
              <w:ind w:right="134"/>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240" w:type="dxa"/>
            <w:vAlign w:val="bottom"/>
          </w:tcPr>
          <w:p>
            <w:pPr>
              <w:spacing w:after="0"/>
              <w:rPr>
                <w:sz w:val="15"/>
                <w:szCs w:val="15"/>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income before tax</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412,736</w:t>
            </w:r>
          </w:p>
        </w:tc>
        <w:tc>
          <w:tcPr>
            <w:tcW w:w="5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375,916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303,238</w:t>
            </w:r>
          </w:p>
        </w:tc>
      </w:tr>
      <w:tr>
        <w:trPr>
          <w:trHeight w:val="220"/>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net income</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322,136</w:t>
            </w: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291,571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236,837</w:t>
            </w:r>
          </w:p>
        </w:tc>
      </w:tr>
      <w:tr>
        <w:trPr>
          <w:trHeight w:val="22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diluted EPS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r>
    </w:tbl>
    <w:p>
      <w:pPr>
        <w:spacing w:after="0" w:line="212" w:lineRule="exact"/>
        <w:rPr>
          <w:sz w:val="20"/>
          <w:szCs w:val="20"/>
          <w:color w:val="auto"/>
        </w:rPr>
      </w:pPr>
    </w:p>
    <w:p>
      <w:pPr>
        <w:ind w:left="300" w:hanging="297"/>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ratio is calculated by dividing insurance claims and claim expenses (benefits) by net premiums earned.</w:t>
      </w:r>
    </w:p>
    <w:p>
      <w:pPr>
        <w:spacing w:after="0" w:line="1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ratio is calculated by dividing underwriting and operating expenses by net premiums earned.</w:t>
      </w:r>
    </w:p>
    <w:p>
      <w:pPr>
        <w:spacing w:after="0" w:line="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Combined ratio may not foot due to rounding.</w:t>
      </w:r>
    </w:p>
    <w:p>
      <w:pPr>
        <w:spacing w:after="0" w:line="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Explanation and Reconciliation of Our Use of Non-GAAP Financial Measures,</w:t>
      </w:r>
      <w:r>
        <w:rPr>
          <w:rFonts w:ascii="Times New Roman" w:cs="Times New Roman" w:eastAsia="Times New Roman" w:hAnsi="Times New Roman"/>
          <w:sz w:val="14"/>
          <w:szCs w:val="14"/>
          <w:color w:val="auto"/>
        </w:rPr>
        <w:t>” below.</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Net premiums earned were $510.8 million, $475.3 million and $444.3 million for the years ended December 31, 2023, 2022 and 2021, respectively. The sequential increase in net premiums earned during each successive year was primarily driven by our NIW production and the growth of our IIF, partially offset by an increase in total premiums ceded under our reinsurance transactions and a decline in the contribution from single premium policy cancellations.</w:t>
      </w:r>
    </w:p>
    <w:p>
      <w:pPr>
        <w:spacing w:after="0" w:line="111"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Net investment income was $67.5 million, $46.4 million and $38.1 million for the years ended December 31, 2023, 2022 and 2021, respectively. The sequential increase in net investment income during each successive year was primarily driven by an increase in the book yield of the investment portfolio tied to the deployment of new cash flows and reinvestment of rolling maturities at incrementally higher rates, as well as growth in the size of our total invested asset base.</w:t>
      </w:r>
    </w:p>
    <w:p>
      <w:pPr>
        <w:spacing w:after="0" w:line="32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Other revenues were $0.8 million, $1.2 million and $2.0 million for the years ended December 31, 2023, 2022 and 2021, respectively. Other revenues represent underwriting fee revenue generated by our subsidiary, NMIS, which provides outsourced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74" w:name="page75"/>
    <w:bookmarkEnd w:id="74"/>
    <w:p>
      <w:pPr>
        <w:jc w:val="both"/>
        <w:spacing w:after="0" w:line="272" w:lineRule="auto"/>
        <w:rPr>
          <w:sz w:val="20"/>
          <w:szCs w:val="20"/>
          <w:color w:val="auto"/>
        </w:rPr>
      </w:pPr>
      <w:r>
        <w:rPr>
          <w:rFonts w:ascii="Times New Roman" w:cs="Times New Roman" w:eastAsia="Times New Roman" w:hAnsi="Times New Roman"/>
          <w:sz w:val="17"/>
          <w:szCs w:val="17"/>
          <w:color w:val="auto"/>
        </w:rPr>
        <w:t>loan review services to mortgage loan originators. The sequential decrease in other revenues during each successive year reflects a decline in NMIS' outsourced loan review volume. Amounts recognized in other revenues generally correspond with amounts incurred as service expenses for outsourced loan review activities in the same periods.</w:t>
      </w:r>
    </w:p>
    <w:p>
      <w:pPr>
        <w:spacing w:after="0" w:line="1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Expenses</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1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Insurance claims and claim expenses were $22.6 million for the year ended December 31, 2023, compared to insurance claims and claim benefits of $3.6 million for the year ended December 31, 2022 and insurance claims and claim expenses of $12.3 million for the year ended December 31, 2021. The increase in insurance claims and claim expenses for the year ended December 31, 2023 was primarily driven by the establishment of initial reserves on newly defaulted loans, as well as an increase in the average case reserve held against previously defaulted loans that aged in their delinquency status, partially offset by the release of a portion of the reserves we established for anticipated claims payments in prior periods in connection with cure activity and ongoing analysis of loss development trends.</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recognized insurance claims and claim benefits for the year ended December 31, 2022 as the release of a portion of the reserves we established for anticipated claims payments in prior periods in connection with cure activity and ongoing analysis of loss development trends exceeded the initial reserves established on newly defaulted loans and the increase in reserves held against previously defaulted loans that aged in their delinquency status during the period.</w:t>
      </w:r>
    </w:p>
    <w:p>
      <w:pPr>
        <w:spacing w:after="0" w:line="11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Underwriting and operating expenses were $110.7 million, $117.5 million and $142.3 million for the years ended December 31, 2023, 2022 and 2021, respectively. The decline in underwriting and operating expenses for the year ended December 31, 2023 primarily reflects a decrease in the amortization of deferred acquisition costs tied to the increased persistency of our IIF during the period, a full-year impact of ceding commissions received in connection with the 2022 Seasoned QSR Transaction (which was in effect for only a portion of the year ended December 31, 2022), and a step-down in technology costs related to our agreement with TCS, partially offset by an increase in employee compensation costs and miscellaneous IT expenses.</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decline in underwriting and operating expenses for the year ended December 31, 2022 primarily reflects a decrease in the amortization of deferred acquisition costs tied to the increased persistency of our IIF during the period, an increase in ceding commissions received upon the introduction of the 2022 Seasoned QSR Transaction effective July 1, 2022, a decrease in employee compensation costs, and a step-down in technology costs related to our agreement with TCS, partially offset by an increase in miscellaneous IT expenses and travel and entertainment costs.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Service expenses were $0.8 million, $1.1 million and $2.5 million for the years ended December 31, 2023, 2022 and 2021, respectively. Service expenses represent third-party costs incurred by NMIS in connection with the services it provides. The sequential decline in service expenses in each successive year primarily reflects a decline in NMIS' outsourced loan review volume. Amounts incurred as service expenses generally correspond with amounts recognized in other revenues in the same periods.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Interest expense was $32.2 million, $32.2 million and $31.8 million for the years ended December 31, 2023, 2022 and 2021, respectively. Interest expense primarily reflects the carrying costs of the Notes. For further information, see Item 8, “</w:t>
      </w:r>
      <w:r>
        <w:rPr>
          <w:rFonts w:ascii="Times New Roman" w:cs="Times New Roman" w:eastAsia="Times New Roman" w:hAnsi="Times New Roman"/>
          <w:sz w:val="17"/>
          <w:szCs w:val="17"/>
          <w:i w:val="1"/>
          <w:iCs w:val="1"/>
          <w:color w:val="auto"/>
        </w:rPr>
        <w:t>Financial Statements and Supplementary Data - Notes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Consolidated Financial Statements - Note 5, Debt.</w:t>
      </w:r>
      <w:r>
        <w:rPr>
          <w:rFonts w:ascii="Times New Roman" w:cs="Times New Roman" w:eastAsia="Times New Roman" w:hAnsi="Times New Roman"/>
          <w:sz w:val="17"/>
          <w:szCs w:val="17"/>
          <w:color w:val="auto"/>
        </w:rPr>
        <w:t>”</w:t>
      </w:r>
    </w:p>
    <w:p>
      <w:pPr>
        <w:spacing w:after="0" w:line="99" w:lineRule="exact"/>
        <w:rPr>
          <w:sz w:val="20"/>
          <w:szCs w:val="20"/>
          <w:color w:val="auto"/>
        </w:rPr>
      </w:pPr>
    </w:p>
    <w:p>
      <w:pPr>
        <w:jc w:val="both"/>
        <w:ind w:firstLine="621"/>
        <w:spacing w:after="0" w:line="241" w:lineRule="auto"/>
        <w:rPr>
          <w:sz w:val="20"/>
          <w:szCs w:val="20"/>
          <w:color w:val="auto"/>
        </w:rPr>
      </w:pPr>
      <w:r>
        <w:rPr>
          <w:rFonts w:ascii="Times New Roman" w:cs="Times New Roman" w:eastAsia="Times New Roman" w:hAnsi="Times New Roman"/>
          <w:sz w:val="17"/>
          <w:szCs w:val="17"/>
          <w:color w:val="auto"/>
        </w:rPr>
        <w:t>Income tax expense was $90.6 million, $84.4 million and $65.6 million for the years ended December 31, 2023, 2022 and 2021, respectively. The sequential increase in income tax expense during each successive year was primarily driven by the growth in our pre-tax income. As a U.S. taxpayer, we are subject to a U.S. federal corporate income tax rate of 21%. Our effective income tax rate on pre-tax income was 22.0%, 22.4% and 22.1% for the years ended December 31, 2023, 2022 and 2021, respectively. Our effective tax rate decreased for the year ended December 31, 2023 compared to the year ended December 31, 2022 primarily due to an increase in the tax benefit realized from excess share-based compensation for stock options exercised in the period. Our effective tax rate increased for the year ended December 31, 2022 compared to the year ended December 31, 2021 primarily due to a re-measurement of deferred tax balances related to changes in state income tax rates. For further information regarding income taxes and their impact on our results of operations and financial position, see Item 8, "</w:t>
      </w:r>
      <w:r>
        <w:rPr>
          <w:rFonts w:ascii="Times New Roman" w:cs="Times New Roman" w:eastAsia="Times New Roman" w:hAnsi="Times New Roman"/>
          <w:sz w:val="17"/>
          <w:szCs w:val="17"/>
          <w:i w:val="1"/>
          <w:iCs w:val="1"/>
          <w:color w:val="auto"/>
        </w:rPr>
        <w:t>Financial Statements and Supplementary Data - Notes to Consolidated Financial Statements - Note 10, Income Taxes.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5" w:name="page76"/>
    <w:bookmarkEnd w:id="75"/>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Net income was $322.1 million, $292.9 million and $231.1 million for the years ended December 31, 2023, 2022 and 2021, respectively. Adjusted net income was $322.1 million, $291.6 million and $236.8 million, for the same periods, respectively. The increase in net income and adjusted net income during each successive year reflects the growth in our total revenues and decline in underwriting and operating expenses, as well as the changes in our insurance claims and claim expenses and income tax expense during the periods.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Diluted earnings per share (EPS) was $3.84, $3.39 and $2.65 for the years ended December 31, 2023, 2022 and 2021, respectively. Adjusted diluted EPS was $3.84, $3.39 and $2.73 for the same periods, respectively. Diluted and adjusted diluted EPS increased during each successive year primarily due to growth in our net income and adjusted net income. Diluted and adjusted diluted EPS for the years ended December 31, 2023 and 2022 further benefited from a decline in the number of weighted average diluted shares outstanding tied to share repurchase activity during the periods.</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non-GAAP financial measures of adjusted income before tax, adjusted net income and adjusted diluted EPS are presented to enhance the comparability of financial results between periods.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Non-GAAP Financial Measure Reconciliations</w:t>
            </w:r>
          </w:p>
        </w:tc>
        <w:tc>
          <w:tcPr>
            <w:tcW w:w="3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920" w:type="dxa"/>
            <w:vAlign w:val="bottom"/>
            <w:tcBorders>
              <w:bottom w:val="single" w:sz="8" w:color="auto"/>
            </w:tcBorders>
          </w:tcPr>
          <w:p>
            <w:pPr>
              <w:spacing w:after="0"/>
              <w:rPr>
                <w:sz w:val="19"/>
                <w:szCs w:val="19"/>
                <w:color w:val="auto"/>
              </w:rPr>
            </w:pPr>
          </w:p>
        </w:tc>
      </w:tr>
      <w:tr>
        <w:trPr>
          <w:trHeight w:val="181"/>
        </w:trPr>
        <w:tc>
          <w:tcPr>
            <w:tcW w:w="6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6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6"/>
          </w:tcPr>
          <w:p>
            <w:pPr>
              <w:jc w:val="center"/>
              <w:ind w:left="497"/>
              <w:spacing w:after="0"/>
              <w:rPr>
                <w:sz w:val="20"/>
                <w:szCs w:val="20"/>
                <w:color w:val="auto"/>
              </w:rPr>
            </w:pPr>
            <w:r>
              <w:rPr>
                <w:rFonts w:ascii="Times New Roman" w:cs="Times New Roman" w:eastAsia="Times New Roman" w:hAnsi="Times New Roman"/>
                <w:sz w:val="14"/>
                <w:szCs w:val="14"/>
                <w:i w:val="1"/>
                <w:iCs w:val="1"/>
                <w:color w:val="auto"/>
                <w:w w:val="98"/>
              </w:rPr>
              <w:t>($ In Thousands, except for per share data)</w:t>
            </w:r>
          </w:p>
        </w:tc>
        <w:tc>
          <w:tcPr>
            <w:tcW w:w="920" w:type="dxa"/>
            <w:vAlign w:val="bottom"/>
          </w:tcPr>
          <w:p>
            <w:pPr>
              <w:spacing w:after="0"/>
              <w:rPr>
                <w:sz w:val="16"/>
                <w:szCs w:val="16"/>
                <w:color w:val="auto"/>
              </w:rPr>
            </w:pPr>
          </w:p>
        </w:tc>
      </w:tr>
      <w:tr>
        <w:trPr>
          <w:trHeight w:val="22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412,703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377,305</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296,725</w:t>
            </w: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84,403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65,595</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231,130</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5"/>
        </w:trPr>
        <w:tc>
          <w:tcPr>
            <w:tcW w:w="6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investment losses (gains)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r>
      <w:tr>
        <w:trPr>
          <w:trHeight w:val="220"/>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from change in fair value warrant liability</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market transaction costs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3,979</w:t>
            </w:r>
          </w:p>
        </w:tc>
      </w:tr>
      <w:tr>
        <w:trPr>
          <w:trHeight w:val="220"/>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infrequent, unusual or non-operating items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3,829</w:t>
            </w:r>
          </w:p>
        </w:tc>
      </w:tr>
      <w:tr>
        <w:trPr>
          <w:trHeight w:val="213"/>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income before tax</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412,736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375,916</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303,238</w:t>
            </w:r>
          </w:p>
        </w:tc>
      </w:tr>
      <w:tr>
        <w:trPr>
          <w:trHeight w:val="259"/>
        </w:trPr>
        <w:tc>
          <w:tcPr>
            <w:tcW w:w="6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0"/>
        </w:trPr>
        <w:tc>
          <w:tcPr>
            <w:tcW w:w="68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Income tax expense (benefit) on adjustments </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income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322,136</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291,571</w:t>
            </w:r>
          </w:p>
        </w:tc>
        <w:tc>
          <w:tcPr>
            <w:tcW w:w="10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236,837</w:t>
            </w:r>
          </w:p>
        </w:tc>
      </w:tr>
      <w:tr>
        <w:trPr>
          <w:trHeight w:val="259"/>
        </w:trPr>
        <w:tc>
          <w:tcPr>
            <w:tcW w:w="68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20"/>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86,885</w:t>
            </w: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diluted EPS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r>
    </w:tbl>
    <w:p>
      <w:pPr>
        <w:spacing w:after="0" w:line="174" w:lineRule="exact"/>
        <w:rPr>
          <w:sz w:val="20"/>
          <w:szCs w:val="20"/>
          <w:color w:val="auto"/>
        </w:rPr>
      </w:pPr>
    </w:p>
    <w:p>
      <w:pPr>
        <w:ind w:left="320" w:hanging="317"/>
        <w:spacing w:after="0" w:line="258" w:lineRule="auto"/>
        <w:tabs>
          <w:tab w:leader="none" w:pos="351"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Marginal tax impact of non-GAAP adjustments is calculated based on our statutory U.S. federal corporate income tax rate of 21%, except for those items that are not eligible for an income tax deduction.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Explanation and Reconciliation of Our Use of Non-GAAP Financial Measures</w:t>
      </w:r>
    </w:p>
    <w:p>
      <w:pPr>
        <w:spacing w:after="0" w:line="169"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328"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Adjusted income before tax </w:t>
      </w:r>
      <w:r>
        <w:rPr>
          <w:rFonts w:ascii="Times New Roman" w:cs="Times New Roman" w:eastAsia="Times New Roman" w:hAnsi="Times New Roman"/>
          <w:sz w:val="17"/>
          <w:szCs w:val="17"/>
          <w:color w:val="auto"/>
        </w:rPr>
        <w:t>is defined as GAAP income before tax, excluding the pre-tax effects of the gain or loss related to the change in fair value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warrant liability, periodic costs incurred in connection with capital markets transactions, net realized gains or losses from our investment portfolio, and other infrequent, unusual or non-operating items in the periods in which such items are incurred.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76" w:name="page77"/>
    <w:bookmarkEnd w:id="76"/>
    <w:p>
      <w:pPr>
        <w:jc w:val="both"/>
        <w:ind w:firstLine="621"/>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Adjusted net income </w:t>
      </w:r>
      <w:r>
        <w:rPr>
          <w:rFonts w:ascii="Times New Roman" w:cs="Times New Roman" w:eastAsia="Times New Roman" w:hAnsi="Times New Roman"/>
          <w:sz w:val="17"/>
          <w:szCs w:val="17"/>
          <w:color w:val="auto"/>
        </w:rPr>
        <w:t>is defined as GAAP net income, excluding the after-tax effects of the gain or loss related to the change in fair value of our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liability, periodic costs incurred in connection with capital markets transactions, net realized gains or losses from our investment portfolio, and other infrequent, unusual or non-operating items in the periods in which such items are incurred. Adjustments to components of pre-tax income are tax effected using the applicable federal statutory tax rate for the respective periods.</w:t>
      </w:r>
    </w:p>
    <w:p>
      <w:pPr>
        <w:spacing w:after="0" w:line="113" w:lineRule="exact"/>
        <w:rPr>
          <w:sz w:val="20"/>
          <w:szCs w:val="20"/>
          <w:color w:val="auto"/>
        </w:rPr>
      </w:pPr>
    </w:p>
    <w:p>
      <w:pPr>
        <w:jc w:val="both"/>
        <w:ind w:firstLine="621"/>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Adjusted diluted EPS </w:t>
      </w:r>
      <w:r>
        <w:rPr>
          <w:rFonts w:ascii="Times New Roman" w:cs="Times New Roman" w:eastAsia="Times New Roman" w:hAnsi="Times New Roman"/>
          <w:sz w:val="17"/>
          <w:szCs w:val="17"/>
          <w:color w:val="auto"/>
        </w:rPr>
        <w:t>is defined as adjusted net income divided by adjusted weighted average diluted shares outstanding. Adjusted weighted average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15"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272" w:lineRule="exact"/>
        <w:rPr>
          <w:sz w:val="20"/>
          <w:szCs w:val="20"/>
          <w:color w:val="auto"/>
        </w:rPr>
      </w:pPr>
    </w:p>
    <w:p>
      <w:pPr>
        <w:jc w:val="both"/>
        <w:ind w:left="620" w:hanging="306"/>
        <w:spacing w:after="0" w:line="261"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Change in fair value of warrant liability</w:t>
      </w:r>
      <w:r>
        <w:rPr>
          <w:rFonts w:ascii="Times New Roman" w:cs="Times New Roman" w:eastAsia="Times New Roman" w:hAnsi="Times New Roman"/>
          <w:sz w:val="17"/>
          <w:szCs w:val="17"/>
          <w:color w:val="auto"/>
        </w:rPr>
        <w:t>. Outstanding warrants at the end of each reporting period are revalued, and any change in fair value is reported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statement of operations in the period in which the change occurred. The change in fair value of our warrant liability can vary significantly across periods and is influenced principally by equity market and general economic factors that do not impact or reflect our current period operating results. Furthermore, all unexercised warrants expired in April 2022 and, as such, no change in fair value will be recognized in future reporting periods thereafter. We believe trends in our operating performance can be more clearly identified by excluding fluctuations related to the change in fair value of our warrant liability.</w:t>
      </w:r>
    </w:p>
    <w:p>
      <w:pPr>
        <w:spacing w:after="0" w:line="121" w:lineRule="exact"/>
        <w:rPr>
          <w:rFonts w:ascii="Times New Roman" w:cs="Times New Roman" w:eastAsia="Times New Roman" w:hAnsi="Times New Roman"/>
          <w:sz w:val="17"/>
          <w:szCs w:val="17"/>
          <w:color w:val="auto"/>
        </w:rPr>
      </w:pPr>
    </w:p>
    <w:p>
      <w:pPr>
        <w:jc w:val="both"/>
        <w:ind w:left="620" w:hanging="306"/>
        <w:spacing w:after="0" w:line="273"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Capital markets transaction costs</w:t>
      </w:r>
      <w:r>
        <w:rPr>
          <w:rFonts w:ascii="Times New Roman" w:cs="Times New Roman" w:eastAsia="Times New Roman" w:hAnsi="Times New Roman"/>
          <w:sz w:val="17"/>
          <w:szCs w:val="17"/>
          <w:color w:val="auto"/>
        </w:rPr>
        <w:t>. Capital markets transaction costs result from activities that are undertaken to improve our debt profile or enhance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position through activities such as debt refinancing and capital markets reinsurance transactions that may vary in their size and timing due to factors such as market opportunities, tax and capital profile, and overall market cycles.</w:t>
      </w:r>
    </w:p>
    <w:p>
      <w:pPr>
        <w:spacing w:after="0" w:line="109" w:lineRule="exact"/>
        <w:rPr>
          <w:rFonts w:ascii="Times New Roman" w:cs="Times New Roman" w:eastAsia="Times New Roman" w:hAnsi="Times New Roman"/>
          <w:sz w:val="17"/>
          <w:szCs w:val="17"/>
          <w:color w:val="auto"/>
        </w:rPr>
      </w:pPr>
    </w:p>
    <w:p>
      <w:pPr>
        <w:jc w:val="both"/>
        <w:ind w:left="620" w:hanging="306"/>
        <w:spacing w:after="0" w:line="273"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Net realized investment gains and losses</w:t>
      </w:r>
      <w:r>
        <w:rPr>
          <w:rFonts w:ascii="Times New Roman" w:cs="Times New Roman" w:eastAsia="Times New Roman" w:hAnsi="Times New Roman"/>
          <w:sz w:val="17"/>
          <w:szCs w:val="17"/>
          <w:color w:val="auto"/>
        </w:rPr>
        <w:t>. The recognition of the net realized investment gains or losses can vary significantly across periods as the timing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highly discretionary and is influenced by factors such as market opportunities, tax and capital profile, and overall market cycles that do not reflect our current period operating results.</w:t>
      </w:r>
    </w:p>
    <w:p>
      <w:pPr>
        <w:spacing w:after="0" w:line="109" w:lineRule="exact"/>
        <w:rPr>
          <w:rFonts w:ascii="Times New Roman" w:cs="Times New Roman" w:eastAsia="Times New Roman" w:hAnsi="Times New Roman"/>
          <w:sz w:val="17"/>
          <w:szCs w:val="17"/>
          <w:color w:val="auto"/>
        </w:rPr>
      </w:pPr>
    </w:p>
    <w:p>
      <w:pPr>
        <w:jc w:val="both"/>
        <w:ind w:left="620" w:hanging="306"/>
        <w:spacing w:after="0" w:line="260"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infrequent, unusual or non-operating items</w:t>
      </w:r>
      <w:r>
        <w:rPr>
          <w:rFonts w:ascii="Times New Roman" w:cs="Times New Roman" w:eastAsia="Times New Roman" w:hAnsi="Times New Roman"/>
          <w:sz w:val="17"/>
          <w:szCs w:val="17"/>
          <w:color w:val="auto"/>
        </w:rPr>
        <w:t>. Items that are the result of unforeseen or uncommon events, and are not expected to recur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3"/>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2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5"/>
                <w:szCs w:val="15"/>
                <w:color w:val="auto"/>
              </w:rPr>
            </w:pPr>
          </w:p>
        </w:tc>
        <w:tc>
          <w:tcPr>
            <w:tcW w:w="16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gridSpan w:val="4"/>
          </w:tcPr>
          <w:p>
            <w:pPr>
              <w:jc w:val="right"/>
              <w:ind w:right="141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investment portfolio</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2,371,021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2,099,389</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44,426</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Premiums receivable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69,680</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58,564</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31,930</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21,587</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federal income taxes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154,409</w:t>
            </w:r>
          </w:p>
        </w:tc>
        <w:tc>
          <w:tcPr>
            <w:tcW w:w="0" w:type="dxa"/>
            <w:vAlign w:val="bottom"/>
          </w:tcPr>
          <w:p>
            <w:pPr>
              <w:spacing w:after="0"/>
              <w:rPr>
                <w:sz w:val="1"/>
                <w:szCs w:val="1"/>
                <w:color w:val="auto"/>
              </w:rPr>
            </w:pPr>
          </w:p>
        </w:tc>
      </w:tr>
      <w:tr>
        <w:trPr>
          <w:trHeight w:val="220"/>
        </w:trPr>
        <w:tc>
          <w:tcPr>
            <w:tcW w:w="7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36,045</w:t>
            </w:r>
          </w:p>
        </w:tc>
        <w:tc>
          <w:tcPr>
            <w:tcW w:w="0" w:type="dxa"/>
            <w:vAlign w:val="bottom"/>
          </w:tcPr>
          <w:p>
            <w:pPr>
              <w:spacing w:after="0"/>
              <w:rPr>
                <w:sz w:val="1"/>
                <w:szCs w:val="1"/>
                <w:color w:val="auto"/>
              </w:rPr>
            </w:pPr>
          </w:p>
        </w:tc>
      </w:tr>
      <w:tr>
        <w:trPr>
          <w:trHeight w:val="23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2,940,507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2,516,030</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20" w:type="dxa"/>
            <w:vAlign w:val="bottom"/>
            <w:vMerge w:val="continue"/>
          </w:tcPr>
          <w:p>
            <w:pPr>
              <w:spacing w:after="0"/>
              <w:rPr>
                <w:sz w:val="16"/>
                <w:szCs w:val="16"/>
                <w:color w:val="auto"/>
              </w:rPr>
            </w:pPr>
          </w:p>
        </w:tc>
        <w:tc>
          <w:tcPr>
            <w:tcW w:w="220" w:type="dxa"/>
            <w:vAlign w:val="bottom"/>
          </w:tcPr>
          <w:p>
            <w:pPr>
              <w:jc w:val="right"/>
              <w:ind w:right="3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397,595</w:t>
            </w:r>
          </w:p>
        </w:tc>
        <w:tc>
          <w:tcPr>
            <w:tcW w:w="100" w:type="dxa"/>
            <w:vAlign w:val="bottom"/>
          </w:tcPr>
          <w:p>
            <w:pPr>
              <w:spacing w:after="0"/>
              <w:rPr>
                <w:sz w:val="16"/>
                <w:szCs w:val="16"/>
                <w:color w:val="auto"/>
              </w:rPr>
            </w:pPr>
          </w:p>
        </w:tc>
        <w:tc>
          <w:tcPr>
            <w:tcW w:w="260" w:type="dxa"/>
            <w:vAlign w:val="bottom"/>
          </w:tcPr>
          <w:p>
            <w:pPr>
              <w:jc w:val="right"/>
              <w:ind w:right="7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396,051</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premiums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123,035</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74,576</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99,836</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funds withheld</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2,674</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301,573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193,859</w:t>
            </w:r>
          </w:p>
        </w:tc>
        <w:tc>
          <w:tcPr>
            <w:tcW w:w="0" w:type="dxa"/>
            <w:vAlign w:val="bottom"/>
          </w:tcPr>
          <w:p>
            <w:pPr>
              <w:spacing w:after="0"/>
              <w:rPr>
                <w:sz w:val="1"/>
                <w:szCs w:val="1"/>
                <w:color w:val="auto"/>
              </w:rPr>
            </w:pPr>
          </w:p>
        </w:tc>
      </w:tr>
      <w:tr>
        <w:trPr>
          <w:trHeight w:val="220"/>
        </w:trPr>
        <w:tc>
          <w:tcPr>
            <w:tcW w:w="7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12,272</w:t>
            </w:r>
          </w:p>
        </w:tc>
        <w:tc>
          <w:tcPr>
            <w:tcW w:w="0" w:type="dxa"/>
            <w:vAlign w:val="bottom"/>
          </w:tcPr>
          <w:p>
            <w:pPr>
              <w:spacing w:after="0"/>
              <w:rPr>
                <w:sz w:val="1"/>
                <w:szCs w:val="1"/>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1,014,503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902,303</w:t>
            </w:r>
          </w:p>
        </w:tc>
        <w:tc>
          <w:tcPr>
            <w:tcW w:w="0" w:type="dxa"/>
            <w:vAlign w:val="bottom"/>
          </w:tcPr>
          <w:p>
            <w:pPr>
              <w:spacing w:after="0"/>
              <w:rPr>
                <w:sz w:val="1"/>
                <w:szCs w:val="1"/>
                <w:color w:val="auto"/>
              </w:rPr>
            </w:pPr>
          </w:p>
        </w:tc>
      </w:tr>
      <w:tr>
        <w:trPr>
          <w:trHeight w:val="21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1,926,004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1,613,727</w:t>
            </w:r>
          </w:p>
        </w:tc>
        <w:tc>
          <w:tcPr>
            <w:tcW w:w="0" w:type="dxa"/>
            <w:vAlign w:val="bottom"/>
          </w:tcPr>
          <w:p>
            <w:pPr>
              <w:spacing w:after="0"/>
              <w:rPr>
                <w:sz w:val="1"/>
                <w:szCs w:val="1"/>
                <w:color w:val="auto"/>
              </w:rPr>
            </w:pPr>
          </w:p>
        </w:tc>
      </w:tr>
      <w:tr>
        <w:trPr>
          <w:trHeight w:val="23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2,940,507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2,516,030</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Total cash and investments were $2.5 billion as of December 31, 2023, compared to $2.1 billion as of December 31, 2022. Cash and investments at December 31, 2023 included $113.7 million held by NMIH. The increase in total cash and investments reflects the addition of incremental cash provided by operating activities, as well as a decrease in the unrealized loss position of our fixed income portfolio primarily tied to the prevailing interest rate environment, partially offset by share repurchase activity during the year ended December 31, 2023.</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Premiums receivable was $76.5 million as of December 31, 2023, compared to $69.7 million as of December 31, 2022. The increase was primarily driven by growth in our monthly premium policies in force, where premiums are generally paid one month in arrears.</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Net deferred policy acquisition costs were $62.9 million as of December 31, 2023, compared to $58.6 million as of December 31, 2022. The increase was primarily driven by the deferral of certain costs associated with the origination of new policies between the respective balance sheet dates, partially offset by the recognition of previously deferred policy acquisition costs.</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Reinsurance recoverable was $27.5 million as of December 31, 2023, compared to $21.6 million as of December 31, 2022. The increase was driven by an increase in ceded losses recoverable under our QSR Transactions.</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Prepaid federal income taxes were $235.3 million as of December 31, 2023, compared to $154.4 million as of December 31, 2022. The increase was driven by the purchase of $80.9 million of tax and loss bonds during the year ended December 31, 2023. For further information, see Item 8,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Statements and Supplementary Data - Notes to Consolidated Financial Statements - Note 10, Income Taxes.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Other assets were $40.4 million as of December 31, 2023, compared to $36.0 million as of December 31, 2022. The increase was primarily driven by an increase in our accrued investment income, partially offset by a reduction in our right-of-use (ROU) assets tied to the amortization of the operating lease for our corporate headquarters.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Unearned premiums were $92.3 million as of December 31, 2023, compared to $123.0 million as of December 31, 2022. The decrease was driven by the amortization of existing unearned premiums through earnings in accordance with the expiration of risk on related single premium policies and the cancellations of other single premium policies, partially offset by single premium policy originations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78" w:name="page79"/>
    <w:bookmarkEnd w:id="78"/>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Accounts payable and accrued expenses were $86.2 million as of December 31, 2023, compared to $74.6 million as of December 31, 2022. The increase was primarily driven by an increase in reinsurance premiums payable, accrued compensation expenses and premium and other taxes payables, partially offset by the settlement of certain contractual payments due during the year ended December 31, 2023.</w:t>
      </w:r>
    </w:p>
    <w:p>
      <w:pPr>
        <w:spacing w:after="0" w:line="150"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Reserve for insurance claims and claim expenses was $124.0 million as of December 31, 2023, compared to $99.8 million as of December 31, 2022. The increase was primarily driven by the establishment of initial reserves on newly defaulted loans during the year ended December 31, 2023, as well as an increase in the average case reserve held against previously defaulted loans that have aged in their delinquency status. The increase in the reserves for insurance claims and claim expenses was partially offset by the release of a portion of the reserves we established for anticipated claims payments in prior periods in connection with cure activity and ongoing analysis of recent loss development trends, as well as the payment of previously reserved claims during the period. See "</w:t>
      </w:r>
      <w:r>
        <w:rPr>
          <w:rFonts w:ascii="Times New Roman" w:cs="Times New Roman" w:eastAsia="Times New Roman" w:hAnsi="Times New Roman"/>
          <w:sz w:val="17"/>
          <w:szCs w:val="17"/>
          <w:i w:val="1"/>
          <w:iCs w:val="1"/>
          <w:color w:val="auto"/>
        </w:rPr>
        <w:t>Insurance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Claims and Claim Expenses</w:t>
      </w:r>
      <w:r>
        <w:rPr>
          <w:rFonts w:ascii="Times New Roman" w:cs="Times New Roman" w:eastAsia="Times New Roman" w:hAnsi="Times New Roman"/>
          <w:sz w:val="17"/>
          <w:szCs w:val="17"/>
          <w:color w:val="auto"/>
        </w:rPr>
        <w:t>," above for further details.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Reinsurance funds withheld, which represents our ceded reinsurance premiums written, less our profit and ceding commission receivables related to the 2016 QSR Transaction was $1.4 million as of December 31, 2023, compared to $2.7 million as of December 31, 2022. The decrease relates to the continued decline in ceded premiums written on single premium policies, due to the end of the reinsurance coverage period for new business under the 2016 QSR Transaction at December 31, 2017. For further information, see, Item 8, "</w:t>
      </w:r>
      <w:r>
        <w:rPr>
          <w:rFonts w:ascii="Times New Roman" w:cs="Times New Roman" w:eastAsia="Times New Roman" w:hAnsi="Times New Roman"/>
          <w:sz w:val="17"/>
          <w:szCs w:val="17"/>
          <w:i w:val="1"/>
          <w:iCs w:val="1"/>
          <w:color w:val="auto"/>
        </w:rPr>
        <w:t>Financial Statements and Supplementary Data - Notes to Consolidated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Statements - Note 6, Reinsurance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Net deferred tax liability was $301.6 million as of December 31, 2023, compared to $193.9 million as of December 31, 2022. The increase was primarily due to an increase in the claimed deductibility of our statutory contingency reserve and a decrease in the unrealized loss position of our fixed income portfolio recorded in other comprehensive income. For further information regarding income taxes and their impact on our results of operations and financial position, see Item 8, "</w:t>
      </w:r>
      <w:r>
        <w:rPr>
          <w:rFonts w:ascii="Times New Roman" w:cs="Times New Roman" w:eastAsia="Times New Roman" w:hAnsi="Times New Roman"/>
          <w:sz w:val="17"/>
          <w:szCs w:val="17"/>
          <w:i w:val="1"/>
          <w:iCs w:val="1"/>
          <w:color w:val="auto"/>
        </w:rPr>
        <w:t>Financial Statements and Supplementary Data - Notes to Consolidated Financial Statements - Note 10, Income Taxes.</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 from operating, investing and financing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cash flows</w:t>
            </w:r>
          </w:p>
        </w:tc>
        <w:tc>
          <w:tcPr>
            <w:tcW w:w="1040" w:type="dxa"/>
            <w:vAlign w:val="bottom"/>
          </w:tcPr>
          <w:p>
            <w:pPr>
              <w:spacing w:after="0"/>
              <w:rPr>
                <w:sz w:val="15"/>
                <w:szCs w:val="15"/>
                <w:color w:val="auto"/>
              </w:rPr>
            </w:pPr>
          </w:p>
        </w:tc>
        <w:tc>
          <w:tcPr>
            <w:tcW w:w="3040" w:type="dxa"/>
            <w:vAlign w:val="bottom"/>
            <w:gridSpan w:val="6"/>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0"/>
        </w:trPr>
        <w:tc>
          <w:tcPr>
            <w:tcW w:w="58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342,683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325,719</w:t>
            </w: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(374,180)</w:t>
            </w: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(55,828)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0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52,263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(32,220)</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(50,291)</w:t>
            </w:r>
          </w:p>
        </w:tc>
      </w:tr>
      <w:tr>
        <w:trPr>
          <w:trHeight w:val="20"/>
        </w:trPr>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Net cash provided by operating activities was $342.7 million, $313.4 million and $325.7 million for the years ended December 31, 2023, 2022 and 2021, respectively. Cash provided by operating activities increased during the year ended December 31, 2023 compared to the year ended December 31, 2022, primarily due to the growth in our investment income, an increase in net premium receipts and a reduction in the payment of cash compensation, partially offset by an increase in the purchase of tax and loss bonds during the period.</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Cash provided by operating activities declined during the year ended December 31, 2022 compared to the year ended December 31, 2021, primarily due to an increase in the purchase of tax and loss bonds during the period, as well as a decrease in premium written tied to a decline in single premium policies written during the period, both of which were largely offset by a reduction in the technology service costs paid under our long-term IT services agreement with TCS.</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Cash used in investing activities for the years ended December 31, 2023, 2022 and 2021 reflects the purchase of fixed and short-term maturities with cash provided by operating activities, and the reinvestment of coupon payments, maturities and sale proceeds within our investment portfolio.</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Cash used in financing activities was $90.4 million, $55.8 million, and $1.8 million for the years ended December 31, 2023, 2022, and 2021, respectively. Cash used in financing activities during the years ended December 31, 2023 and 2022 primarily relates to the repurchase of common stock. Cash used in financing activities during the year ended December 31, 2021 primarily reflects debt issuance costs paid in connection with the 2021 Revolving Credit Facility and taxes paid on the net share settlement of equity awards for certain employees.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Notes and 2021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of December 31, 2023, NMIH had $113.7 million of cash and investments. NMIH's principal sources of net cash are dividends from its subsidiaries and investment income. NMIC has the capacity to pay aggregate ordinary dividends of $96.3 million to NMIH during the twelve-month period ending December 31, 2024. NMIH also has access to $250 million of undrawn revolving credit capacity under the 2021 Revolving Credit Facility. See Item 8, "</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Supplementary Data - Notes to Consolidated Financial Statements - Note 5, Debt</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On February 10, 2022, our Board of Directors authorized a $125 million share repurchase program (excluding associated costs and applicable taxes) effective through December 31, 2023. On July 31, 2023, our Board of Directors authorized a new $200 million share repurchase program (excluding associated costs and applicable taxes) effective through December 31, 2025. Concurrent with the new authorization, our Board of Directors also approved an extension of our existing $125 million share repurchase program through December 31, 2025 to align its remaining tenor with that of the new $200 million program. The authorization provides NMIH the flexibility, based on market and business conditions, stock price and other factors, to repurchase stock from time to time through open market repurchases, privately negotiated transactions, or other means, including pursuant to Rule 10b5-1 trading plans.</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During the year ended December 31, 2023, NMIH repurchased 3.5 million shares of common stock at a total cost of $92.3 million, including associated costs and applicable taxes. As of December 31, 2023, NMIH had $176.9 million of repurchase authority remaining.</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the 2021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Notes mature on June 1, 2025 and bear interest at a rate of 7.375%, payable semi-annually on June 1 and December 1. The 2021 Revolving Credit Facility matures on the earlier of (x) November 29, 2025 or (y) if any existing senior secured notes remain outstanding on such date, February 28, 2025, and accrues interest at a variable rate equal to, at our discretion, (i) a Base Rate (as defined in the 2021 Revolving Credit Facility, subject to a floor of 1.00% per annum) plus a margin of 0.375% to 1.875% per annum, or (ii) the Adjusted Term SOFR Rate (as defined in the 2021 Revolving Credit Facility) plus a margin of 1.375% to 2.875% per annum, with the margin in each of (i) or (ii) based on our applicable corporate credit rating at the time. Borrowings under the 2021 Revolving Credit Facility may be used for general corporate purposes, including to support the growth of our new business production and operations.</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2021 Revolving Credit Facility, NMIH is required to pay a quarterly commitment fee on the average daily undrawn amount of 0.175% to 0.525%, based on the applicable corporate credit rating at the time. As of December 31, 2023, the applicable commitment fee was 0.30%. In January 2024, Moody's upgraded its insurance financial strength rating of NMIC and its rating of the Notes. As a result of the upgrade, the commitment fee due under the 2021 Revolving Credit Facility will be reduced to 0.225% in future periods.</w:t>
      </w:r>
    </w:p>
    <w:p>
      <w:pPr>
        <w:spacing w:after="0" w:line="116"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are subject to certain covenants under the 2021 Revolving Credit Facility. Under the 2021 Revolving Credit Facility, NMIH may not permit (i) our debt to total capitalization ratio to exceed 35% as of the last day of any fiscal quarter, (ii) the statutory capital of NMIC to be less than $1,290,314,825 as of the last day of any fiscal quarter, or (iii) our consolidated net worth to be, as of the last day of any fiscal quarter, less than the sum of (A) $1,047,808,462, plus (B) 50% of our cumulative consolidated net income for each fiscal quarter for which such consolidated net income is positive, plus (C) 50% of any increase in our consolidated net worth after September 30, 2021 resulting from certain issuances of equity by or capital contributions to NMIH or our subsidiaries. In addition, NMIC must remain at all times in compliance with all applicable "financial requirements" imposed pursuant to the PMIERs, subject to any allowed transition period or forbearance thereunder. The credit agreement for 2021 Revolving Credit Facility also prohibits, restricts or limits, among other things, NMIH's and its subsidiaries' ability to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80" w:name="page81"/>
    <w:bookmarkEnd w:id="80"/>
    <w:p>
      <w:pPr>
        <w:jc w:val="both"/>
        <w:spacing w:after="0" w:line="272" w:lineRule="auto"/>
        <w:rPr>
          <w:sz w:val="20"/>
          <w:szCs w:val="20"/>
          <w:color w:val="auto"/>
        </w:rPr>
      </w:pPr>
      <w:r>
        <w:rPr>
          <w:rFonts w:ascii="Times New Roman" w:cs="Times New Roman" w:eastAsia="Times New Roman" w:hAnsi="Times New Roman"/>
          <w:sz w:val="17"/>
          <w:szCs w:val="17"/>
          <w:color w:val="auto"/>
        </w:rPr>
        <w:t>incur additional indebtedness, (ii) incur liens on their property, (iii) pay dividends or make other distributions, (iv) sell their assets, (v) make certain loans or investments, (vi) merge or consolidate and (vii) enter into transactions with affiliates, in each case subject to certain limitations, exceptions and qualifications as set forth in the credit agreement for 2021 Revolving Credit Facility. We were in compliance with all covenants at December 31, 2023.</w:t>
      </w:r>
    </w:p>
    <w:p>
      <w:pPr>
        <w:spacing w:after="0" w:line="11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NMIC and Re One are subject to certain capital and dividend rules and regulations prescribed by jurisdictions in which they are authorized to operate and the GSEs. Under Wisconsin law, NMIC and Re One may pay dividends up to specified levels (i.e.,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During the year ended December 31, 2023, NMIC paid a $98.0 million ordinary course dividend to NMIH. NMIC has the capacity to pay aggregate ordinary dividends of $96.3 million to NMIH during the twelve-month period ending December 31, 2024.</w:t>
      </w:r>
    </w:p>
    <w:p>
      <w:pPr>
        <w:spacing w:after="0" w:line="120"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pacing w:after="0" w:line="111"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7"/>
          <w:szCs w:val="17"/>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 w:cs="Times New Roman" w:eastAsia="Times New Roman" w:hAnsi="Times New Roman"/>
          <w:sz w:val="17"/>
          <w:szCs w:val="17"/>
          <w:i w:val="1"/>
          <w:iCs w:val="1"/>
          <w:color w:val="auto"/>
        </w:rPr>
        <w:t xml:space="preserve">minimum required asset </w:t>
      </w:r>
      <w:r>
        <w:rPr>
          <w:rFonts w:ascii="Times New Roman" w:cs="Times New Roman" w:eastAsia="Times New Roman" w:hAnsi="Times New Roman"/>
          <w:sz w:val="17"/>
          <w:szCs w:val="17"/>
          <w:color w:val="auto"/>
        </w:rPr>
        <w:t>thresholds under the PMIERs and minimum state capital requirements (respectively, as defined therein).</w:t>
      </w:r>
    </w:p>
    <w:p>
      <w:pPr>
        <w:spacing w:after="0" w:line="10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subject to a minimum floor of $400 million. At December 31, 2023, NMIC reported $2,718 million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against $1,516 million </w:t>
      </w:r>
      <w:r>
        <w:rPr>
          <w:rFonts w:ascii="Times New Roman" w:cs="Times New Roman" w:eastAsia="Times New Roman" w:hAnsi="Times New Roman"/>
          <w:sz w:val="17"/>
          <w:szCs w:val="17"/>
          <w:i w:val="1"/>
          <w:iCs w:val="1"/>
          <w:color w:val="auto"/>
        </w:rPr>
        <w:t>risk-based required assets</w:t>
      </w:r>
      <w:r>
        <w:rPr>
          <w:rFonts w:ascii="Times New Roman" w:cs="Times New Roman" w:eastAsia="Times New Roman" w:hAnsi="Times New Roman"/>
          <w:sz w:val="17"/>
          <w:szCs w:val="17"/>
          <w:color w:val="auto"/>
        </w:rPr>
        <w:t xml:space="preserve"> for a $1,202 million "excess" funding position.</w:t>
      </w:r>
    </w:p>
    <w:p>
      <w:pPr>
        <w:spacing w:after="0" w:line="114"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 In June 2020, the GSEs issued guidance (which was subsequently amended and restated) on the risk-based treatment of loans affected by the COVID-19 pandemic. Under the guidance, non-performing loans that are subject to a forbearance program granted in response to a financial hardship related to COVID-19 will benefit from a 70%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haircut for the duration of the forbearance period and subsequent repayment plan or trial modification period.</w:t>
      </w:r>
    </w:p>
    <w:p>
      <w:pPr>
        <w:spacing w:after="0" w:line="123"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 xml:space="preserve">NMIC's PMIERs minimum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is also adjusted for its reinsurance transactions (as approved by the GSEs). Under NMIC's quota share reinsurance treaties, it receives credit for the PMIERs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on ceded RIF. As its gross PMIERs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on ceded RIF increases, the PMIERS credit for ceded RIF automatically increases as well (in an unlimited amount). Under NMIC's ILN and XOL Transactions, it generally receives credit for the PMIERs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on ceded RIF to the extent such requirement is within the subordinated coverage (excess of loss detachment threshold) afforded by the transaction.</w:t>
      </w:r>
    </w:p>
    <w:p>
      <w:pPr>
        <w:spacing w:after="0" w:line="12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2023, NMIC had a RTC ratio of 11.4:1 with $29.0 billion of performing primary RIF, net of reinsurance, and $2.5 billion of total statutory capital, including contingency reserves. Re One has no risk in force remaining and no longer reports a RTC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1" w:name="page82"/>
    <w:bookmarkEnd w:id="81"/>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December 31, 2023, NMIC had $2.4 billion of cash and investments, including $27.5 million of cash and cash equivalents. NMIC's principal liquidity demands include funds for the payment of</w:t>
      </w:r>
    </w:p>
    <w:p>
      <w:pPr>
        <w:spacing w:after="0" w:line="2" w:lineRule="exact"/>
        <w:rPr>
          <w:sz w:val="20"/>
          <w:szCs w:val="20"/>
          <w:color w:val="auto"/>
        </w:rPr>
      </w:pPr>
    </w:p>
    <w:p>
      <w:pPr>
        <w:jc w:val="both"/>
        <w:ind w:firstLine="3"/>
        <w:spacing w:after="0" w:line="256" w:lineRule="auto"/>
        <w:tabs>
          <w:tab w:leader="none" w:pos="22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December 31, 2023, NMIC generated $333 million of cash flow from operations and received an additional $333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are of a contractually predetermined amount and due at a contractually predetermined date). NMIC's only use of cash that develops along an unscheduled path is claims payments. Given the general duration of the default to foreclosure to claim cycle and the potential availability of forbearance, foreclosure moratorium and other borrower assistance programs, we do not expect NMIC to use a meaningful amount of cash to settle claims in the near-term.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and Financial Strength Ratings</w:t>
      </w:r>
    </w:p>
    <w:p>
      <w:pPr>
        <w:spacing w:after="0" w:line="156" w:lineRule="exact"/>
        <w:rPr>
          <w:sz w:val="20"/>
          <w:szCs w:val="20"/>
          <w:color w:val="auto"/>
        </w:rPr>
      </w:pPr>
    </w:p>
    <w:p>
      <w:pPr>
        <w:jc w:val="both"/>
        <w:ind w:firstLine="621"/>
        <w:spacing w:after="0" w:line="275" w:lineRule="auto"/>
        <w:rPr>
          <w:sz w:val="20"/>
          <w:szCs w:val="20"/>
          <w:color w:val="auto"/>
        </w:rPr>
      </w:pPr>
      <w:r>
        <w:rPr>
          <w:rFonts w:ascii="Times New Roman" w:cs="Times New Roman" w:eastAsia="Times New Roman" w:hAnsi="Times New Roman"/>
          <w:sz w:val="17"/>
          <w:szCs w:val="17"/>
          <w:color w:val="auto"/>
        </w:rPr>
        <w:t>NMIC's financial strength is rated “A-” by Fitch Ratings (Fitch), “A3” by Moody's and “BBB+” by S&amp;P. NMIH's Notes are rated “BBB+” by Fitch and “Baa3” by Moody's, and its long-term counter-party credit profile is “BB+” by S&amp;P. The outlook for all ratings provided by Fitch, Moody's and S&amp;P is stable.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Investment Portfolio</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investment portfolio is comprised entirely of fixed maturity instruments. As of December 31, 2023, the fair value of our investment portfolio was $2.4 billion and we held an additional $96.7 million of cash and cash equivalents. Pre-tax book yield on the investment portfolio for the year ended December 31, 2023 was 2.6%.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a breakdown of our investment portfolio and cash and cash equivalents by investment type and credit rating: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 portfolio's fair value</w:t>
            </w:r>
          </w:p>
        </w:tc>
        <w:tc>
          <w:tcPr>
            <w:tcW w:w="19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4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1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r>
      <w:tr>
        <w:trPr>
          <w:trHeight w:val="220"/>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18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18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treasury securities and obligations of U.S. government agencies</w:t>
            </w:r>
          </w:p>
        </w:tc>
        <w:tc>
          <w:tcPr>
            <w:tcW w:w="18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18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8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18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8"/>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portfolio ratings at fair value </w:t>
            </w:r>
            <w:r>
              <w:rPr>
                <w:rFonts w:ascii="Times New Roman" w:cs="Times New Roman" w:eastAsia="Times New Roman" w:hAnsi="Times New Roman"/>
                <w:sz w:val="17"/>
                <w:szCs w:val="17"/>
                <w:b w:val="1"/>
                <w:bCs w:val="1"/>
                <w:color w:val="auto"/>
                <w:vertAlign w:val="superscript"/>
              </w:rPr>
              <w:t>(1)</w:t>
            </w:r>
          </w:p>
        </w:tc>
        <w:tc>
          <w:tcPr>
            <w:tcW w:w="19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3"/>
        </w:trPr>
        <w:tc>
          <w:tcPr>
            <w:tcW w:w="744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AAA </w:t>
            </w:r>
            <w:r>
              <w:rPr>
                <w:rFonts w:ascii="Times New Roman" w:cs="Times New Roman" w:eastAsia="Times New Roman" w:hAnsi="Times New Roman"/>
                <w:sz w:val="22"/>
                <w:szCs w:val="22"/>
                <w:color w:val="auto"/>
                <w:vertAlign w:val="superscript"/>
              </w:rPr>
              <w:t>(2)</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20"/>
        </w:trPr>
        <w:tc>
          <w:tcPr>
            <w:tcW w:w="7440" w:type="dxa"/>
            <w:vAlign w:val="bottom"/>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AA</w:t>
            </w:r>
            <w:r>
              <w:rPr>
                <w:rFonts w:ascii="Times New Roman" w:cs="Times New Roman" w:eastAsia="Times New Roman" w:hAnsi="Times New Roman"/>
                <w:sz w:val="10"/>
                <w:szCs w:val="10"/>
                <w:color w:val="auto"/>
              </w:rPr>
              <w:t xml:space="preserve"> (3)</w:t>
            </w:r>
          </w:p>
        </w:tc>
        <w:tc>
          <w:tcPr>
            <w:tcW w:w="18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18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25</w:t>
            </w:r>
          </w:p>
        </w:tc>
      </w:tr>
      <w:tr>
        <w:trPr>
          <w:trHeight w:val="220"/>
        </w:trPr>
        <w:tc>
          <w:tcPr>
            <w:tcW w:w="74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10"/>
                <w:szCs w:val="10"/>
                <w:color w:val="auto"/>
              </w:rPr>
              <w:t xml:space="preserve"> (3)</w:t>
            </w:r>
          </w:p>
        </w:tc>
        <w:tc>
          <w:tcPr>
            <w:tcW w:w="18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744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BBB </w:t>
            </w:r>
            <w:r>
              <w:rPr>
                <w:rFonts w:ascii="Times New Roman" w:cs="Times New Roman" w:eastAsia="Times New Roman" w:hAnsi="Times New Roman"/>
                <w:sz w:val="22"/>
                <w:szCs w:val="22"/>
                <w:color w:val="auto"/>
                <w:vertAlign w:val="superscript"/>
              </w:rPr>
              <w:t>(3)</w:t>
            </w:r>
          </w:p>
        </w:tc>
        <w:tc>
          <w:tcPr>
            <w:tcW w:w="18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8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74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BB</w:t>
            </w:r>
            <w:r>
              <w:rPr>
                <w:rFonts w:ascii="Times New Roman" w:cs="Times New Roman" w:eastAsia="Times New Roman" w:hAnsi="Times New Roman"/>
                <w:sz w:val="10"/>
                <w:szCs w:val="10"/>
                <w:color w:val="auto"/>
              </w:rPr>
              <w:t xml:space="preserve"> (4)</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00" w:hanging="297"/>
        <w:spacing w:after="0"/>
        <w:tabs>
          <w:tab w:leader="none" w:pos="3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certain operating cash accounts.</w:t>
      </w:r>
    </w:p>
    <w:p>
      <w:pPr>
        <w:spacing w:after="0" w:line="8" w:lineRule="exact"/>
        <w:rPr>
          <w:rFonts w:ascii="Times New Roman" w:cs="Times New Roman" w:eastAsia="Times New Roman" w:hAnsi="Times New Roman"/>
          <w:sz w:val="14"/>
          <w:szCs w:val="14"/>
          <w:color w:val="auto"/>
        </w:rPr>
      </w:pPr>
    </w:p>
    <w:p>
      <w:pPr>
        <w:ind w:left="320" w:hanging="317"/>
        <w:spacing w:after="0" w:line="248" w:lineRule="auto"/>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decline in the percentage of AAA-rated securities held at December 31, 2023 compared to December 31, 2022 primarily reflects the downgrade of U.S. government debt by Fitch during the intervening period.</w:t>
      </w:r>
    </w:p>
    <w:p>
      <w:pPr>
        <w:ind w:left="300" w:hanging="297"/>
        <w:spacing w:after="0"/>
        <w:tabs>
          <w:tab w:leader="none" w:pos="3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 ratings.</w:t>
      </w:r>
    </w:p>
    <w:p>
      <w:pPr>
        <w:spacing w:after="0" w:line="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held one security with a BB+ rating at December 31, 2023 and 2022, which is not identifiable in the table due to rounding.</w:t>
      </w:r>
    </w:p>
    <w:p>
      <w:pPr>
        <w:spacing w:after="0" w:line="23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Investment Securities - Allowance for credit losses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did not recognize an allowance for credit loss for any security in the investment portfolio as of December 31, 2023 or 2022, and we did not record any provision for credit loss for investment securities during the years ended December 31, 2023 or 2022.</w:t>
      </w:r>
    </w:p>
    <w:p>
      <w:pPr>
        <w:spacing w:after="0" w:line="95"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As of December 31, 2023, the investment portfolio had gross unrealized losses of $184.3 million, of which $183.1 million were associated with securities that had been in an unrealized loss position for a period of twelve months or longer. As of December 31, 2022, the investment portfolio had gross unrealized losses of $254.7 million, of which $218.5 million were associated with securities that had been in an unrealized loss position for a period of twelve months or longer.</w:t>
      </w:r>
    </w:p>
    <w:p>
      <w:pPr>
        <w:spacing w:after="0" w:line="32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evaluated the securities in an unrealized loss position as of December 31, 2023, assessing their credit ratings as well as any adverse conditions specifically related to the security. Based upon our assessment of the amount and timing of cash flows to be collected over the remaining life of each instrument, we believe the unrealized losses as of December 31, 2023 are not indicative of the ultimate collectability of the current amortized cost of the securities. Rather, the unrealized losses on securities held as of December 31, 2023 were primarily driven by fluctuations in interest rates, and to a lesser extent, movements in credit spreads following the purchase of those securities.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a U.S. taxpayer and are subject to a statutory U.S. federal corporate income tax rate of 21%. Our holding company files a consolidated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and various state income tax returns on behalf of itself and its subsidiaries.</w:t>
      </w:r>
    </w:p>
    <w:p>
      <w:pPr>
        <w:spacing w:after="0" w:line="14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effective income tax rate on pre-tax income was 22.0%, 22.4% and 22.1% for the years ended December 31, 2023, 2022 and 2021, respectively. Our effective income tax rate may vary from the statutory tax rate in a given period due to the inclusions and exclusions of income and deductions for tax purposes. Inclusions of tax deductions may include tax benefits from excess share-based compensation for vested RSUs and exercised stock options; and exclusions from income may include the fair value fluctuation of our warrant liability.</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At December 31, 2023, we had a federal net operating loss carryforward of $1.2 million, which expire in varying amounts in 2030 and 2031, and state net operating loss carryforwards of $136.5 million, which begin to expire in varying amounts in 2031. Our ability to utilize our remaining federal net operating loss carryforward is restricted by Section 382 of the Internal Revenue Code (IRC), which imposes annual limitations if there is an "ownership change." As a result of the acquisition of our insurance subsidiaries in 2012, $7.3 million of federal net operating losses were subject to annual limitations of $0.8 million through 2016, $0.5 million in 2017 and $0.3 million, thereafter, through 2028. Our remaining federal net operating loss carryforward balance is a result of this limitation.</w:t>
      </w:r>
    </w:p>
    <w:p>
      <w:pPr>
        <w:spacing w:after="0" w:line="119"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As a mortgage guaranty insurance company, we are eligible to claim a tax deduction for our statutory contingency reserve balance, subject to certain limitations outlined under Section 832(e) of the IRC, and only to the extent we acquire tax and loss bonds in an amount equal to the tax benefit derived from the claimed deduction. As of December 31, 2023, we held $235.3 million of tax and loss bonds in "</w:t>
      </w:r>
      <w:r>
        <w:rPr>
          <w:rFonts w:ascii="Times New Roman" w:cs="Times New Roman" w:eastAsia="Times New Roman" w:hAnsi="Times New Roman"/>
          <w:sz w:val="17"/>
          <w:szCs w:val="17"/>
          <w:i w:val="1"/>
          <w:iCs w:val="1"/>
          <w:color w:val="auto"/>
        </w:rPr>
        <w:t>Prepaid Federal Income Taxes</w:t>
      </w:r>
      <w:r>
        <w:rPr>
          <w:rFonts w:ascii="Times New Roman" w:cs="Times New Roman" w:eastAsia="Times New Roman" w:hAnsi="Times New Roman"/>
          <w:sz w:val="17"/>
          <w:szCs w:val="17"/>
          <w:color w:val="auto"/>
        </w:rPr>
        <w:t>"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83" w:name="page84"/>
    <w:bookmarkEnd w:id="83"/>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record a valuation allowance against the state net operating losses generated by NMIH as NMIH operates at a loss, and we do not expect to utilize such net deferred tax assets in the future. We continue to evaluate the realizability of our state net deferred tax asset position, and our examination of results through December 31, 2023 and review of future expectations support the continued application of a valuation allowance against such state net deferred tax assets.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NMIH and its subsidiaries entered into a tax sharing agreement effective August 23, 2012, which was subsequently amended on September 1, 2016. Under original and amended agreements, each of the parties agreed to file consolidated federal income tax returns for all tax years beginning in and subsequent to 2012, with NMIH as the direct tax filer. The tax liability of each subsidiary that is party to the agreement is limited to the amount of the liability it would incur if it filed separate returns.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Inflation Reduction Act (IRA) enacted in August 2022 imposed, among other provisions, a 1% excise tax on the net value of stock repurchases made on or after January 1, 2023. As of December 31, 2023, $176.9 million of repurchase authority remained available under the share repurchase program authorized by our Board of Directors through December 31, 2025. We expect future repurchase amounts will be subject to the IRA excise tax as executed; however, we do not currently expect the excise tax or other provisions of the IRA to have a material impact on our financial condition or result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on our consolidated financial statements, which have been prepared in conformity with GAAP. In preparing our consolidated financial statements, management has made estimates and assumptions, and applied judgments that affect the reported amounts of assets and liabilities at the date of the financial statements and the reported amounts of revenues and expenses during the reporting periods. As a result, actual results could differ materially from those estimates. A summary of the accounting policies that management believes are critical to the preparation of our consolidated financial statements is set forth below.</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Insurance Premium Revenue Recognition</w:t>
      </w:r>
    </w:p>
    <w:p>
      <w:pPr>
        <w:spacing w:after="0" w:line="158" w:lineRule="exact"/>
        <w:rPr>
          <w:sz w:val="20"/>
          <w:szCs w:val="20"/>
          <w:color w:val="auto"/>
        </w:rPr>
      </w:pPr>
    </w:p>
    <w:p>
      <w:pPr>
        <w:jc w:val="both"/>
        <w:ind w:firstLine="621"/>
        <w:spacing w:after="0" w:line="244" w:lineRule="auto"/>
        <w:rPr>
          <w:sz w:val="20"/>
          <w:szCs w:val="20"/>
          <w:color w:val="auto"/>
        </w:rPr>
      </w:pPr>
      <w:r>
        <w:rPr>
          <w:rFonts w:ascii="Times New Roman" w:cs="Times New Roman" w:eastAsia="Times New Roman" w:hAnsi="Times New Roman"/>
          <w:sz w:val="17"/>
          <w:szCs w:val="17"/>
          <w:color w:val="auto"/>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and when coverage is effective. Annual premiums are initially deferred and earned on a straight-line basis over the year of coverage. Upon cancellation of a policy, all remaining non-refundable deferred and unearned premium is immediately earned, and any refundable deferred and unearned premium is returned to the policyholder and recorded as a reduction to written premium and unearned premium reserve in the period paid.</w:t>
      </w:r>
    </w:p>
    <w:p>
      <w:pPr>
        <w:spacing w:after="0" w:line="200"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Premiums written on pool transactions are earned over the period that coverage is provided. Our pool insurance agreement with Fannie Mae expired on August 31, 2023 and we will not recognize any pool premiums written or earned in connection with the agreement in future periods.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Reserve for Insurance Claims and Claim Expenses</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establish reserves for claims based on our best estimate of the ultimate claim costs for defaulted loans using the general principles contained in ASC 944, Financial Services - Insurance (ASC 944).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reserves. We also establish reserves for claim expenses, which represent the estimated cost of the claim administration process, including legal and other</w:t>
      </w:r>
    </w:p>
    <w:p>
      <w:pPr>
        <w:spacing w:after="0" w:line="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fees, as well as other general expenses of administering the claim settlement process. Claim expense reserves are either allocated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associated with a specific claim) or unallocated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not associated with a specific claim).</w:t>
      </w:r>
    </w:p>
    <w:p>
      <w:pPr>
        <w:spacing w:after="0" w:line="120"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establishment of claims and claim expense reserves is subject to inherent uncertainty and requires significant judgment by management. Reserves are established by estimating the number of loans in default that will result in a claim payment, which is referred to as claim frequency, and the amount of claim payment expected to be paid on each such loan in default, which is referred to as claim severity. Claim frequency and severity estimates are established based on historical observed experience regarding certain loan factors, such as age of the default, size of the loan and LTV ratios, and are strongly influenced by</w:t>
      </w:r>
    </w:p>
    <w:p>
      <w:pPr>
        <w:jc w:val="both"/>
        <w:spacing w:after="0" w:line="291" w:lineRule="auto"/>
        <w:rPr>
          <w:sz w:val="20"/>
          <w:szCs w:val="20"/>
          <w:color w:val="auto"/>
        </w:rPr>
      </w:pPr>
      <w:r>
        <w:rPr>
          <w:rFonts w:ascii="Times New Roman" w:cs="Times New Roman" w:eastAsia="Times New Roman" w:hAnsi="Times New Roman"/>
          <w:sz w:val="17"/>
          <w:szCs w:val="17"/>
          <w:color w:val="auto"/>
        </w:rPr>
        <w:t>assumptions about the path of certain economic factors, such as house price appreciation, trends in unemployment and mortgage rates. We consider the appropriateness of such inputs at each fiscal quarter and conduct an actuarial review annually to evaluate and, if necessary, update these assumptions.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4" w:name="page85"/>
    <w:bookmarkEnd w:id="84"/>
    <w:p>
      <w:pPr>
        <w:jc w:val="both"/>
        <w:ind w:firstLine="621"/>
        <w:spacing w:after="0" w:line="255" w:lineRule="auto"/>
        <w:rPr>
          <w:sz w:val="20"/>
          <w:szCs w:val="20"/>
          <w:color w:val="auto"/>
        </w:rPr>
      </w:pPr>
      <w:r>
        <w:rPr>
          <w:rFonts w:ascii="Times New Roman" w:cs="Times New Roman" w:eastAsia="Times New Roman" w:hAnsi="Times New Roman"/>
          <w:sz w:val="17"/>
          <w:szCs w:val="17"/>
          <w:color w:val="auto"/>
        </w:rPr>
        <w:t>It is possible that a relatively small change in our estimates for claim frequency or claim severity could have a material impact on our reserve position and our consolidated results of operations, even in a stable macroeconomic environment. At December 31, 2023, assuming all other estimates remain constant, a one percentage point increase/decrease in our average claim severity factor would cause approximately a +/- $0.9 million change in our reserve position, and a one percentage point increase/decrease in our average claim frequency factor cause approximately a +/- $3.4 million change in our reserve position.</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Investments</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have designated our investment portfolio as available-for-sale and report our invested assets at fair value. Unrealized gains and losses in the portfolio, net of related tax expense or benefit, are recognized as a component of accumulated other comprehensive income (AOCI) in shareholders' equity.</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Item 8, </w:t>
      </w:r>
      <w:r>
        <w:rPr>
          <w:rFonts w:ascii="Times New Roman" w:cs="Times New Roman" w:eastAsia="Times New Roman" w:hAnsi="Times New Roman"/>
          <w:sz w:val="17"/>
          <w:szCs w:val="17"/>
          <w:i w:val="1"/>
          <w:iCs w:val="1"/>
          <w:color w:val="auto"/>
        </w:rPr>
        <w:t>Financial Statements and Supplementary Data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Notes to Consolidated Financial Statements - Note 4, Fair Value of Financial Instruments</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changes in effective yields and prepayment assumptions are recognized on a prospective basis.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We recognize an impairment on a security through the consolidated statements of operations and comprehensive income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consolidated statements of operations and comprehensive income as a </w:t>
      </w:r>
      <w:r>
        <w:rPr>
          <w:rFonts w:ascii="Times New Roman" w:cs="Times New Roman" w:eastAsia="Times New Roman" w:hAnsi="Times New Roman"/>
          <w:sz w:val="17"/>
          <w:szCs w:val="17"/>
          <w:i w:val="1"/>
          <w:iCs w:val="1"/>
          <w:color w:val="auto"/>
        </w:rPr>
        <w:t>"Realized Investment Loss."</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For securities in an unrealized loss position where a sale is not intended or likely to be required, we further assess if the decline in fair value below amortized cost is driven by a credit related impairment, considering several items including, but not limited to:</w:t>
      </w:r>
    </w:p>
    <w:p>
      <w:pPr>
        <w:spacing w:after="0" w:line="95" w:lineRule="exact"/>
        <w:rPr>
          <w:sz w:val="20"/>
          <w:szCs w:val="20"/>
          <w:color w:val="auto"/>
        </w:rPr>
      </w:pPr>
    </w:p>
    <w:p>
      <w:pPr>
        <w:ind w:left="620" w:hanging="306"/>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of the decline in fair value;</w:t>
      </w:r>
    </w:p>
    <w:p>
      <w:pPr>
        <w:spacing w:after="0" w:line="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condition of the issuer;</w:t>
      </w:r>
    </w:p>
    <w:p>
      <w:pPr>
        <w:spacing w:after="0" w:line="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issuer to make scheduled interest or principal payments;</w:t>
      </w:r>
    </w:p>
    <w:p>
      <w:pPr>
        <w:spacing w:after="0" w:line="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rating downgrades of the applicable security or issuer by one or more nationally recognized statistical ratings organization; and</w:t>
      </w:r>
    </w:p>
    <w:p>
      <w:pPr>
        <w:spacing w:after="0" w:line="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adverse conditions related to or impacting the security or issuer.</w:t>
      </w:r>
    </w:p>
    <w:p>
      <w:pPr>
        <w:spacing w:after="0" w:line="167"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To the extent we determine that a security impairment is credit-related, an impairment loss is recognized through the statement of operations as a provision for credit loss expense, and presented as a "Realized Investment Loss." We recognize an allowance for credit losses for the difference between the amortized cost and present value of future expected cash flows, limited by the amount the fair value of the security is below its amortized cost. Subsequent changes (favorable and unfavorable) in credit losses are recognized through the statement of operations as a provision for or a reversal of credit loss expense, and presented as a "Realized Investment Gain or Loss." The portion of a security impairment attributed to other non-credit related factors is recognized in other comprehensive income, net of taxes.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Deferred Policy Acquisition Costs (DAC)</w:t>
      </w:r>
    </w:p>
    <w:p>
      <w:pPr>
        <w:spacing w:after="0" w:line="158" w:lineRule="exact"/>
        <w:rPr>
          <w:sz w:val="20"/>
          <w:szCs w:val="20"/>
          <w:color w:val="auto"/>
        </w:rPr>
      </w:pPr>
    </w:p>
    <w:p>
      <w:pPr>
        <w:jc w:val="both"/>
        <w:ind w:firstLine="621"/>
        <w:spacing w:after="0" w:line="243" w:lineRule="auto"/>
        <w:rPr>
          <w:sz w:val="20"/>
          <w:szCs w:val="20"/>
          <w:color w:val="auto"/>
        </w:rPr>
      </w:pPr>
      <w:r>
        <w:rPr>
          <w:rFonts w:ascii="Times New Roman" w:cs="Times New Roman" w:eastAsia="Times New Roman" w:hAnsi="Times New Roman"/>
          <w:sz w:val="17"/>
          <w:szCs w:val="17"/>
          <w:color w:val="auto"/>
        </w:rPr>
        <w:t>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DAC is amortized to expense in proportion to estimated gross profits over the life of the associated policies. We revise the rate of amortization to reflect actual experience and changes to our persistency or loss development assumptions, and may accelerate or slow such rate in future periods as experience and future changes to estimates dictate. During the year ended December 31, 2023, we slowed the rate and recognized a $7.3 million reduction of DAC amortization due to improvement in the persistency of certain prior book years' insurance in-force tied to an increase in interest and mortgage note rates and decrease in the pace of mortgage refinancing activity during the period. During the year ended December 31, 2021, we accelerated the rate and recognized an additional $11.1 million of DAC amortization due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5" w:name="page86"/>
    <w:bookmarkEnd w:id="85"/>
    <w:p>
      <w:pPr>
        <w:jc w:val="both"/>
        <w:spacing w:after="0" w:line="275" w:lineRule="auto"/>
        <w:rPr>
          <w:sz w:val="20"/>
          <w:szCs w:val="20"/>
          <w:color w:val="auto"/>
        </w:rPr>
      </w:pPr>
      <w:r>
        <w:rPr>
          <w:rFonts w:ascii="Times New Roman" w:cs="Times New Roman" w:eastAsia="Times New Roman" w:hAnsi="Times New Roman"/>
          <w:sz w:val="17"/>
          <w:szCs w:val="17"/>
          <w:color w:val="auto"/>
        </w:rPr>
        <w:t>to the significant increase in mortgage refinancing activity and material decline in persistency on certain prior book years' insurance in-force experienced during the period.</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Premium Deficiency Reserves</w:t>
      </w:r>
    </w:p>
    <w:p>
      <w:pPr>
        <w:spacing w:after="0" w:line="17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We consider whether a premium deficiency exists and premium deficiency reserve is required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future premiums, existing reserves and anticipated investment income. The premium deficiency assessment requires the use of significant judgment and estimates to determine the present value of future premiums, and expected claim costs and expenses. The present value of future premiums relies on, among other things, assumptions about persistency and repayment patterns on the underlying insured loans. The present value of expected claim costs and expenses relies on assumptions about the severity of claims, claim rates on current defaults and expected defaults in future periods. Assumptions used in the premium deficiency calculation can be affected by changes in the macroeconomic environment, including the rate of house price appreciation and prevailing interest rates. Relatively small changes in estimated claim rates or estimated claim amounts could have a significant impact on our premium deficiency analysis. If we determine it is necessary and appropriate to establish a premium deficiency reserve, and actual premium patterns and claims experience differ from the assumptions used to establish the reserve, the difference between the actual results and our estimates would affect our consolidated results of operations in future periods.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manage market risk via a defined investment policy implemented by our treasury function with oversight from our Board's Risk Committee.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Important drivers of our market risk exposure monitored and managed by us include but are not limited to:</w:t>
      </w:r>
    </w:p>
    <w:p>
      <w:pPr>
        <w:spacing w:after="0" w:line="94" w:lineRule="exact"/>
        <w:rPr>
          <w:sz w:val="20"/>
          <w:szCs w:val="20"/>
          <w:color w:val="auto"/>
        </w:rPr>
      </w:pPr>
    </w:p>
    <w:p>
      <w:pPr>
        <w:jc w:val="both"/>
        <w:ind w:left="1100" w:hanging="320"/>
        <w:spacing w:after="0" w:line="262" w:lineRule="auto"/>
        <w:tabs>
          <w:tab w:leader="none" w:pos="109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Changes to the level of interest rates</w:t>
      </w:r>
      <w:r>
        <w:rPr>
          <w:rFonts w:ascii="Times New Roman" w:cs="Times New Roman" w:eastAsia="Times New Roman" w:hAnsi="Times New Roman"/>
          <w:sz w:val="17"/>
          <w:szCs w:val="17"/>
          <w:color w:val="auto"/>
        </w:rPr>
        <w:t>. Increasing interest rates may reduce the value of certain fixed-rate bonds held in the investment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SOFR based interest rates affect the interest expense related to the Company's debt.</w:t>
      </w:r>
    </w:p>
    <w:p>
      <w:pPr>
        <w:spacing w:after="0" w:line="278" w:lineRule="exact"/>
        <w:rPr>
          <w:rFonts w:ascii="Times New Roman" w:cs="Times New Roman" w:eastAsia="Times New Roman" w:hAnsi="Times New Roman"/>
          <w:sz w:val="17"/>
          <w:szCs w:val="17"/>
          <w:color w:val="auto"/>
        </w:rPr>
      </w:pPr>
    </w:p>
    <w:p>
      <w:pPr>
        <w:ind w:left="1100" w:hanging="320"/>
        <w:spacing w:after="0" w:line="293" w:lineRule="auto"/>
        <w:tabs>
          <w:tab w:leader="none" w:pos="1096" w:val="left"/>
        </w:tabs>
        <w:numPr>
          <w:ilvl w:val="0"/>
          <w:numId w:val="4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to the term structure of interest rates</w:t>
      </w:r>
      <w:r>
        <w:rPr>
          <w:rFonts w:ascii="Times New Roman" w:cs="Times New Roman" w:eastAsia="Times New Roman" w:hAnsi="Times New Roman"/>
          <w:sz w:val="17"/>
          <w:szCs w:val="17"/>
          <w:color w:val="auto"/>
        </w:rPr>
        <w:t>. Rising or falling rates typically change by different amounts along the yield curve. These changes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have unforeseen impacts on the value of certain assets.</w:t>
      </w:r>
    </w:p>
    <w:p>
      <w:pPr>
        <w:spacing w:after="0" w:line="40" w:lineRule="exact"/>
        <w:rPr>
          <w:rFonts w:ascii="Times New Roman" w:cs="Times New Roman" w:eastAsia="Times New Roman" w:hAnsi="Times New Roman"/>
          <w:sz w:val="17"/>
          <w:szCs w:val="17"/>
          <w:i w:val="1"/>
          <w:iCs w:val="1"/>
          <w:color w:val="auto"/>
        </w:rPr>
      </w:pPr>
    </w:p>
    <w:p>
      <w:pPr>
        <w:jc w:val="both"/>
        <w:ind w:left="1100" w:hanging="320"/>
        <w:spacing w:after="0" w:line="273" w:lineRule="auto"/>
        <w:tabs>
          <w:tab w:leader="none" w:pos="109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 volatility/changes in the real or perceived credit quality of investments</w:t>
      </w:r>
      <w:r>
        <w:rPr>
          <w:rFonts w:ascii="Times New Roman" w:cs="Times New Roman" w:eastAsia="Times New Roman" w:hAnsi="Times New Roman"/>
          <w:sz w:val="17"/>
          <w:szCs w:val="17"/>
          <w:color w:val="auto"/>
        </w:rPr>
        <w:t>. Deterioration in the quality of investments, identified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to our own or third-party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rating agency or investment advisors) assessments, will reduce the value and potentially the liquidity of investments.</w:t>
      </w:r>
    </w:p>
    <w:p>
      <w:pPr>
        <w:spacing w:after="0" w:line="57" w:lineRule="exact"/>
        <w:rPr>
          <w:rFonts w:ascii="Times New Roman" w:cs="Times New Roman" w:eastAsia="Times New Roman" w:hAnsi="Times New Roman"/>
          <w:sz w:val="17"/>
          <w:szCs w:val="17"/>
          <w:color w:val="auto"/>
        </w:rPr>
      </w:pPr>
    </w:p>
    <w:p>
      <w:pPr>
        <w:ind w:left="1100" w:hanging="320"/>
        <w:spacing w:after="0" w:line="293" w:lineRule="auto"/>
        <w:tabs>
          <w:tab w:leader="none" w:pos="109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Concentration Risk</w:t>
      </w:r>
      <w:r>
        <w:rPr>
          <w:rFonts w:ascii="Times New Roman" w:cs="Times New Roman" w:eastAsia="Times New Roman" w:hAnsi="Times New Roman"/>
          <w:sz w:val="17"/>
          <w:szCs w:val="17"/>
          <w:color w:val="auto"/>
        </w:rPr>
        <w:t>. If the investment portfolio is highly concentrated in one asset, or in multiple assets whose values are highly correlated,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of the total portfolio may be greatly affected by the change in value of just one asset or a group of highly correlated assets.</w:t>
      </w:r>
    </w:p>
    <w:p>
      <w:pPr>
        <w:spacing w:after="0" w:line="40" w:lineRule="exact"/>
        <w:rPr>
          <w:rFonts w:ascii="Times New Roman" w:cs="Times New Roman" w:eastAsia="Times New Roman" w:hAnsi="Times New Roman"/>
          <w:sz w:val="17"/>
          <w:szCs w:val="17"/>
          <w:color w:val="auto"/>
        </w:rPr>
      </w:pPr>
    </w:p>
    <w:p>
      <w:pPr>
        <w:ind w:left="1100" w:hanging="320"/>
        <w:spacing w:after="0" w:line="293" w:lineRule="auto"/>
        <w:tabs>
          <w:tab w:leader="none" w:pos="109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Prepayment Risk</w:t>
      </w:r>
      <w:r>
        <w:rPr>
          <w:rFonts w:ascii="Times New Roman" w:cs="Times New Roman" w:eastAsia="Times New Roman" w:hAnsi="Times New Roman"/>
          <w:sz w:val="17"/>
          <w:szCs w:val="17"/>
          <w:color w:val="auto"/>
        </w:rPr>
        <w:t>. Bonds may have call provisions that permit debtors to repay prior to maturity when it is to their advantage. This typically occurs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when rates fall below the interest rate of the debt.</w:t>
      </w:r>
    </w:p>
    <w:p>
      <w:pPr>
        <w:spacing w:after="0" w:line="9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carrying value of our investment portfolio as of December 31, 2023 and 2022 was $2.4 billion and $2.1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of December 31, 2023, the duration of our fixed income portfolio, including cash and cash equivalents, was 3.96 years, which means that an instantaneous parallel shift (movement up or down) in the yield curve of 100 basis points would result in a change of 3.96% in fair value of our fixed income portfolio. Excluding cash, our fixed income portfolio duration was 3.97 years, which means that an instantaneous parallel shift (movement up or down) in the yield curve of 100 basis points would result in a change of 3.97% in fair value of our fixed income portfolio.</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also subject to market risk related to the 2021 Revolving Credit Facility and the ILN Transactions. As discussed in Item 8, "</w:t>
      </w:r>
      <w:r>
        <w:rPr>
          <w:rFonts w:ascii="Times New Roman" w:cs="Times New Roman" w:eastAsia="Times New Roman" w:hAnsi="Times New Roman"/>
          <w:sz w:val="17"/>
          <w:szCs w:val="17"/>
          <w:i w:val="1"/>
          <w:iCs w:val="1"/>
          <w:color w:val="auto"/>
        </w:rPr>
        <w:t>Financial Statements</w:t>
      </w:r>
    </w:p>
    <w:p>
      <w:pPr>
        <w:spacing w:after="0" w:line="32" w:lineRule="exact"/>
        <w:rPr>
          <w:sz w:val="20"/>
          <w:szCs w:val="20"/>
          <w:color w:val="auto"/>
        </w:rPr>
      </w:pPr>
    </w:p>
    <w:p>
      <w:pPr>
        <w:ind w:firstLine="3"/>
        <w:spacing w:after="0" w:line="268" w:lineRule="auto"/>
        <w:tabs>
          <w:tab w:leader="none" w:pos="118" w:val="left"/>
        </w:tabs>
        <w:numPr>
          <w:ilvl w:val="0"/>
          <w:numId w:val="5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Notes to Consolidated Financial Statements - Note 5, Debt</w:t>
      </w:r>
      <w:r>
        <w:rPr>
          <w:rFonts w:ascii="Times New Roman" w:cs="Times New Roman" w:eastAsia="Times New Roman" w:hAnsi="Times New Roman"/>
          <w:sz w:val="17"/>
          <w:szCs w:val="17"/>
          <w:color w:val="auto"/>
        </w:rPr>
        <w:t>" the 2021 Revolving Credit Facility bears interest at a variable rate and, as a result, increases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interest rates would generally result in increased interest expense on our outstanding drawn balance.</w:t>
      </w:r>
    </w:p>
    <w:p>
      <w:pPr>
        <w:spacing w:after="0" w:line="114"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risk premium amounts under the ILN Transactions are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(BDO USA, P.C.; San Francisco, CA; PCAOB ID#243)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w w:val="82"/>
              </w:rPr>
              <w:t>89</w:t>
            </w:r>
          </w:p>
        </w:tc>
      </w:tr>
      <w:tr>
        <w:trPr>
          <w:trHeight w:val="39"/>
        </w:trPr>
        <w:tc>
          <w:tcPr>
            <w:tcW w:w="110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0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Consolidated Balance Sheets as of December 31, 2023 and 2022</w:t>
            </w:r>
          </w:p>
        </w:tc>
        <w:tc>
          <w:tcPr>
            <w:tcW w:w="18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2"/>
              </w:rPr>
              <w:t>91</w:t>
            </w:r>
          </w:p>
        </w:tc>
      </w:tr>
      <w:tr>
        <w:trPr>
          <w:trHeight w:val="29"/>
        </w:trPr>
        <w:tc>
          <w:tcPr>
            <w:tcW w:w="110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0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Consolidated Statements of Operations and Comprehensive Income for each of the years in the three-year period ended December 31, 2023</w:t>
            </w:r>
          </w:p>
        </w:tc>
        <w:tc>
          <w:tcPr>
            <w:tcW w:w="180" w:type="dxa"/>
            <w:vAlign w:val="bottom"/>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82"/>
              </w:rPr>
              <w:t>92</w:t>
            </w:r>
          </w:p>
        </w:tc>
      </w:tr>
      <w:tr>
        <w:trPr>
          <w:trHeight w:val="39"/>
        </w:trPr>
        <w:tc>
          <w:tcPr>
            <w:tcW w:w="110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0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Consolidated Statements of Changes in Shareholders' Equity for each of the years in the three-year period ended December 31, 2023</w:t>
            </w:r>
          </w:p>
        </w:tc>
        <w:tc>
          <w:tcPr>
            <w:tcW w:w="18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2"/>
              </w:rPr>
              <w:t>93</w:t>
            </w:r>
          </w:p>
        </w:tc>
      </w:tr>
      <w:tr>
        <w:trPr>
          <w:trHeight w:val="29"/>
        </w:trPr>
        <w:tc>
          <w:tcPr>
            <w:tcW w:w="110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0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Consolidated Statements of Cash Flows for each of the years in the three-year period ended December 31, 2023</w:t>
            </w:r>
          </w:p>
        </w:tc>
        <w:tc>
          <w:tcPr>
            <w:tcW w:w="180" w:type="dxa"/>
            <w:vAlign w:val="bottom"/>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82"/>
              </w:rPr>
              <w:t>94</w:t>
            </w:r>
          </w:p>
        </w:tc>
      </w:tr>
      <w:tr>
        <w:trPr>
          <w:trHeight w:val="39"/>
        </w:trPr>
        <w:tc>
          <w:tcPr>
            <w:tcW w:w="110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0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8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2"/>
              </w:rPr>
              <w:t>95</w:t>
            </w:r>
          </w:p>
        </w:tc>
      </w:tr>
      <w:tr>
        <w:trPr>
          <w:trHeight w:val="1196"/>
        </w:trPr>
        <w:tc>
          <w:tcPr>
            <w:tcW w:w="1106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88</w:t>
            </w: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1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and Board of Directors of NMI Holdings,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Emeryville, California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NMI Holdings, Inc. (the “Company”) as of December 31, 2023 and 2022, the related consolidated statements of operations and comprehensive income, changes in shareholders’ equity, and cash flows for each of the three years in the period ended December 31, 2023, and the related notes and financial statements schedules listed in the accompanying index appearing under Part IV, Item 15 – Exhibits and Financial Statement Schedules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in conformity with accounting principles generally accepted in the United States of America.</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and our report dated February 14, 2024 expressed an unqualified opinion thereon.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w:t>
      </w:r>
    </w:p>
    <w:p>
      <w:pPr>
        <w:spacing w:after="0" w:line="1" w:lineRule="exact"/>
        <w:rPr>
          <w:sz w:val="20"/>
          <w:szCs w:val="20"/>
          <w:color w:val="auto"/>
        </w:rPr>
      </w:pPr>
    </w:p>
    <w:p>
      <w:pPr>
        <w:jc w:val="both"/>
        <w:ind w:firstLine="3"/>
        <w:spacing w:after="0" w:line="244" w:lineRule="auto"/>
        <w:tabs>
          <w:tab w:leader="none" w:pos="24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Reserve for Insurance Claims and Claim Expenses</w:t>
      </w:r>
    </w:p>
    <w:p>
      <w:pPr>
        <w:spacing w:after="0" w:line="2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As described in Notes 2 and 7 to the consolidated financial statements, the Company’s consolidated reserve for insurance claims and claim expenses balance was $124.0 million at December 31, 2023. The establishment of the insurance claims and claim expenses reserve is subject to inherent uncertainty and requires significant judgment by management. The insurance claims reserve is established by estimating: (i) claim severity which is the amount of the claim payment expected to be paid on each loan in default, (ii) claim frequency which is the number of loans in default expected to result in a claim payment, and (iii) the beneficial impact of assistance programs, such as forbearance, repayment, and modification options. The claim frequency is determined based on historical experience regarding certain loan factors. The claim severity and claim frequency estimates are also strongly influenced by current economic conditions including unemployment and the housing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89" w:name="page90"/>
    <w:bookmarkEnd w:id="89"/>
    <w:p>
      <w:pPr>
        <w:jc w:val="both"/>
        <w:spacing w:after="0" w:line="250" w:lineRule="auto"/>
        <w:rPr>
          <w:sz w:val="20"/>
          <w:szCs w:val="20"/>
          <w:color w:val="auto"/>
        </w:rPr>
      </w:pPr>
      <w:r>
        <w:rPr>
          <w:rFonts w:ascii="Times New Roman" w:cs="Times New Roman" w:eastAsia="Times New Roman" w:hAnsi="Times New Roman"/>
          <w:sz w:val="17"/>
          <w:szCs w:val="17"/>
          <w:color w:val="auto"/>
        </w:rPr>
        <w:t>We identified the Company’s estimation of the reserve for insurance claims and claim expenses as a critical audit matter. The principal consideration for our determination is the high degree of subjectivity in estimating claim severity, claim frequency and the beneficial impact of assistance programs. Auditing these elements involved especially challenging auditor judgment due to the nature and extent of audit effort required to address these matters, including the extent of specialized knowledge and skill needed.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included:</w:t>
      </w:r>
    </w:p>
    <w:p>
      <w:pPr>
        <w:spacing w:after="0" w:line="231" w:lineRule="exact"/>
        <w:rPr>
          <w:sz w:val="20"/>
          <w:szCs w:val="20"/>
          <w:color w:val="auto"/>
        </w:rPr>
      </w:pPr>
    </w:p>
    <w:p>
      <w:pPr>
        <w:jc w:val="both"/>
        <w:ind w:left="620" w:hanging="306"/>
        <w:spacing w:after="0" w:line="256"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a sample of the underlying loans and claims data used in management’s insurance claims reserve calculations, which supported estimates of claim severity, claim frequency and the beneficial impact of assistance programs, by agreeing key characteristics of the underlying loans and claims data to source documents and data provided by third party loan servicers.</w:t>
      </w:r>
    </w:p>
    <w:p>
      <w:pPr>
        <w:spacing w:after="0" w:line="189" w:lineRule="exact"/>
        <w:rPr>
          <w:rFonts w:ascii="Times New Roman" w:cs="Times New Roman" w:eastAsia="Times New Roman" w:hAnsi="Times New Roman"/>
          <w:sz w:val="17"/>
          <w:szCs w:val="17"/>
          <w:color w:val="auto"/>
        </w:rPr>
      </w:pPr>
    </w:p>
    <w:p>
      <w:pPr>
        <w:jc w:val="both"/>
        <w:ind w:left="620" w:hanging="306"/>
        <w:spacing w:after="0" w:line="242" w:lineRule="auto"/>
        <w:tabs>
          <w:tab w:leader="none" w:pos="611" w:val="left"/>
        </w:tabs>
        <w:numPr>
          <w:ilvl w:val="0"/>
          <w:numId w:val="52"/>
        </w:numPr>
        <w:rPr>
          <w:rFonts w:ascii="Trebuchet MS" w:cs="Trebuchet MS" w:eastAsia="Trebuchet MS" w:hAnsi="Trebuchet MS"/>
          <w:sz w:val="18"/>
          <w:szCs w:val="18"/>
          <w:color w:val="auto"/>
        </w:rPr>
      </w:pPr>
      <w:r>
        <w:rPr>
          <w:rFonts w:ascii="Times New Roman" w:cs="Times New Roman" w:eastAsia="Times New Roman" w:hAnsi="Times New Roman"/>
          <w:sz w:val="17"/>
          <w:szCs w:val="17"/>
          <w:color w:val="auto"/>
        </w:rPr>
        <w:t>Utilizing personnel with specialized knowledge and skill in actuarial methods to assist in: (i) evaluating the appropriateness of the methodology and the assumptions used by management and management’s specialist, including assessment of the reasonableness of changes in assumptions and inputs used in developing claim severity, claim frequency and the beneficial impact of assistance programs, (ii) developing an independent estimate of the reserve for insurance claims and claims expense using Company and historical mortgage industry data and comparing this independent estimate to management’s and management’s specialist’s estimated reserve and (iii) performing a retrospective review of the development of the prior year reserve estimate compared to current year actual results and continued estimated reserves.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P.C.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5"/>
                <w:szCs w:val="15"/>
                <w:color w:val="auto"/>
              </w:rPr>
            </w:pPr>
          </w:p>
        </w:tc>
        <w:tc>
          <w:tcPr>
            <w:tcW w:w="15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168"/>
        </w:trPr>
        <w:tc>
          <w:tcPr>
            <w:tcW w:w="768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Fixed maturities, available-for-sale, at fair value (amortized cost of $2,542,862 and $2,352,747 as of</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2023 and December 31, 2022, respectively)</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2,371,021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2,099,389</w:t>
            </w:r>
          </w:p>
        </w:tc>
        <w:tc>
          <w:tcPr>
            <w:tcW w:w="0" w:type="dxa"/>
            <w:vAlign w:val="bottom"/>
          </w:tcPr>
          <w:p>
            <w:pPr>
              <w:spacing w:after="0"/>
              <w:rPr>
                <w:sz w:val="1"/>
                <w:szCs w:val="1"/>
                <w:color w:val="auto"/>
              </w:rPr>
            </w:pPr>
          </w:p>
        </w:tc>
      </w:tr>
      <w:tr>
        <w:trPr>
          <w:trHeight w:val="168"/>
        </w:trPr>
        <w:tc>
          <w:tcPr>
            <w:tcW w:w="768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Cash and cash equivalents (including restricted cash of $1,338 and $2,176 as of December 31, 2023 and</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2022, respectively)</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44,426</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Premiums receivable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69,680</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14,144</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58,564</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31,930</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 and goodwill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21,587</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federal income taxes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154,409</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18,267</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2,940,507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2,516,030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397,595</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396,051</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premiums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123,035</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74,576</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99,836</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funds withheld</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2,674</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301,573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193,859</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12,272</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1,014,503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902,303</w:t>
            </w:r>
          </w:p>
        </w:tc>
        <w:tc>
          <w:tcPr>
            <w:tcW w:w="0" w:type="dxa"/>
            <w:vAlign w:val="bottom"/>
          </w:tcPr>
          <w:p>
            <w:pPr>
              <w:spacing w:after="0"/>
              <w:rPr>
                <w:sz w:val="1"/>
                <w:szCs w:val="1"/>
                <w:color w:val="auto"/>
              </w:rPr>
            </w:pPr>
          </w:p>
        </w:tc>
      </w:tr>
      <w:tr>
        <w:trPr>
          <w:trHeight w:val="20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(see Note 14)</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7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68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Common stock - class A shares, $0.01 par value; 87,334,138 shares issued and 80,881,280 shares</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8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outstanding as of December 31, 2023 and 86,472,742 shares issued and 83,549,879 shares outstanding as of</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2022 (250,000,000 shares authorized)</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990,816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972,717</w:t>
            </w:r>
          </w:p>
        </w:tc>
        <w:tc>
          <w:tcPr>
            <w:tcW w:w="0" w:type="dxa"/>
            <w:vAlign w:val="bottom"/>
          </w:tcPr>
          <w:p>
            <w:pPr>
              <w:spacing w:after="0"/>
              <w:rPr>
                <w:sz w:val="1"/>
                <w:szCs w:val="1"/>
                <w:color w:val="auto"/>
              </w:rPr>
            </w:pPr>
          </w:p>
        </w:tc>
      </w:tr>
      <w:tr>
        <w:trPr>
          <w:trHeight w:val="168"/>
        </w:trPr>
        <w:tc>
          <w:tcPr>
            <w:tcW w:w="768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Treasury stock, at cost: 6,452,858 and 2,922,863 common shares as of December 31, 2023 and</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2022, respectively</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(56,575)</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net of tax</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(204,323)</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901,043</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1,926,004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1,613,727</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2,940,507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2,516,030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ind w:right="10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CONSOLIDATED STATEMENTS OF OPERATIONS AND COMPREHENSIVE INCOME</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gridSpan w:val="6"/>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260" w:type="dxa"/>
            <w:vAlign w:val="bottom"/>
          </w:tcPr>
          <w:p>
            <w:pPr>
              <w:spacing w:after="0"/>
              <w:rPr>
                <w:sz w:val="15"/>
                <w:szCs w:val="15"/>
                <w:color w:val="auto"/>
              </w:rPr>
            </w:pPr>
          </w:p>
        </w:tc>
      </w:tr>
      <w:tr>
        <w:trPr>
          <w:trHeight w:val="23"/>
        </w:trPr>
        <w:tc>
          <w:tcPr>
            <w:tcW w:w="5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1"/>
        </w:trPr>
        <w:tc>
          <w:tcPr>
            <w:tcW w:w="576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20" w:type="dxa"/>
            <w:vAlign w:val="bottom"/>
            <w:gridSpan w:val="7"/>
          </w:tcPr>
          <w:p>
            <w:pPr>
              <w:jc w:val="center"/>
              <w:ind w:left="135"/>
              <w:spacing w:after="0"/>
              <w:rPr>
                <w:sz w:val="20"/>
                <w:szCs w:val="20"/>
                <w:color w:val="auto"/>
              </w:rPr>
            </w:pPr>
            <w:r>
              <w:rPr>
                <w:rFonts w:ascii="Times New Roman" w:cs="Times New Roman" w:eastAsia="Times New Roman" w:hAnsi="Times New Roman"/>
                <w:sz w:val="14"/>
                <w:szCs w:val="14"/>
                <w:i w:val="1"/>
                <w:iCs w:val="1"/>
                <w:color w:val="auto"/>
                <w:w w:val="97"/>
              </w:rPr>
              <w:t>(In Thousands, except for per share data)</w:t>
            </w:r>
          </w:p>
        </w:tc>
        <w:tc>
          <w:tcPr>
            <w:tcW w:w="1260" w:type="dxa"/>
            <w:vAlign w:val="bottom"/>
          </w:tcPr>
          <w:p>
            <w:pPr>
              <w:spacing w:after="0"/>
              <w:rPr>
                <w:sz w:val="16"/>
                <w:szCs w:val="16"/>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premiums earned</w:t>
            </w:r>
          </w:p>
        </w:tc>
        <w:tc>
          <w:tcPr>
            <w:tcW w:w="102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510,768</w:t>
            </w:r>
          </w:p>
        </w:tc>
        <w:tc>
          <w:tcPr>
            <w:tcW w:w="56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475,266</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444,294</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investment income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38,072</w:t>
            </w: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(losses) gains</w:t>
            </w:r>
          </w:p>
        </w:tc>
        <w:tc>
          <w:tcPr>
            <w:tcW w:w="10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revenues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w:t>
            </w:r>
          </w:p>
        </w:tc>
      </w:tr>
      <w:tr>
        <w:trPr>
          <w:trHeight w:val="213"/>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579,003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523,345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485,072</w:t>
            </w:r>
          </w:p>
        </w:tc>
      </w:tr>
      <w:tr>
        <w:trPr>
          <w:trHeight w:val="20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Insurance claims and claim expenses (benefits)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12,305</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110,699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142,303</w:t>
            </w: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Service expenses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2,509</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31,796</w:t>
            </w:r>
          </w:p>
        </w:tc>
      </w:tr>
      <w:tr>
        <w:trPr>
          <w:trHeight w:val="220"/>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1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166,300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146,040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188,347</w:t>
            </w:r>
          </w:p>
        </w:tc>
      </w:tr>
      <w:tr>
        <w:trPr>
          <w:trHeight w:val="239"/>
        </w:trPr>
        <w:tc>
          <w:tcPr>
            <w:tcW w:w="5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377,305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296,725</w:t>
            </w:r>
          </w:p>
        </w:tc>
      </w:tr>
      <w:tr>
        <w:trPr>
          <w:trHeight w:val="220"/>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90,593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65,595</w:t>
            </w:r>
          </w:p>
        </w:tc>
      </w:tr>
      <w:tr>
        <w:trPr>
          <w:trHeight w:val="23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231,130</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5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02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56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560" w:type="dxa"/>
            <w:vAlign w:val="bottom"/>
            <w:gridSpan w:val="3"/>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59"/>
        </w:trPr>
        <w:tc>
          <w:tcPr>
            <w:tcW w:w="5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85,620</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86,885</w:t>
            </w:r>
          </w:p>
        </w:tc>
      </w:tr>
    </w:tbl>
    <w:p>
      <w:pPr>
        <w:spacing w:after="0" w:line="200" w:lineRule="exact"/>
        <w:rPr>
          <w:sz w:val="20"/>
          <w:szCs w:val="20"/>
          <w:color w:val="auto"/>
        </w:rPr>
      </w:pPr>
    </w:p>
    <w:p>
      <w:pPr>
        <w:sectPr>
          <w:pgSz w:w="11900" w:h="16838" w:orient="portrait"/>
          <w:cols w:equalWidth="0" w:num="1">
            <w:col w:w="11140"/>
          </w:cols>
          <w:pgMar w:left="420" w:top="121" w:right="339" w:bottom="1440" w:gutter="0" w:footer="0" w:header="0"/>
        </w:sectPr>
      </w:pPr>
    </w:p>
    <w:p>
      <w:pPr>
        <w:spacing w:after="0" w:line="53" w:lineRule="exact"/>
        <w:rPr>
          <w:sz w:val="20"/>
          <w:szCs w:val="20"/>
          <w:color w:val="auto"/>
        </w:rPr>
      </w:pPr>
    </w:p>
    <w:p>
      <w:pPr>
        <w:ind w:left="20"/>
        <w:spacing w:after="0"/>
        <w:tabs>
          <w:tab w:leader="none" w:pos="5760" w:val="left"/>
        </w:tabs>
        <w:rPr>
          <w:sz w:val="20"/>
          <w:szCs w:val="20"/>
          <w:color w:val="auto"/>
        </w:rPr>
      </w:pPr>
      <w:r>
        <w:rPr>
          <w:rFonts w:ascii="Times New Roman" w:cs="Times New Roman" w:eastAsia="Times New Roman" w:hAnsi="Times New Roman"/>
          <w:sz w:val="17"/>
          <w:szCs w:val="17"/>
          <w:color w:val="auto"/>
        </w:rPr>
        <w:t>Net income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014845" cy="139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4845" cy="1397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014845" cy="3613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14845" cy="361315"/>
                    </a:xfrm>
                    <a:prstGeom prst="rect">
                      <a:avLst/>
                    </a:prstGeom>
                    <a:noFill/>
                  </pic:spPr>
                </pic:pic>
              </a:graphicData>
            </a:graphic>
          </wp:anchor>
        </w:drawing>
      </w:r>
    </w:p>
    <w:p>
      <w:pPr>
        <w:spacing w:after="0" w:line="4" w:lineRule="exact"/>
        <w:rPr>
          <w:sz w:val="20"/>
          <w:szCs w:val="20"/>
          <w:color w:val="auto"/>
        </w:rPr>
      </w:pPr>
    </w:p>
    <w:p>
      <w:pPr>
        <w:jc w:val="both"/>
        <w:ind w:left="20" w:right="460"/>
        <w:spacing w:after="0" w:line="227" w:lineRule="auto"/>
        <w:rPr>
          <w:sz w:val="20"/>
          <w:szCs w:val="20"/>
          <w:color w:val="auto"/>
        </w:rPr>
      </w:pPr>
      <w:r>
        <w:rPr>
          <w:rFonts w:ascii="Times New Roman" w:cs="Times New Roman" w:eastAsia="Times New Roman" w:hAnsi="Times New Roman"/>
          <w:sz w:val="17"/>
          <w:szCs w:val="17"/>
          <w:color w:val="auto"/>
        </w:rPr>
        <w:t>Unrealized gains (losses) in accumulated other comprehensive income, net of tax expense (benefit) of $17,113, $(54,608) and $(13,768) for each of the years in the three-year period ended December 31, 2023, respectively</w:t>
      </w:r>
    </w:p>
    <w:p>
      <w:pPr>
        <w:spacing w:after="0" w:line="9" w:lineRule="exact"/>
        <w:rPr>
          <w:sz w:val="20"/>
          <w:szCs w:val="20"/>
          <w:color w:val="auto"/>
        </w:rPr>
      </w:pPr>
    </w:p>
    <w:p>
      <w:pPr>
        <w:jc w:val="both"/>
        <w:ind w:left="20" w:right="460"/>
        <w:spacing w:after="0" w:line="229" w:lineRule="auto"/>
        <w:rPr>
          <w:sz w:val="20"/>
          <w:szCs w:val="20"/>
          <w:color w:val="auto"/>
        </w:rPr>
      </w:pPr>
      <w:r>
        <w:rPr>
          <w:rFonts w:ascii="Times New Roman" w:cs="Times New Roman" w:eastAsia="Times New Roman" w:hAnsi="Times New Roman"/>
          <w:sz w:val="17"/>
          <w:szCs w:val="17"/>
          <w:color w:val="auto"/>
        </w:rPr>
        <w:t>Reclassification adjustment for realized losses (gains) included in net income, net of tax (benefit) expense of $(7), $101 and $153 for each of the years in the three-years ended December 31, 2023, respectively</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7"/>
              </w:rPr>
              <w:t>322,110</w:t>
            </w:r>
          </w:p>
        </w:tc>
        <w:tc>
          <w:tcPr>
            <w:tcW w:w="6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292,902</w:t>
            </w:r>
          </w:p>
        </w:tc>
        <w:tc>
          <w:tcPr>
            <w:tcW w:w="64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231,130</w:t>
            </w:r>
          </w:p>
        </w:tc>
      </w:tr>
      <w:tr>
        <w:trPr>
          <w:trHeight w:val="789"/>
        </w:trPr>
        <w:tc>
          <w:tcPr>
            <w:tcW w:w="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64,380</w:t>
            </w:r>
          </w:p>
        </w:tc>
        <w:tc>
          <w:tcPr>
            <w:tcW w:w="6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(205,428)</w:t>
            </w:r>
          </w:p>
        </w:tc>
        <w:tc>
          <w:tcPr>
            <w:tcW w:w="6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(51,795)</w:t>
            </w:r>
          </w:p>
        </w:tc>
      </w:tr>
      <w:tr>
        <w:trPr>
          <w:trHeight w:val="567"/>
        </w:trPr>
        <w:tc>
          <w:tcPr>
            <w:tcW w:w="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26</w:t>
            </w:r>
          </w:p>
        </w:tc>
        <w:tc>
          <w:tcPr>
            <w:tcW w:w="6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6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r>
    </w:tbl>
    <w:p>
      <w:pPr>
        <w:spacing w:after="0" w:line="1" w:lineRule="exact"/>
        <w:rPr>
          <w:sz w:val="20"/>
          <w:szCs w:val="20"/>
          <w:color w:val="auto"/>
        </w:rPr>
      </w:pPr>
    </w:p>
    <w:p>
      <w:pPr>
        <w:sectPr>
          <w:pgSz w:w="11900" w:h="16838" w:orient="portrait"/>
          <w:cols w:equalWidth="0" w:num="2">
            <w:col w:w="6100" w:space="720"/>
            <w:col w:w="4320"/>
          </w:cols>
          <w:pgMar w:left="4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64,406</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(205,808)</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(52,371)</w:t>
            </w:r>
          </w:p>
        </w:tc>
      </w:tr>
      <w:tr>
        <w:trPr>
          <w:trHeight w:val="213"/>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386,516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87,094</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178,759</w:t>
            </w:r>
          </w:p>
        </w:tc>
      </w:tr>
      <w:tr>
        <w:trPr>
          <w:trHeight w:val="20"/>
        </w:trPr>
        <w:tc>
          <w:tcPr>
            <w:tcW w:w="5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420" w:top="121" w:right="339" w:bottom="1440" w:gutter="0" w:footer="0" w:header="0"/>
          <w:type w:val="continuous"/>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CONSOLIDATED STATEMENTS OF CHANGES IN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900" w:type="dxa"/>
            <w:vAlign w:val="bottom"/>
            <w:gridSpan w:val="3"/>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Common Stock - Class A</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90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ind w:right="95"/>
              <w:spacing w:after="0" w:line="123"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2"/>
            <w:vMerge w:val="restart"/>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9"/>
                <w:szCs w:val="9"/>
                <w:color w:val="auto"/>
              </w:rPr>
            </w:pPr>
          </w:p>
        </w:tc>
        <w:tc>
          <w:tcPr>
            <w:tcW w:w="1100" w:type="dxa"/>
            <w:vAlign w:val="bottom"/>
            <w:vMerge w:val="restart"/>
          </w:tcPr>
          <w:p>
            <w:pPr>
              <w:jc w:val="right"/>
              <w:ind w:right="75"/>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80" w:type="dxa"/>
            <w:vAlign w:val="bottom"/>
          </w:tcPr>
          <w:p>
            <w:pPr>
              <w:spacing w:after="0"/>
              <w:rPr>
                <w:sz w:val="9"/>
                <w:szCs w:val="9"/>
                <w:color w:val="auto"/>
              </w:rPr>
            </w:pPr>
          </w:p>
        </w:tc>
        <w:tc>
          <w:tcPr>
            <w:tcW w:w="840" w:type="dxa"/>
            <w:vAlign w:val="bottom"/>
            <w:vMerge w:val="restart"/>
          </w:tcPr>
          <w:p>
            <w:pPr>
              <w:jc w:val="right"/>
              <w:ind w:right="135"/>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9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jc w:val="right"/>
              <w:ind w:right="97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December 31, 2020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937,872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377,011</w:t>
            </w:r>
          </w:p>
        </w:tc>
        <w:tc>
          <w:tcPr>
            <w:tcW w:w="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1,369,591</w:t>
            </w:r>
          </w:p>
        </w:tc>
        <w:tc>
          <w:tcPr>
            <w:tcW w:w="0" w:type="dxa"/>
            <w:vAlign w:val="bottom"/>
          </w:tcPr>
          <w:p>
            <w:pPr>
              <w:spacing w:after="0"/>
              <w:rPr>
                <w:sz w:val="1"/>
                <w:szCs w:val="1"/>
                <w:color w:val="auto"/>
              </w:rPr>
            </w:pPr>
          </w:p>
        </w:tc>
      </w:tr>
      <w:tr>
        <w:trPr>
          <w:trHeight w:val="168"/>
        </w:trPr>
        <w:tc>
          <w:tcPr>
            <w:tcW w:w="39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stock: class A shares issued related to warrant</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20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1,983</w:t>
            </w:r>
          </w:p>
        </w:tc>
        <w:tc>
          <w:tcPr>
            <w:tcW w:w="0" w:type="dxa"/>
            <w:vAlign w:val="bottom"/>
          </w:tcPr>
          <w:p>
            <w:pPr>
              <w:spacing w:after="0"/>
              <w:rPr>
                <w:sz w:val="1"/>
                <w:szCs w:val="1"/>
                <w:color w:val="auto"/>
              </w:rPr>
            </w:pPr>
          </w:p>
        </w:tc>
      </w:tr>
      <w:tr>
        <w:trPr>
          <w:trHeight w:val="168"/>
        </w:trPr>
        <w:tc>
          <w:tcPr>
            <w:tcW w:w="39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stock: class A shares issued under stock</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plans, net of shares withheld for employee taxes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0" w:type="dxa"/>
            <w:vAlign w:val="bottom"/>
          </w:tcPr>
          <w:p>
            <w:pPr>
              <w:spacing w:after="0"/>
              <w:rPr>
                <w:sz w:val="1"/>
                <w:szCs w:val="1"/>
                <w:color w:val="auto"/>
              </w:rPr>
            </w:pPr>
          </w:p>
        </w:tc>
      </w:tr>
      <w:tr>
        <w:trPr>
          <w:trHeight w:val="220"/>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16,678</w:t>
            </w:r>
          </w:p>
        </w:tc>
        <w:tc>
          <w:tcPr>
            <w:tcW w:w="200" w:type="dxa"/>
            <w:vAlign w:val="bottom"/>
          </w:tcPr>
          <w:p>
            <w:pPr>
              <w:spacing w:after="0"/>
              <w:rPr>
                <w:sz w:val="19"/>
                <w:szCs w:val="19"/>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16,678</w:t>
            </w:r>
          </w:p>
        </w:tc>
        <w:tc>
          <w:tcPr>
            <w:tcW w:w="0" w:type="dxa"/>
            <w:vAlign w:val="bottom"/>
          </w:tcPr>
          <w:p>
            <w:pPr>
              <w:spacing w:after="0"/>
              <w:rPr>
                <w:sz w:val="1"/>
                <w:szCs w:val="1"/>
                <w:color w:val="auto"/>
              </w:rPr>
            </w:pPr>
          </w:p>
        </w:tc>
      </w:tr>
      <w:tr>
        <w:trPr>
          <w:trHeight w:val="168"/>
        </w:trPr>
        <w:tc>
          <w:tcPr>
            <w:tcW w:w="39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of $13,921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(52,371)</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(52,371)</w:t>
            </w:r>
          </w:p>
        </w:tc>
        <w:tc>
          <w:tcPr>
            <w:tcW w:w="0" w:type="dxa"/>
            <w:vAlign w:val="bottom"/>
          </w:tcPr>
          <w:p>
            <w:pPr>
              <w:spacing w:after="0"/>
              <w:rPr>
                <w:sz w:val="1"/>
                <w:szCs w:val="1"/>
                <w:color w:val="auto"/>
              </w:rPr>
            </w:pPr>
          </w:p>
        </w:tc>
      </w:tr>
      <w:tr>
        <w:trPr>
          <w:trHeight w:val="22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231,130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231,130</w:t>
            </w:r>
          </w:p>
        </w:tc>
        <w:tc>
          <w:tcPr>
            <w:tcW w:w="0" w:type="dxa"/>
            <w:vAlign w:val="bottom"/>
          </w:tcPr>
          <w:p>
            <w:pPr>
              <w:spacing w:after="0"/>
              <w:rPr>
                <w:sz w:val="1"/>
                <w:szCs w:val="1"/>
                <w:color w:val="auto"/>
              </w:rPr>
            </w:pPr>
          </w:p>
        </w:tc>
      </w:tr>
      <w:tr>
        <w:trPr>
          <w:trHeight w:val="212"/>
        </w:trPr>
        <w:tc>
          <w:tcPr>
            <w:tcW w:w="390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color w:val="auto"/>
              </w:rPr>
              <w:t>Balances, December 31, 2021</w:t>
            </w:r>
          </w:p>
        </w:tc>
        <w:tc>
          <w:tcPr>
            <w:tcW w:w="98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85,793</w:t>
            </w:r>
          </w:p>
        </w:tc>
        <w:tc>
          <w:tcPr>
            <w:tcW w:w="16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858</w:t>
            </w:r>
          </w:p>
        </w:tc>
        <w:tc>
          <w:tcPr>
            <w:tcW w:w="120" w:type="dxa"/>
            <w:vAlign w:val="bottom"/>
            <w:tcBorders>
              <w:bottom w:val="single" w:sz="8" w:color="auto"/>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955,302</w:t>
            </w:r>
          </w:p>
        </w:tc>
        <w:tc>
          <w:tcPr>
            <w:tcW w:w="20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gridSpan w:val="2"/>
            <w:shd w:val="clear" w:color="auto" w:fill="CCEEFF"/>
          </w:tcPr>
          <w:p>
            <w:pPr>
              <w:ind w:left="600"/>
              <w:spacing w:after="0" w:line="187" w:lineRule="exact"/>
              <w:rPr>
                <w:sz w:val="20"/>
                <w:szCs w:val="20"/>
                <w:color w:val="auto"/>
              </w:rPr>
            </w:pPr>
            <w:r>
              <w:rPr>
                <w:rFonts w:ascii="Times New Roman" w:cs="Times New Roman" w:eastAsia="Times New Roman" w:hAnsi="Times New Roman"/>
                <w:sz w:val="17"/>
                <w:szCs w:val="17"/>
                <w:color w:val="auto"/>
              </w:rPr>
              <w:t>— $</w:t>
            </w:r>
          </w:p>
        </w:tc>
        <w:tc>
          <w:tcPr>
            <w:tcW w:w="110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1,485</w:t>
            </w:r>
          </w:p>
        </w:tc>
        <w:tc>
          <w:tcPr>
            <w:tcW w:w="18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608,141</w:t>
            </w:r>
          </w:p>
        </w:tc>
        <w:tc>
          <w:tcPr>
            <w:tcW w:w="260" w:type="dxa"/>
            <w:vAlign w:val="bottom"/>
            <w:tcBorders>
              <w:bottom w:val="single" w:sz="8" w:color="auto"/>
            </w:tcBorders>
            <w:shd w:val="clear" w:color="auto" w:fill="CCEEFF"/>
          </w:tcPr>
          <w:p>
            <w:pPr>
              <w:jc w:val="right"/>
              <w:ind w:right="34"/>
              <w:spacing w:after="0" w:line="187"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1,565,786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Times New Roman" w:cs="Times New Roman" w:eastAsia="Times New Roman" w:hAnsi="Times New Roman"/>
                <w:sz w:val="17"/>
                <w:szCs w:val="17"/>
                <w:color w:val="auto"/>
              </w:rPr>
              <w:t>Common stock: class A shares issued related to warrant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9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1,767</w:t>
            </w:r>
          </w:p>
        </w:tc>
        <w:tc>
          <w:tcPr>
            <w:tcW w:w="20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0" w:type="dxa"/>
            <w:vAlign w:val="bottom"/>
          </w:tcPr>
          <w:p>
            <w:pPr>
              <w:spacing w:after="0"/>
              <w:rPr>
                <w:sz w:val="1"/>
                <w:szCs w:val="1"/>
                <w:color w:val="auto"/>
              </w:rPr>
            </w:pPr>
          </w:p>
        </w:tc>
      </w:tr>
      <w:tr>
        <w:trPr>
          <w:trHeight w:val="168"/>
        </w:trPr>
        <w:tc>
          <w:tcPr>
            <w:tcW w:w="39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stock: class A shares issued under stock</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plans, net of shares withheld for employee taxes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220"/>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(56,575)</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(56,575)</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15,425</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15,425</w:t>
            </w:r>
          </w:p>
        </w:tc>
        <w:tc>
          <w:tcPr>
            <w:tcW w:w="0" w:type="dxa"/>
            <w:vAlign w:val="bottom"/>
          </w:tcPr>
          <w:p>
            <w:pPr>
              <w:spacing w:after="0"/>
              <w:rPr>
                <w:sz w:val="1"/>
                <w:szCs w:val="1"/>
                <w:color w:val="auto"/>
              </w:rPr>
            </w:pPr>
          </w:p>
        </w:tc>
      </w:tr>
      <w:tr>
        <w:trPr>
          <w:trHeight w:val="168"/>
        </w:trPr>
        <w:tc>
          <w:tcPr>
            <w:tcW w:w="39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benefit of $54,709</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(205,808)</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(205,808)</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0" w:type="dxa"/>
            <w:vAlign w:val="bottom"/>
          </w:tcPr>
          <w:p>
            <w:pPr>
              <w:spacing w:after="0"/>
              <w:rPr>
                <w:sz w:val="1"/>
                <w:szCs w:val="1"/>
                <w:color w:val="auto"/>
              </w:rPr>
            </w:pPr>
          </w:p>
        </w:tc>
      </w:tr>
      <w:tr>
        <w:trPr>
          <w:trHeight w:val="187"/>
        </w:trPr>
        <w:tc>
          <w:tcPr>
            <w:tcW w:w="390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Balances, December 31, 2022</w:t>
            </w:r>
          </w:p>
        </w:tc>
        <w:tc>
          <w:tcPr>
            <w:tcW w:w="9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83,550</w:t>
            </w:r>
          </w:p>
        </w:tc>
        <w:tc>
          <w:tcPr>
            <w:tcW w:w="1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865</w:t>
            </w:r>
          </w:p>
        </w:tc>
        <w:tc>
          <w:tcPr>
            <w:tcW w:w="120" w:type="dxa"/>
            <w:vAlign w:val="bottom"/>
            <w:tcBorders>
              <w:bottom w:val="single" w:sz="8" w:color="auto"/>
            </w:tcBorders>
          </w:tcPr>
          <w:p>
            <w:pPr>
              <w:ind w:left="20"/>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972,717</w:t>
            </w:r>
          </w:p>
        </w:tc>
        <w:tc>
          <w:tcPr>
            <w:tcW w:w="2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(56,575)</w:t>
            </w:r>
          </w:p>
        </w:tc>
        <w:tc>
          <w:tcPr>
            <w:tcW w:w="140" w:type="dxa"/>
            <w:vAlign w:val="bottom"/>
            <w:tcBorders>
              <w:bottom w:val="single" w:sz="8" w:color="auto"/>
            </w:tcBorders>
          </w:tcPr>
          <w:p>
            <w:pPr>
              <w:ind w:left="20"/>
              <w:spacing w:after="0" w:line="187"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(204,323)</w:t>
            </w:r>
          </w:p>
        </w:tc>
        <w:tc>
          <w:tcPr>
            <w:tcW w:w="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901,043</w:t>
            </w:r>
          </w:p>
        </w:tc>
        <w:tc>
          <w:tcPr>
            <w:tcW w:w="260" w:type="dxa"/>
            <w:vAlign w:val="bottom"/>
            <w:tcBorders>
              <w:bottom w:val="single" w:sz="8" w:color="auto"/>
            </w:tcBorders>
          </w:tcPr>
          <w:p>
            <w:pPr>
              <w:jc w:val="right"/>
              <w:ind w:right="34"/>
              <w:spacing w:after="0" w:line="187"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1,613,727</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90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color w:val="auto"/>
              </w:rPr>
              <w:t>Common stock: class A shares issued under stock</w:t>
            </w: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plans, net of shares withheld for employee taxes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0" w:type="dxa"/>
            <w:vAlign w:val="bottom"/>
          </w:tcPr>
          <w:p>
            <w:pPr>
              <w:spacing w:after="0"/>
              <w:rPr>
                <w:sz w:val="1"/>
                <w:szCs w:val="1"/>
                <w:color w:val="auto"/>
              </w:rPr>
            </w:pPr>
          </w:p>
        </w:tc>
      </w:tr>
      <w:tr>
        <w:trPr>
          <w:trHeight w:val="220"/>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(92,346)</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(92,346)</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16,914</w:t>
            </w:r>
          </w:p>
        </w:tc>
        <w:tc>
          <w:tcPr>
            <w:tcW w:w="0" w:type="dxa"/>
            <w:vAlign w:val="bottom"/>
          </w:tcPr>
          <w:p>
            <w:pPr>
              <w:spacing w:after="0"/>
              <w:rPr>
                <w:sz w:val="1"/>
                <w:szCs w:val="1"/>
                <w:color w:val="auto"/>
              </w:rPr>
            </w:pPr>
          </w:p>
        </w:tc>
      </w:tr>
      <w:tr>
        <w:trPr>
          <w:trHeight w:val="168"/>
        </w:trPr>
        <w:tc>
          <w:tcPr>
            <w:tcW w:w="39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expense of $17,120</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64,406</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64,406</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December 31, 2023</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80,881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990,816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(148,921)</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(139,917)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1,223,153</w:t>
            </w:r>
          </w:p>
        </w:tc>
        <w:tc>
          <w:tcPr>
            <w:tcW w:w="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1,926,004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71755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CASH FLOWS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6"/>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780" w:type="dxa"/>
            <w:vAlign w:val="bottom"/>
          </w:tcPr>
          <w:p>
            <w:pPr>
              <w:spacing w:after="0"/>
              <w:rPr>
                <w:sz w:val="15"/>
                <w:szCs w:val="15"/>
                <w:color w:val="auto"/>
              </w:rPr>
            </w:pPr>
          </w:p>
        </w:tc>
      </w:tr>
      <w:tr>
        <w:trPr>
          <w:trHeight w:val="23"/>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0"/>
        </w:trPr>
        <w:tc>
          <w:tcPr>
            <w:tcW w:w="7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0"/>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292,902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231,130</w:t>
            </w:r>
          </w:p>
        </w:tc>
      </w:tr>
      <w:tr>
        <w:trPr>
          <w:trHeight w:val="205"/>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realized investment loss (gains)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from change in fair value of warrant liability</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11,232</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amortization of premium on investment securities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6,733</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84,393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65,510</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16,678</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Premiums receivable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(10,579)</w:t>
            </w:r>
          </w:p>
        </w:tc>
      </w:tr>
      <w:tr>
        <w:trPr>
          <w:trHeight w:val="205"/>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r>
      <w:tr>
        <w:trPr>
          <w:trHeight w:val="20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policy acquisition costs,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r>
      <w:tr>
        <w:trPr>
          <w:trHeight w:val="205"/>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Reinsurance recoverable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w:t>
            </w:r>
          </w:p>
        </w:tc>
      </w:tr>
      <w:tr>
        <w:trPr>
          <w:trHeight w:val="20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federal income taxes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(65,165)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(42,853)</w:t>
            </w:r>
          </w:p>
        </w:tc>
      </w:tr>
      <w:tr>
        <w:trPr>
          <w:trHeight w:val="205"/>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0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Unearned premiums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20,420</w:t>
            </w:r>
          </w:p>
        </w:tc>
      </w:tr>
      <w:tr>
        <w:trPr>
          <w:trHeight w:val="205"/>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Reserve for insurance claims and claim expenses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12,984</w:t>
            </w:r>
          </w:p>
        </w:tc>
      </w:tr>
      <w:tr>
        <w:trPr>
          <w:trHeight w:val="20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Reinsurance balances,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r>
      <w:tr>
        <w:trPr>
          <w:trHeight w:val="205"/>
        </w:trPr>
        <w:tc>
          <w:tcPr>
            <w:tcW w:w="7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16,908</w:t>
            </w:r>
          </w:p>
        </w:tc>
      </w:tr>
      <w:tr>
        <w:trPr>
          <w:trHeight w:val="20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342,683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313,394</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325,719</w:t>
            </w:r>
          </w:p>
        </w:tc>
      </w:tr>
      <w:tr>
        <w:trPr>
          <w:trHeight w:val="185"/>
        </w:trPr>
        <w:tc>
          <w:tcPr>
            <w:tcW w:w="75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(10,640)</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fixed-maturity investments, available-for-sale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(488,562)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(233,586)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(514,405)</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maturity of short-term investments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151,635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redemptions, maturities and sale of fixed-maturity investments, available-for-sale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116,663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163,103</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Additions to software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(12,238)</w:t>
            </w:r>
          </w:p>
        </w:tc>
      </w:tr>
      <w:tr>
        <w:trPr>
          <w:trHeight w:val="198"/>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(289,786)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(374,180)</w:t>
            </w:r>
          </w:p>
        </w:tc>
      </w:tr>
      <w:tr>
        <w:trPr>
          <w:trHeight w:val="18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5"/>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related to employee equity plans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w:t>
            </w:r>
          </w:p>
        </w:tc>
      </w:tr>
      <w:tr>
        <w:trPr>
          <w:trHeight w:val="20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related to warrant exercises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05"/>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(5,426)</w:t>
            </w:r>
          </w:p>
        </w:tc>
      </w:tr>
      <w:tr>
        <w:trPr>
          <w:trHeight w:val="20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r>
      <w:tr>
        <w:trPr>
          <w:trHeight w:val="205"/>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(91,613)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(56,575)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(55,828)</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r>
      <w:tr>
        <w:trPr>
          <w:trHeight w:val="125"/>
        </w:trPr>
        <w:tc>
          <w:tcPr>
            <w:tcW w:w="7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(50,291)</w:t>
            </w:r>
          </w:p>
        </w:tc>
      </w:tr>
      <w:tr>
        <w:trPr>
          <w:trHeight w:val="205"/>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76,646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126,937</w:t>
            </w:r>
          </w:p>
        </w:tc>
      </w:tr>
      <w:tr>
        <w:trPr>
          <w:trHeight w:val="227"/>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96,689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44,426</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76,646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88"/>
        </w:trPr>
        <w:tc>
          <w:tcPr>
            <w:tcW w:w="7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5"/>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29,500</w:t>
            </w:r>
          </w:p>
        </w:tc>
        <w:tc>
          <w:tcPr>
            <w:tcW w:w="8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29,500</w:t>
            </w:r>
          </w:p>
        </w:tc>
      </w:tr>
      <w:tr>
        <w:trPr>
          <w:trHeight w:val="20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 refunded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Basis of Presentation</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1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 We operate as a single segment for the purposes of assessing performance and making operating decisions.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results of NMIH and its wholly-owned subsidiaries. All inter-company transactions have been eliminated. These financial statements have been prepared in accordance with accounting principles generally accepted in the U.S. (GAAP) and our accounts are maintained in U.S. dollars.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w:t>
      </w:r>
    </w:p>
    <w:p>
      <w:pPr>
        <w:spacing w:after="0" w:line="117" w:lineRule="exact"/>
        <w:rPr>
          <w:sz w:val="20"/>
          <w:szCs w:val="20"/>
          <w:color w:val="auto"/>
        </w:rPr>
      </w:pPr>
    </w:p>
    <w:p>
      <w:pPr>
        <w:ind w:left="620" w:right="8480" w:hanging="617"/>
        <w:spacing w:after="0" w:line="445" w:lineRule="auto"/>
        <w:tabs>
          <w:tab w:leader="none" w:pos="171"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Accounting Principles </w:t>
      </w:r>
      <w:r>
        <w:rPr>
          <w:rFonts w:ascii="Times New Roman" w:cs="Times New Roman" w:eastAsia="Times New Roman" w:hAnsi="Times New Roman"/>
          <w:sz w:val="17"/>
          <w:szCs w:val="17"/>
          <w:i w:val="1"/>
          <w:iCs w:val="1"/>
          <w:color w:val="auto"/>
        </w:rPr>
        <w:t>Use of Estimates</w:t>
      </w:r>
    </w:p>
    <w:p>
      <w:pPr>
        <w:spacing w:after="0" w:line="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Insurance Premium Revenue Recognition</w:t>
      </w:r>
    </w:p>
    <w:p>
      <w:pPr>
        <w:spacing w:after="0" w:line="16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and when the coverage is effective. Annual premiums are initially deferred and earned on a straight-line basis over the year of coverage. Upon cancellation of a policy, all remaining non-refundable deferred and unearned premium is immediately earned, and any refundable deferred and unearned premium is returned to the policyholder and recorded as a reduction to written premium and unearned premium reserve in the period paid.</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Premiums written on pool transactions are earned over the period that coverage is provided. Our pool insurance agreement with Fannie Mae expired on August 31, 2023 and we will not recognize any pool premiums written or earned in connection with the agreement in future periods.</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Concentrations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For the years ended December 31, 2023, 2022 and 2021, no customer accounted for more than 10% of our consolidated revenues. At December 31, 2023, 2022 and 2021 approximately 10%, 11% and 10%, respectively, of our total risk-in-force (RIF) was concentrated in California.</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Reserves for Insurance Claims and Claim Expenses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We establish reserves for claims based on our best estimate of the ultimate claim costs for defaulted loans using the general principles contained in ASC 944, </w:t>
      </w:r>
      <w:r>
        <w:rPr>
          <w:rFonts w:ascii="Times New Roman" w:cs="Times New Roman" w:eastAsia="Times New Roman" w:hAnsi="Times New Roman"/>
          <w:sz w:val="17"/>
          <w:szCs w:val="17"/>
          <w:i w:val="1"/>
          <w:iCs w:val="1"/>
          <w:color w:val="auto"/>
        </w:rPr>
        <w:t>Financial Services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Insurance</w:t>
      </w:r>
      <w:r>
        <w:rPr>
          <w:rFonts w:ascii="Times New Roman" w:cs="Times New Roman" w:eastAsia="Times New Roman" w:hAnsi="Times New Roman"/>
          <w:sz w:val="17"/>
          <w:szCs w:val="17"/>
          <w:color w:val="auto"/>
        </w:rPr>
        <w:t xml:space="preserve"> (ASC 944).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Claim expense reserves are either allocated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associated with a specific claim) or unallocated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not associated with a specific claim).</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establishment of claims and claim expense reserves is subject to inherent uncertainty and requires significant judgment by management. Reserves are established by estimating the number of loans in default that will result in a claim payment, which is referred to as claim frequency, and the amount of claim payment expected to be paid on each such loan in default, which is referred to as claim severity. Claim frequency and severity estimates are established based on historical observed experience regarding certain loan factors, such as age of the default, size of the loan and loan-to-value (LTV) ratios, and are strongly influenced by assumptions about the path of certain economic factors, such as house price appreciation, trends in unemployment and mortgage rates. We consider the appropriateness of such inputs at each fiscal quarter and conduct an actuarial review annually to evaluate and, if necessary, update these assumptions.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Investments</w:t>
      </w:r>
    </w:p>
    <w:p>
      <w:pPr>
        <w:spacing w:after="0" w:line="169" w:lineRule="exact"/>
        <w:rPr>
          <w:sz w:val="20"/>
          <w:szCs w:val="20"/>
          <w:color w:val="auto"/>
        </w:rPr>
      </w:pPr>
    </w:p>
    <w:p>
      <w:pPr>
        <w:jc w:val="both"/>
        <w:ind w:firstLine="621"/>
        <w:spacing w:after="0" w:line="338" w:lineRule="auto"/>
        <w:rPr>
          <w:sz w:val="20"/>
          <w:szCs w:val="20"/>
          <w:color w:val="auto"/>
        </w:rPr>
      </w:pPr>
      <w:r>
        <w:rPr>
          <w:rFonts w:ascii="Times New Roman" w:cs="Times New Roman" w:eastAsia="Times New Roman" w:hAnsi="Times New Roman"/>
          <w:sz w:val="17"/>
          <w:szCs w:val="17"/>
          <w:color w:val="auto"/>
        </w:rPr>
        <w:t>We have designated our investment portfolio as available-for-sale and report our invested assets at fair value. Unrealized gains and losses in the portfolio, net of related tax expense or benefit, are recognized as a component of accumulated other comprehensive income (AOCI) in shareholders' equity.</w:t>
      </w:r>
    </w:p>
    <w:p>
      <w:pPr>
        <w:spacing w:after="0" w:line="57" w:lineRule="exact"/>
        <w:rPr>
          <w:sz w:val="20"/>
          <w:szCs w:val="20"/>
          <w:color w:val="auto"/>
        </w:rPr>
      </w:pPr>
    </w:p>
    <w:p>
      <w:pPr>
        <w:jc w:val="both"/>
        <w:ind w:firstLine="621"/>
        <w:spacing w:after="0" w:line="255" w:lineRule="auto"/>
        <w:rPr>
          <w:sz w:val="20"/>
          <w:szCs w:val="20"/>
          <w:color w:val="auto"/>
        </w:rPr>
      </w:pPr>
      <w:r>
        <w:rPr>
          <w:rFonts w:ascii="Times New Roman" w:cs="Times New Roman" w:eastAsia="Times New Roman" w:hAnsi="Times New Roman"/>
          <w:sz w:val="17"/>
          <w:szCs w:val="17"/>
          <w:color w:val="auto"/>
        </w:rPr>
        <w:t>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Note 4, "</w:t>
      </w:r>
      <w:r>
        <w:rPr>
          <w:rFonts w:ascii="Times New Roman" w:cs="Times New Roman" w:eastAsia="Times New Roman" w:hAnsi="Times New Roman"/>
          <w:sz w:val="17"/>
          <w:szCs w:val="17"/>
          <w:i w:val="1"/>
          <w:iCs w:val="1"/>
          <w:color w:val="auto"/>
        </w:rPr>
        <w:t>Fair Value of Financial Instruments</w:t>
      </w:r>
      <w:r>
        <w:rPr>
          <w:rFonts w:ascii="Times New Roman" w:cs="Times New Roman" w:eastAsia="Times New Roman" w:hAnsi="Times New Roman"/>
          <w:sz w:val="17"/>
          <w:szCs w:val="17"/>
          <w:color w:val="auto"/>
        </w:rPr>
        <w:t>" for further discussion.</w:t>
      </w:r>
    </w:p>
    <w:p>
      <w:pPr>
        <w:spacing w:after="0" w:line="20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changes in effective yields and prepayment assumptions are recognized on a prospective basis.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recognize an impairment on a security through the consolidated statement of operations and comprehensive income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w:t>
      </w:r>
      <w:r>
        <w:rPr>
          <w:rFonts w:ascii="Times New Roman" w:cs="Times New Roman" w:eastAsia="Times New Roman" w:hAnsi="Times New Roman"/>
          <w:sz w:val="17"/>
          <w:szCs w:val="17"/>
          <w:i w:val="1"/>
          <w:iCs w:val="1"/>
          <w:color w:val="auto"/>
        </w:rPr>
        <w:t>Realized Investment Loss</w:t>
      </w:r>
      <w:r>
        <w:rPr>
          <w:rFonts w:ascii="Times New Roman" w:cs="Times New Roman" w:eastAsia="Times New Roman" w:hAnsi="Times New Roman"/>
          <w:sz w:val="17"/>
          <w:szCs w:val="17"/>
          <w:color w:val="auto"/>
        </w:rPr>
        <w:t>."</w:t>
      </w:r>
    </w:p>
    <w:p>
      <w:pPr>
        <w:spacing w:after="0" w:line="65"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For securities in an unrealized loss position where a sale is not intended or likely to be required, we further assess if the decline in fair value below amortized cost is driven by a credit related impairment, considering several items including, but not limited to:</w:t>
      </w:r>
    </w:p>
    <w:p>
      <w:pPr>
        <w:spacing w:after="0" w:line="43" w:lineRule="exact"/>
        <w:rPr>
          <w:sz w:val="20"/>
          <w:szCs w:val="20"/>
          <w:color w:val="auto"/>
        </w:rPr>
      </w:pPr>
    </w:p>
    <w:p>
      <w:pPr>
        <w:ind w:left="620" w:hanging="306"/>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of the decline in fair value;</w:t>
      </w:r>
    </w:p>
    <w:p>
      <w:pPr>
        <w:spacing w:after="0" w:line="189"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4"/>
        </w:numPr>
        <w:rPr>
          <w:rFonts w:ascii="Arial" w:cs="Arial" w:eastAsia="Arial" w:hAnsi="Arial"/>
          <w:sz w:val="21"/>
          <w:szCs w:val="21"/>
          <w:color w:val="auto"/>
        </w:rPr>
      </w:pPr>
      <w:r>
        <w:rPr>
          <w:rFonts w:ascii="Times New Roman" w:cs="Times New Roman" w:eastAsia="Times New Roman" w:hAnsi="Times New Roman"/>
          <w:sz w:val="17"/>
          <w:szCs w:val="17"/>
          <w:color w:val="auto"/>
        </w:rPr>
        <w:t>the financial condition of the issuer;</w:t>
      </w:r>
    </w:p>
    <w:p>
      <w:pPr>
        <w:spacing w:after="0" w:line="136" w:lineRule="exact"/>
        <w:rPr>
          <w:rFonts w:ascii="Arial" w:cs="Arial" w:eastAsia="Arial" w:hAnsi="Arial"/>
          <w:sz w:val="21"/>
          <w:szCs w:val="21"/>
          <w:color w:val="auto"/>
        </w:rPr>
      </w:pPr>
    </w:p>
    <w:p>
      <w:pPr>
        <w:ind w:left="620" w:hanging="306"/>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issuer to make scheduled interest or principal payments;</w:t>
      </w:r>
    </w:p>
    <w:p>
      <w:pPr>
        <w:spacing w:after="0" w:line="189"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4"/>
        </w:numPr>
        <w:rPr>
          <w:rFonts w:ascii="Arial" w:cs="Arial" w:eastAsia="Arial" w:hAnsi="Arial"/>
          <w:sz w:val="21"/>
          <w:szCs w:val="21"/>
          <w:color w:val="auto"/>
        </w:rPr>
      </w:pPr>
      <w:r>
        <w:rPr>
          <w:rFonts w:ascii="Times New Roman" w:cs="Times New Roman" w:eastAsia="Times New Roman" w:hAnsi="Times New Roman"/>
          <w:sz w:val="17"/>
          <w:szCs w:val="17"/>
          <w:color w:val="auto"/>
        </w:rPr>
        <w:t>recent rating downgrades of the applicable security or issuer by one or more nationally recognized statistical ratings organization; and</w:t>
      </w:r>
    </w:p>
    <w:p>
      <w:pPr>
        <w:spacing w:after="0" w:line="159" w:lineRule="exact"/>
        <w:rPr>
          <w:rFonts w:ascii="Arial" w:cs="Arial" w:eastAsia="Arial" w:hAnsi="Arial"/>
          <w:sz w:val="21"/>
          <w:szCs w:val="21"/>
          <w:color w:val="auto"/>
        </w:rPr>
      </w:pPr>
    </w:p>
    <w:p>
      <w:pPr>
        <w:ind w:left="620" w:hanging="306"/>
        <w:spacing w:after="0"/>
        <w:tabs>
          <w:tab w:leader="none" w:pos="620" w:val="left"/>
        </w:tabs>
        <w:numPr>
          <w:ilvl w:val="0"/>
          <w:numId w:val="54"/>
        </w:numPr>
        <w:rPr>
          <w:rFonts w:ascii="Arial" w:cs="Arial" w:eastAsia="Arial" w:hAnsi="Arial"/>
          <w:sz w:val="21"/>
          <w:szCs w:val="21"/>
          <w:color w:val="auto"/>
        </w:rPr>
      </w:pPr>
      <w:r>
        <w:rPr>
          <w:rFonts w:ascii="Times New Roman" w:cs="Times New Roman" w:eastAsia="Times New Roman" w:hAnsi="Times New Roman"/>
          <w:sz w:val="17"/>
          <w:szCs w:val="17"/>
          <w:color w:val="auto"/>
        </w:rPr>
        <w:t>other adverse conditions related to or impacting the security or issuer.</w:t>
      </w:r>
    </w:p>
    <w:p>
      <w:pPr>
        <w:spacing w:after="0" w:line="137"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To the extent we determine that a security impairment is credit-related, an impairment loss is recognized through the statement of operations as a provision for credit loss expense, and presented as a "</w:t>
      </w:r>
      <w:r>
        <w:rPr>
          <w:rFonts w:ascii="Times New Roman" w:cs="Times New Roman" w:eastAsia="Times New Roman" w:hAnsi="Times New Roman"/>
          <w:sz w:val="17"/>
          <w:szCs w:val="17"/>
          <w:i w:val="1"/>
          <w:iCs w:val="1"/>
          <w:color w:val="auto"/>
        </w:rPr>
        <w:t>Realized Investment Loss.</w:t>
      </w:r>
      <w:r>
        <w:rPr>
          <w:rFonts w:ascii="Times New Roman" w:cs="Times New Roman" w:eastAsia="Times New Roman" w:hAnsi="Times New Roman"/>
          <w:sz w:val="17"/>
          <w:szCs w:val="17"/>
          <w:color w:val="auto"/>
        </w:rPr>
        <w:t>" We recognize an allowance for credit losses for the difference between the amortized cost and present value of future expected cash flows, limited by the amount the fair value of the security is below its amortized cost. Subsequent changes (favorable and unfavorable) in credit losses are recognized through the statement of operations as a provision for or a reversal of credit loss expense, and presented as a "</w:t>
      </w:r>
      <w:r>
        <w:rPr>
          <w:rFonts w:ascii="Times New Roman" w:cs="Times New Roman" w:eastAsia="Times New Roman" w:hAnsi="Times New Roman"/>
          <w:sz w:val="17"/>
          <w:szCs w:val="17"/>
          <w:i w:val="1"/>
          <w:iCs w:val="1"/>
          <w:color w:val="auto"/>
        </w:rPr>
        <w:t>Realized Investment Gain or Loss.</w:t>
      </w:r>
      <w:r>
        <w:rPr>
          <w:rFonts w:ascii="Times New Roman" w:cs="Times New Roman" w:eastAsia="Times New Roman" w:hAnsi="Times New Roman"/>
          <w:sz w:val="17"/>
          <w:szCs w:val="17"/>
          <w:color w:val="auto"/>
        </w:rPr>
        <w:t>" The portion of a security impairment attributed to other non-credit related factors is recognized in other comprehensive income, net of taxes.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8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have elected to present accrued interest receivable separately from available for sale securities on our consolidated balance sheets. Accrued interest receivable was $19.8 million and $14.1 million as of December 31, 2023 and 2022, respectively, and is included in "</w:t>
      </w:r>
      <w:r>
        <w:rPr>
          <w:rFonts w:ascii="Times New Roman" w:cs="Times New Roman" w:eastAsia="Times New Roman" w:hAnsi="Times New Roman"/>
          <w:sz w:val="17"/>
          <w:szCs w:val="17"/>
          <w:i w:val="1"/>
          <w:iCs w:val="1"/>
          <w:color w:val="auto"/>
        </w:rPr>
        <w:t>Accrued Investment Income.</w:t>
      </w:r>
      <w:r>
        <w:rPr>
          <w:rFonts w:ascii="Times New Roman" w:cs="Times New Roman" w:eastAsia="Times New Roman" w:hAnsi="Times New Roman"/>
          <w:sz w:val="17"/>
          <w:szCs w:val="17"/>
          <w:color w:val="auto"/>
        </w:rPr>
        <w:t>" We have elected not to measure an allowance for credit losses for accrued interest receivable on available for sale securities. Accrued interest for available for sale securities is written off against interest income when the receivable has aged 90 days past due. We did not write off any accrued interest receivable during the years ended December 31, 2023, 2022 or 2021.</w:t>
      </w:r>
    </w:p>
    <w:p>
      <w:pPr>
        <w:spacing w:after="0" w:line="119" w:lineRule="exact"/>
        <w:rPr>
          <w:sz w:val="20"/>
          <w:szCs w:val="20"/>
          <w:color w:val="auto"/>
        </w:rPr>
      </w:pPr>
    </w:p>
    <w:p>
      <w:pPr>
        <w:ind w:left="620" w:right="700"/>
        <w:spacing w:after="0" w:line="444" w:lineRule="auto"/>
        <w:rPr>
          <w:sz w:val="20"/>
          <w:szCs w:val="20"/>
          <w:color w:val="auto"/>
        </w:rPr>
      </w:pPr>
      <w:r>
        <w:rPr>
          <w:rFonts w:ascii="Times New Roman" w:cs="Times New Roman" w:eastAsia="Times New Roman" w:hAnsi="Times New Roman"/>
          <w:sz w:val="17"/>
          <w:szCs w:val="17"/>
          <w:color w:val="auto"/>
        </w:rPr>
        <w:t xml:space="preserve">We consider items such as U.S. Treasury Bills and commercial paper with original maturities of 12 months or less to be short-term investments. </w:t>
      </w:r>
      <w:r>
        <w:rPr>
          <w:rFonts w:ascii="Times New Roman" w:cs="Times New Roman" w:eastAsia="Times New Roman" w:hAnsi="Times New Roman"/>
          <w:sz w:val="17"/>
          <w:szCs w:val="17"/>
          <w:i w:val="1"/>
          <w:iCs w:val="1"/>
          <w:color w:val="auto"/>
        </w:rPr>
        <w:t>Deferred Policy Acquisition Costs (DAC)</w:t>
      </w:r>
    </w:p>
    <w:p>
      <w:pPr>
        <w:spacing w:after="0" w:line="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DAC is amortized to expense in proportion to estimated gross profits over the life of the associated policies. We revise the rate of amortization to reflect actual experience and any changes to persistency or loss development. Total amortization of DAC for the years ended December 31, 2023, 2022 and 2021, net of a portion of the ceding commissions earned under our quota share reinsurance agreements (see "</w:t>
      </w:r>
      <w:r>
        <w:rPr>
          <w:rFonts w:ascii="Times New Roman" w:cs="Times New Roman" w:eastAsia="Times New Roman" w:hAnsi="Times New Roman"/>
          <w:sz w:val="17"/>
          <w:szCs w:val="17"/>
          <w:i w:val="1"/>
          <w:iCs w:val="1"/>
          <w:color w:val="auto"/>
        </w:rPr>
        <w:t>Reinsurance</w:t>
      </w:r>
      <w:r>
        <w:rPr>
          <w:rFonts w:ascii="Times New Roman" w:cs="Times New Roman" w:eastAsia="Times New Roman" w:hAnsi="Times New Roman"/>
          <w:sz w:val="17"/>
          <w:szCs w:val="17"/>
          <w:color w:val="auto"/>
        </w:rPr>
        <w:t>", below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was $3.6 million, $11.9 million and $22.8 million, respectively.</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Premium Deficiency Reserves</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consider whether a premium deficiency exists and a premium deficiency reserve is required at each fiscal quarter using best estimate assumptions as of the testing date. A premium deficiency reserve is established if the net present value of expected future claim costs, claim adjustment expenses, policyholder dividends, unamortized acquisition costs and maintenance costs exceeds the net present value of expected future premiums, anticipated investment income and existing reserves for a specified group of policies. We have determined that no premium deficiency reserves were necessary for any of the years in the three-year period ended December 31, 2023.</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Reinsurance</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cede insurance risk through the use of reinsurance contracts and follow reinsurance accounting for those transactions where significant risk is transferred. We account for premiums, claims and claim expenses that are ceded to reinsurers on basis consistent with that which we use to account for the original policies we issue and pursuant to the terms of our reinsurance contracts. We account for premiums ceded or otherwise paid to reinsurers as a reduction to premium revenue.</w:t>
      </w:r>
    </w:p>
    <w:p>
      <w:pPr>
        <w:spacing w:after="0" w:line="116"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NMIC entered into quota share reinsurance treaties effective September 1, 2016 (the 2016 QSR Transaction), January 1, 2018 (the 2018 QSR Transaction), April 1, 2020 (the 2020 QSR Transaction and, as amended January 1, 2024, the Amended 2020 QSR Transaction), January 1, 2021 (the 2021 QSR Transaction), October 1, 2021 (the 2022 QSR Transaction), July 1, 2022 (the 2022 Seasoned QSR Transaction), and January 1, 2023 (the 2023 QSR Transaction), which we refer to collectively as the QSR Transactions. We earn profit and ceding commissions in connection with the QSR Transactions (see Note 6, "</w:t>
      </w:r>
      <w:r>
        <w:rPr>
          <w:rFonts w:ascii="Times New Roman" w:cs="Times New Roman" w:eastAsia="Times New Roman" w:hAnsi="Times New Roman"/>
          <w:sz w:val="17"/>
          <w:szCs w:val="17"/>
          <w:i w:val="1"/>
          <w:iCs w:val="1"/>
          <w:color w:val="auto"/>
        </w:rPr>
        <w:t>Reinsurance</w:t>
      </w:r>
      <w:r>
        <w:rPr>
          <w:rFonts w:ascii="Times New Roman" w:cs="Times New Roman" w:eastAsia="Times New Roman" w:hAnsi="Times New Roman"/>
          <w:sz w:val="17"/>
          <w:szCs w:val="17"/>
          <w:color w:val="auto"/>
        </w:rPr>
        <w:t>"). Profit commissions represent a percentage of the profits recognized by reinsurers that are returned to us, based on the level of claims and claim expenses that we cede. We recognize any profit commissions we earn as a decrease to ceded earned premiums. Ceding commissions are calculated as a percentage of ceded written premiums under the 2016 QSR Transaction and as a percentage of ceded earned premiums under the 2018, 2020 (and Amended 2020), 2021, 2022, 2022 Seasoned and 2023 QSR Transactions, and are intended to cover our costs of acquiring and servicing direct policies. We recognize any ceding commissions generated under the QSR Transactions in a manner consistent with our recognition of earnings on the underlying reinsured policies. We account for ceding commissions earned as a reduction to underwriting and operating expenses.</w:t>
      </w:r>
    </w:p>
    <w:p>
      <w:pPr>
        <w:spacing w:after="0" w:line="123"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 xml:space="preserve">Under the QSR Transactions, we cede a portion of claims and claim expenses and reserves to our reinsurers, and account for such ceded reserves as </w:t>
      </w:r>
      <w:r>
        <w:rPr>
          <w:rFonts w:ascii="Times New Roman" w:cs="Times New Roman" w:eastAsia="Times New Roman" w:hAnsi="Times New Roman"/>
          <w:sz w:val="17"/>
          <w:szCs w:val="17"/>
          <w:i w:val="1"/>
          <w:iCs w:val="1"/>
          <w:color w:val="auto"/>
        </w:rPr>
        <w:t xml:space="preserve">"Reinsurance Recoverables" </w:t>
      </w:r>
      <w:r>
        <w:rPr>
          <w:rFonts w:ascii="Times New Roman" w:cs="Times New Roman" w:eastAsia="Times New Roman" w:hAnsi="Times New Roman"/>
          <w:sz w:val="17"/>
          <w:szCs w:val="17"/>
          <w:color w:val="auto"/>
        </w:rPr>
        <w:t>on the consolidated balance sheets and such ceded expenses as reductions to claims and claim expenses on the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of operations. As of December 31, 2023 and 2022, we had $27.5 million and $21.6 million, respectively, of reinsurance recoverables under the QSR Transactions. We remain directly liable for all claim payments if we are unable to collect the recoverables due from our reinsurers and, as such, we actively monitor and manage our counterparty credit exposure to our reinsurance providers. We establish an allowance for expected credit loss against our reinsurance recoverables if we do not expect to recover amounts due from one or more of our reinsurance counterparties, and report our reinsurance recoverables net of such allowance, if any. We actively monitor the counterparty credit profiles of our reinsurers and each is required to partially collateralize its obligations under the terms of our QSR Transactions. The allowance for credit loss established with respect to our reinsurance recoverables was deemed immaterial 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Variable Interest Entities</w:t>
      </w:r>
    </w:p>
    <w:p>
      <w:pPr>
        <w:spacing w:after="0" w:line="169"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 xml:space="preserve">NMIC is a party to excess-of-loss reinsurance agreements with Oaktown Re III Ltd., Oaktown Re V Ltd., Oaktown Re VI Ltd., and Oaktown Re VII Ltd. (special purpose reinsurance entities collectively referred to as the Oaktown Re Vehicles) effective July 30, 2019, October 29, 2020, April 27, 2021, and October 26, 2021, respectively. At inception of the respective reinsurance agreements, we determined that each of the Oaktown Re Vehicles was a variable interest entity (VIE), as defined under GAAP Accounting Standards Codification (ASC) 810, because they did not have sufficient equity at risk to finance their respective activities. We evaluated the VIEs at inception to determine whether NMIC was the primary beneficiary under each deal and, if so, whether we were required to consolidate the assets and liabilities of each VIE. The primary beneficiary of a VIE is an enterprise that (1) has the power to direct the activities of the VIE, which most significantly impact its economic performance and (2) has significant economic exposure to the VIE,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obligation to absorb losses or receive benefits that could potentially be significant. The determination of whether an entity is the primary 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 We concluded that we are not the primary beneficiary of each VIE and, as such, we do not consolidate them in our consolidated financial statements.</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6, "</w:t>
      </w:r>
      <w:r>
        <w:rPr>
          <w:rFonts w:ascii="Times New Roman" w:cs="Times New Roman" w:eastAsia="Times New Roman" w:hAnsi="Times New Roman"/>
          <w:sz w:val="17"/>
          <w:szCs w:val="17"/>
          <w:i w:val="1"/>
          <w:iCs w:val="1"/>
          <w:color w:val="auto"/>
        </w:rPr>
        <w:t>Reinsurance</w:t>
      </w:r>
      <w:r>
        <w:rPr>
          <w:rFonts w:ascii="Times New Roman" w:cs="Times New Roman" w:eastAsia="Times New Roman" w:hAnsi="Times New Roman"/>
          <w:sz w:val="17"/>
          <w:szCs w:val="17"/>
          <w:color w:val="auto"/>
        </w:rPr>
        <w:t>" for further discussion of the reinsurance arrangements.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16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 xml:space="preserve">We account for income taxes using the liability method in accordance with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statements of operations.</w:t>
      </w:r>
    </w:p>
    <w:p>
      <w:pPr>
        <w:spacing w:after="0" w:line="121" w:lineRule="exact"/>
        <w:rPr>
          <w:sz w:val="20"/>
          <w:szCs w:val="20"/>
          <w:color w:val="auto"/>
        </w:rPr>
      </w:pPr>
    </w:p>
    <w:p>
      <w:pPr>
        <w:jc w:val="both"/>
        <w:ind w:firstLine="621"/>
        <w:spacing w:after="0" w:line="283" w:lineRule="auto"/>
        <w:rPr>
          <w:sz w:val="20"/>
          <w:szCs w:val="20"/>
          <w:color w:val="auto"/>
        </w:rPr>
      </w:pPr>
      <w:r>
        <w:rPr>
          <w:rFonts w:ascii="Times New Roman" w:cs="Times New Roman" w:eastAsia="Times New Roman" w:hAnsi="Times New Roman"/>
          <w:sz w:val="17"/>
          <w:szCs w:val="17"/>
          <w:color w:val="auto"/>
        </w:rPr>
        <w:t>We purchase non-interest bearing U.S. Mortgage Guaranty Tax and Loss Bonds issued by the Treasury Department in order to claim a tax deduction for our contingency reserve balance. The tax and loss bonds are carried at cost and are reported as "</w:t>
      </w:r>
      <w:r>
        <w:rPr>
          <w:rFonts w:ascii="Times New Roman" w:cs="Times New Roman" w:eastAsia="Times New Roman" w:hAnsi="Times New Roman"/>
          <w:sz w:val="17"/>
          <w:szCs w:val="17"/>
          <w:i w:val="1"/>
          <w:iCs w:val="1"/>
          <w:color w:val="auto"/>
        </w:rPr>
        <w:t>Prepaid Federal Income Taxes</w:t>
      </w:r>
      <w:r>
        <w:rPr>
          <w:rFonts w:ascii="Times New Roman" w:cs="Times New Roman" w:eastAsia="Times New Roman" w:hAnsi="Times New Roman"/>
          <w:sz w:val="17"/>
          <w:szCs w:val="17"/>
          <w:color w:val="auto"/>
        </w:rPr>
        <w:t>" on the consolidated balance sheets.</w:t>
      </w:r>
    </w:p>
    <w:p>
      <w:pPr>
        <w:spacing w:after="0" w:line="3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for further discussion of the tax and loss bonds and other income tax matters.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Share-Based Compensation</w:t>
      </w:r>
    </w:p>
    <w:p>
      <w:pPr>
        <w:spacing w:after="0" w:line="167"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 xml:space="preserve">We account for stock compensation in accordance with ASC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which addresses accounting for share-based awards and recognition of compensation expense, measured using grant date fair value, over the requisite service or performance period of the award. Share-based compensation includes restricted stock units (RSUs) and stock option grants under our stock incentive plans. We calculate the fair value of stock option grants using a Black-Scholes option pricing model, which takes into account various subjective assumptions. Key assumptions used in the model include the expected volatility of our stock price, dividend yield and the risk-free interest rate, as well as the expected option term, giving consideration to the contractual terms of any award. We use the simplified method to estimate expected option term during the period as sufficient historical exercise data is not available. RSU grants may contain a service condition, or performance and service conditions. RSU grants are valued at our stock price on the date of grant less the present value of anticipated dividends, and we recognize their fair value as compensation expense over their requisite service or performance and service periods. We account for stock option and RSU forfeitures as they occur. Share-based compensation is recorded in </w:t>
      </w:r>
      <w:r>
        <w:rPr>
          <w:rFonts w:ascii="Times New Roman" w:cs="Times New Roman" w:eastAsia="Times New Roman" w:hAnsi="Times New Roman"/>
          <w:sz w:val="17"/>
          <w:szCs w:val="17"/>
          <w:i w:val="1"/>
          <w:iCs w:val="1"/>
          <w:color w:val="auto"/>
        </w:rPr>
        <w:t>“Underwriting and Operating Expenses”</w:t>
      </w:r>
      <w:r>
        <w:rPr>
          <w:rFonts w:ascii="Times New Roman" w:cs="Times New Roman" w:eastAsia="Times New Roman" w:hAnsi="Times New Roman"/>
          <w:sz w:val="17"/>
          <w:szCs w:val="17"/>
          <w:color w:val="auto"/>
        </w:rPr>
        <w:t xml:space="preserve"> on the consolidated statements of operations and comprehensive income.</w:t>
      </w:r>
    </w:p>
    <w:p>
      <w:pPr>
        <w:spacing w:after="0" w:line="3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Earnings Per Share (EPS)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Basic earnings per share is based on the weighted average number of common shares outstanding. Diluted earnings per share is based on the weighted average number of common shares outstanding and common share equivalents that would be issuable upon the vesting of existing service-based and certain performance and service-based RSUs, and exercise of vested and unvested stock options and outstanding warrants. Common share equivalents are excluded from EPS computations in the periods in which they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Share Repurchases</w:t>
      </w:r>
    </w:p>
    <w:p>
      <w:pPr>
        <w:spacing w:after="0" w:line="167" w:lineRule="exact"/>
        <w:rPr>
          <w:sz w:val="20"/>
          <w:szCs w:val="20"/>
          <w:color w:val="auto"/>
        </w:rPr>
      </w:pPr>
    </w:p>
    <w:p>
      <w:pPr>
        <w:jc w:val="both"/>
        <w:ind w:left="120" w:firstLine="466"/>
        <w:spacing w:after="0" w:line="273" w:lineRule="auto"/>
        <w:rPr>
          <w:sz w:val="20"/>
          <w:szCs w:val="20"/>
          <w:color w:val="auto"/>
        </w:rPr>
      </w:pPr>
      <w:r>
        <w:rPr>
          <w:rFonts w:ascii="Times New Roman" w:cs="Times New Roman" w:eastAsia="Times New Roman" w:hAnsi="Times New Roman"/>
          <w:sz w:val="17"/>
          <w:szCs w:val="17"/>
          <w:color w:val="auto"/>
        </w:rPr>
        <w:t>Common stock repurchases are recorded at cost and presented as “</w:t>
      </w:r>
      <w:r>
        <w:rPr>
          <w:rFonts w:ascii="Times New Roman" w:cs="Times New Roman" w:eastAsia="Times New Roman" w:hAnsi="Times New Roman"/>
          <w:sz w:val="17"/>
          <w:szCs w:val="17"/>
          <w:i w:val="1"/>
          <w:iCs w:val="1"/>
          <w:color w:val="auto"/>
        </w:rPr>
        <w:t>Treasury Stock</w:t>
      </w:r>
      <w:r>
        <w:rPr>
          <w:rFonts w:ascii="Times New Roman" w:cs="Times New Roman" w:eastAsia="Times New Roman" w:hAnsi="Times New Roman"/>
          <w:sz w:val="17"/>
          <w:szCs w:val="17"/>
          <w:color w:val="auto"/>
        </w:rPr>
        <w:t>” on the consolidated balance sheets and statements of changes in shareholders’ equity. At the date of repurchase, shareholders’ equity is reduced by the aggregate repurchase price plus commissions, applicable taxes and other expenses that arise from the repurchase transaction.</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consider items such as U.S. Treasury Bills, certificates of deposit and money market funds with original maturities of 90 days or less to be cash equivalents.</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Software and Equipment</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capitalize certain costs associated with the development of internal-use software and equipment. Software and equipment are stated at cost, less accumulated amortization and depreciation. Amortization of software and depreciation of equipment commences at the beginning of the month following our placement of the assets into use. Amortization and depreciation are calculated on a straight-line basis over the estimated useful life of the respective assets, typically from three to five years, unless factors indicate a shorter useful life. We amortize leasehold improvements over the shorter of the lives of the leases or estimated service lives of the leasehold improvements. Amortization and depreciation expense is recorded in “</w:t>
      </w:r>
      <w:r>
        <w:rPr>
          <w:rFonts w:ascii="Times New Roman" w:cs="Times New Roman" w:eastAsia="Times New Roman" w:hAnsi="Times New Roman"/>
          <w:sz w:val="17"/>
          <w:szCs w:val="17"/>
          <w:i w:val="1"/>
          <w:iCs w:val="1"/>
          <w:color w:val="auto"/>
        </w:rPr>
        <w:t>Underwriting and Operating Expenses</w:t>
      </w:r>
      <w:r>
        <w:rPr>
          <w:rFonts w:ascii="Times New Roman" w:cs="Times New Roman" w:eastAsia="Times New Roman" w:hAnsi="Times New Roman"/>
          <w:sz w:val="17"/>
          <w:szCs w:val="17"/>
          <w:color w:val="auto"/>
        </w:rPr>
        <w:t>” on the consolidated statements of operations and comprehensive income. For further detail, see Note 11, “</w:t>
      </w:r>
      <w:r>
        <w:rPr>
          <w:rFonts w:ascii="Times New Roman" w:cs="Times New Roman" w:eastAsia="Times New Roman" w:hAnsi="Times New Roman"/>
          <w:sz w:val="17"/>
          <w:szCs w:val="17"/>
          <w:i w:val="1"/>
          <w:iCs w:val="1"/>
          <w:color w:val="auto"/>
        </w:rPr>
        <w:t>Software and Equipment.</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recognize right-of-use (ROU) assets and corresponding lease liabilities for our lease arrangements. Lease liabilities are established based on the estimated present value of lease payments over the relevant lease term. We estimate a discount rate for each lease based on our estimated incremental borrowing rate at the commencement date of the relevant lease, taking into consideration the cost of any outstanding collateralized borrowings we have at such time with adjustment for the terms of the lease agreement, and prevailing market conditions and macroeconomic factors at the time of its commencement. ROU assets are measured as the associated lease liability plus any direct costs incurred in connection with the initial establishment of the lease, less any lease incentives received.</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Business Combinations, Goodwill and Intangible Assets</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 xml:space="preserve">Goodwill represents the excess of the purchase price over the estimated fair value of net assets acquired from a business combination. In accordance with ASC 350, </w:t>
      </w:r>
      <w:r>
        <w:rPr>
          <w:rFonts w:ascii="Times New Roman" w:cs="Times New Roman" w:eastAsia="Times New Roman" w:hAnsi="Times New Roman"/>
          <w:sz w:val="17"/>
          <w:szCs w:val="17"/>
          <w:i w:val="1"/>
          <w:iCs w:val="1"/>
          <w:color w:val="auto"/>
        </w:rPr>
        <w:t>Intangibles – Goodwill and Other</w:t>
      </w:r>
      <w:r>
        <w:rPr>
          <w:rFonts w:ascii="Times New Roman" w:cs="Times New Roman" w:eastAsia="Times New Roman" w:hAnsi="Times New Roman"/>
          <w:sz w:val="17"/>
          <w:szCs w:val="17"/>
          <w:color w:val="auto"/>
        </w:rPr>
        <w:t>, we test goodwill for impairment annually or more frequently if we believe indicators of impairment exist. We have not identified any impairments of goodwill through December 31, 2023.</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intangible assets consist of state licenses and Fannie Mae and Freddie Mac (collectively, the GSEs) applications which have indefinite lives. We test indefinite-lived intangible assets for impairment annually or more frequently if we believe indicators of impairment exist. We have not identified any impairments of indefinite-lived intangible assets through December 31, 2023.</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Premiums Receivable</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receivables was deemed immaterial at December 31, 2023 and 2022.</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Premiums receivable may be written off prior to 120 days in the ordinary course of business for non-credit events including, but not limited to, the modification or refinancing of an underlying insured loan. We established a $2.7 million and $2.3 million reserve for premium write-offs at December 31, 2023 and 2022, respectively.</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Revenues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revenues represent underwriting fee revenue from our subsidiary, NMIS, which provides outsourced loan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services to mortgage loan originators. NMIS fees are earned and recognized as services are provided.</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Recent Accounting Pronouncements – Adopted</w:t>
      </w:r>
    </w:p>
    <w:p>
      <w:pPr>
        <w:spacing w:after="0" w:line="167"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 xml:space="preserve">In August 2018, the Financial Accounting Standards Board (FASB) issued ASU 2018-12, </w:t>
      </w:r>
      <w:r>
        <w:rPr>
          <w:rFonts w:ascii="Times New Roman" w:cs="Times New Roman" w:eastAsia="Times New Roman" w:hAnsi="Times New Roman"/>
          <w:sz w:val="17"/>
          <w:szCs w:val="17"/>
          <w:i w:val="1"/>
          <w:iCs w:val="1"/>
          <w:color w:val="auto"/>
        </w:rPr>
        <w:t>Targeted Improvements to the Accounting for Long-Duration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Contracts </w:t>
      </w:r>
      <w:r>
        <w:rPr>
          <w:rFonts w:ascii="Times New Roman" w:cs="Times New Roman" w:eastAsia="Times New Roman" w:hAnsi="Times New Roman"/>
          <w:sz w:val="17"/>
          <w:szCs w:val="17"/>
          <w:color w:val="auto"/>
        </w:rPr>
        <w:t>(Topic 944). The update provides guidance to the existing recognition, measurement, presentation and disclosure requirements for long-duration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contracts issued by an insurance entity. The FASB subsequently issued ASU 2019-09 in November 2019 and ASU 2020-11 in November 2020, which amended the effective date for this standard and provided transition relief to facilitate early application for long duration contracts. The standard will now take effect for public business entities for fiscal years, and interim periods within those fiscal years, beginning after December 15, 2022. We adopted this ASU on January 1, 2023 and determined it did not have a material impact on our consolidated financial statements as none of our contracts were within scope of the update.</w:t>
      </w:r>
    </w:p>
    <w:p>
      <w:pPr>
        <w:spacing w:after="0" w:line="13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In March 2020, the FASB issued ASU 2020-04, Reference Rate Reform (Topic 848). The update provides optional guidance to ease the potential burden in accounting for reference rate reform on financial reporting. Reference rate reform refers to the global transition away from referencing the London Interbank Offered Rate (LIBOR) in financial contracts. Topic 848 includes optional expedients and exceptions for applying GAAP to contracts, hedging relationships and other transactions affected by reference rate reform if certain criteria are met. This standard may be elected and applied prospectively over time from March 12, 2020 through December 31, 2022 as reference rate reform activities occur. In December 2022, the FASB issued ASU 2022-06, which extended the sunset date of Topic 848 from December 31, 2022 to December 31, 2024. We adopted Topic 848 on September 30, 2023 and determined it did not have a material impact on our consolidated financial statements.</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Recent Accounting Pronouncements – Not yet Adopted</w:t>
      </w:r>
    </w:p>
    <w:p>
      <w:pPr>
        <w:spacing w:after="0" w:line="193"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The update expands annual and interim disclosure requirements for reportable segments, primarily through enhanced disclosures about significant segment expenses. The standard will take effect for all public business entities, including those that have only a single reportable segment for fiscal years beginning after December 15, 2023. We are currently evaluating the impact the adoption of this ASU will have, if any, on our consolidated financial statements.</w:t>
      </w:r>
    </w:p>
    <w:p>
      <w:pPr>
        <w:spacing w:after="0" w:line="12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The update enhances the disclosure requirements related to tax rate reconciliations and income taxes paid. The standard will take effect for public business entities for fiscal years beginning after December 15, 2025. Early adoption is permitted. We are currently evaluating the impact the adoption of this ASU will have, if any, on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Investments</w:t>
      </w:r>
    </w:p>
    <w:p>
      <w:pPr>
        <w:spacing w:after="0" w:line="16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hold all investments on an available-for-sale basis at fair value on our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consolidated statements of operations and comprehensive income as a “Net Realized Investment Loss.”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Fair Values and Gross Unrealized Gains and Losses on Investments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Pr>
          <w:p>
            <w:pPr>
              <w:spacing w:after="0"/>
              <w:rPr>
                <w:sz w:val="15"/>
                <w:szCs w:val="15"/>
                <w:color w:val="auto"/>
              </w:rPr>
            </w:pPr>
          </w:p>
        </w:tc>
        <w:tc>
          <w:tcPr>
            <w:tcW w:w="2000" w:type="dxa"/>
            <w:vAlign w:val="bottom"/>
            <w:gridSpan w:val="3"/>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23"/>
        </w:trPr>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164,278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166,388</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678,339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621,130</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1,511,479</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48,211</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2,519,046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2,347,208</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23,813</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2,542,862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(184,339)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2,371,021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Pr>
          <w:p>
            <w:pPr>
              <w:spacing w:after="0"/>
              <w:rPr>
                <w:sz w:val="24"/>
                <w:szCs w:val="24"/>
                <w:color w:val="auto"/>
              </w:rPr>
            </w:pPr>
          </w:p>
        </w:tc>
        <w:tc>
          <w:tcPr>
            <w:tcW w:w="2000" w:type="dxa"/>
            <w:vAlign w:val="bottom"/>
            <w:gridSpan w:val="3"/>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23"/>
        </w:trPr>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79,932</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563,972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483,176</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1,457,589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1,293,642</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68,558</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2,178,624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(254,465)</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1,925,308</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174,123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174,081</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2,352,747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(254,692)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2,099,389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did not own any mortgage-backed securities in our asset-backed securities portfolio at December 31, 2023 or 2022.</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a breakdown of the fair value of our corporate debt securities by issuer industry group as of December 31, 2023 and 2022:</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500" w:type="dxa"/>
            <w:vAlign w:val="bottom"/>
          </w:tcPr>
          <w:p>
            <w:pPr>
              <w:spacing w:after="0"/>
              <w:rPr>
                <w:sz w:val="15"/>
                <w:szCs w:val="15"/>
                <w:color w:val="auto"/>
              </w:rPr>
            </w:pP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5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1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r>
      <w:tr>
        <w:trPr>
          <w:trHeight w:val="220"/>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18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18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Utilities</w:t>
            </w:r>
          </w:p>
        </w:tc>
        <w:tc>
          <w:tcPr>
            <w:tcW w:w="1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Industrial</w:t>
            </w:r>
          </w:p>
        </w:tc>
        <w:tc>
          <w:tcPr>
            <w:tcW w:w="18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18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1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18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8</w:t>
            </w:r>
          </w:p>
        </w:tc>
      </w:tr>
      <w:tr>
        <w:trPr>
          <w:trHeight w:val="2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2023 and 2022, approximately $5.3 million and $5.4 million, respectively, of our cash and investments were held in the form of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Treasury securities on deposit with various state insurance departments to satisfy regulatory requirements.</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Scheduled Maturities</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amortized cost and fair value of available-for-sale securities as of December 31, 2023 and 2022,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13"/>
                <w:szCs w:val="13"/>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Pr>
          <w:p>
            <w:pPr>
              <w:spacing w:after="0"/>
              <w:rPr>
                <w:sz w:val="13"/>
                <w:szCs w:val="13"/>
                <w:color w:val="auto"/>
              </w:rPr>
            </w:pPr>
          </w:p>
        </w:tc>
        <w:tc>
          <w:tcPr>
            <w:tcW w:w="1200" w:type="dxa"/>
            <w:vAlign w:val="bottom"/>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191,375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189,729</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1,237,192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1,162,259</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1,050,989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959,633</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11,189</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52,242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48,211</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2,542,862</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2,371,021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32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Pr>
          <w:p>
            <w:pPr>
              <w:spacing w:after="0"/>
              <w:rPr>
                <w:sz w:val="24"/>
                <w:szCs w:val="24"/>
                <w:color w:val="auto"/>
              </w:rPr>
            </w:pPr>
          </w:p>
        </w:tc>
        <w:tc>
          <w:tcPr>
            <w:tcW w:w="1200" w:type="dxa"/>
            <w:vAlign w:val="bottom"/>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271,613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270,428</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935,615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862,747</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1,047,461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875,947</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23,296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21,709</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74,762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68,558</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2,352,747</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2,099,389</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Aging of Unrealized Losses</w:t>
      </w:r>
    </w:p>
    <w:p>
      <w:pPr>
        <w:spacing w:after="0" w:line="169" w:lineRule="exact"/>
        <w:rPr>
          <w:sz w:val="20"/>
          <w:szCs w:val="20"/>
          <w:color w:val="auto"/>
        </w:rPr>
      </w:pPr>
    </w:p>
    <w:p>
      <w:pPr>
        <w:jc w:val="both"/>
        <w:ind w:firstLine="188"/>
        <w:spacing w:after="0" w:line="266" w:lineRule="auto"/>
        <w:rPr>
          <w:sz w:val="20"/>
          <w:szCs w:val="20"/>
          <w:color w:val="auto"/>
        </w:rPr>
      </w:pPr>
      <w:r>
        <w:rPr>
          <w:rFonts w:ascii="Times New Roman" w:cs="Times New Roman" w:eastAsia="Times New Roman" w:hAnsi="Times New Roman"/>
          <w:sz w:val="17"/>
          <w:szCs w:val="17"/>
          <w:color w:val="auto"/>
        </w:rPr>
        <w:t>As of December 31, 2023, the investment portfolio had gross unrealized losses of $184.3 million, of which $183.1 million were associated with securities that had been in an unrealized loss position for a period of twelve months or longer. As of December 31, 2022, the investment portfolio had gross unrealized losses of $254.7 million, of which $218.5 million were associated with securities that had been in an unrealized loss position for a period of twelve months or longer. For those securities in an unrealized loss position, the length of time the securities were in such a position is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288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4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800" w:type="dxa"/>
            <w:vAlign w:val="bottom"/>
            <w:tcBorders>
              <w:top w:val="single" w:sz="8" w:color="auto"/>
            </w:tcBorders>
          </w:tcPr>
          <w:p>
            <w:pPr>
              <w:jc w:val="right"/>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8"/>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820" w:type="dxa"/>
            <w:vAlign w:val="bottom"/>
            <w:tcBorders>
              <w:top w:val="single" w:sz="8" w:color="auto"/>
            </w:tcBorders>
          </w:tcPr>
          <w:p>
            <w:pPr>
              <w:jc w:val="right"/>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8"/>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820" w:type="dxa"/>
            <w:vAlign w:val="bottom"/>
            <w:tcBorders>
              <w:top w:val="single" w:sz="8" w:color="auto"/>
            </w:tcBorders>
          </w:tcPr>
          <w:p>
            <w:pPr>
              <w:jc w:val="right"/>
              <w:ind w:right="218"/>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18"/>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8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8"/>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w w:val="98"/>
              </w:rPr>
              <w:t>($ In Thousands)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U.S. Treasury securities and</w:t>
            </w: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obligations of U.S. government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72,003</w:t>
            </w:r>
          </w:p>
        </w:tc>
        <w:tc>
          <w:tcPr>
            <w:tcW w:w="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77,025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agencies</w:t>
            </w:r>
          </w:p>
        </w:tc>
        <w:tc>
          <w:tcPr>
            <w:tcW w:w="80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56,280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467,098</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(57,960)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523,378</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(58,462)</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56,039</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1,150,662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(119,871)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1,206,701</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(120,576)</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47,426</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47,426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9,925</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9,925</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127,266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1,737,189</w:t>
            </w: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(183,065)</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1,864,455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(184,339)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288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2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800" w:type="dxa"/>
            <w:vAlign w:val="bottom"/>
            <w:tcBorders>
              <w:top w:val="single" w:sz="8" w:color="auto"/>
            </w:tcBorders>
          </w:tcPr>
          <w:p>
            <w:pPr>
              <w:jc w:val="right"/>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8"/>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80" w:type="dxa"/>
            <w:vAlign w:val="bottom"/>
          </w:tcPr>
          <w:p>
            <w:pPr>
              <w:spacing w:after="0"/>
              <w:rPr>
                <w:sz w:val="10"/>
                <w:szCs w:val="10"/>
                <w:color w:val="auto"/>
              </w:rPr>
            </w:pPr>
          </w:p>
        </w:tc>
        <w:tc>
          <w:tcPr>
            <w:tcW w:w="820" w:type="dxa"/>
            <w:vAlign w:val="bottom"/>
            <w:tcBorders>
              <w:top w:val="single" w:sz="8" w:color="auto"/>
            </w:tcBorders>
          </w:tcPr>
          <w:p>
            <w:pPr>
              <w:jc w:val="right"/>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78"/>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198"/>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8"/>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8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8"/>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w w:val="98"/>
              </w:rPr>
              <w:t>($ In Thousands)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U.S. Treasury securities and</w:t>
            </w: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obligations of U.S. government</w:t>
            </w: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143,097</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(12,942)</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340,079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(67,854)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483,176</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(80,796)</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434,174</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790,537</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(145,397)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1,224,711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(165,096)</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13,527</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55,031</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68,558</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(6,204)</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104,236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104,236</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772,198</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(36,225)</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1,188,415</w:t>
            </w: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(218,467)</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1,960,613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(254,692)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Allowance for Credit Losses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2023 and 2022, we did not recognize an allowance for credit loss for any security in the investment portfolio and we did not record any provision for credit loss for investment securities during the years ended December 31, 2023 or 2022.</w:t>
      </w:r>
    </w:p>
    <w:p>
      <w:pPr>
        <w:spacing w:after="0" w:line="95"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evaluated the securities in an unrealized loss position as of December 31, 2023, assessing their credit ratings as well as any adverse conditions specifically related to the security. Based upon our assessment of the amount and timing of cash flows to be collected over the remaining life of each instrument, we believe the unrealized losses as of December 31, 2023 are not indicative of the ultimate collectability of the current amortized cost of the securities. Rather, the unrealized losses on securities held as of December 31, 2023 were primarily driven by fluctuations in interest rates, and to a lesser extent, movements in credit spreads following the purchase of those securities.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Net Investment Income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components of net investment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980" w:type="dxa"/>
            <w:vAlign w:val="bottom"/>
            <w:gridSpan w:val="6"/>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Investment income </w:t>
            </w:r>
            <w:r>
              <w:rPr>
                <w:rFonts w:ascii="Times New Roman" w:cs="Times New Roman" w:eastAsia="Times New Roman" w:hAnsi="Times New Roman"/>
                <w:sz w:val="22"/>
                <w:szCs w:val="22"/>
                <w:color w:val="auto"/>
                <w:vertAlign w:val="superscript"/>
              </w:rPr>
              <w:t>(1)</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47,720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39,385</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Investment expenses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(1,314)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(1,313)</w:t>
            </w: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investment income</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46,406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38,072</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20" w:right="40" w:hanging="317"/>
        <w:spacing w:after="0" w:line="258" w:lineRule="auto"/>
        <w:tabs>
          <w:tab w:leader="none" w:pos="30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income recognized on cash and cash equivalents of $2.3 million and $0.4 million for the years ended December 31, 2023 and 2022, respectively. Interest income recognized on cash and cash equivalents was de minimis for the year ended December 31, 2021.</w:t>
      </w:r>
    </w:p>
    <w:p>
      <w:pPr>
        <w:spacing w:after="0" w:line="200" w:lineRule="exact"/>
        <w:rPr>
          <w:sz w:val="20"/>
          <w:szCs w:val="20"/>
          <w:color w:val="auto"/>
        </w:rPr>
      </w:pPr>
    </w:p>
    <w:p>
      <w:pPr>
        <w:spacing w:after="0" w:line="2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components of net realized investment (losses) gains: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80" w:type="dxa"/>
            <w:vAlign w:val="bottom"/>
            <w:gridSpan w:val="6"/>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320" w:type="dxa"/>
            <w:vAlign w:val="bottom"/>
          </w:tcPr>
          <w:p>
            <w:pPr>
              <w:spacing w:after="0"/>
              <w:rPr>
                <w:sz w:val="15"/>
                <w:szCs w:val="15"/>
                <w:color w:val="auto"/>
              </w:rPr>
            </w:pPr>
          </w:p>
        </w:tc>
      </w:tr>
      <w:tr>
        <w:trPr>
          <w:trHeight w:val="23"/>
        </w:trPr>
        <w:tc>
          <w:tcPr>
            <w:tcW w:w="58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860" w:type="dxa"/>
            <w:vAlign w:val="bottom"/>
          </w:tcPr>
          <w:p>
            <w:pPr>
              <w:spacing w:after="0"/>
              <w:rPr>
                <w:sz w:val="15"/>
                <w:szCs w:val="15"/>
                <w:color w:val="auto"/>
              </w:rPr>
            </w:pP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realized investment gains</w:t>
            </w: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r>
      <w:tr>
        <w:trPr>
          <w:trHeight w:val="22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Gross realized investment losses</w:t>
            </w:r>
          </w:p>
        </w:tc>
        <w:tc>
          <w:tcPr>
            <w:tcW w:w="1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7"/>
                <w:szCs w:val="17"/>
                <w:color w:val="auto"/>
                <w:w w:val="98"/>
              </w:rPr>
              <w:t>(33)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investment (losses) gains</w:t>
            </w:r>
          </w:p>
        </w:tc>
        <w:tc>
          <w:tcPr>
            <w:tcW w:w="1200" w:type="dxa"/>
            <w:vAlign w:val="bottom"/>
            <w:tcBorders>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w w:val="98"/>
              </w:rPr>
              <w:t>(33)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Fair Value of Financial Instruments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describes the valuation techniques used by us to determine the fair value of our financial instruments:</w:t>
      </w:r>
    </w:p>
    <w:p>
      <w:pPr>
        <w:spacing w:after="0" w:line="167"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60" w:lineRule="exact"/>
        <w:rPr>
          <w:sz w:val="20"/>
          <w:szCs w:val="20"/>
          <w:color w:val="auto"/>
        </w:rPr>
      </w:pPr>
    </w:p>
    <w:p>
      <w:pPr>
        <w:jc w:val="both"/>
        <w:ind w:left="620"/>
        <w:spacing w:after="0" w:line="291" w:lineRule="auto"/>
        <w:rPr>
          <w:sz w:val="20"/>
          <w:szCs w:val="20"/>
          <w:color w:val="auto"/>
        </w:rPr>
      </w:pPr>
      <w:r>
        <w:rPr>
          <w:rFonts w:ascii="Times New Roman" w:cs="Times New Roman" w:eastAsia="Times New Roman" w:hAnsi="Times New Roman"/>
          <w:sz w:val="17"/>
          <w:szCs w:val="17"/>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43"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65"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Assets classified as Level 1 and Level 2</w:t>
      </w:r>
    </w:p>
    <w:p>
      <w:pPr>
        <w:spacing w:after="0" w:line="169"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the level within the fair value hierarchy at which our financial instruments were measured: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Measurements Using</w:t>
            </w: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0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01"/>
              <w:spacing w:after="0" w:line="124"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4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341"/>
              <w:spacing w:after="0" w:line="124"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1"/>
              <w:spacing w:after="0" w:line="141"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2"/>
          </w:tcPr>
          <w:p>
            <w:pPr>
              <w:jc w:val="center"/>
              <w:ind w:right="5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1"/>
              <w:spacing w:after="0" w:line="143"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420" w:type="dxa"/>
            <w:vAlign w:val="bottom"/>
          </w:tcPr>
          <w:p>
            <w:pPr>
              <w:spacing w:after="0"/>
              <w:rPr>
                <w:sz w:val="12"/>
                <w:szCs w:val="12"/>
                <w:color w:val="auto"/>
              </w:rPr>
            </w:pPr>
          </w:p>
        </w:tc>
        <w:tc>
          <w:tcPr>
            <w:tcW w:w="1420" w:type="dxa"/>
            <w:vAlign w:val="bottom"/>
            <w:gridSpan w:val="2"/>
          </w:tcPr>
          <w:p>
            <w:pPr>
              <w:jc w:val="center"/>
              <w:ind w:right="540"/>
              <w:spacing w:after="0" w:line="143"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14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166,388</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166,388</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621,130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621,130</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1,511,479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1,511,479</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48,211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48,211</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120,502</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286,890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2,180,820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2,467,710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Measurements Using</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01"/>
              <w:spacing w:after="0" w:line="123"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4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341"/>
              <w:spacing w:after="0" w:line="123"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1"/>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2"/>
          </w:tcPr>
          <w:p>
            <w:pPr>
              <w:jc w:val="center"/>
              <w:ind w:right="540"/>
              <w:spacing w:after="0" w:line="143"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21"/>
              <w:spacing w:after="0" w:line="131"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1"/>
                <w:szCs w:val="11"/>
                <w:color w:val="auto"/>
              </w:rPr>
            </w:pPr>
          </w:p>
        </w:tc>
        <w:tc>
          <w:tcPr>
            <w:tcW w:w="14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420" w:type="dxa"/>
            <w:vAlign w:val="bottom"/>
          </w:tcPr>
          <w:p>
            <w:pPr>
              <w:spacing w:after="0"/>
              <w:rPr>
                <w:sz w:val="15"/>
                <w:szCs w:val="15"/>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3"/>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79,932</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79,932</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483,176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483,176</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1,293,642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1,293,642</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68,558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68,558</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218,507</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298,439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1,845,376</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2,143,815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620" w:right="1480"/>
        <w:spacing w:after="0" w:line="444" w:lineRule="auto"/>
        <w:rPr>
          <w:sz w:val="20"/>
          <w:szCs w:val="20"/>
          <w:color w:val="auto"/>
        </w:rPr>
      </w:pPr>
      <w:r>
        <w:rPr>
          <w:rFonts w:ascii="Times New Roman" w:cs="Times New Roman" w:eastAsia="Times New Roman" w:hAnsi="Times New Roman"/>
          <w:sz w:val="17"/>
          <w:szCs w:val="17"/>
          <w:color w:val="auto"/>
        </w:rPr>
        <w:t xml:space="preserve">There were no transfers between Level 2 and Level 3 of the fair value hierarchy during the years ended December 31, 2023 or 2022. </w:t>
      </w:r>
      <w:r>
        <w:rPr>
          <w:rFonts w:ascii="Times New Roman" w:cs="Times New Roman" w:eastAsia="Times New Roman" w:hAnsi="Times New Roman"/>
          <w:sz w:val="17"/>
          <w:szCs w:val="17"/>
          <w:i w:val="1"/>
          <w:iCs w:val="1"/>
          <w:color w:val="auto"/>
        </w:rPr>
        <w:t>Financial Instruments Not Measured at Fair Value</w:t>
      </w:r>
    </w:p>
    <w:p>
      <w:pPr>
        <w:spacing w:after="0" w:line="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June 19, 2020, we issued $400 million aggregate principal amount of senior secured notes that mature on June 1, 2025 (the Notes) and used a portion of the proceeds from the Notes offering to repay amounts due under our then outstanding $150 million term loan. At December 31, 2023, the Notes were carried at a cost of $397.6 million, net of unamortized debt issuance costs of $2.4 million, and had a fair value of $401.9 million as assessed under our Level 2 hierarchy. At December 31, 2022, the Notes were carried at a cost of $396.1 million, net of unamortized debt issuance costs of $3.9 million, and had a fair value of $405.9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Debt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Senior Secured Notes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At December 31, 2023, we had $400 million aggregate principal amount of senior secured notes outstanding. The Notes were issued pursuant to an indenture dated June 19, 2020 and bear interest at a rate of 7.375%, payable semi-annually on June 1 and December 1.</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Notes mature on June 1, 2025. We may elect to redeem the Notes in whole or in part at any time prior to March 1, 2025 at a price based on 100% of the aggregate principal amount of any Notes redeemed plus the “Applicable Premium,” plus accrued and unpaid interest thereon. Applicable Premium is defined as the greater of (1) 1.0% of the principal amount of the Notes, or (2) the excess of the present value of the principal value of the Notes plus all future interest payments over the principal</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8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amount. We may elect to redeem the Notes in whole or in part at any time prior to March 1, 2025 at a price equal to 100% of the aggregate principal amount of the Notes to be redeemed plus accrued and unpaid interest thereon.</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The effective interest rate on the Notes is 7.825%. At December 31, 2023 and 2022, approximately $2.4 million and $3.9 million, respectively, of unamortized debt issuance costs remained.</w:t>
      </w:r>
    </w:p>
    <w:p>
      <w:pPr>
        <w:spacing w:after="0" w:line="114" w:lineRule="exact"/>
        <w:rPr>
          <w:sz w:val="20"/>
          <w:szCs w:val="20"/>
          <w:color w:val="auto"/>
        </w:rPr>
      </w:pPr>
    </w:p>
    <w:p>
      <w:pPr>
        <w:jc w:val="both"/>
        <w:ind w:firstLine="621"/>
        <w:spacing w:after="0" w:line="293" w:lineRule="auto"/>
        <w:rPr>
          <w:sz w:val="20"/>
          <w:szCs w:val="20"/>
          <w:color w:val="auto"/>
        </w:rPr>
      </w:pPr>
      <w:r>
        <w:rPr>
          <w:rFonts w:ascii="Times New Roman" w:cs="Times New Roman" w:eastAsia="Times New Roman" w:hAnsi="Times New Roman"/>
          <w:sz w:val="17"/>
          <w:szCs w:val="17"/>
          <w:color w:val="auto"/>
        </w:rPr>
        <w:t>At December 31, 2023 and 2022, $2.5 million of accrued and unpaid interest on the Notes was included in “</w:t>
      </w:r>
      <w:r>
        <w:rPr>
          <w:rFonts w:ascii="Times New Roman" w:cs="Times New Roman" w:eastAsia="Times New Roman" w:hAnsi="Times New Roman"/>
          <w:sz w:val="17"/>
          <w:szCs w:val="17"/>
          <w:i w:val="1"/>
          <w:iCs w:val="1"/>
          <w:color w:val="auto"/>
        </w:rPr>
        <w:t>Accounts Payable and Accrued Expenses</w:t>
      </w:r>
      <w:r>
        <w:rPr>
          <w:rFonts w:ascii="Times New Roman" w:cs="Times New Roman" w:eastAsia="Times New Roman" w:hAnsi="Times New Roman"/>
          <w:sz w:val="17"/>
          <w:szCs w:val="17"/>
          <w:color w:val="auto"/>
        </w:rPr>
        <w:t>” on the consolidated balance sheets.</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2021 </w:t>
      </w:r>
      <w:r>
        <w:rPr>
          <w:rFonts w:ascii="Times New Roman" w:cs="Times New Roman" w:eastAsia="Times New Roman" w:hAnsi="Times New Roman"/>
          <w:sz w:val="17"/>
          <w:szCs w:val="17"/>
          <w:i w:val="1"/>
          <w:iCs w:val="1"/>
          <w:color w:val="auto"/>
        </w:rPr>
        <w:t>Revolving Credit Facility</w:t>
      </w:r>
    </w:p>
    <w:p>
      <w:pPr>
        <w:spacing w:after="0" w:line="16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On November 29, 2021, we amended our $110 million senior secured revolving credit facility (the 2020 Revolving Credit Facility and as amended, the 2021 Revolving Credit Facility), expanding the lender group, increasing the revolving capacity to $250 million, and extending the maturity from February 22, 2023 to the earlier of (x) November 29, 2025, or (y) if any existing senior secured notes remain outstanding on such date, February 28, 2025. Borrowings under the 2021 Revolving Credit Facility may be used for general corporate purposes, including to support the growth of our new business production and operations, and accrue interest at a variable rate equal to, at our discretion, (i) a Base Rate (as defined in the 2021 Revolving Credit Facility) subject to a floor of 1.00% per annum plus a margin of 0.375% to 1.875% per annum, or (ii) the Adjusted Term Secured Overnight Financing Rate (as defined in the 2021 Revolving Credit Facility) plus a margin of 1.375% to 2.875% per annum, with the margin in each of (i) or (ii) based on our applicable corporate credit rating at the time. As of December 31, 2023 and 2022, no amounts were drawn under the 2021 Revolving Credit Facility.</w:t>
      </w:r>
    </w:p>
    <w:p>
      <w:pPr>
        <w:spacing w:after="0" w:line="123"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Under the 2021 Revolving Credit Facility, we are required to pay a quarterly commitment fee on the average daily undrawn amount of 0.175% to 0.525%, based on the applicable corporate credit rating at the time. As of December 31, 2023, the applicable commitment fee was 0.30%. For the years ended December 31, 2023, 2022 and 2021, we recorded $0.8 million, $0.8 million and $0.4 million of commitment fees in interest expense, respectively. In January 2024, Moody's upgraded its insurance financial strength rating of NMIC and its rating of the Notes. As a result of the upgrade, the commitment fee due under the 2021 Revolving Credit Facility will be reduced to 0.225% in future periods.</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We incurred debt issuance costs of $1.1 million in connection with the 2021 Revolving Credit Facility and had $0.6 million of unamortized debt issuance costs associated with the 2020 Revolving Credit Facility remaining at the time of its amendment and replacement. Combined unamortized debt issuance costs are amortized through interest expense on a straight-line basis over the contractual life of the 2021 Revolving Credit Facility. At December 31, 2023 and 2022, remaining unamortized deferred debt issuance costs were $0.8 million and $1.2 million, respectively,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xml:space="preserve"> on our consolidated balance sheets.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are subject to certain covenants under the 2021 Revolving Credit Facility, including, but not limited to, the following: a maximum debt-to-total capitalization ratio of 35%, compliance with the private mortgage insurer eligibility requirements (PMIERs) financial requirements (subject to any GSE approved waivers), and minimum consolidated net worth and statutory capital requirements (respectively, as defined therein). We were in compliance with all covenants at December 31,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Reinsurance</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effect of our reinsurance agreements on premiums written and earned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60" w:type="dxa"/>
            <w:vAlign w:val="bottom"/>
            <w:gridSpan w:val="6"/>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8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1"/>
        </w:trPr>
        <w:tc>
          <w:tcPr>
            <w:tcW w:w="5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premiums written</w:t>
            </w: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Direct</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619,670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center"/>
              <w:ind w:left="698"/>
              <w:spacing w:after="0"/>
              <w:rPr>
                <w:sz w:val="20"/>
                <w:szCs w:val="20"/>
                <w:color w:val="auto"/>
              </w:rPr>
            </w:pPr>
            <w:r>
              <w:rPr>
                <w:rFonts w:ascii="Times New Roman" w:cs="Times New Roman" w:eastAsia="Times New Roman" w:hAnsi="Times New Roman"/>
                <w:sz w:val="17"/>
                <w:szCs w:val="17"/>
                <w:color w:val="auto"/>
              </w:rPr>
              <w:t>577,926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557,050</w:t>
            </w: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tcPr>
          <w:p>
            <w:pPr>
              <w:ind w:left="140"/>
              <w:spacing w:after="0" w:line="220" w:lineRule="exact"/>
              <w:rPr>
                <w:sz w:val="20"/>
                <w:szCs w:val="20"/>
                <w:color w:val="auto"/>
              </w:rPr>
            </w:pPr>
            <w:r>
              <w:rPr>
                <w:rFonts w:ascii="Times New Roman" w:cs="Times New Roman" w:eastAsia="Times New Roman" w:hAnsi="Times New Roman"/>
                <w:sz w:val="17"/>
                <w:szCs w:val="17"/>
                <w:color w:val="auto"/>
              </w:rPr>
              <w:t xml:space="preserve">Ceded </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(139,130)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678"/>
              <w:spacing w:after="0"/>
              <w:rPr>
                <w:sz w:val="20"/>
                <w:szCs w:val="20"/>
                <w:color w:val="auto"/>
              </w:rPr>
            </w:pPr>
            <w:r>
              <w:rPr>
                <w:rFonts w:ascii="Times New Roman" w:cs="Times New Roman" w:eastAsia="Times New Roman" w:hAnsi="Times New Roman"/>
                <w:sz w:val="17"/>
                <w:szCs w:val="17"/>
                <w:color w:val="auto"/>
                <w:w w:val="99"/>
              </w:rPr>
              <w:t>(117,680)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(88,539)</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premiums written</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480,540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center"/>
              <w:ind w:left="698"/>
              <w:spacing w:after="0"/>
              <w:rPr>
                <w:sz w:val="20"/>
                <w:szCs w:val="20"/>
                <w:color w:val="auto"/>
              </w:rPr>
            </w:pPr>
            <w:r>
              <w:rPr>
                <w:rFonts w:ascii="Times New Roman" w:cs="Times New Roman" w:eastAsia="Times New Roman" w:hAnsi="Times New Roman"/>
                <w:sz w:val="17"/>
                <w:szCs w:val="17"/>
                <w:color w:val="auto"/>
              </w:rPr>
              <w:t>460,246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468,511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premiums earned</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8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Direct</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650,411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center"/>
              <w:ind w:left="698"/>
              <w:spacing w:after="0"/>
              <w:rPr>
                <w:sz w:val="20"/>
                <w:szCs w:val="20"/>
                <w:color w:val="auto"/>
              </w:rPr>
            </w:pPr>
            <w:r>
              <w:rPr>
                <w:rFonts w:ascii="Times New Roman" w:cs="Times New Roman" w:eastAsia="Times New Roman" w:hAnsi="Times New Roman"/>
                <w:sz w:val="17"/>
                <w:szCs w:val="17"/>
                <w:color w:val="auto"/>
              </w:rPr>
              <w:t>594,127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536,630</w:t>
            </w: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tcPr>
          <w:p>
            <w:pPr>
              <w:ind w:left="140"/>
              <w:spacing w:after="0" w:line="220" w:lineRule="exact"/>
              <w:rPr>
                <w:sz w:val="20"/>
                <w:szCs w:val="20"/>
                <w:color w:val="auto"/>
              </w:rPr>
            </w:pPr>
            <w:r>
              <w:rPr>
                <w:rFonts w:ascii="Times New Roman" w:cs="Times New Roman" w:eastAsia="Times New Roman" w:hAnsi="Times New Roman"/>
                <w:sz w:val="17"/>
                <w:szCs w:val="17"/>
                <w:color w:val="auto"/>
              </w:rPr>
              <w:t xml:space="preserve">Ceded </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(139,643)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678"/>
              <w:spacing w:after="0"/>
              <w:rPr>
                <w:sz w:val="20"/>
                <w:szCs w:val="20"/>
                <w:color w:val="auto"/>
              </w:rPr>
            </w:pPr>
            <w:r>
              <w:rPr>
                <w:rFonts w:ascii="Times New Roman" w:cs="Times New Roman" w:eastAsia="Times New Roman" w:hAnsi="Times New Roman"/>
                <w:sz w:val="17"/>
                <w:szCs w:val="17"/>
                <w:color w:val="auto"/>
                <w:w w:val="99"/>
              </w:rPr>
              <w:t>(118,861)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(92,336)</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premiums earned</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510,768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center"/>
              <w:ind w:left="698"/>
              <w:spacing w:after="0"/>
              <w:rPr>
                <w:sz w:val="20"/>
                <w:szCs w:val="20"/>
                <w:color w:val="auto"/>
              </w:rPr>
            </w:pPr>
            <w:r>
              <w:rPr>
                <w:rFonts w:ascii="Times New Roman" w:cs="Times New Roman" w:eastAsia="Times New Roman" w:hAnsi="Times New Roman"/>
                <w:sz w:val="17"/>
                <w:szCs w:val="17"/>
                <w:color w:val="auto"/>
              </w:rPr>
              <w:t>475,266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444,294</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Net of profit commission.</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Excess-of-loss Reinsurance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Insurance-Linked Notes</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NMIC is a party to reinsurance agreements with Oaktown Re III Ltd., Oaktown Re V Ltd., Oaktown Re VI Ltd., and Oaktown Re VII Ltd. (special purpose reinsurance entities collectively referred to as the Oaktown Re Vehicles) effective July 30, 2019, October 29, 2020,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NMIC makes risk premium payments to the Oaktown Re Vehicles for the applicable outstanding reinsurance coverage amount and pays an additional amount for anticipated operating expenses (capped at $250 thousand per year). NMIC ceded aggregate premiums to the Oaktown Re Vehicles of $31.1 million, $41.9 million and $41.3 million during the years ended December 31, 2023, 2022 and 2021, respectively.</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NMIC applies claims paid on covered policies against its first layer aggregate retained loss exposure under each excess-of-loss agreement. NMIC did not cede any incurred losses on covered policies to the Oaktown Re Vehicles during the years ended December 31, 2023, 2022 and 2021, as the aggregate first layer risk retention for each applicable agreement was not exhausted during such periods.</w:t>
      </w:r>
    </w:p>
    <w:p>
      <w:pPr>
        <w:spacing w:after="0" w:line="11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(in the case of the notes issued by Oaktown Re III Ltd. and Oaktown Re V Ltd.) and 12.5 years (in the case of the notes issued by Oaktown Re VI Ltd. and Oaktown Re VII Ltd.) from the inception date of their associated reinsurance agreement. We refer to NMIC’s reinsurance agreements with and the insurance-linked note issuances by Oaktown Re Vehicles individually as the 2019 ILN Transaction, 2020-2 ILN Transaction, 2021-1 ILN Transaction, and 2021-2 ILN Transaction, and collectively as the ILN Transactions.</w:t>
      </w:r>
    </w:p>
    <w:p>
      <w:pPr>
        <w:spacing w:after="0" w:line="122"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respective reinsurance coverage amounts provided by the Oaktown Re Vehicles decrease (over a ten-year period in the case of Oaktown Re III Ltd. and Oaktown Re V Ltd. and 12.5-year period in the case of Oaktown Re VI Ltd. and Oaktown Re VII Ltd.)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insurance-linked note principal is suspended if certain credit enhancement or delinquency thresholds, as defined in each agreement, are triggered (each, a Lock-Out Event). At December 31, 2023, the 2019 ILN Transaction was deemed to be in Lock-Out due to the default experience of its underlying pool.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8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Effective July 25, 2023, NMIC exercised its optional call to terminate and commute its previously outstanding excess of loss reinsurance agreement with Oaktown Re II Ltd. In connection with the termination and commutation of the agreement, the insurance-linked notes issued by Oaktown Re II Ltd. were redeemed in full with a distribution of remaining collateral assets.</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December 31,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Initial First</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Current First Layer</w:t>
            </w:r>
          </w:p>
        </w:tc>
        <w:tc>
          <w:tcPr>
            <w:tcW w:w="0" w:type="dxa"/>
            <w:vAlign w:val="bottom"/>
          </w:tcPr>
          <w:p>
            <w:pPr>
              <w:spacing w:after="0"/>
              <w:rPr>
                <w:sz w:val="1"/>
                <w:szCs w:val="1"/>
                <w:color w:val="auto"/>
              </w:rPr>
            </w:pPr>
          </w:p>
        </w:tc>
      </w:tr>
      <w:tr>
        <w:trPr>
          <w:trHeight w:val="141"/>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 values in thousands)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Inception Date</w:t>
            </w:r>
          </w:p>
        </w:tc>
        <w:tc>
          <w:tcPr>
            <w:tcW w:w="24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1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Reinsurance</w:t>
            </w:r>
          </w:p>
        </w:tc>
        <w:tc>
          <w:tcPr>
            <w:tcW w:w="12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Layer Retained</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0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4"/>
              </w:rPr>
              <w:t xml:space="preserve">Retained Loss </w:t>
            </w:r>
            <w:r>
              <w:rPr>
                <w:rFonts w:ascii="Times New Roman" w:cs="Times New Roman" w:eastAsia="Times New Roman" w:hAnsi="Times New Roman"/>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13"/>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2019 ILN Transaction</w:t>
            </w: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30, 2019</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6/1/2018 – 6/30/2019</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$326,905</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$159,476</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$123,424</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$121,751</w:t>
            </w:r>
          </w:p>
        </w:tc>
        <w:tc>
          <w:tcPr>
            <w:tcW w:w="0" w:type="dxa"/>
            <w:vAlign w:val="bottom"/>
          </w:tcPr>
          <w:p>
            <w:pPr>
              <w:spacing w:after="0"/>
              <w:rPr>
                <w:sz w:val="1"/>
                <w:szCs w:val="1"/>
                <w:color w:val="auto"/>
              </w:rPr>
            </w:pPr>
          </w:p>
        </w:tc>
      </w:tr>
      <w:tr>
        <w:trPr>
          <w:trHeight w:val="220"/>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2020-2 ILN Transaction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29, 2020</w:t>
            </w:r>
          </w:p>
        </w:tc>
        <w:tc>
          <w:tcPr>
            <w:tcW w:w="2400" w:type="dxa"/>
            <w:vAlign w:val="bottom"/>
            <w:gridSpan w:val="2"/>
          </w:tcPr>
          <w:p>
            <w:pPr>
              <w:jc w:val="center"/>
              <w:ind w:right="140"/>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4/1/2020 – 9/30/2020 </w:t>
            </w:r>
            <w:r>
              <w:rPr>
                <w:rFonts w:ascii="Times New Roman" w:cs="Times New Roman" w:eastAsia="Times New Roman" w:hAnsi="Times New Roman"/>
                <w:sz w:val="22"/>
                <w:szCs w:val="22"/>
                <w:color w:val="auto"/>
                <w:w w:val="98"/>
                <w:vertAlign w:val="superscript"/>
              </w:rPr>
              <w:t>(2)</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242,351</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55,792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121,777</w:t>
            </w: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121,177</w:t>
            </w:r>
          </w:p>
        </w:tc>
        <w:tc>
          <w:tcPr>
            <w:tcW w:w="0" w:type="dxa"/>
            <w:vAlign w:val="bottom"/>
          </w:tcPr>
          <w:p>
            <w:pPr>
              <w:spacing w:after="0"/>
              <w:rPr>
                <w:sz w:val="1"/>
                <w:szCs w:val="1"/>
                <w:color w:val="auto"/>
              </w:rPr>
            </w:pPr>
          </w:p>
        </w:tc>
      </w:tr>
      <w:tr>
        <w:trPr>
          <w:trHeight w:val="22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2021-1 ILN Transaction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27, 2021</w:t>
            </w:r>
          </w:p>
        </w:tc>
        <w:tc>
          <w:tcPr>
            <w:tcW w:w="2400" w:type="dxa"/>
            <w:vAlign w:val="bottom"/>
            <w:gridSpan w:val="2"/>
            <w:shd w:val="clear" w:color="auto" w:fill="CCEEFF"/>
          </w:tcPr>
          <w:p>
            <w:pPr>
              <w:jc w:val="center"/>
              <w:ind w:right="140"/>
              <w:spacing w:after="0" w:line="220" w:lineRule="exact"/>
              <w:rPr>
                <w:sz w:val="20"/>
                <w:szCs w:val="20"/>
                <w:color w:val="auto"/>
              </w:rPr>
            </w:pPr>
            <w:r>
              <w:rPr>
                <w:rFonts w:ascii="Times New Roman" w:cs="Times New Roman" w:eastAsia="Times New Roman" w:hAnsi="Times New Roman"/>
                <w:sz w:val="17"/>
                <w:szCs w:val="17"/>
                <w:color w:val="auto"/>
                <w:w w:val="98"/>
              </w:rPr>
              <w:t xml:space="preserve">10/1/2020 – 3/31/2021 </w:t>
            </w:r>
            <w:r>
              <w:rPr>
                <w:rFonts w:ascii="Times New Roman" w:cs="Times New Roman" w:eastAsia="Times New Roman" w:hAnsi="Times New Roman"/>
                <w:sz w:val="22"/>
                <w:szCs w:val="22"/>
                <w:color w:val="auto"/>
                <w:w w:val="98"/>
                <w:vertAlign w:val="superscript"/>
              </w:rPr>
              <w:t>(3)</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367,238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217,630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163,708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163,394</w:t>
            </w:r>
          </w:p>
        </w:tc>
        <w:tc>
          <w:tcPr>
            <w:tcW w:w="0" w:type="dxa"/>
            <w:vAlign w:val="bottom"/>
          </w:tcPr>
          <w:p>
            <w:pPr>
              <w:spacing w:after="0"/>
              <w:rPr>
                <w:sz w:val="1"/>
                <w:szCs w:val="1"/>
                <w:color w:val="auto"/>
              </w:rPr>
            </w:pPr>
          </w:p>
        </w:tc>
      </w:tr>
      <w:tr>
        <w:trPr>
          <w:trHeight w:val="296"/>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2021-2 ILN Transaction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26, 2021</w:t>
            </w:r>
          </w:p>
        </w:tc>
        <w:tc>
          <w:tcPr>
            <w:tcW w:w="24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8"/>
              </w:rPr>
              <w:t xml:space="preserve">4/1/2021 – 9/30/2021 </w:t>
            </w:r>
            <w:r>
              <w:rPr>
                <w:rFonts w:ascii="Times New Roman" w:cs="Times New Roman" w:eastAsia="Times New Roman" w:hAnsi="Times New Roman"/>
                <w:sz w:val="22"/>
                <w:szCs w:val="22"/>
                <w:color w:val="auto"/>
                <w:w w:val="98"/>
                <w:vertAlign w:val="superscript"/>
              </w:rPr>
              <w:t>(4)</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363,596</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310,567</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146,229</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145,858</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hanging="317"/>
        <w:spacing w:after="0" w:line="249" w:lineRule="auto"/>
        <w:tabs>
          <w:tab w:leader="none" w:pos="329"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20" w:hanging="317"/>
        <w:spacing w:after="0"/>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2020-2 ILN Transaction has coverage reporting dates between July 1, 2019 and March 31, 2020.</w:t>
      </w:r>
    </w:p>
    <w:p>
      <w:pPr>
        <w:spacing w:after="0" w:line="7" w:lineRule="exact"/>
        <w:rPr>
          <w:rFonts w:ascii="Times New Roman" w:cs="Times New Roman" w:eastAsia="Times New Roman" w:hAnsi="Times New Roman"/>
          <w:sz w:val="14"/>
          <w:szCs w:val="14"/>
          <w:color w:val="auto"/>
        </w:rPr>
      </w:pPr>
    </w:p>
    <w:p>
      <w:pPr>
        <w:ind w:left="300" w:hanging="297"/>
        <w:spacing w:after="0" w:line="236" w:lineRule="auto"/>
        <w:tabs>
          <w:tab w:leader="none" w:pos="3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ind w:left="300" w:hanging="297"/>
        <w:spacing w:after="0"/>
        <w:tabs>
          <w:tab w:leader="none" w:pos="3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21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our ILN Transactions, we are required to maintain a certain level of restricted funds in premium deposit accounts with Bank of New York Mellon until the respective notes have been redeemed in full. “</w:t>
      </w:r>
      <w:r>
        <w:rPr>
          <w:rFonts w:ascii="Times New Roman" w:cs="Times New Roman" w:eastAsia="Times New Roman" w:hAnsi="Times New Roman"/>
          <w:sz w:val="17"/>
          <w:szCs w:val="17"/>
          <w:i w:val="1"/>
          <w:iCs w:val="1"/>
          <w:color w:val="auto"/>
        </w:rPr>
        <w:t>Cash and Cash Equivalents</w:t>
      </w:r>
      <w:r>
        <w:rPr>
          <w:rFonts w:ascii="Times New Roman" w:cs="Times New Roman" w:eastAsia="Times New Roman" w:hAnsi="Times New Roman"/>
          <w:sz w:val="17"/>
          <w:szCs w:val="17"/>
          <w:color w:val="auto"/>
        </w:rPr>
        <w:t>” on our consolidated balance sheets includes restricted amounts of $1.3 million and $2.2 million as of December 31, 2023 and 2022, respectively. The restricted balances required under these transactions will decline over time as the outstanding principal balance of the respective insurance-linked notes are amortized.</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Traditional Reinsurance</w:t>
      </w:r>
    </w:p>
    <w:p>
      <w:pPr>
        <w:spacing w:after="0" w:line="156"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NMIC is party to five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and the 2023-2 XOL Transaction, effective July 1, 2023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23"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Under the terms of the XOL Transactions, NMIC makes risk premium payments to its third-party reinsurance providers for the outstanding reinsurance coverage amount and ceded aggregate premiums of $31.2 million and $13.9 million during the years ended December 31, 2023 and 2022, respectively. NMIC applies claims paid on covered policies against its first layer aggregate retained loss exposure under each agreement. NMIC did not cede any incurred losses on covered policies under the XOL Transactions during the years ended December 31, 2023 and 2022, as the aggregate first layer risk retention for each agreement was not exhausted during such periods.</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8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Each of the third-party reinsurance providers that is party to the XOL Transactions has an insurer financial strength rating of A- or better by S&amp;P Global Ratings (S&amp;P), A.M. Best Company Inc. (A.M. Best) or both.</w:t>
      </w:r>
    </w:p>
    <w:p>
      <w:pPr>
        <w:spacing w:after="0" w:line="95"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December 31,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 First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Current First</w:t>
            </w:r>
          </w:p>
        </w:tc>
        <w:tc>
          <w:tcPr>
            <w:tcW w:w="0" w:type="dxa"/>
            <w:vAlign w:val="bottom"/>
          </w:tcPr>
          <w:p>
            <w:pPr>
              <w:spacing w:after="0"/>
              <w:rPr>
                <w:sz w:val="1"/>
                <w:szCs w:val="1"/>
                <w:color w:val="auto"/>
              </w:rPr>
            </w:pPr>
          </w:p>
        </w:tc>
      </w:tr>
      <w:tr>
        <w:trPr>
          <w:trHeight w:val="141"/>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 values in thousands)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Inception Date</w:t>
            </w:r>
          </w:p>
        </w:tc>
        <w:tc>
          <w:tcPr>
            <w:tcW w:w="24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18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4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0" w:type="dxa"/>
            <w:vAlign w:val="bottom"/>
          </w:tcPr>
          <w:p>
            <w:pPr>
              <w:spacing w:after="0"/>
              <w:rPr>
                <w:sz w:val="1"/>
                <w:szCs w:val="1"/>
                <w:color w:val="auto"/>
              </w:rPr>
            </w:pPr>
          </w:p>
        </w:tc>
      </w:tr>
      <w:tr>
        <w:trPr>
          <w:trHeight w:val="188"/>
        </w:trPr>
        <w:tc>
          <w:tcPr>
            <w:tcW w:w="2600" w:type="dxa"/>
            <w:vAlign w:val="bottom"/>
            <w:gridSpan w:val="2"/>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Loss </w:t>
            </w:r>
            <w:r>
              <w:rPr>
                <w:rFonts w:ascii="Times New Roman" w:cs="Times New Roman" w:eastAsia="Times New Roman" w:hAnsi="Times New Roman"/>
                <w:sz w:val="8"/>
                <w:szCs w:val="8"/>
                <w:b w:val="1"/>
                <w:bCs w:val="1"/>
                <w:color w:val="auto"/>
                <w:w w:val="99"/>
              </w:rPr>
              <w:t>(1)</w:t>
            </w:r>
          </w:p>
        </w:tc>
        <w:tc>
          <w:tcPr>
            <w:tcW w:w="0" w:type="dxa"/>
            <w:vAlign w:val="bottom"/>
          </w:tcPr>
          <w:p>
            <w:pPr>
              <w:spacing w:after="0"/>
              <w:rPr>
                <w:sz w:val="1"/>
                <w:szCs w:val="1"/>
                <w:color w:val="auto"/>
              </w:rPr>
            </w:pPr>
          </w:p>
        </w:tc>
      </w:tr>
      <w:tr>
        <w:trPr>
          <w:trHeight w:val="218"/>
        </w:trPr>
        <w:tc>
          <w:tcPr>
            <w:tcW w:w="2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2022-1 XOL Transaction</w:t>
            </w: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c>
          <w:tcPr>
            <w:tcW w:w="2320" w:type="dxa"/>
            <w:vAlign w:val="bottom"/>
            <w:tcBorders>
              <w:top w:val="single" w:sz="8" w:color="auto"/>
            </w:tcBorders>
            <w:shd w:val="clear" w:color="auto" w:fill="CCEEFF"/>
          </w:tcPr>
          <w:p>
            <w:pPr>
              <w:jc w:val="center"/>
              <w:spacing w:after="0" w:line="219" w:lineRule="exact"/>
              <w:rPr>
                <w:sz w:val="20"/>
                <w:szCs w:val="20"/>
                <w:color w:val="auto"/>
              </w:rPr>
            </w:pPr>
            <w:r>
              <w:rPr>
                <w:rFonts w:ascii="Times New Roman" w:cs="Times New Roman" w:eastAsia="Times New Roman" w:hAnsi="Times New Roman"/>
                <w:sz w:val="17"/>
                <w:szCs w:val="17"/>
                <w:color w:val="auto"/>
                <w:w w:val="99"/>
              </w:rPr>
              <w:t xml:space="preserve">10/1/2021 – 3/31/2022 </w:t>
            </w:r>
            <w:r>
              <w:rPr>
                <w:rFonts w:ascii="Times New Roman" w:cs="Times New Roman" w:eastAsia="Times New Roman" w:hAnsi="Times New Roman"/>
                <w:sz w:val="22"/>
                <w:szCs w:val="22"/>
                <w:color w:val="auto"/>
                <w:w w:val="99"/>
                <w:vertAlign w:val="superscript"/>
              </w:rPr>
              <w:t>(2)</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$289,741</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$253,252</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$133,366</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$133,123</w:t>
            </w:r>
          </w:p>
        </w:tc>
        <w:tc>
          <w:tcPr>
            <w:tcW w:w="0" w:type="dxa"/>
            <w:vAlign w:val="bottom"/>
          </w:tcPr>
          <w:p>
            <w:pPr>
              <w:spacing w:after="0"/>
              <w:rPr>
                <w:sz w:val="1"/>
                <w:szCs w:val="1"/>
                <w:color w:val="auto"/>
              </w:rPr>
            </w:pPr>
          </w:p>
        </w:tc>
      </w:tr>
      <w:tr>
        <w:trPr>
          <w:trHeight w:val="220"/>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2022-2</w:t>
            </w:r>
          </w:p>
        </w:tc>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XOL 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1, 2022</w:t>
            </w:r>
          </w:p>
        </w:tc>
        <w:tc>
          <w:tcPr>
            <w:tcW w:w="2400" w:type="dxa"/>
            <w:vAlign w:val="bottom"/>
            <w:gridSpan w:val="2"/>
          </w:tcPr>
          <w:p>
            <w:pPr>
              <w:jc w:val="center"/>
              <w:ind w:right="20"/>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4/1/2022 – 6/30/2022 </w:t>
            </w:r>
            <w:r>
              <w:rPr>
                <w:rFonts w:ascii="Times New Roman" w:cs="Times New Roman" w:eastAsia="Times New Roman" w:hAnsi="Times New Roman"/>
                <w:sz w:val="22"/>
                <w:szCs w:val="22"/>
                <w:color w:val="auto"/>
                <w:w w:val="98"/>
                <w:vertAlign w:val="superscript"/>
              </w:rPr>
              <w:t>(3)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154,306</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152,347</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78,906</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78,736</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2022-3</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XOL Transaction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1, 2022</w:t>
            </w:r>
          </w:p>
        </w:tc>
        <w:tc>
          <w:tcPr>
            <w:tcW w:w="2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7/1/2022 – 9/30/2022</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96,779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96,197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106,265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106,265</w:t>
            </w:r>
          </w:p>
        </w:tc>
        <w:tc>
          <w:tcPr>
            <w:tcW w:w="0" w:type="dxa"/>
            <w:vAlign w:val="bottom"/>
          </w:tcPr>
          <w:p>
            <w:pPr>
              <w:spacing w:after="0"/>
              <w:rPr>
                <w:sz w:val="1"/>
                <w:szCs w:val="1"/>
                <w:color w:val="auto"/>
              </w:rPr>
            </w:pPr>
          </w:p>
        </w:tc>
      </w:tr>
      <w:tr>
        <w:trPr>
          <w:trHeight w:val="220"/>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2023-1</w:t>
            </w:r>
          </w:p>
        </w:tc>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XOL 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1, 2023</w:t>
            </w:r>
          </w:p>
        </w:tc>
        <w:tc>
          <w:tcPr>
            <w:tcW w:w="24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10/1/2022 – 6/30/2023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89,864</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88,351</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146,513</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146,348</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2023-2</w:t>
            </w:r>
          </w:p>
        </w:tc>
        <w:tc>
          <w:tcPr>
            <w:tcW w:w="20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XOL Transaction </w:t>
            </w:r>
            <w:r>
              <w:rPr>
                <w:rFonts w:ascii="Times New Roman" w:cs="Times New Roman" w:eastAsia="Times New Roman" w:hAnsi="Times New Roman"/>
                <w:sz w:val="22"/>
                <w:szCs w:val="22"/>
                <w:color w:val="auto"/>
                <w:vertAlign w:val="superscript"/>
              </w:rPr>
              <w:t>(4)</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1, 2023</w:t>
            </w:r>
          </w:p>
        </w:tc>
        <w:tc>
          <w:tcPr>
            <w:tcW w:w="2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7/1/2023 – 12/31/2023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71,602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71,602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113,372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113,372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20" w:hanging="317"/>
        <w:spacing w:after="0" w:line="249" w:lineRule="auto"/>
        <w:tabs>
          <w:tab w:leader="none" w:pos="323"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20" w:hanging="317"/>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spacing w:after="0" w:line="7" w:lineRule="exact"/>
        <w:rPr>
          <w:rFonts w:ascii="Times New Roman" w:cs="Times New Roman" w:eastAsia="Times New Roman" w:hAnsi="Times New Roman"/>
          <w:sz w:val="14"/>
          <w:szCs w:val="14"/>
          <w:color w:val="auto"/>
        </w:rPr>
      </w:pPr>
    </w:p>
    <w:p>
      <w:pPr>
        <w:ind w:left="320" w:hanging="317"/>
        <w:spacing w:after="0" w:line="236" w:lineRule="auto"/>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ind w:left="320" w:hanging="317"/>
        <w:spacing w:after="0" w:line="238" w:lineRule="auto"/>
        <w:tabs>
          <w:tab w:leader="none" w:pos="331"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2023-2 XOL Transaction provides coverage for production generated between July 1, 2023 and December 31, 2023. The current reinsurance coverage and current first layer retained loss will decrease in future periods to the extent the PMIERs minimum required assets of the covered pool declines.</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Quota Share Reinsurance</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is party to seven quota share reinsurance treaties – the 2016 QSR Transaction, effective September 1, 2016, the 2018 QSR Transaction, effective January 1, 2018, the 2020 QSR Transaction, effective April 1, 2020 (and amended effective January 1, 2024), the 2021 QSR Transaction, effective January 1, 2021, the 2022 QSR Transaction, effective October 1, 2021, the 2022 Seasoned QSR Transaction, effective July 1, 2022 and the 2023 QSR Transaction, effective January 1, 2023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Times New Roman" w:cs="Times New Roman" w:eastAsia="Times New Roman" w:hAnsi="Times New Roman"/>
          <w:sz w:val="17"/>
          <w:szCs w:val="17"/>
          <w:color w:val="212529"/>
        </w:rPr>
        <w:t>The 2016 QSR Transaction is scheduled to terminate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December 31, 2027, except with respect to the ceded pool risk, which expired on August 31, 2023. NMIC has the option, based on certain conditions and subject to a termination fee, to terminate the agreement as of December 31, 2020, or at the end of any calendar quarter thereafter, which could result in NMIC recapturing the related risk.</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could result in NMIC </w:t>
      </w:r>
      <w:r>
        <w:rPr>
          <w:rFonts w:ascii="Times New Roman" w:cs="Times New Roman" w:eastAsia="Times New Roman" w:hAnsi="Times New Roman"/>
          <w:sz w:val="17"/>
          <w:szCs w:val="17"/>
          <w:color w:val="212529"/>
        </w:rPr>
        <w:t>recapturing</w:t>
      </w:r>
      <w:r>
        <w:rPr>
          <w:rFonts w:ascii="Times New Roman" w:cs="Times New Roman" w:eastAsia="Times New Roman" w:hAnsi="Times New Roman"/>
          <w:sz w:val="17"/>
          <w:szCs w:val="17"/>
          <w:color w:val="auto"/>
        </w:rPr>
        <w:t xml:space="preserve"> the related risk.</w:t>
      </w:r>
    </w:p>
    <w:p>
      <w:pPr>
        <w:spacing w:after="0" w:line="9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the 2020 QSR Transaction, NMIC cedes premiums earned related to 21% of the risk on eligible policies written from April 1, 2020 to December 31, 2020. The 2020 QSR Transaction is scheduled to terminate on December 31, 2030. NMIC has the option, based on certain conditions and subject to a termination fee, to terminate the agreement as of December 31, 2023, or at the end of any calendar quarter thereafter, which could result in NMIC recapturing the related risk.</w:t>
      </w:r>
    </w:p>
    <w:p>
      <w:pPr>
        <w:spacing w:after="0" w:line="104"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Under the terms of the 2021 QSR Transaction, NMIC cedes premiums earned related to 22.5% of the risk on eligible policies written from January 1, 2021 to October 30, 2021. The 2021 QSR Transaction is scheduled to terminate on December 31,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8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2031. NMIC has the option, based on certain conditions and subject to a termination fee, to terminate the agreement as of December 31, 2024, or at the end of any calendar quarter thereafter, which could result in NMIC recapturing the related risk.</w:t>
      </w:r>
    </w:p>
    <w:p>
      <w:pPr>
        <w:spacing w:after="0" w:line="8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the 2022 QSR Transaction, NMIC cedes premiums earned related to 20% of the risk on eligible policies written primarily between October 30, 2021 and December 31, 2022. The 2022 QSR Transaction is scheduled to terminate on December 31, 2032. NMIC has the option, based on certain conditions and subject to a termination fee, to terminate the agreement as of December 31, 2024 or semi-annually thereafter, which could result in NMIC recapturing the related risk.</w:t>
      </w:r>
    </w:p>
    <w:p>
      <w:pPr>
        <w:spacing w:after="0" w:line="9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 connection with the 2022 QSR Transaction, NMIC entered into the 2023 QSR Transaction as a springing back-to-back quota share agreement. Under the terms of the 2023 QSR Transaction, NMIC cedes premiums earned related to 20% of the risk on eligible policies written from January 1, 2023 to December 31, 2023. The 2023 QSR Transaction is scheduled to terminate on December 31, 2033. NMIC has the option, based on certain conditions and subject to a termination fee, to terminate the agreement as of December 31, 2025 or semi-annually thereafter, which could result in NMIC recapturing the related risk.</w:t>
      </w:r>
    </w:p>
    <w:p>
      <w:pPr>
        <w:spacing w:after="0" w:line="10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The 2022 Seasoned QSR Transaction is scheduled to terminate on June 30, 2032. NMIC has the option, based on certain conditions, to terminate the agreement as of June 30, 2025 or quarterly thereafter through December 31, 2027 with</w:t>
      </w:r>
    </w:p>
    <w:p>
      <w:pPr>
        <w:jc w:val="both"/>
        <w:spacing w:after="0" w:line="291" w:lineRule="auto"/>
        <w:rPr>
          <w:sz w:val="20"/>
          <w:szCs w:val="20"/>
          <w:color w:val="auto"/>
        </w:rPr>
      </w:pPr>
      <w:r>
        <w:rPr>
          <w:rFonts w:ascii="Times New Roman" w:cs="Times New Roman" w:eastAsia="Times New Roman" w:hAnsi="Times New Roman"/>
          <w:sz w:val="17"/>
          <w:szCs w:val="17"/>
          <w:color w:val="auto"/>
        </w:rPr>
        <w:t>the payment of a termination fee, and as of March 31, 2028 or quarterly thereafter without the payment of a termination fee. Such termination could result in NMIC recapturing the related risk.</w:t>
      </w:r>
    </w:p>
    <w:p>
      <w:pPr>
        <w:spacing w:after="0" w:line="8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reinsurers continue providing coverage on all risk ceded prior to the termination date, with no new cessions going forward) or cut-off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had no effect on the cession of pool risk under the 2016 QSR Transaction.</w:t>
      </w:r>
    </w:p>
    <w:p>
      <w:pPr>
        <w:spacing w:after="0" w:line="116" w:lineRule="exact"/>
        <w:rPr>
          <w:sz w:val="20"/>
          <w:szCs w:val="20"/>
          <w:color w:val="auto"/>
        </w:rPr>
      </w:pPr>
    </w:p>
    <w:p>
      <w:pPr>
        <w:jc w:val="both"/>
        <w:ind w:firstLine="621"/>
        <w:spacing w:after="0" w:line="244" w:lineRule="auto"/>
        <w:rPr>
          <w:sz w:val="20"/>
          <w:szCs w:val="20"/>
          <w:color w:val="auto"/>
        </w:rPr>
      </w:pPr>
      <w:r>
        <w:rPr>
          <w:rFonts w:ascii="Times New Roman" w:cs="Times New Roman" w:eastAsia="Times New Roman" w:hAnsi="Times New Roman"/>
          <w:sz w:val="17"/>
          <w:szCs w:val="17"/>
          <w:color w:val="auto"/>
        </w:rPr>
        <w:t>Effective December 31, 2023, NMIC elected to selectively terminate its engagement with certain reinsurers under the 2020 QSR Transaction and concurrently entered into an amended agreement effective January 1, 2024 (the Amended 2020 QSR Transaction) with the remaining reinsurance participants. Under the Amended 2020 QSR Transaction, NMIC will retain consistent coverage with that provided under the original 2020 QSR Transaction and continue to cede premiums earned related to 21% of the risk on eligible policies written from April 1, 2020 to December 31, 2020. NMIC will receive an enhanced ceding commission under the Amended 2020 QSR Transaction. The Amended 2020 QSR Transaction is scheduled to terminate on December 31, 2030 and NMIC has the option, based on certain conditions and subject to a termination fee, to terminate the agreement as of December 31, 2025, or at the end of any calendar quarter thereafter, which could result in NMIC recapturing the related risk.</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shows amounts related to the QSR Transactions: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gridSpan w:val="4"/>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w w:val="98"/>
              </w:rPr>
              <w:t>As of and for the years ended December 31,</w:t>
            </w:r>
          </w:p>
        </w:tc>
        <w:tc>
          <w:tcPr>
            <w:tcW w:w="120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center"/>
              <w:ind w:right="239"/>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Ceded risk-in-force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12,626,541</w:t>
            </w:r>
          </w:p>
        </w:tc>
        <w:tc>
          <w:tcPr>
            <w:tcW w:w="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12,617,169</w:t>
            </w:r>
          </w:p>
        </w:tc>
        <w:tc>
          <w:tcPr>
            <w:tcW w:w="5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8,194,604</w:t>
            </w: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Ceded premiums earned</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(167,331)</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(143,747)</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(110,140)</w:t>
            </w: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Ceded claims and claim expenses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7,436</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1,620</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3,233</w:t>
            </w: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Ceding commission earned</w:t>
            </w:r>
          </w:p>
        </w:tc>
        <w:tc>
          <w:tcPr>
            <w:tcW w:w="42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39,211</w:t>
            </w:r>
          </w:p>
        </w:tc>
        <w:tc>
          <w:tcPr>
            <w:tcW w:w="3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32,314</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23,473</w:t>
            </w: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Profit commission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90,006</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80,714</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7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 xml:space="preserve">Ceded premiums written under the 2016 QSR Transaction are recorded as prepaid reinsurance premiums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xml:space="preserve"> on our consolidated balance sheets and amortized to ceded premiums earned in a manner consistent with the recognition of revenue on direct premiums. Under all other QSR Transactions, premiums are ceded on an earned basis as defined in the agreement. NMIC receives a 20% ceding commission for premiums ceded under the QSR Transactions, except with respect to the 2022 Seasoned QSR Transaction under which it receives a 35% ceding commission and the Amended 2020 QSR Transaction under which it receives a 36% ceding commission. NMIC also receives a profit commission under each of the QSR Transactions, provided that the loss ratios on loans covered under the 2016, 2018, 2020 (2020 Amended), 2021, 2022, 2022 Seasoned and 2023 QSR Transactions, generally remain below 60%, 61%, 50% (50% as amended), 57.5%, 62%, 55% and 62%, respectively, as measured annually. Ceded claims and claim expenses under each of the QSR Transactions reduce the respective profit commission received by NMIC on a dollar-for-dollar basis.</w:t>
      </w:r>
    </w:p>
    <w:p>
      <w:pPr>
        <w:spacing w:after="0" w:line="125" w:lineRule="exact"/>
        <w:rPr>
          <w:sz w:val="20"/>
          <w:szCs w:val="20"/>
          <w:color w:val="auto"/>
        </w:rPr>
      </w:pPr>
    </w:p>
    <w:p>
      <w:pPr>
        <w:ind w:firstLine="621"/>
        <w:spacing w:after="0" w:line="263" w:lineRule="auto"/>
        <w:rPr>
          <w:sz w:val="20"/>
          <w:szCs w:val="20"/>
          <w:color w:val="auto"/>
        </w:rPr>
      </w:pPr>
      <w:r>
        <w:rPr>
          <w:rFonts w:ascii="Times New Roman" w:cs="Times New Roman" w:eastAsia="Times New Roman" w:hAnsi="Times New Roman"/>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$1.7 million and $2.6 million as of December 31, 2023 and 2022, respectively.</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accordance with the terms of the 2018, 2020 (2020 Amended), 2021, 2022, 2022 Seasoned and 2023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2022, 2022 Seasoned and 2023 QSR Transactions was $25.8 million and $19.0 million as of December 31, 2023 and 2022,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Reserves for Insurance Claims and Claim Expenses</w:t>
      </w:r>
    </w:p>
    <w:p>
      <w:pPr>
        <w:spacing w:after="0" w:line="169"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w:t>
      </w:r>
    </w:p>
    <w:p>
      <w:pPr>
        <w:spacing w:after="0" w:line="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actuarial review and other factors) to be in default that have not yet been reported to us by servicers, referred to as IBNR reserves. We also establish reserves for claim expenses, which represent the estimated cost of the claim administration process, including legal and other fees, as well as other general expenses of administering the claim settlement process. As of December 31, 2023, we held gross reserves for insurance claims and claim expenses of $124.0 million. During the year ended December 31, 2023, we paid 199 claims totaling $5.2 million, including 186 claims covered under the QSR Transactions representing $1.0 million of ceded claims and claim expenses.</w:t>
      </w:r>
    </w:p>
    <w:p>
      <w:pPr>
        <w:spacing w:after="0" w:line="11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had 5,099 loans in default in our primary insured portfolio as of December 31, 2023, which represented a 0.81% default rate against 629,690 total policies in-force and 4,449 loans in default in our primary portfolio as of December 31, 2022, which represented a 0.75% default rate against 594,142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81"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gross reserve balances for primary insurance claims and claim expenses (benefits):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20" w:type="dxa"/>
            <w:vAlign w:val="bottom"/>
            <w:gridSpan w:val="6"/>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90,567</w:t>
            </w:r>
          </w:p>
        </w:tc>
      </w:tr>
      <w:tr>
        <w:trPr>
          <w:trHeight w:val="220"/>
        </w:trPr>
        <w:tc>
          <w:tcPr>
            <w:tcW w:w="584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(17,608)</w:t>
            </w: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net of reinsurance recoverables</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78,249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83,231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72,959</w:t>
            </w:r>
          </w:p>
        </w:tc>
      </w:tr>
      <w:tr>
        <w:trPr>
          <w:trHeight w:val="239"/>
        </w:trPr>
        <w:tc>
          <w:tcPr>
            <w:tcW w:w="5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claims incurred:</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(benefits) incurred:</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0"/>
        </w:trPr>
        <w:tc>
          <w:tcPr>
            <w:tcW w:w="5840" w:type="dxa"/>
            <w:vAlign w:val="bottom"/>
            <w:shd w:val="clear" w:color="auto" w:fill="CCEEFF"/>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23,433</w:t>
            </w:r>
          </w:p>
        </w:tc>
      </w:tr>
      <w:tr>
        <w:trPr>
          <w:trHeight w:val="220"/>
        </w:trPr>
        <w:tc>
          <w:tcPr>
            <w:tcW w:w="5840" w:type="dxa"/>
            <w:vAlign w:val="bottom"/>
            <w:tcBorders>
              <w:bottom w:val="single" w:sz="8" w:color="CCEEFF"/>
            </w:tcBorders>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(48,762)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(11,128)</w:t>
            </w:r>
          </w:p>
        </w:tc>
      </w:tr>
      <w:tr>
        <w:trPr>
          <w:trHeight w:val="213"/>
        </w:trPr>
        <w:tc>
          <w:tcPr>
            <w:tcW w:w="58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Total claims and claim expenses (benefits) incurred </w:t>
            </w:r>
            <w:r>
              <w:rPr>
                <w:rFonts w:ascii="Times New Roman" w:cs="Times New Roman" w:eastAsia="Times New Roman" w:hAnsi="Times New Roman"/>
                <w:sz w:val="22"/>
                <w:szCs w:val="22"/>
                <w:color w:val="auto"/>
                <w:vertAlign w:val="superscript"/>
              </w:rPr>
              <w:t>(4)</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12,305</w:t>
            </w:r>
          </w:p>
        </w:tc>
      </w:tr>
      <w:tr>
        <w:trPr>
          <w:trHeight w:val="239"/>
        </w:trPr>
        <w:tc>
          <w:tcPr>
            <w:tcW w:w="5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paid:</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0"/>
        </w:trPr>
        <w:tc>
          <w:tcPr>
            <w:tcW w:w="5840" w:type="dxa"/>
            <w:vAlign w:val="bottom"/>
            <w:shd w:val="clear" w:color="auto" w:fill="CCEEFF"/>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0"/>
        </w:trPr>
        <w:tc>
          <w:tcPr>
            <w:tcW w:w="5840" w:type="dxa"/>
            <w:vAlign w:val="bottom"/>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w:t>
            </w:r>
          </w:p>
        </w:tc>
      </w:tr>
      <w:tr>
        <w:trPr>
          <w:trHeight w:val="220"/>
        </w:trPr>
        <w:tc>
          <w:tcPr>
            <w:tcW w:w="5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Reinsurance terminations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claims and claim expenses paid</w:t>
            </w:r>
          </w:p>
        </w:tc>
        <w:tc>
          <w:tcPr>
            <w:tcW w:w="10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2,033</w:t>
            </w:r>
          </w:p>
        </w:tc>
      </w:tr>
      <w:tr>
        <w:trPr>
          <w:trHeight w:val="239"/>
        </w:trPr>
        <w:tc>
          <w:tcPr>
            <w:tcW w:w="58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Reserve at end of period, net of reinsurance recoverables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83,231</w:t>
            </w:r>
          </w:p>
        </w:tc>
      </w:tr>
      <w:tr>
        <w:trPr>
          <w:trHeight w:val="220"/>
        </w:trPr>
        <w:tc>
          <w:tcPr>
            <w:tcW w:w="58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20,320</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123,974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99,836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103,551</w:t>
            </w:r>
          </w:p>
        </w:tc>
      </w:tr>
      <w:tr>
        <w:trPr>
          <w:trHeight w:val="20"/>
        </w:trPr>
        <w:tc>
          <w:tcPr>
            <w:tcW w:w="5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300" w:hanging="297"/>
        <w:spacing w:after="0"/>
        <w:tabs>
          <w:tab w:leader="none" w:pos="3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ceded losses recoverable under the QSR Transactions. See Note 6, “</w:t>
      </w:r>
      <w:r>
        <w:rPr>
          <w:rFonts w:ascii="Times New Roman" w:cs="Times New Roman" w:eastAsia="Times New Roman" w:hAnsi="Times New Roman"/>
          <w:sz w:val="14"/>
          <w:szCs w:val="14"/>
          <w:i w:val="1"/>
          <w:iCs w:val="1"/>
          <w:color w:val="auto"/>
        </w:rPr>
        <w:t>Reinsurance</w:t>
      </w:r>
      <w:r>
        <w:rPr>
          <w:rFonts w:ascii="Times New Roman" w:cs="Times New Roman" w:eastAsia="Times New Roman" w:hAnsi="Times New Roman"/>
          <w:sz w:val="14"/>
          <w:szCs w:val="14"/>
          <w:color w:val="auto"/>
        </w:rPr>
        <w:t>” for additional information.</w:t>
      </w:r>
    </w:p>
    <w:p>
      <w:pPr>
        <w:spacing w:after="0" w:line="21" w:lineRule="exact"/>
        <w:rPr>
          <w:rFonts w:ascii="Times New Roman" w:cs="Times New Roman" w:eastAsia="Times New Roman" w:hAnsi="Times New Roman"/>
          <w:sz w:val="14"/>
          <w:szCs w:val="14"/>
          <w:color w:val="auto"/>
        </w:rPr>
      </w:pPr>
    </w:p>
    <w:p>
      <w:pPr>
        <w:jc w:val="both"/>
        <w:ind w:left="320" w:hanging="317"/>
        <w:spacing w:after="0" w:line="247" w:lineRule="auto"/>
        <w:tabs>
          <w:tab w:leader="none" w:pos="31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$70.6 million attributed to net case reserves and $6.3 million attributed to net IBNR reserves for the year ended December 31, 2023, $39.9 million attributed to net case reserves and $4.5 million attributed to net IBNR reserves for the year ended December 31, 2022, and $18.1 million attributed to net case reserves and $4.7 million attributed to net IBNR reserves for the year ended December 31, 2021.</w:t>
      </w:r>
    </w:p>
    <w:p>
      <w:pPr>
        <w:jc w:val="both"/>
        <w:ind w:left="320" w:hanging="317"/>
        <w:spacing w:after="0" w:line="245" w:lineRule="auto"/>
        <w:tabs>
          <w:tab w:leader="none" w:pos="33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$50.9 million attributed to net case reserves and $4.5 million attributed to net IBNR reserves for the year ended December 31, 2023, $42.5 million attributed to net case reserves and $4.7 million attributed to net IBNR reserves for the year ended December 31, 2022, and $6.3 million attributed to net case reserves and $5.0 million attributed to net IBNR reserves for the year ended December 31, 2021.</w:t>
      </w:r>
    </w:p>
    <w:p>
      <w:pPr>
        <w:spacing w:after="0" w:line="2"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 $0.7 million termination fee for the year ended December 31, 2023 incurred in connection with the amendment of the 2020 QSR Transaction.</w:t>
      </w:r>
    </w:p>
    <w:p>
      <w:pPr>
        <w:spacing w:after="0" w:line="228"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“claims incurred” section of the table above shows claims and claim expenses (benefits) incurred on defaults occurring in current and prior years, including IBNR reserves, and is presented net of reinsurance. The amount of claims incurred relating to current year defaults increased during the year ended December 31, 2023, compared to the years ended December 31, 2022 and 2021, primarily due to an increase in the average case reserve established against newly defaulted loans, as well as an increase in the total number of new delinquencies emerging during the period tied to the growth and natural seasoning of our portfolio. Our provision for claims and claim expenses during the years ended December 31, 2023, 2022 and 2021 benefited from favorable development on prior year defaults. We recognized $56.4 million, $48.8 million and $11.1 million of favorable prior year development during the years ended December 31, 2023, 2022 and 2021, respectively, primarily due to cure activity and ongoing analysis of recent loss development trends. We may increase or decrease our claim estimates and reserves as we learn additional information about individual defaulted loans, and continue to observe and analyze loss development trends in our portfolio. Gross reserves of $24.0 million related to prior year defaults remained as of December 31, 2023.</w:t>
      </w:r>
    </w:p>
    <w:p>
      <w:pPr>
        <w:spacing w:after="0" w:line="127" w:lineRule="exact"/>
        <w:rPr>
          <w:sz w:val="20"/>
          <w:szCs w:val="20"/>
          <w:color w:val="auto"/>
        </w:rPr>
      </w:pPr>
    </w:p>
    <w:p>
      <w:pPr>
        <w:ind w:right="40" w:firstLine="621"/>
        <w:spacing w:after="0" w:line="272" w:lineRule="auto"/>
        <w:rPr>
          <w:sz w:val="20"/>
          <w:szCs w:val="20"/>
          <w:color w:val="auto"/>
        </w:rPr>
      </w:pPr>
      <w:r>
        <w:rPr>
          <w:rFonts w:ascii="Times New Roman" w:cs="Times New Roman" w:eastAsia="Times New Roman" w:hAnsi="Times New Roman"/>
          <w:sz w:val="17"/>
          <w:szCs w:val="17"/>
          <w:color w:val="auto"/>
        </w:rPr>
        <w:t>The following tables provide claim development data by accident year (or the year in which a default has occurred) and a reconciliation to the reserve for insurance claims and claim expenses. The information about net incurred losses and paid claims development for the years ended prior to 2023 is presented as supplementary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16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Cumulative Incurred Claims and Allocated Claims Adjustment Expenses, net of Reinsurance </w:t>
            </w:r>
            <w:r>
              <w:rPr>
                <w:rFonts w:ascii="Times New Roman" w:cs="Times New Roman" w:eastAsia="Times New Roman" w:hAnsi="Times New Roman"/>
                <w:sz w:val="17"/>
                <w:szCs w:val="17"/>
                <w:b w:val="1"/>
                <w:bCs w:val="1"/>
                <w:color w:val="auto"/>
                <w:vertAlign w:val="superscript"/>
              </w:rPr>
              <w:t>(1)</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w w:val="99"/>
              </w:rPr>
              <w:t>As of December 31, 2023</w:t>
            </w:r>
          </w:p>
        </w:tc>
      </w:tr>
      <w:tr>
        <w:trPr>
          <w:trHeight w:val="187"/>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Accident Year</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of IBNR</w:t>
            </w:r>
          </w:p>
        </w:tc>
        <w:tc>
          <w:tcPr>
            <w:tcW w:w="840" w:type="dxa"/>
            <w:vAlign w:val="bottom"/>
            <w:tcBorders>
              <w:bottom w:val="single" w:sz="8" w:color="auto"/>
            </w:tcBorders>
          </w:tcPr>
          <w:p>
            <w:pPr>
              <w:jc w:val="right"/>
              <w:ind w:right="43"/>
              <w:spacing w:after="0" w:line="187" w:lineRule="exact"/>
              <w:rPr>
                <w:sz w:val="20"/>
                <w:szCs w:val="20"/>
                <w:color w:val="auto"/>
              </w:rPr>
            </w:pPr>
            <w:r>
              <w:rPr>
                <w:rFonts w:ascii="Times New Roman" w:cs="Times New Roman" w:eastAsia="Times New Roman" w:hAnsi="Times New Roman"/>
                <w:sz w:val="14"/>
                <w:szCs w:val="14"/>
                <w:b w:val="1"/>
                <w:bCs w:val="1"/>
                <w:color w:val="auto"/>
              </w:rPr>
              <w:t xml:space="preserve">Defaults </w:t>
            </w:r>
            <w:r>
              <w:rPr>
                <w:rFonts w:ascii="Times New Roman" w:cs="Times New Roman" w:eastAsia="Times New Roman" w:hAnsi="Times New Roman"/>
                <w:sz w:val="17"/>
                <w:szCs w:val="17"/>
                <w:b w:val="1"/>
                <w:bCs w:val="1"/>
                <w:color w:val="auto"/>
                <w:vertAlign w:val="superscript"/>
              </w:rPr>
              <w:t>(2)</w:t>
            </w:r>
          </w:p>
        </w:tc>
      </w:tr>
      <w:tr>
        <w:trPr>
          <w:trHeight w:val="181"/>
        </w:trPr>
        <w:tc>
          <w:tcPr>
            <w:tcW w:w="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7"/>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2014</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2015</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4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6,028</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14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9"/>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7,779</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14,391</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7,229</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5,781</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14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9"/>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65,769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315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22,847</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14,337</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14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501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09"/>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44,334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733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05"/>
        </w:trPr>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76,967</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4,694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4,220</w:t>
            </w:r>
          </w:p>
        </w:tc>
      </w:tr>
      <w:tr>
        <w:trPr>
          <w:trHeight w:val="200"/>
        </w:trPr>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115,068</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6,337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w:t>
            </w:r>
          </w:p>
        </w:tc>
      </w:tr>
    </w:tbl>
    <w:p>
      <w:pPr>
        <w:spacing w:after="0" w:line="174" w:lineRule="exact"/>
        <w:rPr>
          <w:sz w:val="20"/>
          <w:szCs w:val="20"/>
          <w:color w:val="auto"/>
        </w:rPr>
      </w:pPr>
    </w:p>
    <w:p>
      <w:pPr>
        <w:ind w:left="260" w:hanging="257"/>
        <w:spacing w:after="0"/>
        <w:tabs>
          <w:tab w:leader="none" w:pos="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case and IBNR reserves.</w:t>
      </w:r>
    </w:p>
    <w:p>
      <w:pPr>
        <w:spacing w:after="0" w:line="8"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defaults outstanding as of December 31,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40" w:type="dxa"/>
            <w:vAlign w:val="bottom"/>
            <w:gridSpan w:val="12"/>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Cumulative Paid Claims and Claims Adjustment Expenses, net of Reinsurance</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Accident Year</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4"/>
                <w:szCs w:val="14"/>
                <w:b w:val="1"/>
                <w:bCs w:val="1"/>
                <w:color w:val="auto"/>
              </w:rPr>
              <w:t>2014</w:t>
            </w:r>
          </w:p>
        </w:tc>
        <w:tc>
          <w:tcPr>
            <w:tcW w:w="96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w w:val="96"/>
              </w:rPr>
              <w:t>(In Thousands)</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2014</w:t>
            </w:r>
          </w:p>
        </w:tc>
        <w:tc>
          <w:tcPr>
            <w:tcW w:w="2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4 $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60" w:type="dxa"/>
            <w:vAlign w:val="bottom"/>
            <w:shd w:val="clear" w:color="auto" w:fill="CCEEFF"/>
          </w:tcPr>
          <w:p>
            <w:pPr>
              <w:jc w:val="right"/>
              <w:ind w:right="467"/>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2015</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jc w:val="right"/>
              <w:ind w:right="245"/>
              <w:spacing w:after="0"/>
              <w:rPr>
                <w:sz w:val="20"/>
                <w:szCs w:val="20"/>
                <w:color w:val="auto"/>
              </w:rPr>
            </w:pPr>
            <w:r>
              <w:rPr>
                <w:rFonts w:ascii="Times New Roman" w:cs="Times New Roman" w:eastAsia="Times New Roman" w:hAnsi="Times New Roman"/>
                <w:sz w:val="16"/>
                <w:szCs w:val="16"/>
                <w:color w:val="auto"/>
              </w:rPr>
              <w:t>50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684</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2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2016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890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2017</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2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2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2018</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2019</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2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2021</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3"/>
              </w:rPr>
              <w:t>2023</w:t>
            </w:r>
          </w:p>
        </w:tc>
        <w:tc>
          <w:tcPr>
            <w:tcW w:w="2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20,305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720" w:type="dxa"/>
            <w:vAlign w:val="bottom"/>
            <w:gridSpan w:val="17"/>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w w:val="98"/>
              </w:rPr>
              <w:t>Reconciliation of Disclosure of Incurred and Paid Claims Development to the Liability for Unpaid Claims and Claim Adjustment Expenses</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gridSpan w:val="3"/>
          </w:tcPr>
          <w:p>
            <w:pPr>
              <w:jc w:val="right"/>
              <w:ind w:right="20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320" w:type="dxa"/>
            <w:vAlign w:val="bottom"/>
            <w:tcBorders>
              <w:bottom w:val="single" w:sz="8" w:color="CCEEFF"/>
            </w:tcBorders>
            <w:gridSpan w:val="1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3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Incurred Claims and Allocated Claims Adjustment Expenses, net of Reinsurance</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115,068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w w:val="99"/>
              </w:rPr>
              <w:t>Cumulative Paid Claims and Claims Adjustment Expenses, net of Reinsurance</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(20,305)</w:t>
            </w:r>
          </w:p>
        </w:tc>
        <w:tc>
          <w:tcPr>
            <w:tcW w:w="0" w:type="dxa"/>
            <w:vAlign w:val="bottom"/>
          </w:tcPr>
          <w:p>
            <w:pPr>
              <w:spacing w:after="0"/>
              <w:rPr>
                <w:sz w:val="1"/>
                <w:szCs w:val="1"/>
                <w:color w:val="auto"/>
              </w:rPr>
            </w:pPr>
          </w:p>
        </w:tc>
      </w:tr>
      <w:tr>
        <w:trPr>
          <w:trHeight w:val="209"/>
        </w:trPr>
        <w:tc>
          <w:tcPr>
            <w:tcW w:w="36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All outstanding liabilities before 2014, net of reinsurance</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32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Liabilities for unpaid claims and allocated claims adjustment expenses, net of reinsurance</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Reinsurance recoverable on unpaid claims</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7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Unallocated claims adjustment expenses</w:t>
            </w:r>
          </w:p>
        </w:tc>
        <w:tc>
          <w:tcPr>
            <w:tcW w:w="9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8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Total gross liability for unpaid claims and claim adjustment expenses</w:t>
            </w:r>
          </w:p>
        </w:tc>
        <w:tc>
          <w:tcPr>
            <w:tcW w:w="6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123,974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8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is supplementary information shows the average percentage of claims and allocated claims adjustment expenses paid in the years following the incurrence of a claim as of December 31, 2023:</w:t>
      </w:r>
    </w:p>
    <w:p>
      <w:pPr>
        <w:spacing w:after="0" w:line="76"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8740" w:type="dxa"/>
            <w:vAlign w:val="bottom"/>
            <w:gridSpan w:val="10"/>
          </w:tcPr>
          <w:p>
            <w:pPr>
              <w:jc w:val="right"/>
              <w:ind w:right="347"/>
              <w:spacing w:after="0"/>
              <w:rPr>
                <w:sz w:val="20"/>
                <w:szCs w:val="20"/>
                <w:color w:val="auto"/>
              </w:rPr>
            </w:pPr>
            <w:r>
              <w:rPr>
                <w:rFonts w:ascii="Times New Roman" w:cs="Times New Roman" w:eastAsia="Times New Roman" w:hAnsi="Times New Roman"/>
                <w:sz w:val="14"/>
                <w:szCs w:val="14"/>
                <w:b w:val="1"/>
                <w:bCs w:val="1"/>
                <w:color w:val="auto"/>
              </w:rPr>
              <w:t>Average annual percentage payout of incurred claims and allocated claims adjustment expenses by age, net of reinsurance (unaudited)</w:t>
            </w:r>
          </w:p>
        </w:tc>
      </w:tr>
      <w:tr>
        <w:trPr>
          <w:trHeight w:val="23"/>
        </w:trPr>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1"/>
        </w:trPr>
        <w:tc>
          <w:tcPr>
            <w:tcW w:w="23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1</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2</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3</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4</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6</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7</w:t>
            </w:r>
          </w:p>
        </w:tc>
        <w:tc>
          <w:tcPr>
            <w:tcW w:w="106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4"/>
                <w:szCs w:val="14"/>
                <w:b w:val="1"/>
                <w:bCs w:val="1"/>
                <w:color w:val="auto"/>
              </w:rPr>
              <w:t>Year 8</w:t>
            </w:r>
          </w:p>
        </w:tc>
        <w:tc>
          <w:tcPr>
            <w:tcW w:w="9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Year 9</w:t>
            </w:r>
          </w:p>
        </w:tc>
        <w:tc>
          <w:tcPr>
            <w:tcW w:w="84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4"/>
                <w:szCs w:val="14"/>
                <w:b w:val="1"/>
                <w:bCs w:val="1"/>
                <w:color w:val="auto"/>
              </w:rPr>
              <w:t>Year 10</w:t>
            </w:r>
          </w:p>
        </w:tc>
      </w:tr>
      <w:tr>
        <w:trPr>
          <w:trHeight w:val="205"/>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Claims duration disclosure</w:t>
            </w:r>
          </w:p>
        </w:tc>
        <w:tc>
          <w:tcPr>
            <w:tcW w:w="8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6"/>
                <w:szCs w:val="16"/>
                <w:color w:val="auto"/>
              </w:rPr>
              <w:t>36%</w:t>
            </w:r>
          </w:p>
        </w:tc>
        <w:tc>
          <w:tcPr>
            <w:tcW w:w="84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6"/>
                <w:szCs w:val="16"/>
                <w:color w:val="auto"/>
              </w:rPr>
              <w:t>25%</w:t>
            </w:r>
          </w:p>
        </w:tc>
        <w:tc>
          <w:tcPr>
            <w:tcW w:w="84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6"/>
                <w:szCs w:val="16"/>
                <w:color w:val="auto"/>
              </w:rPr>
              <w:t>9%</w:t>
            </w:r>
          </w:p>
        </w:tc>
        <w:tc>
          <w:tcPr>
            <w:tcW w:w="84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6"/>
                <w:szCs w:val="16"/>
                <w:color w:val="auto"/>
              </w:rPr>
              <w:t>4%</w:t>
            </w:r>
          </w:p>
        </w:tc>
        <w:tc>
          <w:tcPr>
            <w:tcW w:w="88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6"/>
                <w:szCs w:val="16"/>
                <w:color w:val="auto"/>
              </w:rPr>
              <w:t>0%</w:t>
            </w:r>
          </w:p>
        </w:tc>
        <w:tc>
          <w:tcPr>
            <w:tcW w:w="10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2 %</w:t>
            </w:r>
          </w:p>
        </w:tc>
        <w:tc>
          <w:tcPr>
            <w:tcW w:w="96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6"/>
                <w:szCs w:val="16"/>
                <w:color w:val="auto"/>
              </w:rPr>
              <w:t>0 %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Earnings per Share</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RSUs, and the exercise of vested and unvested stock options and outstanding warrants.</w:t>
      </w:r>
    </w:p>
    <w:p>
      <w:pPr>
        <w:spacing w:after="0" w:line="60"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reconciles the net income and the weighted average shares of common stock outstanding used in the computations of basic and diluted EPS of common stock:</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60" w:type="dxa"/>
            <w:vAlign w:val="bottom"/>
            <w:gridSpan w:val="6"/>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28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60" w:type="dxa"/>
            <w:vAlign w:val="bottom"/>
            <w:gridSpan w:val="6"/>
          </w:tcPr>
          <w:p>
            <w:pPr>
              <w:jc w:val="center"/>
              <w:ind w:left="136"/>
              <w:spacing w:after="0"/>
              <w:rPr>
                <w:sz w:val="20"/>
                <w:szCs w:val="20"/>
                <w:color w:val="auto"/>
              </w:rPr>
            </w:pPr>
            <w:r>
              <w:rPr>
                <w:rFonts w:ascii="Times New Roman" w:cs="Times New Roman" w:eastAsia="Times New Roman" w:hAnsi="Times New Roman"/>
                <w:sz w:val="14"/>
                <w:szCs w:val="14"/>
                <w:i w:val="1"/>
                <w:iCs w:val="1"/>
                <w:color w:val="auto"/>
                <w:w w:val="97"/>
              </w:rPr>
              <w:t>(In Thousands, except for per share data)</w:t>
            </w:r>
          </w:p>
        </w:tc>
        <w:tc>
          <w:tcPr>
            <w:tcW w:w="128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231,130</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Basic weighted average shares outstanding</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85,620</w:t>
            </w: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per share</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5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231,130</w:t>
            </w:r>
          </w:p>
        </w:tc>
      </w:tr>
      <w:tr>
        <w:trPr>
          <w:trHeight w:val="220"/>
        </w:trPr>
        <w:tc>
          <w:tcPr>
            <w:tcW w:w="584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Gain from change in fair value of warrant liability </w:t>
            </w:r>
            <w:r>
              <w:rPr>
                <w:rFonts w:ascii="Times New Roman" w:cs="Times New Roman" w:eastAsia="Times New Roman" w:hAnsi="Times New Roman"/>
                <w:sz w:val="22"/>
                <w:szCs w:val="22"/>
                <w:color w:val="auto"/>
                <w:vertAlign w:val="superscript"/>
              </w:rPr>
              <w:t>(1)</w:t>
            </w:r>
          </w:p>
        </w:tc>
        <w:tc>
          <w:tcPr>
            <w:tcW w:w="10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13"/>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w:t>
            </w:r>
          </w:p>
        </w:tc>
        <w:tc>
          <w:tcPr>
            <w:tcW w:w="1060" w:type="dxa"/>
            <w:vAlign w:val="bottom"/>
            <w:tcBorders>
              <w:top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291,789</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230,564</w:t>
            </w:r>
          </w:p>
        </w:tc>
      </w:tr>
      <w:tr>
        <w:trPr>
          <w:trHeight w:val="246"/>
        </w:trPr>
        <w:tc>
          <w:tcPr>
            <w:tcW w:w="5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weighted average shares outstanding</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85,620</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Dilutive effect of issuable shares</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1,265</w:t>
            </w: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shares outstanding</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85,999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86,885</w:t>
            </w:r>
          </w:p>
        </w:tc>
      </w:tr>
      <w:tr>
        <w:trPr>
          <w:trHeight w:val="246"/>
        </w:trPr>
        <w:tc>
          <w:tcPr>
            <w:tcW w:w="584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5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Anti-dilutive shares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bl>
    <w:p>
      <w:pPr>
        <w:spacing w:after="0" w:line="212" w:lineRule="exact"/>
        <w:rPr>
          <w:sz w:val="20"/>
          <w:szCs w:val="20"/>
          <w:color w:val="auto"/>
        </w:rPr>
      </w:pPr>
    </w:p>
    <w:p>
      <w:pPr>
        <w:jc w:val="both"/>
        <w:ind w:left="320" w:right="60" w:hanging="317"/>
        <w:spacing w:after="0" w:line="264" w:lineRule="auto"/>
        <w:tabs>
          <w:tab w:leader="none" w:pos="30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issued 992 thousand warrants in connection with a private placement of our common stock in April 2012. The warrants were issued with a ten-year contractual term and all unexercised warrants expired in April 2022. Changes in the fair value of warrants were reported in our consolidated statements of operations and comprehensive income in the period in which such changes occurred. No warrants remained outstanding as of December 31, 2023 or 2022.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Share-Based Compensation</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Share-based compensation includes stock options, service-based RSUs and performance and service-based RSUs granted under our 2012 Stock Incentive Plan (2012 Plan) and our Amended and Restated 2014 Omnibus Incentive Plan (2014 Plan, and together with the 2012 Plan, the Stock Plans).</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2012 Plan was approved by the Board on April 16, 2012 and authorized 5.5 million shares of common stock to be reserved for issuance, with limits of 3.85 million shares available for stock option issuance and 1.65 million shares available for RSU issuance. The 2012 Plan expired on April 24, 2022, with all unissued shares of common stock remaining under the 2012 Plan expiring thereafter. Share-based compensation previously issued under the 2012 Plan remains outstanding following the 2012 Plan expiry to the extent non-exercised or non-vested.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8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The 2014 Plan was originally approved by our stockholders at our annual meeting on May 8, 2014 and authorized 4.0 million shares of common stock to be reserved for issuance. On May 11, 2017, our stockholders approved amendments to the 2014 Plan at our annual stockholder meeting, authorizing an additional 2.0 million shares of common stock for issuance, increasing the total shares of common stock reserved for issuance under the plan to 6.0 million with the full amount available to be issued as either RSUs or options. On May 12, 2022, our stockholders approved further amendments to the 2014 Plan, authorizing an additional 2.25 million shares of common stock for issuance, increasing the total shares of common stock reserved for issuance under the plan to 8.25 million with the full amount available to be issued as either RSUs or options. These shares may be either authorized but unissued shares or treasury shares. Options granted under the 2014 Plan are non-qualified stock options and may be granted to employees, directors and other key persons. The exercise price per share for options covered by the 2014 Plan is determined by the Board at the time of grant, but shall not be less than the fair market value of our common stock, defined as the closing price of our common stock, on the date of the grant. The term of the stock option grants is established by the Board, but no stock option shall be exercisable more than ten years after the date the stock option was granted. The vesting period of the stock option grants is also established by the Board at the time of grant and is generally expected to be a three-year period.</w:t>
      </w:r>
    </w:p>
    <w:p>
      <w:pPr>
        <w:spacing w:after="0" w:line="12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For the years ended December 31, 2023, 2022 and 2021, we incurred $16.9 million, $15.4 million and $16.7 million, respectively, of expenses related to awards granted under the Stock Plans and we recognized associated gross income tax benefits of $3.6 million, $3.2 million and $3.5 million during each respective period.</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option activity during the year ended December 31, 2023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74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6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8"/>
              </w:rPr>
              <w:t>Weighted Average Grant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88"/>
        </w:trPr>
        <w:tc>
          <w:tcPr>
            <w:tcW w:w="5840" w:type="dxa"/>
            <w:vAlign w:val="bottom"/>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Fair Value per Share</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6"/>
        </w:trPr>
        <w:tc>
          <w:tcPr>
            <w:tcW w:w="5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center"/>
              <w:ind w:right="78"/>
              <w:spacing w:after="0"/>
              <w:rPr>
                <w:sz w:val="20"/>
                <w:szCs w:val="20"/>
                <w:color w:val="auto"/>
              </w:rPr>
            </w:pPr>
            <w:r>
              <w:rPr>
                <w:rFonts w:ascii="Times New Roman" w:cs="Times New Roman" w:eastAsia="Times New Roman" w:hAnsi="Times New Roman"/>
                <w:sz w:val="14"/>
                <w:szCs w:val="14"/>
                <w:i w:val="1"/>
                <w:iCs w:val="1"/>
                <w:color w:val="auto"/>
                <w:w w:val="98"/>
              </w:rPr>
              <w:t>(Shares in Thousands)</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4.93</w:t>
            </w:r>
          </w:p>
        </w:tc>
        <w:tc>
          <w:tcPr>
            <w:tcW w:w="4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exercised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3.74</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forfeited</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expired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2023</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5.61</w:t>
            </w:r>
          </w:p>
        </w:tc>
        <w:tc>
          <w:tcPr>
            <w:tcW w:w="480" w:type="dxa"/>
            <w:vAlign w:val="bottom"/>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2023, there were 0.7 million fully vested and exercisable options. During the year ended December 31, 2023, 0.4 million options were exercised with an aggregate intrinsic value of $8.2 million.</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weighted average exercise price for fully vested and exercisable options outstanding as of December 31, 2023 was $15.53 and the weighted average remaining contractual life of such options was 3.81 years as of December 31, 2023. The aggregate intrinsic value of such fully vested and exercisable options was $10.3 million as of December 31, 2023.</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No stock options were granted during the years ended December 31, 2023, 2022 and 2021. As of December 31, 2023, all outstanding options had vested and no unrecognized compensation cost related to non-vested stock options remained.</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RSU activity during the year ended December 31, 2023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720" w:type="dxa"/>
            <w:vAlign w:val="bottom"/>
            <w:vMerge w:val="restart"/>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8"/>
              </w:rPr>
              <w:t>Weighted Average Grant</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3560" w:type="dxa"/>
            <w:vAlign w:val="bottom"/>
            <w:gridSpan w:val="3"/>
          </w:tcPr>
          <w:p>
            <w:pPr>
              <w:jc w:val="right"/>
              <w:ind w:right="1076"/>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December 31, 2022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 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22.75</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Performance adjustment </w:t>
            </w:r>
            <w:r>
              <w:rPr>
                <w:rFonts w:ascii="Times New Roman" w:cs="Times New Roman" w:eastAsia="Times New Roman" w:hAnsi="Times New Roman"/>
                <w:sz w:val="22"/>
                <w:szCs w:val="22"/>
                <w:color w:val="auto"/>
                <w:vertAlign w:val="superscript"/>
              </w:rPr>
              <w:t>(1)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31.00</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Restricted stock units vested </w:t>
            </w:r>
            <w:r>
              <w:rPr>
                <w:rFonts w:ascii="Times New Roman" w:cs="Times New Roman" w:eastAsia="Times New Roman" w:hAnsi="Times New Roman"/>
                <w:sz w:val="22"/>
                <w:szCs w:val="22"/>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24.68</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forfeited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December 31, 2023</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20" w:right="480" w:hanging="317"/>
        <w:spacing w:after="0" w:line="258" w:lineRule="auto"/>
        <w:tabs>
          <w:tab w:leader="none" w:pos="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adjustment represents the difference between the number of target shares at grant date and the number of shares vested at settlement, which can range from 0% to 200% of target achievement depending on results over the applicable performance period.</w:t>
      </w:r>
    </w:p>
    <w:p>
      <w:pPr>
        <w:ind w:left="260" w:hanging="257"/>
        <w:spacing w:after="0"/>
        <w:tabs>
          <w:tab w:leader="none" w:pos="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vested during the year, including the impact of performance adjustments for service and performance-based RSUs.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At December 31, 2023, we had 1.3 million granted and non-vested RSUs with a weighted average remaining contractual life of 1.28 years, consisting of 0.9 million RSUs that are subject to service-based vesting requirements and 0.4 million RSUs that are subject to performance and service-based vesting requirements. The total fair value of RSUs vested during the year ended December 31, 2023 was $14.2 million. As of December 31, 2023, $12.1 million of total unrecognized compensation costs related to non-vested RSUs remained. Total remaining unrecognized compensation costs related to non-vested RSUs outstanding at December 31, 2023 will be recognized on a weighted average basis over 1.27 years.</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Non-vested RSUs subject to service-based vesting requirements vest over a period ranging from one to three years. Non-vested RSUs subject to performance and service-based vesting requirements vest after a three-year period, with the number of shares issued upon vesting based on the actual achievement of compound annual book value per share growth compared to a target established at the time of grant. The grant date fair value of non-vested RSUs is measured as the closing price of our common stock on the date of grant less the present value of anticipated dividends to be paid during the vesting period.</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401(k) Savings Plan</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offer our employees a 401(k) Savings Plan (401(k) Plan) that qualifies as a deferred salary arrangement under Section 401(k) of the Internal Revenue Code (IRC). Under the 401(k) Plan, we match up to 100% of eligible employees' pre-tax contributions up to 5% of eligible compensation. During the years ended December 31, 2023, 2022 and 2021, we incurred approximately $1.9 million, $2.0 million and $2.0 million of expense related to our matching 401(k) Plan contributions,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are a U.S. taxpayer and are subject to a statutory U.S. federal corporate income tax rate of 21%. NMIH files a consolidated U.S. federal and various state income tax returns on behalf of itself and its subsidiaries.</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income tax expense consists of the following components: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0" w:type="dxa"/>
            <w:vAlign w:val="bottom"/>
            <w:gridSpan w:val="6"/>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90,593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84,393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65,510</w:t>
            </w: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tax expense</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90,593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84,403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65,595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a reconciliation between the federal statutory income tax rate and our effective income tax rate:</w:t>
      </w:r>
    </w:p>
    <w:p>
      <w:pPr>
        <w:spacing w:after="0" w:line="13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201"/>
        </w:trPr>
        <w:tc>
          <w:tcPr>
            <w:tcW w:w="56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Federal statutory income tax rate</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0"/>
        </w:trPr>
        <w:tc>
          <w:tcPr>
            <w:tcW w:w="6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State provision</w:t>
            </w: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7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7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0.5</w:t>
            </w:r>
          </w:p>
        </w:tc>
      </w:tr>
      <w:tr>
        <w:trPr>
          <w:trHeight w:val="220"/>
        </w:trPr>
        <w:tc>
          <w:tcPr>
            <w:tcW w:w="6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Share-based and other compensation</w:t>
            </w:r>
          </w:p>
        </w:tc>
        <w:tc>
          <w:tcPr>
            <w:tcW w:w="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0.6</w:t>
            </w:r>
          </w:p>
        </w:tc>
      </w:tr>
      <w:tr>
        <w:trPr>
          <w:trHeight w:val="220"/>
        </w:trPr>
        <w:tc>
          <w:tcPr>
            <w:tcW w:w="6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Warrant gain</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7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6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22.0 %</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22.4 %</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22.1 %</w:t>
            </w:r>
          </w:p>
        </w:tc>
      </w:tr>
      <w:tr>
        <w:trPr>
          <w:trHeight w:val="20"/>
        </w:trPr>
        <w:tc>
          <w:tcPr>
            <w:tcW w:w="5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our net deferred tax liability are summarized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00" w:type="dxa"/>
            <w:vAlign w:val="bottom"/>
          </w:tcPr>
          <w:p>
            <w:pPr>
              <w:spacing w:after="0"/>
              <w:rPr>
                <w:sz w:val="15"/>
                <w:szCs w:val="15"/>
                <w:color w:val="auto"/>
              </w:rPr>
            </w:pPr>
          </w:p>
        </w:tc>
      </w:tr>
      <w:tr>
        <w:trPr>
          <w:trHeight w:val="23"/>
        </w:trPr>
        <w:tc>
          <w:tcPr>
            <w:tcW w:w="7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0"/>
        </w:trPr>
        <w:tc>
          <w:tcPr>
            <w:tcW w:w="76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7"/>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1020" w:type="dxa"/>
            <w:vAlign w:val="bottom"/>
          </w:tcPr>
          <w:p>
            <w:pPr>
              <w:spacing w:after="0"/>
              <w:rPr>
                <w:sz w:val="17"/>
                <w:szCs w:val="17"/>
                <w:color w:val="auto"/>
              </w:rPr>
            </w:pPr>
          </w:p>
        </w:tc>
        <w:tc>
          <w:tcPr>
            <w:tcW w:w="1440" w:type="dxa"/>
            <w:vAlign w:val="bottom"/>
            <w:gridSpan w:val="3"/>
          </w:tcPr>
          <w:p>
            <w:pPr>
              <w:jc w:val="right"/>
              <w:ind w:right="17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Pr>
          <w:p>
            <w:pPr>
              <w:spacing w:after="0"/>
              <w:rPr>
                <w:sz w:val="17"/>
                <w:szCs w:val="17"/>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Unrealized loss on investments</w:t>
            </w: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36,085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53,205</w:t>
            </w: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 carryforward</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8,898</w:t>
            </w: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w:t>
            </w: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Unearned premium reserve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5,264</w:t>
            </w: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r>
      <w:tr>
        <w:trPr>
          <w:trHeight w:val="220"/>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w:t>
            </w: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gross deferred tax asset</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57,537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76,074</w:t>
            </w:r>
          </w:p>
        </w:tc>
      </w:tr>
      <w:tr>
        <w:trPr>
          <w:trHeight w:val="22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(9,169)</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(8,888)</w:t>
            </w: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asset</w:t>
            </w: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48,368</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67,186</w:t>
            </w:r>
          </w:p>
        </w:tc>
      </w:tr>
      <w:tr>
        <w:trPr>
          <w:trHeight w:val="20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liability:</w:t>
            </w: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Contingency reserve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(331,342)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(242,192)</w:t>
            </w: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acquisition costs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(12,653)</w:t>
            </w: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Capitalized software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w:t>
            </w:r>
          </w:p>
        </w:tc>
      </w:tr>
      <w:tr>
        <w:trPr>
          <w:trHeight w:val="220"/>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(2,517)</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(1,463)</w:t>
            </w: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liability</w:t>
            </w: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(349,941)</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(261,045)</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income tax (liability)</w:t>
            </w:r>
          </w:p>
        </w:tc>
        <w:tc>
          <w:tcPr>
            <w:tcW w:w="102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(301,573)</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(193,859)</w:t>
            </w:r>
          </w:p>
        </w:tc>
      </w:tr>
      <w:tr>
        <w:trPr>
          <w:trHeight w:val="20"/>
        </w:trPr>
        <w:tc>
          <w:tcPr>
            <w:tcW w:w="7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As a mortgage guaranty insurance company, we are eligible to claim a tax deduction for our statutory contingency reserve balance, subject to certain limitations outlined under IRC Section 832(e), to the extent we acquire tax and loss bonds in an amount equal to the tax benefit derived from the claimed deduction, which is our intent.</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During the years ended December 31, 2023, 2022 and 2021, we purchased $80.9 million, $65.2 million and $42.9 million, of tax and loss bonds, respectively. As a result, we had no current federal income tax provision for the years ended December 31, 2023, 2022 and 2021. As of December 31, 2023 and 2022, we held $235.3 million and $154.4 million of tax and loss bonds, respectively, in "</w:t>
      </w:r>
      <w:r>
        <w:rPr>
          <w:rFonts w:ascii="Times New Roman" w:cs="Times New Roman" w:eastAsia="Times New Roman" w:hAnsi="Times New Roman"/>
          <w:sz w:val="17"/>
          <w:szCs w:val="17"/>
          <w:i w:val="1"/>
          <w:iCs w:val="1"/>
          <w:color w:val="auto"/>
        </w:rPr>
        <w:t>Prepaid Federal Income Taxes</w:t>
      </w:r>
      <w:r>
        <w:rPr>
          <w:rFonts w:ascii="Times New Roman" w:cs="Times New Roman" w:eastAsia="Times New Roman" w:hAnsi="Times New Roman"/>
          <w:sz w:val="17"/>
          <w:szCs w:val="17"/>
          <w:color w:val="auto"/>
        </w:rPr>
        <w:t>" on our consolidated balance sheets.</w:t>
      </w:r>
    </w:p>
    <w:p>
      <w:pPr>
        <w:spacing w:after="0" w:line="18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At December 31, 2023, we had a federal net operating loss carryforward of $1.2 million which expires in varying amounts in 2030 and 2031, and state net operating loss carryforwards of $136.5 million, which begin to expire in varying amounts in 2031. Section 382 of the IRC imposes annual limitations on a corporation's ability to utilize its net operating loss carryforward if it experiences an "ownership change." As a result of the acquisition of our insurance subsidiaries in 2012, $7.3 million of federal net operating losses were subject to annual limitations of $0.8 million through 2016, $0.5 million in 2017 and $0.3 million, thereafter, through 2028. Our federal net operating loss carryforward arises from this limitation and the constraint on our ability to utilize the net operating loss carryforward in full during the current period.</w:t>
      </w:r>
    </w:p>
    <w:p>
      <w:pPr>
        <w:spacing w:after="0" w:line="12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are required to establish a valuation allowance against our deferred tax assets when it is more likely than not that all or a portion of the asset will not be realized. We assess our need for a valuation allowance on a quarterly basis. In the course of our review, we assess all available evidence, both positive and negative, including our expectations for future sources of income and contractual cash flows, the availability and application of tax planning strategies, and the potential reversal of temporary tax differences. At December 31, 2023 and 2022, we recorded valuation allowances of $9.2 million and $8.9 million, respectively, against state net deferred tax assets. The valuation allowances for both years primarily relate to state net operating losses generated by NMIH, as NMIH operates at a loss and currently only generates revenue from its investment portfolio.</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2023 and 2022, we had zero reserves for unrecognized tax benefits as we have taken no material uncertain tax positions that would have required a reserve to be measured and recognized.</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file income tax returns with the U.S. federal government and various state jurisdictions that are subject to potential examination by tax authorities. We are not currently under examination by federal or state jurisdictions. Our U.S. federal income tax returns for 2020 and subsequent years, and state income tax returns for 2019 and subsequent years, remain open by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Software and Equipment</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Software and equipment consist largely of capitalized software developed to support our mortgage insurance operations. Software and equipment, net of accumulated amortization and depreciation, as of December 31, 2023 and 2022, consists of the following: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5"/>
                <w:szCs w:val="15"/>
                <w:color w:val="auto"/>
              </w:rPr>
            </w:pPr>
          </w:p>
        </w:tc>
        <w:tc>
          <w:tcPr>
            <w:tcW w:w="15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4"/>
          </w:tcPr>
          <w:p>
            <w:pPr>
              <w:spacing w:after="0" w:line="20" w:lineRule="exact"/>
              <w:rPr>
                <w:sz w:val="1"/>
                <w:szCs w:val="1"/>
                <w:color w:val="auto"/>
              </w:rPr>
            </w:pPr>
          </w:p>
        </w:tc>
      </w:tr>
      <w:tr>
        <w:trPr>
          <w:trHeight w:val="181"/>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4"/>
          </w:tcPr>
          <w:p>
            <w:pPr>
              <w:jc w:val="right"/>
              <w:ind w:right="1276"/>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83,016</w:t>
            </w: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10,731</w:t>
            </w: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96,258</w:t>
            </w: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amortization and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(64,328)</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30,252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31,930</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Capitalized costs for software, equipment, and leasehold improvements during the years ended December 31, 2023, 2022 and 2021 were $9.9 million, $11.8 million and $13.6 million, respectively. Amortization and depreciation expense for software, equipment, and leasehold improvements for the years ended December 31, 2023, 2022 and 2021 were $11.5 million, $11.9 million and $11.2 million,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Intangible Assets and Goodwill</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Intangible assets and goodwill consist of identifiable intangible assets and goodwill purchased in connection with the acquisition of our insurance subsidiaries. Intangible assets and goodwill as of both December 31, 2023 and 2022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357"/>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Expected Lives</w:t>
            </w:r>
          </w:p>
        </w:tc>
      </w:tr>
      <w:tr>
        <w:trPr>
          <w:trHeight w:val="23"/>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Indefinite</w:t>
            </w: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licenses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Indefinite</w:t>
            </w: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GSE applications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Indefinite</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 and goodwill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test goodwill and intangible assets for impairment annually or more frequently if we believe indicators of impairment exist. No impairments of indefinite-lived intangibles or goodwill were identified during the years ended December 31, 2023, 2022 and 2021.</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Leases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have two operating lease agreements related to our corporate headquarters and a data center facility for which we recognized operating ROU assets and lease liabilities of $9.1 million and $11.4 million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Other Liabilities</w:t>
      </w:r>
      <w:r>
        <w:rPr>
          <w:rFonts w:ascii="Times New Roman" w:cs="Times New Roman" w:eastAsia="Times New Roman" w:hAnsi="Times New Roman"/>
          <w:sz w:val="17"/>
          <w:szCs w:val="17"/>
          <w:color w:val="auto"/>
        </w:rPr>
        <w:t>," respectively, on our consolidated balance sheets as of December 31, 2023. As of December 31, 2022, we recognized operating ROU assets and lease liabilities of $10.4 million and $12.1 million, respectively. As of December 31, 2023 and 2022, we did not have any finance leases.</w:t>
      </w:r>
    </w:p>
    <w:p>
      <w:pPr>
        <w:spacing w:after="0" w:line="116" w:lineRule="exact"/>
        <w:rPr>
          <w:sz w:val="20"/>
          <w:szCs w:val="20"/>
          <w:color w:val="auto"/>
        </w:rPr>
      </w:pPr>
    </w:p>
    <w:p>
      <w:pPr>
        <w:jc w:val="both"/>
        <w:ind w:firstLine="621"/>
        <w:spacing w:after="0" w:line="251" w:lineRule="auto"/>
        <w:rPr>
          <w:sz w:val="20"/>
          <w:szCs w:val="20"/>
          <w:color w:val="auto"/>
        </w:rPr>
      </w:pPr>
      <w:r>
        <w:rPr>
          <w:rFonts w:ascii="Times New Roman" w:cs="Times New Roman" w:eastAsia="Times New Roman" w:hAnsi="Times New Roman"/>
          <w:sz w:val="17"/>
          <w:szCs w:val="17"/>
          <w:color w:val="auto"/>
        </w:rPr>
        <w:t>In January 2022 we modified the lease for our corporate headquarters, securing a reduction in pricing and incremental leasehold improvement concessions, reducing the square footage of leased space and extending the remaining term through March 2030. In February 2022, we renewed the lease of our data center facility, extending its term through January 2024. Upon the respective modification and extension, the ROU asset and liability associated with each lease was remeasured, using our current estimated incremental borrowing rate, resulting in an aggregate increase to ROU assets and lease liabilities of $9.7 million. We did not enter any new operating leases or recognize any new ROU assets or lease liabilities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9560" w:type="dxa"/>
            <w:vAlign w:val="bottom"/>
          </w:tcPr>
          <w:p>
            <w:pPr>
              <w:jc w:val="center"/>
              <w:ind w:left="1594"/>
              <w:spacing w:after="0"/>
              <w:rPr>
                <w:sz w:val="20"/>
                <w:szCs w:val="20"/>
                <w:color w:val="auto"/>
              </w:rPr>
            </w:pPr>
            <w:r>
              <w:rPr>
                <w:rFonts w:ascii="Times New Roman" w:cs="Times New Roman" w:eastAsia="Times New Roman" w:hAnsi="Times New Roman"/>
                <w:sz w:val="17"/>
                <w:szCs w:val="17"/>
                <w:color w:val="auto"/>
              </w:rPr>
              <w:t>NMI HOLDINGS, INC.</w:t>
            </w:r>
          </w:p>
        </w:tc>
        <w:tc>
          <w:tcPr>
            <w:tcW w:w="1560" w:type="dxa"/>
            <w:vAlign w:val="bottom"/>
          </w:tcPr>
          <w:p>
            <w:pPr>
              <w:spacing w:after="0"/>
              <w:rPr>
                <w:sz w:val="17"/>
                <w:szCs w:val="17"/>
                <w:color w:val="auto"/>
              </w:rPr>
            </w:pPr>
          </w:p>
        </w:tc>
      </w:tr>
      <w:tr>
        <w:trPr>
          <w:trHeight w:val="207"/>
        </w:trPr>
        <w:tc>
          <w:tcPr>
            <w:tcW w:w="9560" w:type="dxa"/>
            <w:vAlign w:val="bottom"/>
          </w:tcPr>
          <w:p>
            <w:pPr>
              <w:jc w:val="center"/>
              <w:ind w:left="1594"/>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560" w:type="dxa"/>
            <w:vAlign w:val="bottom"/>
          </w:tcPr>
          <w:p>
            <w:pPr>
              <w:spacing w:after="0"/>
              <w:rPr>
                <w:sz w:val="17"/>
                <w:szCs w:val="17"/>
                <w:color w:val="auto"/>
              </w:rPr>
            </w:pPr>
          </w:p>
        </w:tc>
      </w:tr>
      <w:tr>
        <w:trPr>
          <w:trHeight w:val="226"/>
        </w:trPr>
        <w:tc>
          <w:tcPr>
            <w:tcW w:w="9560" w:type="dxa"/>
            <w:vAlign w:val="bottom"/>
          </w:tcPr>
          <w:p>
            <w:pPr>
              <w:jc w:val="center"/>
              <w:ind w:left="1614"/>
              <w:spacing w:after="0"/>
              <w:rPr>
                <w:sz w:val="20"/>
                <w:szCs w:val="20"/>
                <w:color w:val="auto"/>
              </w:rPr>
            </w:pPr>
            <w:r>
              <w:rPr>
                <w:rFonts w:ascii="Times New Roman" w:cs="Times New Roman" w:eastAsia="Times New Roman" w:hAnsi="Times New Roman"/>
                <w:sz w:val="17"/>
                <w:szCs w:val="17"/>
                <w:color w:val="auto"/>
              </w:rPr>
              <w:t>DECEMBER 31, 2023</w:t>
            </w:r>
          </w:p>
        </w:tc>
        <w:tc>
          <w:tcPr>
            <w:tcW w:w="1560" w:type="dxa"/>
            <w:vAlign w:val="bottom"/>
          </w:tcPr>
          <w:p>
            <w:pPr>
              <w:spacing w:after="0"/>
              <w:rPr>
                <w:sz w:val="19"/>
                <w:szCs w:val="19"/>
                <w:color w:val="auto"/>
              </w:rPr>
            </w:pPr>
          </w:p>
        </w:tc>
      </w:tr>
      <w:tr>
        <w:trPr>
          <w:trHeight w:val="595"/>
        </w:trPr>
        <w:tc>
          <w:tcPr>
            <w:tcW w:w="95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provides a summary of our ROU asset and lease liability assumptions as of December 31, 2023:</w:t>
            </w:r>
          </w:p>
        </w:tc>
        <w:tc>
          <w:tcPr>
            <w:tcW w:w="1560" w:type="dxa"/>
            <w:vAlign w:val="bottom"/>
          </w:tcPr>
          <w:p>
            <w:pPr>
              <w:spacing w:after="0"/>
              <w:rPr>
                <w:sz w:val="24"/>
                <w:szCs w:val="24"/>
                <w:color w:val="auto"/>
              </w:rPr>
            </w:pPr>
          </w:p>
        </w:tc>
      </w:tr>
      <w:tr>
        <w:trPr>
          <w:trHeight w:val="168"/>
        </w:trPr>
        <w:tc>
          <w:tcPr>
            <w:tcW w:w="95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 years</w:t>
            </w:r>
          </w:p>
        </w:tc>
      </w:tr>
      <w:tr>
        <w:trPr>
          <w:trHeight w:val="226"/>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6.50 %</w:t>
            </w:r>
          </w:p>
        </w:tc>
      </w:tr>
    </w:tbl>
    <w:p>
      <w:pPr>
        <w:spacing w:after="0" w:line="222" w:lineRule="exact"/>
        <w:rPr>
          <w:sz w:val="20"/>
          <w:szCs w:val="20"/>
          <w:color w:val="auto"/>
        </w:rPr>
      </w:pPr>
    </w:p>
    <w:p>
      <w:pPr>
        <w:jc w:val="both"/>
        <w:ind w:firstLine="621"/>
        <w:spacing w:after="0" w:line="275" w:lineRule="auto"/>
        <w:rPr>
          <w:sz w:val="20"/>
          <w:szCs w:val="20"/>
          <w:color w:val="auto"/>
        </w:rPr>
      </w:pPr>
      <w:r>
        <w:rPr>
          <w:rFonts w:ascii="Times New Roman" w:cs="Times New Roman" w:eastAsia="Times New Roman" w:hAnsi="Times New Roman"/>
          <w:sz w:val="17"/>
          <w:szCs w:val="17"/>
          <w:color w:val="auto"/>
        </w:rPr>
        <w:t>Cash paid on our operating leases for the years ended December 31, 2023, 2022 and 2021 was $1.5 million, $0.8 million and $2.6 million and lease expense incurred was $2.0 million, $2.0 million and $2.3 million during each respective period.</w:t>
      </w:r>
    </w:p>
    <w:p>
      <w:pPr>
        <w:spacing w:after="0" w:line="1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Future payments due under our existing operating leases as of December 31, 2023 are as follows:</w:t>
      </w:r>
    </w:p>
    <w:p>
      <w:pPr>
        <w:spacing w:after="0" w:line="122"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40" w:type="dxa"/>
            <w:vAlign w:val="bottom"/>
          </w:tcPr>
          <w:p>
            <w:pPr>
              <w:spacing w:after="0"/>
              <w:rPr>
                <w:sz w:val="15"/>
                <w:szCs w:val="15"/>
                <w:color w:val="auto"/>
              </w:rPr>
            </w:pPr>
          </w:p>
        </w:tc>
        <w:tc>
          <w:tcPr>
            <w:tcW w:w="2500" w:type="dxa"/>
            <w:vAlign w:val="bottom"/>
          </w:tcPr>
          <w:p>
            <w:pPr>
              <w:jc w:val="right"/>
              <w:ind w:right="1056"/>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3"/>
        </w:trPr>
        <w:tc>
          <w:tcPr>
            <w:tcW w:w="7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2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2024</w:t>
            </w: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w:t>
            </w:r>
          </w:p>
        </w:tc>
      </w:tr>
      <w:tr>
        <w:trPr>
          <w:trHeight w:val="220"/>
        </w:trPr>
        <w:tc>
          <w:tcPr>
            <w:tcW w:w="7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6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2,128</w:t>
            </w:r>
          </w:p>
        </w:tc>
      </w:tr>
      <w:tr>
        <w:trPr>
          <w:trHeight w:val="22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2026</w:t>
            </w:r>
          </w:p>
        </w:tc>
        <w:tc>
          <w:tcPr>
            <w:tcW w:w="6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w:t>
            </w:r>
          </w:p>
        </w:tc>
      </w:tr>
      <w:tr>
        <w:trPr>
          <w:trHeight w:val="220"/>
        </w:trPr>
        <w:tc>
          <w:tcPr>
            <w:tcW w:w="7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2027</w:t>
            </w:r>
          </w:p>
        </w:tc>
        <w:tc>
          <w:tcPr>
            <w:tcW w:w="6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2,256</w:t>
            </w:r>
          </w:p>
        </w:tc>
      </w:tr>
      <w:tr>
        <w:trPr>
          <w:trHeight w:val="22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2028</w:t>
            </w:r>
          </w:p>
        </w:tc>
        <w:tc>
          <w:tcPr>
            <w:tcW w:w="6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w:t>
            </w:r>
          </w:p>
        </w:tc>
      </w:tr>
      <w:tr>
        <w:trPr>
          <w:trHeight w:val="220"/>
        </w:trPr>
        <w:tc>
          <w:tcPr>
            <w:tcW w:w="7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2029 and thereafter</w:t>
            </w:r>
          </w:p>
        </w:tc>
        <w:tc>
          <w:tcPr>
            <w:tcW w:w="6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2,995</w:t>
            </w:r>
          </w:p>
        </w:tc>
      </w:tr>
      <w:tr>
        <w:trPr>
          <w:trHeight w:val="21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6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13,971</w:t>
            </w:r>
          </w:p>
        </w:tc>
      </w:tr>
      <w:tr>
        <w:trPr>
          <w:trHeight w:val="22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effects of discounting</w:t>
            </w:r>
          </w:p>
        </w:tc>
        <w:tc>
          <w:tcPr>
            <w:tcW w:w="6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(2,582)</w:t>
            </w:r>
          </w:p>
        </w:tc>
      </w:tr>
      <w:tr>
        <w:trPr>
          <w:trHeight w:val="23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21"/>
        <w:spacing w:after="0" w:line="267" w:lineRule="auto"/>
        <w:rPr>
          <w:sz w:val="20"/>
          <w:szCs w:val="20"/>
          <w:color w:val="auto"/>
        </w:rPr>
      </w:pPr>
      <w:r>
        <w:rPr>
          <w:rFonts w:ascii="Times New Roman" w:cs="Times New Roman" w:eastAsia="Times New Roman" w:hAnsi="Times New Roman"/>
          <w:sz w:val="17"/>
          <w:szCs w:val="17"/>
          <w:color w:val="auto"/>
        </w:rPr>
        <w:t xml:space="preserve">Lease expense is recorded in </w:t>
      </w:r>
      <w:r>
        <w:rPr>
          <w:rFonts w:ascii="Times New Roman" w:cs="Times New Roman" w:eastAsia="Times New Roman" w:hAnsi="Times New Roman"/>
          <w:sz w:val="17"/>
          <w:szCs w:val="17"/>
          <w:i w:val="1"/>
          <w:iCs w:val="1"/>
          <w:color w:val="auto"/>
        </w:rPr>
        <w:t>“Underwriting and Operating Expenses”</w:t>
      </w:r>
      <w:r>
        <w:rPr>
          <w:rFonts w:ascii="Times New Roman" w:cs="Times New Roman" w:eastAsia="Times New Roman" w:hAnsi="Times New Roman"/>
          <w:sz w:val="17"/>
          <w:szCs w:val="17"/>
          <w:color w:val="auto"/>
        </w:rPr>
        <w:t xml:space="preserve"> on the consolidated statements of operations and comprehensive income. Our existing leases have original terms that range from two to eight years. The lease for our corporate headquarters includes an option to renew for an additional five years at prevailing market rates at time of renewal. This renewal option is not included in the calculation of future lease payments due under the existing lease as presented above as it is not reasonably certain to be exercised.</w:t>
      </w:r>
    </w:p>
    <w:p>
      <w:pPr>
        <w:spacing w:after="0" w:line="113" w:lineRule="exact"/>
        <w:rPr>
          <w:sz w:val="20"/>
          <w:szCs w:val="20"/>
          <w:color w:val="auto"/>
        </w:rPr>
      </w:pPr>
    </w:p>
    <w:p>
      <w:pPr>
        <w:ind w:left="620" w:right="8540" w:hanging="617"/>
        <w:spacing w:after="0" w:line="444" w:lineRule="auto"/>
        <w:tabs>
          <w:tab w:leader="none" w:pos="258"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PMIERs</w:t>
      </w:r>
    </w:p>
    <w:p>
      <w:pPr>
        <w:spacing w:after="0" w:line="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NMIC is subject to ongoing compliance with the PMIERs established by each of the GSEs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described below).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The PMIERs financial requirements prescribe a risk-based methodology whereby the amount of assets required to be held against each insured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 is determined based on certain loan-level risk characteristics, such as FICO, vintage (year of origination), performing vs. non-performing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current vs. delinquent), LTV ratio and other risk features. In general, higher quality loans carry lower charges.</w:t>
      </w:r>
    </w:p>
    <w:p>
      <w:pPr>
        <w:spacing w:after="0" w:line="119" w:lineRule="exact"/>
        <w:rPr>
          <w:sz w:val="20"/>
          <w:szCs w:val="20"/>
          <w:color w:val="auto"/>
        </w:rPr>
      </w:pPr>
    </w:p>
    <w:p>
      <w:pPr>
        <w:jc w:val="both"/>
        <w:ind w:firstLine="621"/>
        <w:spacing w:after="0" w:line="267" w:lineRule="auto"/>
        <w:rPr>
          <w:sz w:val="20"/>
          <w:szCs w:val="20"/>
          <w:color w:val="auto"/>
        </w:rPr>
      </w:pPr>
      <w:r>
        <w:rPr>
          <w:rFonts w:ascii="Times New Roman" w:cs="Times New Roman" w:eastAsia="Times New Roman" w:hAnsi="Times New Roman"/>
          <w:sz w:val="17"/>
          <w:szCs w:val="17"/>
          <w:color w:val="auto"/>
        </w:rPr>
        <w:t xml:space="preserve">Under the PMIERs,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must maintain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that equal or exceed </w:t>
      </w:r>
      <w:r>
        <w:rPr>
          <w:rFonts w:ascii="Times New Roman" w:cs="Times New Roman" w:eastAsia="Times New Roman" w:hAnsi="Times New Roman"/>
          <w:sz w:val="17"/>
          <w:szCs w:val="17"/>
          <w:i w:val="1"/>
          <w:iCs w:val="1"/>
          <w:color w:val="auto"/>
        </w:rPr>
        <w:t>minimum required assets</w:t>
      </w:r>
      <w:r>
        <w:rPr>
          <w:rFonts w:ascii="Times New Roman" w:cs="Times New Roman" w:eastAsia="Times New Roman" w:hAnsi="Times New Roman"/>
          <w:sz w:val="17"/>
          <w:szCs w:val="17"/>
          <w:color w:val="auto"/>
        </w:rPr>
        <w:t xml:space="preserve">, which is an amount equal to the greater of (i) $400 million or (ii) a total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is a function of the risk profile of an </w:t>
      </w:r>
      <w:r>
        <w:rPr>
          <w:rFonts w:ascii="Times New Roman" w:cs="Times New Roman" w:eastAsia="Times New Roman" w:hAnsi="Times New Roman"/>
          <w:sz w:val="17"/>
          <w:szCs w:val="17"/>
          <w:i w:val="1"/>
          <w:iCs w:val="1"/>
          <w:color w:val="auto"/>
        </w:rPr>
        <w:t>approved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insurer's </w:t>
      </w:r>
      <w:r>
        <w:rPr>
          <w:rFonts w:ascii="Times New Roman" w:cs="Times New Roman" w:eastAsia="Times New Roman" w:hAnsi="Times New Roman"/>
          <w:sz w:val="17"/>
          <w:szCs w:val="17"/>
          <w:color w:val="auto"/>
        </w:rPr>
        <w:t>RIF, assessed on a loan-by-loan basis against certain risk-based factors derived from tables set out in the PMIERs</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is then adjusted on an aggregate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basis for reinsurance transactions approved by the GSEs, such as with respect to our ILN Transactions, XOL Transactions and QSR Transactions. The </w:t>
      </w:r>
      <w:r>
        <w:rPr>
          <w:rFonts w:ascii="Times New Roman" w:cs="Times New Roman" w:eastAsia="Times New Roman" w:hAnsi="Times New Roman"/>
          <w:sz w:val="17"/>
          <w:szCs w:val="17"/>
          <w:i w:val="1"/>
          <w:iCs w:val="1"/>
          <w:color w:val="auto"/>
        </w:rPr>
        <w:t>aggregate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gross risk-based required asset </w:t>
      </w:r>
      <w:r>
        <w:rPr>
          <w:rFonts w:ascii="Times New Roman" w:cs="Times New Roman" w:eastAsia="Times New Roman" w:hAnsi="Times New Roman"/>
          <w:sz w:val="17"/>
          <w:szCs w:val="17"/>
          <w:color w:val="auto"/>
        </w:rPr>
        <w:t>amount for performing, primary insurance is subject to a floor of 5.6% of</w:t>
      </w:r>
      <w:r>
        <w:rPr>
          <w:rFonts w:ascii="Times New Roman" w:cs="Times New Roman" w:eastAsia="Times New Roman" w:hAnsi="Times New Roman"/>
          <w:sz w:val="17"/>
          <w:szCs w:val="17"/>
          <w:i w:val="1"/>
          <w:iCs w:val="1"/>
          <w:color w:val="auto"/>
        </w:rPr>
        <w:t xml:space="preserve"> performing primary adjusted RIF</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By April 15th of each year, NMIC must certify it met all PMIERs requirements as of December 31st of the prior year. We certified to the GSEs by April 15, 2023 that NMIC was in full compliance with the PMIERs as of December 31, 2022. NMIC also has an ongoing obligation to immediately notify the GSEs in writing upon discovery of a failure to meet one or more of the PMIERs requirements. We continuously monitor NMIC's compliance with the PMIERs.</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Litigation</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record a litigation liability when we determine that it is probable a litigation loss will be incurred and the amount of such anticipated loss can be reasonably estimated. In the event we determine that a litigation loss is reasonably possible (though not probable), we disclose an estimate of the possible loss if such estimate can be reasonably established or disclose the matter with no estimate if such estimate cannot be reasonably made. We evaluate litigation and other legal developments that could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affect our accrual for probable losses or our estimated disclosure of possible losses and make ongoing adjustments to our accruals and disclosures as appropriate.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judgment is required to determine both the likelihood and the estimated amount of potential losses related to such matters.</w:t>
      </w:r>
    </w:p>
    <w:p>
      <w:pPr>
        <w:spacing w:after="0" w:line="148"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are currently named as a defendant in a litigation proceeding pertaining to the refund of certain mortgage insurance premiums under the Homeowners Protection Act. The case was dismissed in September 2023 and is currently pending appeal. We do not currently expect that it is reasonably possible that we will incur a material loss in connection with the case and have not recorded a litigation liability for this matter.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Common Stock</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of December 31, 2023 and 2022, we had 80.9 million and 83.5 million outstanding shares of Class A common stock, respectively. Holders of our common stock have no preemptive or conversion rights or other subscription rights, and there are no redemption or sinking fund provisions applicable to the common stock. Each holder of our common stock is entitled to one vote per share on all matters to be voted upon by stockholders, and there are no cumulative voting rights. Holders of common stock are entitled to receive dividends ratably if any are declared.</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Share repurchase program</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On February 10, 2022, our Board of Directors authorized a $125 million share repurchase program (excluding associated costs and applicable taxes) effective through December 31, 2023. On July 31, 2023, our Board of Directors authorized a new $200 million share repurchase program (excluding associated costs and applicable taxes) effective through December 31, 2025. Concurrent with the new authorization, our Board of Directors also approved an extension of our existing $125 million share repurchase program through December 31, 2025 to align its remaining tenor with that of the $200 million program. The authorization provides us the flexibility, based on market and business conditions, stock price and other factors, to repurchase stock from time to time through open market purchases, privately negotiated transactions, or other means, including pursuant to Rule 10b5-1 trading plans.</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During the year ended December 31, 2023, we repurchased 3.5 million shares at an average price of $25.93 per share (excluding associated costs and applicable taxes). During the year ended December 31, 2022, we repurchased 2.9 million shares at an average price of $19.34 per share (excluding associated costs). As of December 31, 2023, we had $176.9 million of repurchase authority remaining.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Regulatory Information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Statutory Requirements</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8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NMIC's statutory net income, statutory surplus, contingency reserve, statutory capital and risk-to-capital (RTC) ratio as of and for the years ended December 31, 2023, 2022 and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gridSpan w:val="6"/>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w w:val="98"/>
              </w:rPr>
              <w:t>As of and for the years ended December 31,</w:t>
            </w:r>
          </w:p>
        </w:tc>
        <w:tc>
          <w:tcPr>
            <w:tcW w:w="1220" w:type="dxa"/>
            <w:vAlign w:val="bottom"/>
          </w:tcPr>
          <w:p>
            <w:pPr>
              <w:spacing w:after="0"/>
              <w:rPr>
                <w:sz w:val="15"/>
                <w:szCs w:val="15"/>
                <w:color w:val="auto"/>
              </w:rPr>
            </w:pPr>
          </w:p>
        </w:tc>
      </w:tr>
      <w:tr>
        <w:trPr>
          <w:trHeight w:val="23"/>
        </w:trPr>
        <w:tc>
          <w:tcPr>
            <w:tcW w:w="5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58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5"/>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net income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107,418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34,975</w:t>
            </w:r>
          </w:p>
        </w:tc>
      </w:tr>
      <w:tr>
        <w:trPr>
          <w:trHeight w:val="207"/>
        </w:trPr>
        <w:tc>
          <w:tcPr>
            <w:tcW w:w="5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surplus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963,085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980,225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893,848</w:t>
            </w:r>
          </w:p>
        </w:tc>
      </w:tr>
      <w:tr>
        <w:trPr>
          <w:trHeight w:val="22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Contingency reserve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1,573,360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1,266,038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1,036,639</w:t>
            </w:r>
          </w:p>
        </w:tc>
      </w:tr>
      <w:tr>
        <w:trPr>
          <w:trHeight w:val="238"/>
        </w:trPr>
        <w:tc>
          <w:tcPr>
            <w:tcW w:w="582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Statutory capital </w:t>
            </w:r>
            <w:r>
              <w:rPr>
                <w:rFonts w:ascii="Times New Roman" w:cs="Times New Roman" w:eastAsia="Times New Roman" w:hAnsi="Times New Roman"/>
                <w:sz w:val="22"/>
                <w:szCs w:val="22"/>
                <w:color w:val="auto"/>
                <w:vertAlign w:val="superscript"/>
              </w:rPr>
              <w:t>(1)</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2,536,445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2,246,263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1,930,487</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5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Risk-to-capital</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w:t>
            </w:r>
          </w:p>
        </w:tc>
      </w:tr>
    </w:tbl>
    <w:p>
      <w:pPr>
        <w:spacing w:after="0" w:line="21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Represents the total of the statutory surplus and contingency reserve.</w:t>
      </w:r>
    </w:p>
    <w:p>
      <w:pPr>
        <w:spacing w:after="0" w:line="24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applicable law in Wisconsin and 15 other states, mortgage insurers must maintain minimum amounts of statutory capital relative to RIF to continue writing new business. While formulations of minimum statutory capital may vary in each state, the most common measure allows for a maximum permitted RTC ratio of 25:1. Wisconsin and certain other states, including California and Illinois, apply a substantially similar requirement referred to as minimum policyholders' position.</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2023, NMIC's performing primary RIF, net of reinsurance, was approximately $29.0 billion and its RTC ratio was 11.4:1. As of December 31, 2022, NMIC's performing primary RIF, net of reinsurance, was approximately $25.0 billion and its RTC ratio was 11.1:1.</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Effective October 1, 2021, the reinsurance agreement between NMIC and Re One was commuted and all ceded risk was transferred back to NMIC. Following the commutation, Re One has no risk in force or further obligation on future claims. Re One recorded a statutory loss of $0.4 million and $58 thousand for the years ended December 31, 2023 and 2022, respectively, and statutory income of $3.0 million for the year ended December 31, 2021. Re One had $2.0 million and $5.6 million of statutory capital at December 31, 2023 and 2022, respectively.</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Debt Service Allocation</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Wisconsin OCI has approved the allocation of interest expense on the $400 million Notes and $250 million 2021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Dividend Restrictions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NMIH is not subject to any limitations on its ability to pay dividends except those generally applicable to corporations that are incorporated in 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 law provides that dividends are only payable out of a corporation's capital surplus or, subject to certain limitations, recent net profits.</w:t>
      </w:r>
    </w:p>
    <w:p>
      <w:pPr>
        <w:spacing w:after="0" w:line="148"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NMIC and Re One are subject to certain capital and dividend rules and regulations prescribed by jurisdictions in which they are authorized to operate and the GSEs that may restrict their ability to pay dividends to NMIH. Under Wisconsin law, NMIC and Re One may pay dividends up to specified levels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"ordinary" dividends) with 30 days' prior notice to the Wisconsin OCI. Dividends in larger amounts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.,"extraordinary" dividends), are subject to the Wisconsin OCI's prior approval. Under Wisconsin law,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During the year ended December 31, 2023, NMIC paid a $98.0 million ordinary course dividend to NMIH. NMIC has the capacity to pay aggregate ordinary dividends of $96.3 million to NMIH during the twelve-month period ending December 31, 2024.</w:t>
      </w:r>
    </w:p>
    <w:p>
      <w:pPr>
        <w:spacing w:after="0" w:line="121"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ind w:right="-119"/>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DECEMBER 31, 2023</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Quarterly Financial Data (Unaudited)</w:t>
      </w:r>
    </w:p>
    <w:p>
      <w:pPr>
        <w:spacing w:after="0" w:line="137" w:lineRule="exact"/>
        <w:rPr>
          <w:sz w:val="20"/>
          <w:szCs w:val="20"/>
          <w:color w:val="auto"/>
        </w:rPr>
      </w:pPr>
    </w:p>
    <w:tbl>
      <w:tblPr>
        <w:tblLayout w:type="fixed"/>
        <w:tblInd w:w="140" w:type="dxa"/>
        <w:tblCellMar>
          <w:top w:w="0" w:type="dxa"/>
          <w:left w:w="0" w:type="dxa"/>
          <w:bottom w:w="0" w:type="dxa"/>
          <w:right w:w="0" w:type="dxa"/>
        </w:tblCellMar>
      </w:tblPr>
      <w:tr>
        <w:trPr>
          <w:trHeight w:val="183"/>
        </w:trPr>
        <w:tc>
          <w:tcPr>
            <w:tcW w:w="4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 Quarters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1"/>
        </w:trPr>
        <w:tc>
          <w:tcPr>
            <w:tcW w:w="42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4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4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9"/>
              </w:rPr>
              <w:t>Fourth</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87"/>
        </w:trPr>
        <w:tc>
          <w:tcPr>
            <w:tcW w:w="4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premiums earned</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510,768</w:t>
            </w: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Net investment income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67,512</w:t>
            </w:r>
          </w:p>
        </w:tc>
      </w:tr>
      <w:tr>
        <w:trPr>
          <w:trHeight w:val="22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realized investment losses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Other revenues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w:t>
            </w:r>
          </w:p>
        </w:tc>
      </w:tr>
      <w:tr>
        <w:trPr>
          <w:trHeight w:val="22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 claims and claim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22,618</w:t>
            </w: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110,699</w:t>
            </w:r>
          </w:p>
        </w:tc>
      </w:tr>
      <w:tr>
        <w:trPr>
          <w:trHeight w:val="22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w:t>
            </w: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32,212</w:t>
            </w:r>
          </w:p>
        </w:tc>
      </w:tr>
      <w:tr>
        <w:trPr>
          <w:trHeight w:val="22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412,703</w:t>
            </w:r>
          </w:p>
        </w:tc>
      </w:tr>
      <w:tr>
        <w:trPr>
          <w:trHeight w:val="220"/>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23,765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90,593</w:t>
            </w:r>
          </w:p>
        </w:tc>
      </w:tr>
      <w:tr>
        <w:trPr>
          <w:trHeight w:val="238"/>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80,284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0"/>
        </w:trPr>
        <w:tc>
          <w:tcPr>
            <w:tcW w:w="42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7"/>
                <w:szCs w:val="17"/>
                <w:color w:val="auto"/>
              </w:rPr>
              <w:t xml:space="preserve">Basic earnings per share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20"/>
        </w:trPr>
        <w:tc>
          <w:tcPr>
            <w:tcW w:w="4280" w:type="dxa"/>
            <w:vAlign w:val="bottom"/>
          </w:tcPr>
          <w:p>
            <w:pPr>
              <w:spacing w:after="0" w:line="220" w:lineRule="exact"/>
              <w:rPr>
                <w:sz w:val="20"/>
                <w:szCs w:val="20"/>
                <w:color w:val="auto"/>
              </w:rPr>
            </w:pPr>
            <w:r>
              <w:rPr>
                <w:rFonts w:ascii="Times New Roman" w:cs="Times New Roman" w:eastAsia="Times New Roman" w:hAnsi="Times New Roman"/>
                <w:sz w:val="17"/>
                <w:szCs w:val="17"/>
                <w:color w:val="auto"/>
              </w:rPr>
              <w:t xml:space="preserve">Diluted earnings per share </w:t>
            </w:r>
            <w:r>
              <w:rPr>
                <w:rFonts w:ascii="Times New Roman" w:cs="Times New Roman" w:eastAsia="Times New Roman" w:hAnsi="Times New Roman"/>
                <w:sz w:val="22"/>
                <w:szCs w:val="22"/>
                <w:color w:val="auto"/>
                <w:vertAlign w:val="superscript"/>
              </w:rPr>
              <w:t>(1)</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0.95</w:t>
            </w:r>
          </w:p>
        </w:tc>
        <w:tc>
          <w:tcPr>
            <w:tcW w:w="120" w:type="dxa"/>
            <w:vAlign w:val="bottom"/>
          </w:tcPr>
          <w:p>
            <w:pPr>
              <w:spacing w:after="0"/>
              <w:rPr>
                <w:sz w:val="19"/>
                <w:szCs w:val="19"/>
                <w:color w:val="auto"/>
              </w:rPr>
            </w:pPr>
          </w:p>
        </w:tc>
        <w:tc>
          <w:tcPr>
            <w:tcW w:w="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r>
      <w:tr>
        <w:trPr>
          <w:trHeight w:val="259"/>
        </w:trPr>
        <w:tc>
          <w:tcPr>
            <w:tcW w:w="4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82,407</w:t>
            </w:r>
          </w:p>
        </w:tc>
      </w:tr>
      <w:tr>
        <w:trPr>
          <w:trHeight w:val="22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83,854</w:t>
            </w:r>
          </w:p>
        </w:tc>
      </w:tr>
    </w:tbl>
    <w:p>
      <w:pPr>
        <w:spacing w:after="0" w:line="10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Due to the use of weighted average shares outstanding when calculating EPS, the sum of quarterly per share data may not equal the per share data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 Quarters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1"/>
        </w:trPr>
        <w:tc>
          <w:tcPr>
            <w:tcW w:w="44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4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Third</w:t>
            </w:r>
          </w:p>
        </w:tc>
        <w:tc>
          <w:tcPr>
            <w:tcW w:w="3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87"/>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6"/>
          </w:tcPr>
          <w:p>
            <w:pPr>
              <w:jc w:val="center"/>
              <w:ind w:left="557"/>
              <w:spacing w:after="0"/>
              <w:rPr>
                <w:sz w:val="20"/>
                <w:szCs w:val="20"/>
                <w:color w:val="auto"/>
              </w:rPr>
            </w:pPr>
            <w:r>
              <w:rPr>
                <w:rFonts w:ascii="Times New Roman" w:cs="Times New Roman" w:eastAsia="Times New Roman" w:hAnsi="Times New Roman"/>
                <w:sz w:val="14"/>
                <w:szCs w:val="14"/>
                <w:i w:val="1"/>
                <w:iCs w:val="1"/>
                <w:color w:val="auto"/>
                <w:w w:val="97"/>
              </w:rPr>
              <w:t>(In Thousands, except per share data)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premiums earned</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475,266</w:t>
            </w: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investment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46,406</w:t>
            </w:r>
          </w:p>
        </w:tc>
      </w:tr>
      <w:tr>
        <w:trPr>
          <w:trHeight w:val="22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investment gains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w:t>
            </w:r>
          </w:p>
        </w:tc>
      </w:tr>
      <w:tr>
        <w:trPr>
          <w:trHeight w:val="22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 claims and claim (benefits)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w:t>
            </w: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117,490</w:t>
            </w:r>
          </w:p>
        </w:tc>
      </w:tr>
      <w:tr>
        <w:trPr>
          <w:trHeight w:val="22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w:t>
            </w: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32,163</w:t>
            </w:r>
          </w:p>
        </w:tc>
      </w:tr>
      <w:tr>
        <w:trPr>
          <w:trHeight w:val="22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w:t>
            </w: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377,305</w:t>
            </w:r>
          </w:p>
        </w:tc>
      </w:tr>
      <w:tr>
        <w:trPr>
          <w:trHeight w:val="22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84,403</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67,680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75,444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76,838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72,940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292,902</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5"/>
        </w:trPr>
        <w:tc>
          <w:tcPr>
            <w:tcW w:w="4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44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earnings per share </w:t>
            </w:r>
            <w:r>
              <w:rPr>
                <w:rFonts w:ascii="Times New Roman" w:cs="Times New Roman" w:eastAsia="Times New Roman" w:hAnsi="Times New Roman"/>
                <w:sz w:val="22"/>
                <w:szCs w:val="22"/>
                <w:color w:val="auto"/>
                <w:vertAlign w:val="superscript"/>
              </w:rPr>
              <w:t>(1)</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0.79</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0.88</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0.91</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20"/>
        </w:trPr>
        <w:tc>
          <w:tcPr>
            <w:tcW w:w="44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Diluted earnings per share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59"/>
        </w:trPr>
        <w:tc>
          <w:tcPr>
            <w:tcW w:w="4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84,921</w:t>
            </w:r>
          </w:p>
        </w:tc>
      </w:tr>
      <w:tr>
        <w:trPr>
          <w:trHeight w:val="226"/>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85,999</w:t>
            </w:r>
          </w:p>
        </w:tc>
      </w:tr>
    </w:tbl>
    <w:p>
      <w:pPr>
        <w:spacing w:after="0" w:line="11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Due to the use of weighted average shares outstanding when calculating EPS, the sum of quarterly per share data may not equal the per share data for the year.</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Subsequent events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Quota Share Reinsurance</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Effective January 1, 2024, NMIC entered into a quota share reinsurance treaty with a broad panel of highly rated reinsurers that will provide coverage for mortgage insurance policies to be written between January 1, 2024 and December 31, 2024 (the 2024 QSR Transaction). Under the terms of the agreement, NMIC will cede premiums earned related to 20% of the risk on eligible policies in exchange for reimbursement of ceded claims and claim expenses on covered policies, a ceding commission equal to 20% and profit commission of up to 56% that varies directly and inversely with ceded claims.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Excess-of-Loss Reinsurance</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Effective January 1, 2024, NMIC entered into a reinsurance agreement with a broad panel of highly rated reinsurers that provides for up to $162.5 million of aggregate excess-of-loss reinsurance coverage for delinquencies that emerge on mortgage insurance policies written between January 1, 2024 and December 31, 2024 (the 2024 XOL Transaction). For the reinsurance coverage period, NMIC will retain a first layer of aggregate losses on covered policies and the reinsurers then provide second layer loss protection up to $162.5 million. NMIC retains losses in excess of the outstanding reinsurance coverage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conducted an evaluation of the effectiveness of our disclosure controls and procedures (as defined in Rule 13a-15(e) of the Exchange Act) as of December 31, 2023,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Based on that evaluation, our Chief Executive Officer and Chief Financial Officer concluded that, as of December 31, 2023,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169"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0"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Under the supervision of our Chief Executive Officer and Chief Financial Officer, our management assessed the effectiveness of the Company's internal control over financial reporting as of December 31, 2023. In making this assessment, management used the criteria set forth in the Internal Control-Integrated Framework (2013 framework) issued by the Committee of Sponsoring Organizations of the Treadway Commission. Based on this assessment, our management has concluded that the Company's internal control over financial reporting was effective as of December 31, 2023. The effectiveness of our internal control over financial reporting as of December 31, 2023 has been audited by BDO USA, P.C., an independent registered public accounting firm, as stated in their report, which appears below.</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and 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Emeryville, California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We have audited NMI Holdings, Inc.’s (the “Company’s”) internal control over financial reporting as of December 31, 2023, based on criteria established in </w:t>
      </w:r>
      <w:r>
        <w:rPr>
          <w:rFonts w:ascii="Times New Roman" w:cs="Times New Roman" w:eastAsia="Times New Roman" w:hAnsi="Times New Roman"/>
          <w:sz w:val="17"/>
          <w:szCs w:val="17"/>
          <w:i w:val="1"/>
          <w:iCs w:val="1"/>
          <w:color w:val="auto"/>
        </w:rPr>
        <w:t xml:space="preserve">Internal Control – Integrated Framework (2013) </w:t>
      </w:r>
      <w:r>
        <w:rPr>
          <w:rFonts w:ascii="Times New Roman" w:cs="Times New Roman" w:eastAsia="Times New Roman" w:hAnsi="Times New Roman"/>
          <w:sz w:val="17"/>
          <w:szCs w:val="17"/>
          <w:color w:val="auto"/>
        </w:rPr>
        <w:t>issued by the Committee of Sponsoring Organizations of the Treadway Commission (the “COSO criteria”).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opinion, the Company maintained, in all material respects, effective internal control over financial reporting as of December 31, 2023, based on the COSO criteria</w:t>
      </w: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2023 and 2022, and the related consolidated statements of operations and comprehensive income, changes in shareholders’ equity, and cash flows for each of the three years in the period ended December 31, 2023, and the related notes and financial statement schedules listed in the accompanying index appearing under Part IV, Item 15 – Exhibits and Financial Statement Schedules and our report dated February 14, 2024 expressed an unqualified opinion thereon.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Controls and Procedures.”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P.C.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973" w:right="1440"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2023. Accordingly, we have omitted the information from this Item pursuant to General Instruction G (3) of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2023. Accordingly, we have omitted the information from this Item pursuant to General Instruction G (3) of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2023. Accordingly, we have omitted the information from this Item pursuant to General Instruction G (3) of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69" w:lineRule="exact"/>
        <w:rPr>
          <w:sz w:val="20"/>
          <w:szCs w:val="20"/>
          <w:color w:val="auto"/>
        </w:rPr>
      </w:pPr>
    </w:p>
    <w:p>
      <w:pPr>
        <w:ind w:firstLine="200"/>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2023. Accordingly, we have omitted the information from this Item pursuant to General Instruction G (3) of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2023. Accordingly, we have omitted the information from this Item pursuant to General Instruction G (3) of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67" w:lineRule="exact"/>
        <w:rPr>
          <w:sz w:val="20"/>
          <w:szCs w:val="20"/>
          <w:color w:val="auto"/>
        </w:rPr>
      </w:pPr>
    </w:p>
    <w:p>
      <w:pPr>
        <w:ind w:left="320" w:hanging="317"/>
        <w:spacing w:after="0" w:line="266" w:lineRule="auto"/>
        <w:tabs>
          <w:tab w:leader="none" w:pos="363"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 See the "</w:t>
      </w:r>
      <w:r>
        <w:rPr>
          <w:rFonts w:ascii="Times New Roman" w:cs="Times New Roman" w:eastAsia="Times New Roman" w:hAnsi="Times New Roman"/>
          <w:sz w:val="17"/>
          <w:szCs w:val="17"/>
          <w:i w:val="1"/>
          <w:iCs w:val="1"/>
          <w:color w:val="auto"/>
        </w:rPr>
        <w:t>Index to Financial Statements</w:t>
      </w:r>
      <w:r>
        <w:rPr>
          <w:rFonts w:ascii="Times New Roman" w:cs="Times New Roman" w:eastAsia="Times New Roman" w:hAnsi="Times New Roman"/>
          <w:sz w:val="17"/>
          <w:szCs w:val="17"/>
          <w:color w:val="auto"/>
        </w:rPr>
        <w:t>" included in Item 8 of this report for a list of the financial statements filed as part of this report.</w:t>
      </w:r>
    </w:p>
    <w:p>
      <w:pPr>
        <w:spacing w:after="0" w:line="354" w:lineRule="exact"/>
        <w:rPr>
          <w:rFonts w:ascii="Times New Roman" w:cs="Times New Roman" w:eastAsia="Times New Roman" w:hAnsi="Times New Roman"/>
          <w:sz w:val="17"/>
          <w:szCs w:val="17"/>
          <w:color w:val="auto"/>
        </w:rPr>
      </w:pPr>
    </w:p>
    <w:p>
      <w:pPr>
        <w:ind w:left="320" w:hanging="317"/>
        <w:spacing w:after="0" w:line="291" w:lineRule="auto"/>
        <w:tabs>
          <w:tab w:leader="none" w:pos="382"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 The following financial statement schedules are filed as part of this Form 10-K and appear immediately following the signature page. See the "</w:t>
      </w:r>
      <w:r>
        <w:rPr>
          <w:rFonts w:ascii="Times New Roman" w:cs="Times New Roman" w:eastAsia="Times New Roman" w:hAnsi="Times New Roman"/>
          <w:sz w:val="17"/>
          <w:szCs w:val="17"/>
          <w:i w:val="1"/>
          <w:iCs w:val="1"/>
          <w:color w:val="auto"/>
        </w:rPr>
        <w:t>Index to Financial Statement Schedules</w:t>
      </w:r>
      <w:r>
        <w:rPr>
          <w:rFonts w:ascii="Times New Roman" w:cs="Times New Roman" w:eastAsia="Times New Roman" w:hAnsi="Times New Roman"/>
          <w:sz w:val="17"/>
          <w:szCs w:val="17"/>
          <w:color w:val="auto"/>
        </w:rPr>
        <w:t xml:space="preserve">" on page </w:t>
      </w:r>
      <w:r>
        <w:rPr>
          <w:rFonts w:ascii="Times New Roman" w:cs="Times New Roman" w:eastAsia="Times New Roman" w:hAnsi="Times New Roman"/>
          <w:sz w:val="17"/>
          <w:szCs w:val="17"/>
          <w:u w:val="single" w:color="auto"/>
          <w:color w:val="0000FF"/>
        </w:rPr>
        <w:t>133</w:t>
      </w:r>
      <w:r>
        <w:rPr>
          <w:rFonts w:ascii="Times New Roman" w:cs="Times New Roman" w:eastAsia="Times New Roman" w:hAnsi="Times New Roman"/>
          <w:sz w:val="17"/>
          <w:szCs w:val="17"/>
          <w:color w:val="auto"/>
        </w:rPr>
        <w:t>.</w:t>
      </w:r>
    </w:p>
    <w:p>
      <w:pPr>
        <w:spacing w:after="0" w:line="95" w:lineRule="exact"/>
        <w:rPr>
          <w:sz w:val="20"/>
          <w:szCs w:val="20"/>
          <w:color w:val="auto"/>
        </w:rPr>
      </w:pPr>
    </w:p>
    <w:p>
      <w:pPr>
        <w:ind w:left="620" w:right="3100"/>
        <w:spacing w:after="0" w:line="444" w:lineRule="auto"/>
        <w:rPr>
          <w:sz w:val="20"/>
          <w:szCs w:val="20"/>
          <w:color w:val="auto"/>
        </w:rPr>
      </w:pPr>
      <w:r>
        <w:rPr>
          <w:rFonts w:ascii="Times New Roman" w:cs="Times New Roman" w:eastAsia="Times New Roman" w:hAnsi="Times New Roman"/>
          <w:sz w:val="17"/>
          <w:szCs w:val="17"/>
          <w:color w:val="auto"/>
        </w:rPr>
        <w:t>Schedule I — Summary of Investments — other than investments in related parties as of December 31, 2023 Schedule II — Financial Information of Registrant as of December 31, 2023 Schedule IV — Reinsurance as of December 31, 2023</w:t>
      </w:r>
    </w:p>
    <w:p>
      <w:pPr>
        <w:spacing w:after="0" w:line="2"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All other schedules are omitted because the required information is not present or is not present in amounts sufficient to require submission of the schedules, or because the information required is included in our Consolidated Financial Statements and notes thereto.</w:t>
      </w:r>
    </w:p>
    <w:p>
      <w:pPr>
        <w:spacing w:after="0" w:line="95" w:lineRule="exact"/>
        <w:rPr>
          <w:sz w:val="20"/>
          <w:szCs w:val="20"/>
          <w:color w:val="auto"/>
        </w:rPr>
      </w:pPr>
    </w:p>
    <w:p>
      <w:pPr>
        <w:ind w:left="340" w:hanging="337"/>
        <w:spacing w:after="0"/>
        <w:tabs>
          <w:tab w:leader="none" w:pos="3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740" w:type="dxa"/>
            <w:vAlign w:val="bottom"/>
            <w:gridSpan w:val="13"/>
            <w:vMerge w:val="restart"/>
          </w:tcPr>
          <w:p>
            <w:pPr>
              <w:ind w:left="40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3"/>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40" w:type="dxa"/>
            <w:vAlign w:val="bottom"/>
            <w:gridSpan w:val="1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 xml:space="preserve">Second Amended and Restated Certificate of Incorporation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 reference to Exhibit 3.1 to our Form S-1 Registration</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80" w:type="dxa"/>
            <w:vAlign w:val="bottom"/>
            <w:tcBorders>
              <w:top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7"/>
                <w:szCs w:val="17"/>
                <w:color w:val="auto"/>
              </w:rPr>
              <w:t>Statement (Registration No. 333-191635), filed on October</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9, 2013)</w:t>
            </w:r>
          </w:p>
        </w:tc>
        <w:tc>
          <w:tcPr>
            <w:tcW w:w="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 xml:space="preserve">Fourth Amended and Restated By-Laws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 reference to Exhibit 3.2 to our Form 8-K, filed on November 10, 2022)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Indenture, dated as of June 19, 2020, among NMI Holdings, Inc., NMI Services, Inc. as the Initial Guarantor, and the Bank of New York</w:t>
              </w:r>
            </w:hyperlink>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gridSpan w:val="18"/>
          </w:tcPr>
          <w:p>
            <w:pPr>
              <w:spacing w:after="0" w:line="148"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 xml:space="preserve">Mellon Trust Company, N.A. as Trustee and Notes Collateral Agent </w:t>
              </w:r>
              <w:r>
                <w:rPr>
                  <w:rFonts w:ascii="Times New Roman" w:cs="Times New Roman" w:eastAsia="Times New Roman" w:hAnsi="Times New Roman"/>
                  <w:sz w:val="17"/>
                  <w:szCs w:val="17"/>
                  <w:color w:val="000000"/>
                </w:rPr>
                <w:t xml:space="preserve">(incorporated herein by reference to Exhibit 4.1 to our Form 8-K, </w:t>
              </w:r>
            </w:hyperlink>
            <w:r>
              <w:rPr>
                <w:rFonts w:ascii="Times New Roman" w:cs="Times New Roman" w:eastAsia="Times New Roman" w:hAnsi="Times New Roman"/>
                <w:sz w:val="17"/>
                <w:szCs w:val="17"/>
                <w:color w:val="0000FF"/>
              </w:rPr>
              <w:t>filed</w:t>
            </w:r>
          </w:p>
        </w:tc>
        <w:tc>
          <w:tcPr>
            <w:tcW w:w="0" w:type="dxa"/>
            <w:vAlign w:val="bottom"/>
          </w:tcPr>
          <w:p>
            <w:pPr>
              <w:spacing w:after="0"/>
              <w:rPr>
                <w:sz w:val="1"/>
                <w:szCs w:val="1"/>
                <w:color w:val="auto"/>
              </w:rPr>
            </w:pPr>
          </w:p>
        </w:tc>
      </w:tr>
      <w:tr>
        <w:trPr>
          <w:trHeight w:val="141"/>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auto"/>
              </w:rPr>
              <w:t>on June 19, 2020)</w:t>
            </w:r>
          </w:p>
        </w:tc>
        <w:tc>
          <w:tcPr>
            <w:tcW w:w="58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8"/>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 xml:space="preserve">Description of Securities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4.8 to our Form 10-8, filed on February 16, 2022)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8"/>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 xml:space="preserve">NMI Holdings Inc. 2012 Stock Incentive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 reference to Exhibit 10.1 to our Form S-1 Registration Statement</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tcBorders>
              <w:top w:val="single" w:sz="8" w:color="0000FF"/>
            </w:tcBorders>
            <w:gridSpan w:val="4"/>
          </w:tcPr>
          <w:p>
            <w:pPr>
              <w:spacing w:after="0" w:line="194" w:lineRule="exact"/>
              <w:rPr>
                <w:sz w:val="20"/>
                <w:szCs w:val="20"/>
                <w:color w:val="auto"/>
              </w:rPr>
            </w:pPr>
            <w:r>
              <w:rPr>
                <w:rFonts w:ascii="Times New Roman" w:cs="Times New Roman" w:eastAsia="Times New Roman" w:hAnsi="Times New Roman"/>
                <w:sz w:val="17"/>
                <w:szCs w:val="17"/>
                <w:color w:val="auto"/>
                <w:w w:val="96"/>
              </w:rPr>
              <w:t>(registration No. 333-191635), filed on October</w:t>
            </w:r>
          </w:p>
        </w:tc>
        <w:tc>
          <w:tcPr>
            <w:tcW w:w="2140" w:type="dxa"/>
            <w:vAlign w:val="bottom"/>
            <w:gridSpan w:val="3"/>
          </w:tcPr>
          <w:p>
            <w:pPr>
              <w:jc w:val="right"/>
              <w:ind w:right="1400"/>
              <w:spacing w:after="0" w:line="194" w:lineRule="exact"/>
              <w:rPr>
                <w:sz w:val="20"/>
                <w:szCs w:val="20"/>
                <w:color w:val="auto"/>
              </w:rPr>
            </w:pPr>
            <w:r>
              <w:rPr>
                <w:rFonts w:ascii="Times New Roman" w:cs="Times New Roman" w:eastAsia="Times New Roman" w:hAnsi="Times New Roman"/>
                <w:sz w:val="17"/>
                <w:szCs w:val="17"/>
                <w:color w:val="auto"/>
              </w:rPr>
              <w:t>9, 2013)</w:t>
            </w:r>
          </w:p>
        </w:tc>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10.2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 xml:space="preserve">Form of NMI Holdings, Inc. 2012 Stock Incentive Plan Restricted Stock Unit Award Agreement (For Management) </w:t>
              </w:r>
            </w:hyperlink>
            <w:r>
              <w:rPr>
                <w:rFonts w:ascii="Times New Roman" w:cs="Times New Roman" w:eastAsia="Times New Roman" w:hAnsi="Times New Roman"/>
                <w:sz w:val="17"/>
                <w:szCs w:val="17"/>
                <w:color w:val="000000"/>
              </w:rPr>
              <w:t>(Other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than CEO and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7"/>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gridSpan w:val="18"/>
          </w:tcPr>
          <w:p>
            <w:pPr>
              <w:spacing w:after="0" w:line="143" w:lineRule="exact"/>
              <w:rPr>
                <w:sz w:val="20"/>
                <w:szCs w:val="20"/>
                <w:color w:val="auto"/>
              </w:rPr>
            </w:pPr>
            <w:r>
              <w:rPr>
                <w:rFonts w:ascii="Times New Roman" w:cs="Times New Roman" w:eastAsia="Times New Roman" w:hAnsi="Times New Roman"/>
                <w:sz w:val="16"/>
                <w:szCs w:val="16"/>
                <w:color w:val="auto"/>
              </w:rPr>
              <w:t>CFO) (incorporated herein by reference to Exhibit 10.3 to our Form S-1 Registration Statement (Registration No. 333-191635), filed on</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October 9, 2013)</w:t>
            </w: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10.3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 xml:space="preserve">Form of NMI Holdings, Inc. 2012 Stock Incentive Plan Nonqualified Stock Option Award Agreement (For Management) </w:t>
              </w:r>
            </w:hyperlink>
            <w:r>
              <w:rPr>
                <w:rFonts w:ascii="Times New Roman" w:cs="Times New Roman" w:eastAsia="Times New Roman" w:hAnsi="Times New Roman"/>
                <w:sz w:val="17"/>
                <w:szCs w:val="17"/>
                <w:color w:val="000000"/>
              </w:rPr>
              <w:t>(incorporated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7"/>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herein by reference to Exhibit 10.6 to our Form S-1 Registration Statement (Registration No. 333-191635), filed on October 9, 2013)</w:t>
            </w:r>
          </w:p>
        </w:tc>
        <w:tc>
          <w:tcPr>
            <w:tcW w:w="0" w:type="dxa"/>
            <w:vAlign w:val="bottom"/>
          </w:tcPr>
          <w:p>
            <w:pPr>
              <w:spacing w:after="0"/>
              <w:rPr>
                <w:sz w:val="1"/>
                <w:szCs w:val="1"/>
                <w:color w:val="auto"/>
              </w:rPr>
            </w:pPr>
          </w:p>
        </w:tc>
      </w:tr>
      <w:tr>
        <w:trPr>
          <w:trHeight w:val="395"/>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Form of NMI Holdings, Inc. 2012 Stock Incentive Plan Nonqualified Stock Option Award Agreement (For Non-Employee Directors)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7"/>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gridSpan w:val="18"/>
          </w:tcPr>
          <w:p>
            <w:pPr>
              <w:spacing w:after="0" w:line="143" w:lineRule="exact"/>
              <w:rPr>
                <w:sz w:val="20"/>
                <w:szCs w:val="20"/>
                <w:color w:val="auto"/>
              </w:rPr>
            </w:pPr>
            <w:r>
              <w:rPr>
                <w:rFonts w:ascii="Times New Roman" w:cs="Times New Roman" w:eastAsia="Times New Roman" w:hAnsi="Times New Roman"/>
                <w:sz w:val="16"/>
                <w:szCs w:val="16"/>
                <w:color w:val="auto"/>
              </w:rPr>
              <w:t>(incorporated herein by reference to Exhibit 10.7 to our Form S-1 Registration Statement (Registration No. 333-191635), filed on October 9,</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2013)</w:t>
            </w: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10.5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 xml:space="preserve">Form of NMI Holdings, Inc. 2012 Stock Incentive Plan Nonqualified Stock Option Award Agreement (For CEO/CFO)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60" w:type="dxa"/>
            <w:vAlign w:val="bottom"/>
            <w:tcBorders>
              <w:top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7"/>
                <w:szCs w:val="17"/>
                <w:color w:val="auto"/>
              </w:rPr>
              <w:t>by reference to Exhibit 10.8 to our Form 10-K, filed on February 17, 2017)</w:t>
            </w:r>
          </w:p>
        </w:tc>
        <w:tc>
          <w:tcPr>
            <w:tcW w:w="360" w:type="dxa"/>
            <w:vAlign w:val="bottom"/>
            <w:gridSpan w:val="2"/>
          </w:tcPr>
          <w:p>
            <w:pPr>
              <w:spacing w:after="0"/>
              <w:rPr>
                <w:sz w:val="16"/>
                <w:szCs w:val="16"/>
                <w:color w:val="auto"/>
              </w:rPr>
            </w:pPr>
          </w:p>
        </w:tc>
        <w:tc>
          <w:tcPr>
            <w:tcW w:w="12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10.6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 xml:space="preserve">Form of NMI Holdings, Inc. 2012 Stock Incentive Plan Nonqualified Stock Option Award Agreement (For Employees)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40" w:type="dxa"/>
            <w:vAlign w:val="bottom"/>
            <w:tcBorders>
              <w:top w:val="single" w:sz="8" w:color="0000FF"/>
            </w:tcBorders>
            <w:gridSpan w:val="11"/>
          </w:tcPr>
          <w:p>
            <w:pPr>
              <w:spacing w:after="0" w:line="194" w:lineRule="exact"/>
              <w:rPr>
                <w:sz w:val="20"/>
                <w:szCs w:val="20"/>
                <w:color w:val="auto"/>
              </w:rPr>
            </w:pPr>
            <w:r>
              <w:rPr>
                <w:rFonts w:ascii="Times New Roman" w:cs="Times New Roman" w:eastAsia="Times New Roman" w:hAnsi="Times New Roman"/>
                <w:sz w:val="17"/>
                <w:szCs w:val="17"/>
                <w:color w:val="auto"/>
              </w:rPr>
              <w:t>by reference to Exhibit 10.9 to our Form 10-K, filed on February 17, 2017)</w:t>
            </w:r>
          </w:p>
        </w:tc>
        <w:tc>
          <w:tcPr>
            <w:tcW w:w="380" w:type="dxa"/>
            <w:vAlign w:val="bottom"/>
            <w:gridSpan w:val="3"/>
          </w:tcPr>
          <w:p>
            <w:pPr>
              <w:spacing w:after="0"/>
              <w:rPr>
                <w:sz w:val="16"/>
                <w:szCs w:val="16"/>
                <w:color w:val="auto"/>
              </w:rPr>
            </w:pPr>
          </w:p>
        </w:tc>
        <w:tc>
          <w:tcPr>
            <w:tcW w:w="12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10.7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 xml:space="preserve">Form of NMI Holdings, Inc. 2012 Stock Incentive Plan Restricted Stock Unit Award Agreement (For Independent Directors) </w:t>
              </w:r>
            </w:hyperlink>
            <w:r>
              <w:rPr>
                <w:rFonts w:ascii="Times New Roman" w:cs="Times New Roman" w:eastAsia="Times New Roman" w:hAnsi="Times New Roman"/>
                <w:sz w:val="17"/>
                <w:szCs w:val="17"/>
                <w:color w:val="000000"/>
              </w:rPr>
              <w:t>(incorporated</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20" w:type="dxa"/>
            <w:vAlign w:val="bottom"/>
            <w:tcBorders>
              <w:top w:val="single" w:sz="8" w:color="0000FF"/>
            </w:tcBorders>
            <w:gridSpan w:val="14"/>
          </w:tcPr>
          <w:p>
            <w:pPr>
              <w:spacing w:after="0" w:line="194" w:lineRule="exact"/>
              <w:rPr>
                <w:sz w:val="20"/>
                <w:szCs w:val="20"/>
                <w:color w:val="auto"/>
              </w:rPr>
            </w:pPr>
            <w:r>
              <w:rPr>
                <w:rFonts w:ascii="Times New Roman" w:cs="Times New Roman" w:eastAsia="Times New Roman" w:hAnsi="Times New Roman"/>
                <w:sz w:val="17"/>
                <w:szCs w:val="17"/>
                <w:color w:val="auto"/>
              </w:rPr>
              <w:t>herein by reference to Exhibit 10.30 to our Form 10-Q, filed on May 2, 2019)</w:t>
            </w:r>
          </w:p>
        </w:tc>
        <w:tc>
          <w:tcPr>
            <w:tcW w:w="12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10.8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 xml:space="preserve">Form of NMI Holdings, Inc. 2012 Stock Incentive Plan Restricted Stock Unit Award Agreement (For Employees)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60" w:type="dxa"/>
            <w:vAlign w:val="bottom"/>
            <w:tcBorders>
              <w:top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7"/>
                <w:szCs w:val="17"/>
                <w:color w:val="auto"/>
              </w:rPr>
              <w:t>reference to Exhibit 10.31 to our Form 10-Q, filed on May 2, 2019)</w:t>
            </w:r>
          </w:p>
        </w:tc>
        <w:tc>
          <w:tcPr>
            <w:tcW w:w="196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10.9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 xml:space="preserve">Form of NMI Holdings, Inc. 2012 Stock Incentive Plan Nonqualified Stock Option Agreement (For Employees)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780" w:type="dxa"/>
            <w:vAlign w:val="bottom"/>
            <w:tcBorders>
              <w:top w:val="single" w:sz="8" w:color="0000FF"/>
            </w:tcBorders>
            <w:gridSpan w:val="8"/>
          </w:tcPr>
          <w:p>
            <w:pPr>
              <w:spacing w:after="0" w:line="194" w:lineRule="exact"/>
              <w:rPr>
                <w:sz w:val="20"/>
                <w:szCs w:val="20"/>
                <w:color w:val="auto"/>
              </w:rPr>
            </w:pPr>
            <w:r>
              <w:rPr>
                <w:rFonts w:ascii="Times New Roman" w:cs="Times New Roman" w:eastAsia="Times New Roman" w:hAnsi="Times New Roman"/>
                <w:sz w:val="17"/>
                <w:szCs w:val="17"/>
                <w:color w:val="auto"/>
              </w:rPr>
              <w:t>reference to Exhibit 10.32 to our Form 10-Q, filed on May 2, 2019)</w:t>
            </w:r>
          </w:p>
        </w:tc>
        <w:tc>
          <w:tcPr>
            <w:tcW w:w="204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10.10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sz w:val="20"/>
                <w:szCs w:val="20"/>
                <w:color w:val="auto"/>
              </w:rPr>
            </w:pPr>
            <w:r>
              <w:rPr>
                <w:rFonts w:ascii="Times New Roman" w:cs="Times New Roman" w:eastAsia="Times New Roman" w:hAnsi="Times New Roman"/>
                <w:sz w:val="17"/>
                <w:szCs w:val="17"/>
                <w:color w:val="0000FF"/>
              </w:rPr>
              <w:t xml:space="preserve">NMI Holdings, Inc. Amended and Restated 2014 Omnibus Incentive Plan </w:t>
            </w:r>
            <w:r>
              <w:rPr>
                <w:rFonts w:ascii="Times New Roman" w:cs="Times New Roman" w:eastAsia="Times New Roman" w:hAnsi="Times New Roman"/>
                <w:sz w:val="17"/>
                <w:szCs w:val="17"/>
                <w:color w:val="000000"/>
              </w:rPr>
              <w:t>(incorporated herein by reference to Appendix A to our 2022</w:t>
            </w:r>
          </w:p>
        </w:tc>
        <w:tc>
          <w:tcPr>
            <w:tcW w:w="0" w:type="dxa"/>
            <w:vAlign w:val="bottom"/>
          </w:tcPr>
          <w:p>
            <w:pPr>
              <w:spacing w:after="0"/>
              <w:rPr>
                <w:sz w:val="1"/>
                <w:szCs w:val="1"/>
                <w:color w:val="auto"/>
              </w:rPr>
            </w:pPr>
          </w:p>
        </w:tc>
      </w:tr>
      <w:tr>
        <w:trPr>
          <w:trHeight w:val="219"/>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auto"/>
              </w:rPr>
              <w:t>Annual Proxy Statement, filed on March 29, 2022)</w:t>
            </w:r>
          </w:p>
        </w:tc>
        <w:tc>
          <w:tcPr>
            <w:tcW w:w="45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28" w:name="page129"/>
    <w:bookmarkEnd w:id="128"/>
    <w:p>
      <w:pPr>
        <w:ind w:left="6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10.11 ~</w:t>
      </w:r>
      <w:r>
        <w:rPr>
          <w:sz w:val="20"/>
          <w:szCs w:val="20"/>
          <w:color w:val="auto"/>
        </w:rPr>
        <w:tab/>
      </w:r>
      <w:hyperlink r:id="rId153">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 CEO)</w:t>
        </w:r>
      </w:hyperlink>
    </w:p>
    <w:p>
      <w:pPr>
        <w:ind w:left="960"/>
        <w:spacing w:after="0"/>
        <w:rPr>
          <w:sz w:val="20"/>
          <w:szCs w:val="20"/>
          <w:color w:val="auto"/>
        </w:rPr>
      </w:pPr>
      <w:r>
        <w:rPr>
          <w:rFonts w:ascii="Times New Roman" w:cs="Times New Roman" w:eastAsia="Times New Roman" w:hAnsi="Times New Roman"/>
          <w:sz w:val="17"/>
          <w:szCs w:val="17"/>
          <w:color w:val="auto"/>
        </w:rPr>
        <w:t>(incorporated herein by reference to Exhibit 10.19 to our Form 10-Q filed on August 1, 2017)</w:t>
      </w:r>
    </w:p>
    <w:p>
      <w:pPr>
        <w:spacing w:after="0" w:line="17" w:lineRule="exact"/>
        <w:rPr>
          <w:sz w:val="20"/>
          <w:szCs w:val="20"/>
          <w:color w:val="auto"/>
        </w:rPr>
      </w:pPr>
    </w:p>
    <w:p>
      <w:pPr>
        <w:ind w:left="960" w:hanging="886"/>
        <w:spacing w:after="0" w:line="243" w:lineRule="auto"/>
        <w:tabs>
          <w:tab w:leader="none" w:pos="94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10.12 ~</w:t>
      </w:r>
      <w:r>
        <w:rPr>
          <w:sz w:val="20"/>
          <w:szCs w:val="20"/>
          <w:color w:val="auto"/>
        </w:rPr>
        <w:tab/>
      </w:r>
      <w:hyperlink r:id="rId154">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(Executive</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Officers</w:t>
        </w:r>
        <w:r>
          <w:rPr>
            <w:rFonts w:ascii="Times New Roman" w:cs="Times New Roman" w:eastAsia="Times New Roman" w:hAnsi="Times New Roman"/>
            <w:sz w:val="17"/>
            <w:szCs w:val="17"/>
            <w:color w:val="000000"/>
          </w:rPr>
          <w:t>) (incorporated herein by reference to Exhibit 10.20 to our Form 10-Q filed on August 1, 2017)</w:t>
        </w:r>
      </w:hyperlink>
    </w:p>
    <w:p>
      <w:pPr>
        <w:ind w:left="60"/>
        <w:spacing w:after="0" w:line="237" w:lineRule="auto"/>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10.13 ~</w:t>
      </w:r>
      <w:r>
        <w:rPr>
          <w:sz w:val="20"/>
          <w:szCs w:val="20"/>
          <w:color w:val="auto"/>
        </w:rPr>
        <w:tab/>
      </w:r>
      <w:hyperlink r:id="rId155">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 Employees</w:t>
        </w:r>
      </w:hyperlink>
      <w:r>
        <w:rPr>
          <w:rFonts w:ascii="Times New Roman" w:cs="Times New Roman" w:eastAsia="Times New Roman" w:hAnsi="Times New Roman"/>
          <w:sz w:val="17"/>
          <w:szCs w:val="17"/>
          <w:color w:val="000000"/>
        </w:rPr>
        <w:t>)</w:t>
      </w:r>
    </w:p>
    <w:p>
      <w:pPr>
        <w:ind w:left="960"/>
        <w:spacing w:after="0"/>
        <w:rPr>
          <w:sz w:val="20"/>
          <w:szCs w:val="20"/>
          <w:color w:val="auto"/>
        </w:rPr>
      </w:pPr>
      <w:r>
        <w:rPr>
          <w:rFonts w:ascii="Times New Roman" w:cs="Times New Roman" w:eastAsia="Times New Roman" w:hAnsi="Times New Roman"/>
          <w:sz w:val="17"/>
          <w:szCs w:val="17"/>
          <w:color w:val="auto"/>
        </w:rPr>
        <w:t>(incorporated herein by reference to Exhibit 10.21 to our Form 10-Q filed on August 1, 2017)</w:t>
      </w:r>
    </w:p>
    <w:p>
      <w:pPr>
        <w:spacing w:after="0" w:line="17" w:lineRule="exact"/>
        <w:rPr>
          <w:sz w:val="20"/>
          <w:szCs w:val="20"/>
          <w:color w:val="auto"/>
        </w:rPr>
      </w:pPr>
    </w:p>
    <w:p>
      <w:pPr>
        <w:ind w:left="960" w:hanging="886"/>
        <w:spacing w:after="0" w:line="243" w:lineRule="auto"/>
        <w:tabs>
          <w:tab w:leader="none" w:pos="94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10.14 ~</w:t>
      </w:r>
      <w:r>
        <w:rPr>
          <w:sz w:val="20"/>
          <w:szCs w:val="20"/>
          <w:color w:val="auto"/>
        </w:rPr>
        <w:tab/>
      </w:r>
      <w:hyperlink r:id="rId156">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 Independent</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Directors</w:t>
        </w:r>
        <w:r>
          <w:rPr>
            <w:rFonts w:ascii="Times New Roman" w:cs="Times New Roman" w:eastAsia="Times New Roman" w:hAnsi="Times New Roman"/>
            <w:sz w:val="17"/>
            <w:szCs w:val="17"/>
            <w:color w:val="000000"/>
          </w:rPr>
          <w:t>) (incorporated herein by reference to Exhibit 10.22 to our Form 10-Q filed on August 1, 2017)</w:t>
        </w:r>
      </w:hyperlink>
    </w:p>
    <w:p>
      <w:pPr>
        <w:ind w:left="60"/>
        <w:spacing w:after="0" w:line="237" w:lineRule="auto"/>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10.15 ~</w:t>
      </w:r>
      <w:r>
        <w:rPr>
          <w:sz w:val="20"/>
          <w:szCs w:val="20"/>
          <w:color w:val="auto"/>
        </w:rPr>
        <w:tab/>
      </w:r>
      <w:hyperlink r:id="rId157">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Award Agreement (For CEO)</w:t>
        </w:r>
      </w:hyperlink>
    </w:p>
    <w:p>
      <w:pPr>
        <w:ind w:left="960"/>
        <w:spacing w:after="0"/>
        <w:rPr>
          <w:sz w:val="20"/>
          <w:szCs w:val="20"/>
          <w:color w:val="auto"/>
        </w:rPr>
      </w:pPr>
      <w:r>
        <w:rPr>
          <w:rFonts w:ascii="Times New Roman" w:cs="Times New Roman" w:eastAsia="Times New Roman" w:hAnsi="Times New Roman"/>
          <w:sz w:val="17"/>
          <w:szCs w:val="17"/>
          <w:color w:val="auto"/>
        </w:rPr>
        <w:t>(incorporated herein by reference to Exhibit 10.23 to our Form 10-Q filed on August 1, 2017)</w:t>
      </w:r>
    </w:p>
    <w:p>
      <w:pPr>
        <w:spacing w:after="0" w:line="10" w:lineRule="exact"/>
        <w:rPr>
          <w:sz w:val="20"/>
          <w:szCs w:val="20"/>
          <w:color w:val="auto"/>
        </w:rPr>
      </w:pPr>
    </w:p>
    <w:p>
      <w:pPr>
        <w:ind w:left="6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10.16 ~</w:t>
      </w:r>
      <w:r>
        <w:rPr>
          <w:sz w:val="20"/>
          <w:szCs w:val="20"/>
          <w:color w:val="auto"/>
        </w:rPr>
        <w:tab/>
      </w:r>
      <w:hyperlink r:id="rId158">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Award Agreement (For</w:t>
        </w:r>
      </w:hyperlink>
    </w:p>
    <w:p>
      <w:pPr>
        <w:jc w:val="center"/>
        <w:ind w:right="-99"/>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u w:val="single" w:color="auto"/>
            <w:color w:val="0000FF"/>
          </w:rPr>
          <w:t>Executive Officers and Employees</w:t>
        </w:r>
        <w:r>
          <w:rPr>
            <w:rFonts w:ascii="Times New Roman" w:cs="Times New Roman" w:eastAsia="Times New Roman" w:hAnsi="Times New Roman"/>
            <w:sz w:val="17"/>
            <w:szCs w:val="17"/>
            <w:color w:val="000000"/>
          </w:rPr>
          <w:t>) (incorporated herein by reference to Exhibit 10.24 to our Form 10-Q filed on August 1, 2017)</w:t>
        </w:r>
      </w:hyperlink>
    </w:p>
    <w:p>
      <w:pPr>
        <w:spacing w:after="0" w:line="10" w:lineRule="exact"/>
        <w:rPr>
          <w:sz w:val="20"/>
          <w:szCs w:val="20"/>
          <w:color w:val="auto"/>
        </w:rPr>
      </w:pPr>
    </w:p>
    <w:p>
      <w:pPr>
        <w:ind w:left="6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10.17 ~</w:t>
      </w:r>
      <w:r>
        <w:rPr>
          <w:sz w:val="20"/>
          <w:szCs w:val="20"/>
          <w:color w:val="auto"/>
        </w:rPr>
        <w:tab/>
      </w:r>
      <w:hyperlink r:id="rId159">
        <w:r>
          <w:rPr>
            <w:rFonts w:ascii="Times New Roman" w:cs="Times New Roman" w:eastAsia="Times New Roman" w:hAnsi="Times New Roman"/>
            <w:sz w:val="17"/>
            <w:szCs w:val="17"/>
            <w:u w:val="single" w:color="auto"/>
            <w:color w:val="0000FF"/>
          </w:rPr>
          <w:t>Form of NMI Holdings, Inc. 2014 Omnibus Incentive Plan Performance Based Restricted Stock Unit Award Agreement (For CEO)</w:t>
        </w:r>
      </w:hyperlink>
    </w:p>
    <w:p>
      <w:pPr>
        <w:ind w:left="960"/>
        <w:spacing w:after="0"/>
        <w:rPr>
          <w:sz w:val="20"/>
          <w:szCs w:val="20"/>
          <w:color w:val="auto"/>
        </w:rPr>
      </w:pPr>
      <w:r>
        <w:rPr>
          <w:rFonts w:ascii="Times New Roman" w:cs="Times New Roman" w:eastAsia="Times New Roman" w:hAnsi="Times New Roman"/>
          <w:sz w:val="17"/>
          <w:szCs w:val="17"/>
          <w:color w:val="auto"/>
        </w:rPr>
        <w:t>(incorporated herein by reference to Exhibit 10.26 to our Form 10-K, filed on February 17, 2017)</w:t>
      </w:r>
    </w:p>
    <w:p>
      <w:pPr>
        <w:spacing w:after="0" w:line="17" w:lineRule="exact"/>
        <w:rPr>
          <w:sz w:val="20"/>
          <w:szCs w:val="20"/>
          <w:color w:val="auto"/>
        </w:rPr>
      </w:pPr>
    </w:p>
    <w:p>
      <w:pPr>
        <w:ind w:left="960" w:right="280" w:hanging="886"/>
        <w:spacing w:after="0" w:line="243" w:lineRule="auto"/>
        <w:tabs>
          <w:tab w:leader="none" w:pos="94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10.18 ~</w:t>
      </w:r>
      <w:r>
        <w:rPr>
          <w:sz w:val="20"/>
          <w:szCs w:val="20"/>
          <w:color w:val="auto"/>
        </w:rPr>
        <w:tab/>
      </w:r>
      <w:hyperlink r:id="rId160">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Based)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10.38 to our Form 10-Q, filed on May 7, 2020)</w:t>
        </w:r>
      </w:hyperlink>
    </w:p>
    <w:p>
      <w:pPr>
        <w:spacing w:after="0" w:line="5" w:lineRule="exact"/>
        <w:rPr>
          <w:sz w:val="20"/>
          <w:szCs w:val="20"/>
          <w:color w:val="auto"/>
        </w:rPr>
      </w:pPr>
    </w:p>
    <w:p>
      <w:pPr>
        <w:ind w:left="960" w:hanging="886"/>
        <w:spacing w:after="0" w:line="243" w:lineRule="auto"/>
        <w:tabs>
          <w:tab w:leader="none" w:pos="94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10.19 ~</w:t>
      </w:r>
      <w:r>
        <w:rPr>
          <w:sz w:val="20"/>
          <w:szCs w:val="20"/>
          <w:color w:val="auto"/>
        </w:rPr>
        <w:tab/>
      </w:r>
      <w:hyperlink r:id="rId161">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 Independent</w:t>
        </w:r>
      </w:hyperlink>
      <w:r>
        <w:rPr>
          <w:rFonts w:ascii="Times New Roman" w:cs="Times New Roman" w:eastAsia="Times New Roman" w:hAnsi="Times New Roman"/>
          <w:sz w:val="17"/>
          <w:szCs w:val="17"/>
          <w:u w:val="single" w:color="auto"/>
          <w:color w:val="0000FF"/>
        </w:rPr>
        <w:t xml:space="preserve"> </w:t>
      </w:r>
      <w:hyperlink r:id="rId161">
        <w:r>
          <w:rPr>
            <w:rFonts w:ascii="Times New Roman" w:cs="Times New Roman" w:eastAsia="Times New Roman" w:hAnsi="Times New Roman"/>
            <w:sz w:val="17"/>
            <w:szCs w:val="17"/>
            <w:u w:val="single" w:color="auto"/>
            <w:color w:val="0000FF"/>
          </w:rPr>
          <w:t>Directors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10.33 to our Form 10-Q, filed on May 2, 2019)</w:t>
        </w:r>
      </w:hyperlink>
    </w:p>
    <w:p>
      <w:pPr>
        <w:spacing w:after="0" w:line="5" w:lineRule="exact"/>
        <w:rPr>
          <w:sz w:val="20"/>
          <w:szCs w:val="20"/>
          <w:color w:val="auto"/>
        </w:rPr>
      </w:pPr>
    </w:p>
    <w:p>
      <w:pPr>
        <w:ind w:left="960" w:right="40" w:hanging="951"/>
        <w:spacing w:after="0" w:line="243" w:lineRule="auto"/>
        <w:tabs>
          <w:tab w:leader="none" w:pos="940" w:val="left"/>
        </w:tabs>
        <w:rPr>
          <w:sz w:val="20"/>
          <w:szCs w:val="20"/>
          <w:color w:val="auto"/>
        </w:rPr>
      </w:pPr>
      <w:r>
        <w:rPr>
          <w:rFonts w:ascii="Times New Roman" w:cs="Times New Roman" w:eastAsia="Times New Roman" w:hAnsi="Times New Roman"/>
          <w:sz w:val="17"/>
          <w:szCs w:val="17"/>
          <w:color w:val="auto"/>
        </w:rPr>
        <w:t>10.20 ~ *</w:t>
      </w:r>
      <w:r>
        <w:rPr>
          <w:sz w:val="20"/>
          <w:szCs w:val="20"/>
          <w:color w:val="auto"/>
        </w:rPr>
        <w:tab/>
      </w:r>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 Independent Directors)</w:t>
      </w:r>
    </w:p>
    <w:p>
      <w:pPr>
        <w:spacing w:after="0" w:line="5" w:lineRule="exact"/>
        <w:rPr>
          <w:sz w:val="20"/>
          <w:szCs w:val="20"/>
          <w:color w:val="auto"/>
        </w:rPr>
      </w:pPr>
    </w:p>
    <w:p>
      <w:pPr>
        <w:ind w:left="960" w:hanging="886"/>
        <w:spacing w:after="0" w:line="243" w:lineRule="auto"/>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10.21 ~</w:t>
      </w:r>
      <w:r>
        <w:rPr>
          <w:sz w:val="20"/>
          <w:szCs w:val="20"/>
          <w:color w:val="auto"/>
        </w:rPr>
        <w:tab/>
      </w:r>
      <w:hyperlink r:id="rId162">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 Employees</w:t>
        </w:r>
      </w:hyperlink>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(incorporated herein by reference to Exhibit 10.34 to our Form 10-Q, filed on May 2, 2019)</w:t>
      </w:r>
    </w:p>
    <w:p>
      <w:pPr>
        <w:spacing w:after="0" w:line="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color w:val="auto"/>
        </w:rPr>
        <w:t>10.22 ~ *</w:t>
      </w:r>
      <w:r>
        <w:rPr>
          <w:sz w:val="20"/>
          <w:szCs w:val="20"/>
          <w:color w:val="auto"/>
        </w:rPr>
        <w:tab/>
      </w:r>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 Executives)</w:t>
      </w:r>
    </w:p>
    <w:p>
      <w:pPr>
        <w:spacing w:after="0" w:line="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color w:val="auto"/>
        </w:rPr>
        <w:t>10.23 ~ *</w:t>
      </w:r>
      <w:r>
        <w:rPr>
          <w:sz w:val="20"/>
          <w:szCs w:val="20"/>
          <w:color w:val="auto"/>
        </w:rPr>
        <w:tab/>
      </w:r>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 Employees)</w:t>
      </w:r>
    </w:p>
    <w:p>
      <w:pPr>
        <w:spacing w:after="0" w:line="24" w:lineRule="exact"/>
        <w:rPr>
          <w:sz w:val="20"/>
          <w:szCs w:val="20"/>
          <w:color w:val="auto"/>
        </w:rPr>
      </w:pPr>
    </w:p>
    <w:p>
      <w:pPr>
        <w:ind w:left="960" w:right="300" w:hanging="951"/>
        <w:spacing w:after="0" w:line="238" w:lineRule="auto"/>
        <w:tabs>
          <w:tab w:leader="none" w:pos="940" w:val="left"/>
        </w:tabs>
        <w:rPr>
          <w:sz w:val="20"/>
          <w:szCs w:val="20"/>
          <w:color w:val="auto"/>
        </w:rPr>
      </w:pPr>
      <w:r>
        <w:rPr>
          <w:rFonts w:ascii="Times New Roman" w:cs="Times New Roman" w:eastAsia="Times New Roman" w:hAnsi="Times New Roman"/>
          <w:sz w:val="17"/>
          <w:szCs w:val="17"/>
          <w:color w:val="auto"/>
        </w:rPr>
        <w:t>10.24 ~ *</w:t>
      </w:r>
      <w:r>
        <w:rPr>
          <w:sz w:val="20"/>
          <w:szCs w:val="20"/>
          <w:color w:val="auto"/>
        </w:rPr>
        <w:tab/>
      </w:r>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(Performance Based)</w:t>
      </w:r>
    </w:p>
    <w:p>
      <w:pPr>
        <w:spacing w:after="0" w:line="8" w:lineRule="exact"/>
        <w:rPr>
          <w:sz w:val="20"/>
          <w:szCs w:val="20"/>
          <w:color w:val="auto"/>
        </w:rPr>
      </w:pPr>
    </w:p>
    <w:p>
      <w:pPr>
        <w:ind w:left="960" w:hanging="886"/>
        <w:spacing w:after="0" w:line="243" w:lineRule="auto"/>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10.25 ~</w:t>
      </w:r>
      <w:r>
        <w:rPr>
          <w:sz w:val="20"/>
          <w:szCs w:val="20"/>
          <w:color w:val="auto"/>
        </w:rPr>
        <w:tab/>
      </w:r>
      <w:hyperlink r:id="rId163">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Agreement for Employees</w:t>
        </w:r>
      </w:hyperlink>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(incorporated herein by reference to Exhibit 10.35 to our Form 10-Q, filed on May 2, 2019)</w:t>
      </w:r>
    </w:p>
    <w:p>
      <w:pPr>
        <w:spacing w:after="0" w:line="5" w:lineRule="exact"/>
        <w:rPr>
          <w:sz w:val="20"/>
          <w:szCs w:val="20"/>
          <w:color w:val="auto"/>
        </w:rPr>
      </w:pPr>
    </w:p>
    <w:p>
      <w:pPr>
        <w:ind w:left="960" w:hanging="886"/>
        <w:spacing w:after="0" w:line="243" w:lineRule="auto"/>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10.26 ~</w:t>
      </w:r>
      <w:r>
        <w:rPr>
          <w:sz w:val="20"/>
          <w:szCs w:val="20"/>
          <w:color w:val="auto"/>
        </w:rPr>
        <w:tab/>
      </w:r>
      <w:hyperlink r:id="rId164">
        <w:r>
          <w:rPr>
            <w:rFonts w:ascii="Times New Roman" w:cs="Times New Roman" w:eastAsia="Times New Roman" w:hAnsi="Times New Roman"/>
            <w:sz w:val="17"/>
            <w:szCs w:val="17"/>
            <w:u w:val="single" w:color="auto"/>
            <w:color w:val="0000FF"/>
          </w:rPr>
          <w:t xml:space="preserve">Form of Indemnification Agreement between NMI Holdings, Inc. and its directors and certain executive officers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10.1 to our Form 8-K, filed on November 25, 2014)</w:t>
      </w:r>
    </w:p>
    <w:p>
      <w:pPr>
        <w:spacing w:after="0" w:line="5" w:lineRule="exact"/>
        <w:rPr>
          <w:sz w:val="20"/>
          <w:szCs w:val="20"/>
          <w:color w:val="auto"/>
        </w:rPr>
      </w:pPr>
    </w:p>
    <w:p>
      <w:pPr>
        <w:ind w:left="6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10.27 ~</w:t>
      </w:r>
      <w:r>
        <w:rPr>
          <w:sz w:val="20"/>
          <w:szCs w:val="20"/>
          <w:color w:val="auto"/>
        </w:rPr>
        <w:tab/>
      </w:r>
      <w:hyperlink r:id="rId165">
        <w:r>
          <w:rPr>
            <w:rFonts w:ascii="Times New Roman" w:cs="Times New Roman" w:eastAsia="Times New Roman" w:hAnsi="Times New Roman"/>
            <w:sz w:val="17"/>
            <w:szCs w:val="17"/>
            <w:u w:val="single" w:color="auto"/>
            <w:color w:val="0000FF"/>
          </w:rPr>
          <w:t xml:space="preserve">NMI Holdings, Inc. Severance Benefit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10.1 to our Form 8-K, filed on February 17, 2016)</w:t>
      </w:r>
    </w:p>
    <w:p>
      <w:pPr>
        <w:spacing w:after="0" w:line="30" w:lineRule="exact"/>
        <w:rPr>
          <w:sz w:val="20"/>
          <w:szCs w:val="20"/>
          <w:color w:val="auto"/>
        </w:rPr>
      </w:pPr>
    </w:p>
    <w:p>
      <w:pPr>
        <w:ind w:left="960" w:hanging="886"/>
        <w:spacing w:after="0" w:line="238" w:lineRule="auto"/>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10.28 ~</w:t>
      </w:r>
      <w:r>
        <w:rPr>
          <w:sz w:val="20"/>
          <w:szCs w:val="20"/>
          <w:color w:val="auto"/>
        </w:rPr>
        <w:tab/>
      </w:r>
      <w:hyperlink r:id="rId166">
        <w:r>
          <w:rPr>
            <w:rFonts w:ascii="Times New Roman" w:cs="Times New Roman" w:eastAsia="Times New Roman" w:hAnsi="Times New Roman"/>
            <w:sz w:val="17"/>
            <w:szCs w:val="17"/>
            <w:u w:val="single" w:color="auto"/>
            <w:color w:val="0000FF"/>
          </w:rPr>
          <w:t xml:space="preserve">NMI Holdings, Inc. Amended and Restated Change in Control Severance Benefit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10.30 to</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our Form 10-Q, filed on October 30, 2018)</w:t>
      </w:r>
    </w:p>
    <w:p>
      <w:pPr>
        <w:ind w:left="6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10.29 ~</w:t>
      </w:r>
      <w:r>
        <w:rPr>
          <w:sz w:val="20"/>
          <w:szCs w:val="20"/>
          <w:color w:val="auto"/>
        </w:rPr>
        <w:tab/>
      </w:r>
      <w:hyperlink r:id="rId167">
        <w:r>
          <w:rPr>
            <w:rFonts w:ascii="Times New Roman" w:cs="Times New Roman" w:eastAsia="Times New Roman" w:hAnsi="Times New Roman"/>
            <w:sz w:val="17"/>
            <w:szCs w:val="17"/>
            <w:u w:val="single" w:color="auto"/>
            <w:color w:val="0000FF"/>
          </w:rPr>
          <w:t xml:space="preserve">Offer Letter by and between NMI Holdings, Inc. and William Leatherberry, dated July 11, 2014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60"/>
        <w:spacing w:after="0"/>
        <w:rPr>
          <w:sz w:val="20"/>
          <w:szCs w:val="20"/>
          <w:color w:val="auto"/>
        </w:rPr>
      </w:pPr>
      <w:r>
        <w:rPr>
          <w:rFonts w:ascii="Times New Roman" w:cs="Times New Roman" w:eastAsia="Times New Roman" w:hAnsi="Times New Roman"/>
          <w:sz w:val="17"/>
          <w:szCs w:val="17"/>
          <w:color w:val="auto"/>
        </w:rPr>
        <w:t>10.10 to our Form 10-Q, filed on April 28, 2016)</w:t>
      </w:r>
    </w:p>
    <w:p>
      <w:pPr>
        <w:spacing w:after="0" w:line="17" w:lineRule="exact"/>
        <w:rPr>
          <w:sz w:val="20"/>
          <w:szCs w:val="20"/>
          <w:color w:val="auto"/>
        </w:rPr>
      </w:pPr>
    </w:p>
    <w:p>
      <w:pPr>
        <w:ind w:left="960" w:hanging="886"/>
        <w:spacing w:after="0" w:line="243" w:lineRule="auto"/>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10.30 ~</w:t>
      </w:r>
      <w:r>
        <w:rPr>
          <w:sz w:val="20"/>
          <w:szCs w:val="20"/>
          <w:color w:val="auto"/>
        </w:rPr>
        <w:tab/>
      </w:r>
      <w:hyperlink r:id="rId168">
        <w:r>
          <w:rPr>
            <w:rFonts w:ascii="Times New Roman" w:cs="Times New Roman" w:eastAsia="Times New Roman" w:hAnsi="Times New Roman"/>
            <w:sz w:val="17"/>
            <w:szCs w:val="17"/>
            <w:u w:val="single" w:color="auto"/>
            <w:color w:val="0000FF"/>
          </w:rPr>
          <w:t xml:space="preserve">Employment Letter by and between NMI Holdings, Inc. and Bradley M. Shuster, effective as of January 1, 2019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10.1 to our Form 8-K, filed on December 28, 2018)</w:t>
      </w:r>
    </w:p>
    <w:p>
      <w:pPr>
        <w:ind w:left="60"/>
        <w:spacing w:after="0" w:line="237" w:lineRule="auto"/>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10.31 ~</w:t>
      </w:r>
      <w:r>
        <w:rPr>
          <w:sz w:val="20"/>
          <w:szCs w:val="20"/>
          <w:color w:val="auto"/>
        </w:rPr>
        <w:tab/>
      </w:r>
      <w:hyperlink r:id="rId169">
        <w:r>
          <w:rPr>
            <w:rFonts w:ascii="Times New Roman" w:cs="Times New Roman" w:eastAsia="Times New Roman" w:hAnsi="Times New Roman"/>
            <w:sz w:val="17"/>
            <w:szCs w:val="17"/>
            <w:u w:val="single" w:color="auto"/>
            <w:color w:val="0000FF"/>
          </w:rPr>
          <w:t xml:space="preserve">Offer Letter by and between NMI Holdings, Inc. and Adam Pollitzer, dated September 9, 2021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60"/>
        <w:spacing w:after="0"/>
        <w:rPr>
          <w:sz w:val="20"/>
          <w:szCs w:val="20"/>
          <w:color w:val="auto"/>
        </w:rPr>
      </w:pPr>
      <w:r>
        <w:rPr>
          <w:rFonts w:ascii="Times New Roman" w:cs="Times New Roman" w:eastAsia="Times New Roman" w:hAnsi="Times New Roman"/>
          <w:sz w:val="17"/>
          <w:szCs w:val="17"/>
          <w:color w:val="auto"/>
        </w:rPr>
        <w:t>10.1 to our Form 8-K, filed on September 9,2021)</w:t>
      </w:r>
    </w:p>
    <w:p>
      <w:pPr>
        <w:spacing w:after="0" w:line="10" w:lineRule="exact"/>
        <w:rPr>
          <w:sz w:val="20"/>
          <w:szCs w:val="20"/>
          <w:color w:val="auto"/>
        </w:rPr>
      </w:pPr>
    </w:p>
    <w:p>
      <w:pPr>
        <w:ind w:left="6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10.32 ~</w:t>
      </w:r>
      <w:r>
        <w:rPr>
          <w:sz w:val="20"/>
          <w:szCs w:val="20"/>
          <w:color w:val="auto"/>
        </w:rPr>
        <w:tab/>
      </w:r>
      <w:hyperlink r:id="rId170">
        <w:r>
          <w:rPr>
            <w:rFonts w:ascii="Times New Roman" w:cs="Times New Roman" w:eastAsia="Times New Roman" w:hAnsi="Times New Roman"/>
            <w:sz w:val="17"/>
            <w:szCs w:val="17"/>
            <w:u w:val="single" w:color="auto"/>
            <w:color w:val="0000FF"/>
          </w:rPr>
          <w:t xml:space="preserve">Offer Letter by and between NMI Holdings, Inc. and Ravi Mallela, dated December 20, 2021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60"/>
        <w:spacing w:after="0"/>
        <w:rPr>
          <w:sz w:val="20"/>
          <w:szCs w:val="20"/>
          <w:color w:val="auto"/>
        </w:rPr>
      </w:pPr>
      <w:r>
        <w:rPr>
          <w:rFonts w:ascii="Times New Roman" w:cs="Times New Roman" w:eastAsia="Times New Roman" w:hAnsi="Times New Roman"/>
          <w:sz w:val="17"/>
          <w:szCs w:val="17"/>
          <w:color w:val="auto"/>
        </w:rPr>
        <w:t>10.1 to our Form 8-K, filed on December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71755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60"/>
          </w:cols>
          <w:pgMar w:left="500" w:top="1006" w:right="639" w:bottom="1440" w:gutter="0" w:footer="0" w:header="0"/>
        </w:sectPr>
      </w:pPr>
    </w:p>
    <w:bookmarkStart w:id="129" w:name="page130"/>
    <w:bookmarkEnd w:id="129"/>
    <w:p>
      <w:pPr>
        <w:jc w:val="right"/>
        <w:ind w:left="140" w:right="40"/>
        <w:spacing w:after="0" w:line="22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10.33 +    </w:t>
      </w:r>
      <w:hyperlink r:id="rId172">
        <w:r>
          <w:rPr>
            <w:rFonts w:ascii="Times New Roman" w:cs="Times New Roman" w:eastAsia="Times New Roman" w:hAnsi="Times New Roman"/>
            <w:sz w:val="17"/>
            <w:szCs w:val="17"/>
            <w:u w:val="single" w:color="auto"/>
            <w:color w:val="0000FF"/>
          </w:rPr>
          <w:t>Commitment Letter dated July 12, 2013 for Bulk Fannie Mae-Paid Loss-on-Sale Mortgage Insurance on the Portfolio of approximately $5.46</w:t>
        </w:r>
      </w:hyperlink>
      <w:r>
        <w:rPr>
          <w:rFonts w:ascii="Times New Roman" w:cs="Times New Roman" w:eastAsia="Times New Roman" w:hAnsi="Times New Roman"/>
          <w:sz w:val="17"/>
          <w:szCs w:val="17"/>
          <w:color w:val="auto"/>
        </w:rPr>
        <w:t xml:space="preserve"> </w:t>
      </w:r>
      <w:hyperlink r:id="rId172">
        <w:r>
          <w:rPr>
            <w:rFonts w:ascii="Times New Roman" w:cs="Times New Roman" w:eastAsia="Times New Roman" w:hAnsi="Times New Roman"/>
            <w:sz w:val="17"/>
            <w:szCs w:val="17"/>
            <w:u w:val="single" w:color="auto"/>
            <w:color w:val="0000FF"/>
          </w:rPr>
          <w:t>billion Purchased by Fannie Mae and Identified by Fannie Mae as Deal No. 2013 MIRT 01 and by the Company as Policy No. P-0001-01</w:t>
        </w:r>
      </w:hyperlink>
    </w:p>
    <w:p>
      <w:pPr>
        <w:spacing w:after="0" w:line="1" w:lineRule="exact"/>
        <w:rPr>
          <w:sz w:val="20"/>
          <w:szCs w:val="20"/>
          <w:color w:val="auto"/>
        </w:rPr>
      </w:pPr>
    </w:p>
    <w:p>
      <w:pPr>
        <w:ind w:left="1040" w:right="40"/>
        <w:spacing w:after="0" w:line="229" w:lineRule="auto"/>
        <w:rPr>
          <w:sz w:val="20"/>
          <w:szCs w:val="20"/>
          <w:color w:val="auto"/>
        </w:rPr>
      </w:pPr>
      <w:r>
        <w:rPr>
          <w:rFonts w:ascii="Times New Roman" w:cs="Times New Roman" w:eastAsia="Times New Roman" w:hAnsi="Times New Roman"/>
          <w:sz w:val="17"/>
          <w:szCs w:val="17"/>
          <w:color w:val="auto"/>
        </w:rPr>
        <w:t>(incorporated herein by reference to Exhibit 10.14 to our Form S-1 Registration Statement (Registration No. 333-191635), filed on October 9, 2013)</w:t>
      </w:r>
    </w:p>
    <w:p>
      <w:pPr>
        <w:spacing w:after="0" w:line="1" w:lineRule="exact"/>
        <w:rPr>
          <w:sz w:val="20"/>
          <w:szCs w:val="20"/>
          <w:color w:val="auto"/>
        </w:rPr>
      </w:pPr>
    </w:p>
    <w:p>
      <w:pPr>
        <w:ind w:left="1040" w:right="280" w:hanging="818"/>
        <w:spacing w:after="0" w:line="223" w:lineRule="auto"/>
        <w:tabs>
          <w:tab w:leader="none" w:pos="10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10.34</w:t>
      </w:r>
      <w:r>
        <w:rPr>
          <w:sz w:val="20"/>
          <w:szCs w:val="20"/>
          <w:color w:val="auto"/>
        </w:rPr>
        <w:tab/>
      </w:r>
      <w:hyperlink r:id="rId173">
        <w:r>
          <w:rPr>
            <w:rFonts w:ascii="Times New Roman" w:cs="Times New Roman" w:eastAsia="Times New Roman" w:hAnsi="Times New Roman"/>
            <w:sz w:val="17"/>
            <w:szCs w:val="17"/>
            <w:u w:val="single" w:color="auto"/>
            <w:color w:val="0000FF"/>
          </w:rPr>
          <w:t>Amended and Restated Credit Agreement, dated as of November 29, 2021, by and among the Company, the lender parties thereto and</w:t>
        </w:r>
      </w:hyperlink>
      <w:r>
        <w:rPr>
          <w:rFonts w:ascii="Times New Roman" w:cs="Times New Roman" w:eastAsia="Times New Roman" w:hAnsi="Times New Roman"/>
          <w:sz w:val="17"/>
          <w:szCs w:val="17"/>
          <w:u w:val="single" w:color="auto"/>
          <w:color w:val="0000FF"/>
        </w:rPr>
        <w:t xml:space="preserve"> </w:t>
      </w:r>
      <w:hyperlink r:id="rId173">
        <w:r>
          <w:rPr>
            <w:rFonts w:ascii="Times New Roman" w:cs="Times New Roman" w:eastAsia="Times New Roman" w:hAnsi="Times New Roman"/>
            <w:sz w:val="17"/>
            <w:szCs w:val="17"/>
            <w:u w:val="single" w:color="auto"/>
            <w:color w:val="0000FF"/>
          </w:rPr>
          <w:t>JPMorgan Chase Bank, N.A. as administrative agent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(incorporated herein by reference to Exhibit 10.1 to our Form 8-K filed on </w:t>
        </w:r>
      </w:hyperlink>
      <w:r>
        <w:rPr>
          <w:rFonts w:ascii="Times New Roman" w:cs="Times New Roman" w:eastAsia="Times New Roman" w:hAnsi="Times New Roman"/>
          <w:sz w:val="17"/>
          <w:szCs w:val="17"/>
          <w:color w:val="0000FF"/>
        </w:rPr>
        <w:t>November</w:t>
      </w:r>
    </w:p>
    <w:p>
      <w:pPr>
        <w:ind w:left="1040"/>
        <w:spacing w:after="0"/>
        <w:rPr>
          <w:sz w:val="20"/>
          <w:szCs w:val="20"/>
          <w:color w:val="auto"/>
        </w:rPr>
      </w:pPr>
      <w:r>
        <w:rPr>
          <w:rFonts w:ascii="Times New Roman" w:cs="Times New Roman" w:eastAsia="Times New Roman" w:hAnsi="Times New Roman"/>
          <w:sz w:val="17"/>
          <w:szCs w:val="17"/>
          <w:color w:val="auto"/>
        </w:rPr>
        <w:t>30, 2021)</w:t>
      </w:r>
    </w:p>
    <w:p>
      <w:pPr>
        <w:spacing w:after="0" w:line="10" w:lineRule="exact"/>
        <w:rPr>
          <w:sz w:val="20"/>
          <w:szCs w:val="20"/>
          <w:color w:val="auto"/>
        </w:rPr>
      </w:pPr>
    </w:p>
    <w:p>
      <w:pPr>
        <w:ind w:left="260"/>
        <w:spacing w:after="0"/>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21.1</w:t>
      </w:r>
      <w:r>
        <w:rPr>
          <w:sz w:val="20"/>
          <w:szCs w:val="20"/>
          <w:color w:val="auto"/>
        </w:rPr>
        <w:tab/>
      </w:r>
      <w:hyperlink r:id="rId174">
        <w:r>
          <w:rPr>
            <w:rFonts w:ascii="Times New Roman" w:cs="Times New Roman" w:eastAsia="Times New Roman" w:hAnsi="Times New Roman"/>
            <w:sz w:val="17"/>
            <w:szCs w:val="17"/>
            <w:u w:val="single" w:color="auto"/>
            <w:color w:val="0000FF"/>
          </w:rPr>
          <w:t xml:space="preserve">Subsidiaries of NMI Holdings, Inc.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21.1 to our Form 10-Q, filed on October 30, 2015)</w:t>
      </w:r>
    </w:p>
    <w:p>
      <w:pPr>
        <w:spacing w:after="0" w:line="11" w:lineRule="exact"/>
        <w:rPr>
          <w:sz w:val="20"/>
          <w:szCs w:val="20"/>
          <w:color w:val="auto"/>
        </w:rPr>
      </w:pPr>
    </w:p>
    <w:p>
      <w:pPr>
        <w:ind w:left="260"/>
        <w:spacing w:after="0"/>
        <w:tabs>
          <w:tab w:leader="none" w:pos="1020" w:val="left"/>
        </w:tabs>
        <w:rPr>
          <w:sz w:val="20"/>
          <w:szCs w:val="20"/>
          <w:color w:val="auto"/>
        </w:rPr>
      </w:pPr>
      <w:r>
        <w:rPr>
          <w:rFonts w:ascii="Times New Roman" w:cs="Times New Roman" w:eastAsia="Times New Roman" w:hAnsi="Times New Roman"/>
          <w:sz w:val="17"/>
          <w:szCs w:val="17"/>
          <w:color w:val="auto"/>
        </w:rPr>
        <w:t>22.1</w:t>
      </w:r>
      <w:r>
        <w:rPr>
          <w:sz w:val="20"/>
          <w:szCs w:val="20"/>
          <w:color w:val="auto"/>
        </w:rPr>
        <w:tab/>
      </w:r>
      <w:r>
        <w:rPr>
          <w:rFonts w:ascii="Times New Roman" w:cs="Times New Roman" w:eastAsia="Times New Roman" w:hAnsi="Times New Roman"/>
          <w:sz w:val="17"/>
          <w:szCs w:val="17"/>
          <w:u w:val="single" w:color="auto"/>
          <w:color w:val="0000FF"/>
        </w:rPr>
        <w:t xml:space="preserve">Guaranteed Securities by Subsidiary Guarantor </w:t>
      </w:r>
      <w:r>
        <w:rPr>
          <w:rFonts w:ascii="Times New Roman" w:cs="Times New Roman" w:eastAsia="Times New Roman" w:hAnsi="Times New Roman"/>
          <w:sz w:val="17"/>
          <w:szCs w:val="17"/>
          <w:color w:val="000000"/>
        </w:rPr>
        <w:t>(incorporated herein by reference to Exhibit 22.1 to our Form 10-K, filed on February 16,</w:t>
      </w:r>
    </w:p>
    <w:p>
      <w:pPr>
        <w:ind w:left="1040"/>
        <w:spacing w:after="0"/>
        <w:rPr>
          <w:sz w:val="20"/>
          <w:szCs w:val="20"/>
          <w:color w:val="auto"/>
        </w:rPr>
      </w:pPr>
      <w:r>
        <w:rPr>
          <w:rFonts w:ascii="Times New Roman" w:cs="Times New Roman" w:eastAsia="Times New Roman" w:hAnsi="Times New Roman"/>
          <w:sz w:val="17"/>
          <w:szCs w:val="17"/>
          <w:color w:val="auto"/>
        </w:rPr>
        <w:t>2022)</w:t>
      </w:r>
    </w:p>
    <w:p>
      <w:pPr>
        <w:spacing w:after="0" w:line="17" w:lineRule="exact"/>
        <w:rPr>
          <w:sz w:val="20"/>
          <w:szCs w:val="20"/>
          <w:color w:val="auto"/>
        </w:rPr>
      </w:pPr>
    </w:p>
    <w:p>
      <w:pPr>
        <w:ind w:left="260"/>
        <w:spacing w:after="0"/>
        <w:tabs>
          <w:tab w:leader="none" w:pos="1020" w:val="left"/>
        </w:tabs>
        <w:rPr>
          <w:sz w:val="20"/>
          <w:szCs w:val="20"/>
          <w:color w:val="auto"/>
        </w:rPr>
      </w:pPr>
      <w:r>
        <w:rPr>
          <w:rFonts w:ascii="Times New Roman" w:cs="Times New Roman" w:eastAsia="Times New Roman" w:hAnsi="Times New Roman"/>
          <w:sz w:val="17"/>
          <w:szCs w:val="17"/>
          <w:color w:val="auto"/>
        </w:rPr>
        <w:t>23.1</w:t>
      </w:r>
      <w:r>
        <w:rPr>
          <w:sz w:val="20"/>
          <w:szCs w:val="20"/>
          <w:color w:val="auto"/>
        </w:rPr>
        <w:tab/>
      </w:r>
      <w:r>
        <w:rPr>
          <w:rFonts w:ascii="Times New Roman" w:cs="Times New Roman" w:eastAsia="Times New Roman" w:hAnsi="Times New Roman"/>
          <w:sz w:val="16"/>
          <w:szCs w:val="16"/>
          <w:u w:val="single" w:color="auto"/>
          <w:color w:val="0000FF"/>
        </w:rPr>
        <w:t>Consent of BDO USA, P.C.</w:t>
      </w:r>
    </w:p>
    <w:p>
      <w:pPr>
        <w:spacing w:after="0" w:line="30" w:lineRule="exact"/>
        <w:rPr>
          <w:sz w:val="20"/>
          <w:szCs w:val="20"/>
          <w:color w:val="auto"/>
        </w:rPr>
      </w:pPr>
    </w:p>
    <w:p>
      <w:pPr>
        <w:ind w:left="260"/>
        <w:spacing w:after="0"/>
        <w:tabs>
          <w:tab w:leader="none" w:pos="102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Principal Executive Officer's Certification Pursuant to Section 302 of the Sarbanes-Oxley Act of 2002</w:t>
      </w:r>
    </w:p>
    <w:p>
      <w:pPr>
        <w:spacing w:after="0" w:line="24" w:lineRule="exact"/>
        <w:rPr>
          <w:sz w:val="20"/>
          <w:szCs w:val="20"/>
          <w:color w:val="auto"/>
        </w:rPr>
      </w:pPr>
    </w:p>
    <w:p>
      <w:pPr>
        <w:ind w:left="260"/>
        <w:spacing w:after="0"/>
        <w:tabs>
          <w:tab w:leader="none" w:pos="102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Principal Financial Officer's Certification Pursuant to Section 302 of the Sarbanes-Oxley Act of 2002</w:t>
      </w:r>
    </w:p>
    <w:p>
      <w:pPr>
        <w:spacing w:after="0" w:line="24" w:lineRule="exact"/>
        <w:rPr>
          <w:sz w:val="20"/>
          <w:szCs w:val="20"/>
          <w:color w:val="auto"/>
        </w:rPr>
      </w:pPr>
    </w:p>
    <w:p>
      <w:pPr>
        <w:ind w:left="200"/>
        <w:spacing w:after="0"/>
        <w:tabs>
          <w:tab w:leader="none" w:pos="1020" w:val="left"/>
        </w:tabs>
        <w:rPr>
          <w:sz w:val="20"/>
          <w:szCs w:val="20"/>
          <w:color w:val="auto"/>
        </w:rPr>
      </w:pPr>
      <w:r>
        <w:rPr>
          <w:rFonts w:ascii="Times New Roman" w:cs="Times New Roman" w:eastAsia="Times New Roman" w:hAnsi="Times New Roman"/>
          <w:sz w:val="17"/>
          <w:szCs w:val="17"/>
          <w:color w:val="auto"/>
        </w:rPr>
        <w:t>32.1 #</w:t>
      </w:r>
      <w:r>
        <w:rPr>
          <w:sz w:val="20"/>
          <w:szCs w:val="20"/>
          <w:color w:val="auto"/>
        </w:rPr>
        <w:tab/>
      </w:r>
      <w:r>
        <w:rPr>
          <w:rFonts w:ascii="Times New Roman" w:cs="Times New Roman" w:eastAsia="Times New Roman" w:hAnsi="Times New Roman"/>
          <w:sz w:val="17"/>
          <w:szCs w:val="17"/>
          <w:u w:val="single" w:color="auto"/>
          <w:color w:val="0000FF"/>
        </w:rPr>
        <w:t>Certifications of CEO and CFO Pursuant to 18 U.S.C. Section 1350, as Adopted Pursuant to Section 906 of the Sarbanes-Oxley Act of 2002</w:t>
      </w:r>
    </w:p>
    <w:p>
      <w:pPr>
        <w:spacing w:after="0" w:line="24" w:lineRule="exact"/>
        <w:rPr>
          <w:sz w:val="20"/>
          <w:szCs w:val="20"/>
          <w:color w:val="auto"/>
        </w:rPr>
      </w:pPr>
    </w:p>
    <w:p>
      <w:pPr>
        <w:ind w:left="220"/>
        <w:spacing w:after="0"/>
        <w:tabs>
          <w:tab w:leader="none" w:pos="1020" w:val="left"/>
        </w:tabs>
        <w:rPr>
          <w:sz w:val="20"/>
          <w:szCs w:val="20"/>
          <w:color w:val="auto"/>
        </w:rPr>
      </w:pPr>
      <w:r>
        <w:rPr>
          <w:rFonts w:ascii="Times New Roman" w:cs="Times New Roman" w:eastAsia="Times New Roman" w:hAnsi="Times New Roman"/>
          <w:sz w:val="17"/>
          <w:szCs w:val="17"/>
          <w:color w:val="auto"/>
        </w:rPr>
        <w:t>97.1*</w:t>
      </w:r>
      <w:r>
        <w:rPr>
          <w:sz w:val="20"/>
          <w:szCs w:val="20"/>
          <w:color w:val="auto"/>
        </w:rPr>
        <w:tab/>
      </w:r>
      <w:r>
        <w:rPr>
          <w:rFonts w:ascii="Times New Roman" w:cs="Times New Roman" w:eastAsia="Times New Roman" w:hAnsi="Times New Roman"/>
          <w:sz w:val="17"/>
          <w:szCs w:val="17"/>
          <w:u w:val="single" w:color="auto"/>
          <w:color w:val="0000FF"/>
        </w:rPr>
        <w:t>NMI Holdings, Inc. Compensation Recovery Policy, Effective September 13, 2023</w:t>
      </w:r>
    </w:p>
    <w:p>
      <w:pPr>
        <w:spacing w:after="0" w:line="24" w:lineRule="exact"/>
        <w:rPr>
          <w:sz w:val="20"/>
          <w:szCs w:val="20"/>
          <w:color w:val="auto"/>
        </w:rPr>
      </w:pPr>
    </w:p>
    <w:p>
      <w:pPr>
        <w:ind w:left="1040" w:right="700" w:hanging="761"/>
        <w:spacing w:after="0" w:line="223" w:lineRule="auto"/>
        <w:tabs>
          <w:tab w:leader="none" w:pos="104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NMI Holdings, Inc.'s Annual Report on Form 10-K for the year ended December 31, 2023 formatted in XBRL (eXtensible Business Reporting Language):</w:t>
      </w:r>
    </w:p>
    <w:p>
      <w:pPr>
        <w:ind w:left="1460" w:hanging="211"/>
        <w:spacing w:after="0" w:line="206" w:lineRule="auto"/>
        <w:tabs>
          <w:tab w:leader="none" w:pos="1460"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Balance Sheets as of December 31, 2023 and 2022</w:t>
      </w:r>
    </w:p>
    <w:p>
      <w:pPr>
        <w:ind w:left="1040" w:right="260" w:firstLine="209"/>
        <w:spacing w:after="0" w:line="214" w:lineRule="auto"/>
        <w:tabs>
          <w:tab w:leader="none" w:pos="1509"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Operations and Comprehensive Income (Loss) for each of the three years in the period ended December 31, 2023</w:t>
      </w:r>
    </w:p>
    <w:p>
      <w:pPr>
        <w:ind w:left="1560" w:hanging="311"/>
        <w:spacing w:after="0" w:line="206" w:lineRule="auto"/>
        <w:tabs>
          <w:tab w:leader="none" w:pos="1560"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Changes in Shareholders' Equity for each of the three years in the period ended December 31, 2023</w:t>
      </w:r>
    </w:p>
    <w:p>
      <w:pPr>
        <w:ind w:left="1540" w:hanging="291"/>
        <w:spacing w:after="0" w:line="206" w:lineRule="auto"/>
        <w:tabs>
          <w:tab w:leader="none" w:pos="1540"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Cash Flows for each of the three years in the period ended December 31, 2023, and</w:t>
      </w:r>
    </w:p>
    <w:p>
      <w:pPr>
        <w:ind w:left="1040" w:right="260" w:firstLine="209"/>
        <w:spacing w:after="0" w:line="237" w:lineRule="auto"/>
        <w:tabs>
          <w:tab w:leader="none" w:pos="1500"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Consolidated Financial Statements. The instance document does not appear in the Interactive Data File because XBRL tags are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30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Filed herewith.</w:t>
      </w:r>
    </w:p>
    <w:p>
      <w:pPr>
        <w:spacing w:after="0" w:line="22"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3" w:lineRule="exact"/>
        <w:rPr>
          <w:sz w:val="20"/>
          <w:szCs w:val="20"/>
          <w:color w:val="auto"/>
        </w:rPr>
      </w:pPr>
    </w:p>
    <w:p>
      <w:pPr>
        <w:ind w:left="320" w:hanging="315"/>
        <w:spacing w:after="0"/>
        <w:tabs>
          <w:tab w:leader="none" w:pos="3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contract.</w:t>
      </w:r>
    </w:p>
    <w:p>
      <w:pPr>
        <w:spacing w:after="0" w:line="23" w:lineRule="exact"/>
        <w:rPr>
          <w:sz w:val="20"/>
          <w:szCs w:val="20"/>
          <w:color w:val="auto"/>
        </w:rPr>
      </w:pPr>
    </w:p>
    <w:p>
      <w:pPr>
        <w:ind w:left="320" w:hanging="315"/>
        <w:spacing w:after="0"/>
        <w:tabs>
          <w:tab w:leader="none" w:pos="3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granted as to certain portions, which portions have been filed separately with the SEC.</w:t>
      </w:r>
    </w:p>
    <w:p>
      <w:pPr>
        <w:spacing w:after="0" w:line="23" w:lineRule="exact"/>
        <w:rPr>
          <w:sz w:val="20"/>
          <w:szCs w:val="20"/>
          <w:color w:val="auto"/>
        </w:rPr>
      </w:pPr>
    </w:p>
    <w:p>
      <w:pPr>
        <w:jc w:val="both"/>
        <w:ind w:left="320" w:hanging="315"/>
        <w:spacing w:after="0" w:line="222" w:lineRule="auto"/>
        <w:tabs>
          <w:tab w:leader="none" w:pos="3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 hereto are deemed to accompany this Form 10-K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80"/>
          </w:cols>
          <w:pgMar w:left="420" w:top="1014" w:right="5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076" w:right="1440"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7"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580" w:type="dxa"/>
            <w:vAlign w:val="bottom"/>
            <w:gridSpan w:val="2"/>
          </w:tcPr>
          <w:p>
            <w:pPr>
              <w:ind w:left="2400"/>
              <w:spacing w:after="0"/>
              <w:rPr>
                <w:sz w:val="20"/>
                <w:szCs w:val="20"/>
                <w:color w:val="auto"/>
              </w:rPr>
            </w:pPr>
            <w:r>
              <w:rPr>
                <w:rFonts w:ascii="Times New Roman" w:cs="Times New Roman" w:eastAsia="Times New Roman" w:hAnsi="Times New Roman"/>
                <w:sz w:val="17"/>
                <w:szCs w:val="17"/>
                <w:b w:val="1"/>
                <w:bCs w:val="1"/>
                <w:color w:val="auto"/>
              </w:rPr>
              <w:t>NMI HOLDINGS, INC.</w:t>
            </w:r>
          </w:p>
        </w:tc>
      </w:tr>
      <w:tr>
        <w:trPr>
          <w:trHeight w:val="647"/>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February 14, 2024</w:t>
            </w:r>
          </w:p>
        </w:tc>
        <w:tc>
          <w:tcPr>
            <w:tcW w:w="5580" w:type="dxa"/>
            <w:vAlign w:val="bottom"/>
            <w:gridSpan w:val="2"/>
          </w:tcPr>
          <w:p>
            <w:pPr>
              <w:ind w:left="2400"/>
              <w:spacing w:after="0"/>
              <w:rPr>
                <w:sz w:val="20"/>
                <w:szCs w:val="20"/>
                <w:color w:val="auto"/>
              </w:rPr>
            </w:pPr>
            <w:r>
              <w:rPr>
                <w:rFonts w:ascii="Times New Roman" w:cs="Times New Roman" w:eastAsia="Times New Roman" w:hAnsi="Times New Roman"/>
                <w:sz w:val="17"/>
                <w:szCs w:val="17"/>
                <w:color w:val="auto"/>
              </w:rPr>
              <w:t>By: /s/ Adam S. Pollitzer</w:t>
            </w:r>
          </w:p>
        </w:tc>
      </w:tr>
      <w:tr>
        <w:trPr>
          <w:trHeight w:val="20"/>
        </w:trPr>
        <w:tc>
          <w:tcPr>
            <w:tcW w:w="4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187"/>
        </w:trPr>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580" w:type="dxa"/>
            <w:vAlign w:val="bottom"/>
            <w:gridSpan w:val="2"/>
          </w:tcPr>
          <w:p>
            <w:pPr>
              <w:ind w:left="2600"/>
              <w:spacing w:after="0" w:line="187" w:lineRule="exact"/>
              <w:rPr>
                <w:sz w:val="20"/>
                <w:szCs w:val="20"/>
                <w:color w:val="auto"/>
              </w:rPr>
            </w:pPr>
            <w:r>
              <w:rPr>
                <w:rFonts w:ascii="Times New Roman" w:cs="Times New Roman" w:eastAsia="Times New Roman" w:hAnsi="Times New Roman"/>
                <w:sz w:val="17"/>
                <w:szCs w:val="17"/>
                <w:color w:val="auto"/>
              </w:rPr>
              <w:t>Name: Adam S. Pollitzer</w:t>
            </w:r>
          </w:p>
        </w:tc>
      </w:tr>
      <w:tr>
        <w:trPr>
          <w:trHeight w:val="226"/>
        </w:trPr>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580" w:type="dxa"/>
            <w:vAlign w:val="bottom"/>
            <w:gridSpan w:val="2"/>
          </w:tcPr>
          <w:p>
            <w:pPr>
              <w:ind w:left="2600"/>
              <w:spacing w:after="0"/>
              <w:rPr>
                <w:sz w:val="20"/>
                <w:szCs w:val="20"/>
                <w:color w:val="auto"/>
              </w:rPr>
            </w:pPr>
            <w:r>
              <w:rPr>
                <w:rFonts w:ascii="Times New Roman" w:cs="Times New Roman" w:eastAsia="Times New Roman" w:hAnsi="Times New Roman"/>
                <w:sz w:val="17"/>
                <w:szCs w:val="17"/>
                <w:color w:val="auto"/>
              </w:rPr>
              <w:t>Title: Chief Executive Officer</w:t>
            </w:r>
          </w:p>
        </w:tc>
      </w:tr>
    </w:tbl>
    <w:p>
      <w:pPr>
        <w:spacing w:after="0" w:line="157" w:lineRule="exact"/>
        <w:rPr>
          <w:sz w:val="20"/>
          <w:szCs w:val="20"/>
          <w:color w:val="auto"/>
        </w:rPr>
      </w:pPr>
    </w:p>
    <w:p>
      <w:pPr>
        <w:sectPr>
          <w:pgSz w:w="11900" w:h="16838" w:orient="portrait"/>
          <w:cols w:equalWidth="0" w:num="1">
            <w:col w:w="11240"/>
          </w:cols>
          <w:pgMar w:left="320" w:top="507" w:right="339" w:bottom="1440" w:gutter="0" w:footer="0" w:header="0"/>
        </w:sectPr>
      </w:pPr>
    </w:p>
    <w:p>
      <w:pPr>
        <w:ind w:left="17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Adam S. Pollitzer</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Ravi Mallela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Ravi Mallela</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Nicholas D. Realmuto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Nicholas D. Realmuto</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Bradley M. Shuster</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Steven L. Scheid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Steven L. Scheid</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James G.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James G. Jones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Regina Muehlhauser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Regina Muehlhauser</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Michael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Michael Montgomery</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Michael Embler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Michael Embler</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Lynn S. McCreary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Lynn S. McCreary</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Priya Huskins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Priya Huskins</w:t>
      </w:r>
    </w:p>
    <w:p>
      <w:pPr>
        <w:spacing w:after="0" w:line="200" w:lineRule="exact"/>
        <w:rPr>
          <w:sz w:val="20"/>
          <w:szCs w:val="20"/>
          <w:color w:val="auto"/>
        </w:rPr>
      </w:pP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John C.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John C. Erickson</w:t>
      </w:r>
    </w:p>
    <w:p>
      <w:pPr>
        <w:spacing w:after="0" w:line="20" w:lineRule="exact"/>
        <w:rPr>
          <w:sz w:val="20"/>
          <w:szCs w:val="20"/>
          <w:color w:val="auto"/>
        </w:rPr>
      </w:pPr>
      <w:r>
        <w:rPr>
          <w:sz w:val="20"/>
          <w:szCs w:val="20"/>
          <w:color w:val="auto"/>
        </w:rPr>
        <w:br w:type="column"/>
      </w:r>
    </w:p>
    <w:p>
      <w:pPr>
        <w:jc w:val="right"/>
        <w:ind w:right="20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167005</wp:posOffset>
            </wp:positionV>
            <wp:extent cx="28092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280924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19050</wp:posOffset>
            </wp:positionV>
            <wp:extent cx="28092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219710</wp:posOffset>
            </wp:positionV>
            <wp:extent cx="28092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219710</wp:posOffset>
            </wp:positionV>
            <wp:extent cx="28092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429895</wp:posOffset>
            </wp:positionV>
            <wp:extent cx="28092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167005</wp:posOffset>
            </wp:positionV>
            <wp:extent cx="13227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132270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19050</wp:posOffset>
            </wp:positionV>
            <wp:extent cx="13227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429895</wp:posOffset>
            </wp:positionV>
            <wp:extent cx="13227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00" w:lineRule="exact"/>
        <w:rPr>
          <w:sz w:val="20"/>
          <w:szCs w:val="20"/>
          <w:color w:val="auto"/>
        </w:rPr>
      </w:pPr>
    </w:p>
    <w:p>
      <w:pPr>
        <w:sectPr>
          <w:pgSz w:w="11900" w:h="16838" w:orient="portrait"/>
          <w:cols w:equalWidth="0" w:num="3">
            <w:col w:w="3200" w:space="720"/>
            <w:col w:w="4380" w:space="720"/>
            <w:col w:w="2220"/>
          </w:cols>
          <w:pgMar w:left="320" w:top="5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 SCHEDULES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Schedule I — Summary of Investments — other than investments in related parties as of December 31, 2023</w:t>
            </w:r>
          </w:p>
        </w:tc>
        <w:tc>
          <w:tcPr>
            <w:tcW w:w="17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FF"/>
              </w:rPr>
              <w:t>F-1</w:t>
            </w:r>
          </w:p>
        </w:tc>
      </w:tr>
      <w:tr>
        <w:trPr>
          <w:trHeight w:val="39"/>
        </w:trPr>
        <w:tc>
          <w:tcPr>
            <w:tcW w:w="92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92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Schedule II — Financial Information of Registrant as of December 31, 2023</w:t>
            </w:r>
          </w:p>
        </w:tc>
        <w:tc>
          <w:tcPr>
            <w:tcW w:w="1720" w:type="dxa"/>
            <w:vAlign w:val="bottom"/>
          </w:tcPr>
          <w:p>
            <w:pPr>
              <w:spacing w:after="0"/>
              <w:rPr>
                <w:sz w:val="15"/>
                <w:szCs w:val="15"/>
                <w:color w:val="auto"/>
              </w:rPr>
            </w:pPr>
          </w:p>
        </w:tc>
        <w:tc>
          <w:tcPr>
            <w:tcW w:w="2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rPr>
              <w:t>F-2</w:t>
            </w:r>
          </w:p>
        </w:tc>
      </w:tr>
      <w:tr>
        <w:trPr>
          <w:trHeight w:val="29"/>
        </w:trPr>
        <w:tc>
          <w:tcPr>
            <w:tcW w:w="9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92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Schedule IV — Reinsurance as of December 31, 2023</w:t>
            </w:r>
          </w:p>
        </w:tc>
        <w:tc>
          <w:tcPr>
            <w:tcW w:w="17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F-6</w:t>
            </w:r>
          </w:p>
        </w:tc>
      </w:tr>
      <w:tr>
        <w:trPr>
          <w:trHeight w:val="39"/>
        </w:trPr>
        <w:tc>
          <w:tcPr>
            <w:tcW w:w="92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SUMMARY OF INVESTMENTS - OTHER THAN INVESTMENTS IN RELATED PARTIES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3"/>
                <w:szCs w:val="13"/>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Pr>
          <w:p>
            <w:pPr>
              <w:spacing w:after="0"/>
              <w:rPr>
                <w:sz w:val="13"/>
                <w:szCs w:val="13"/>
                <w:color w:val="auto"/>
              </w:rPr>
            </w:pPr>
          </w:p>
        </w:tc>
        <w:tc>
          <w:tcPr>
            <w:tcW w:w="156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Amount Reflected on</w:t>
            </w:r>
          </w:p>
        </w:tc>
        <w:tc>
          <w:tcPr>
            <w:tcW w:w="0" w:type="dxa"/>
            <w:vAlign w:val="bottom"/>
          </w:tcPr>
          <w:p>
            <w:pPr>
              <w:spacing w:after="0"/>
              <w:rPr>
                <w:sz w:val="1"/>
                <w:szCs w:val="1"/>
                <w:color w:val="auto"/>
              </w:rPr>
            </w:pPr>
          </w:p>
        </w:tc>
      </w:tr>
      <w:tr>
        <w:trPr>
          <w:trHeight w:val="188"/>
        </w:trPr>
        <w:tc>
          <w:tcPr>
            <w:tcW w:w="5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87"/>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Treasury securities and obligations of U.S. government agencies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164,278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166,388</w:t>
            </w: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621,130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621,130</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1,511,479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1,511,479</w:t>
            </w: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52,242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48,211</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48,211</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2,519,046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2,347,208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2,347,208</w:t>
            </w: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23,813</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2,542,862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2,371,021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2,371,021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5"/>
                <w:szCs w:val="15"/>
                <w:color w:val="auto"/>
              </w:rPr>
            </w:pP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gridSpan w:val="4"/>
          </w:tcPr>
          <w:p>
            <w:pPr>
              <w:spacing w:after="0" w:line="20" w:lineRule="exact"/>
              <w:rPr>
                <w:sz w:val="1"/>
                <w:szCs w:val="1"/>
                <w:color w:val="auto"/>
              </w:rPr>
            </w:pPr>
          </w:p>
        </w:tc>
      </w:tr>
      <w:tr>
        <w:trPr>
          <w:trHeight w:val="181"/>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Fixed maturities, available-for-sale, at fair value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47,290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83,918</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4,940</w:t>
            </w: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Investment in subsidiaries, at equity in net assets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2,468,333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2,092,457</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w:t>
            </w: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Due from affiliates, net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83,018</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31,930</w:t>
            </w:r>
          </w:p>
        </w:tc>
      </w:tr>
      <w:tr>
        <w:trPr>
          <w:trHeight w:val="220"/>
        </w:trPr>
        <w:tc>
          <w:tcPr>
            <w:tcW w:w="7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15,408</w:t>
            </w:r>
          </w:p>
        </w:tc>
      </w:tr>
      <w:tr>
        <w:trPr>
          <w:trHeight w:val="23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2,717,468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2,312,111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7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397,595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396,051</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34,697</w:t>
            </w: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343,956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255,550</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12,086</w:t>
            </w:r>
          </w:p>
        </w:tc>
      </w:tr>
      <w:tr>
        <w:trPr>
          <w:trHeight w:val="21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791,464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698,384</w:t>
            </w:r>
          </w:p>
        </w:tc>
      </w:tr>
      <w:tr>
        <w:trPr>
          <w:trHeight w:val="239"/>
        </w:trPr>
        <w:tc>
          <w:tcPr>
            <w:tcW w:w="7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0"/>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68"/>
        </w:trPr>
        <w:tc>
          <w:tcPr>
            <w:tcW w:w="752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Common stock - class A shares, $0.01 par value; 87,334,138 shares issued and 80,881,280 shares</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68"/>
        </w:trPr>
        <w:tc>
          <w:tcPr>
            <w:tcW w:w="752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outstanding as of December 31, 2023 and 86,472,742 shares issued and 83,549,879 shares outstanding as</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233"/>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of December 31, 2022 (250,000,000 shares authorized)</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w:t>
            </w: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990,816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972,717</w:t>
            </w:r>
          </w:p>
        </w:tc>
      </w:tr>
      <w:tr>
        <w:trPr>
          <w:trHeight w:val="168"/>
        </w:trPr>
        <w:tc>
          <w:tcPr>
            <w:tcW w:w="752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Treasury stock, at cost: 6,452,858 and 2,922,863 common shares as of December 31, 2023 and</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233"/>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2022, respectively</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(56,575)</w:t>
            </w: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net of tax</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(204,323)</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901,043</w:t>
            </w:r>
          </w:p>
        </w:tc>
      </w:tr>
      <w:tr>
        <w:trPr>
          <w:trHeight w:val="21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1,926,004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1,613,727</w:t>
            </w:r>
          </w:p>
        </w:tc>
      </w:tr>
      <w:tr>
        <w:trPr>
          <w:trHeight w:val="23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2,717,468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2,312,111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PARENT COMPANY ONLY</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gridSpan w:val="6"/>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5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investment income</w:t>
            </w: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3,920</w:t>
            </w:r>
          </w:p>
        </w:tc>
        <w:tc>
          <w:tcPr>
            <w:tcW w:w="42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2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(losses) gains</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239"/>
        </w:trPr>
        <w:tc>
          <w:tcPr>
            <w:tcW w:w="58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operating expenses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8,264</w:t>
            </w: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2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7,766</w:t>
            </w:r>
          </w:p>
        </w:tc>
      </w:tr>
      <w:tr>
        <w:trPr>
          <w:trHeight w:val="239"/>
        </w:trPr>
        <w:tc>
          <w:tcPr>
            <w:tcW w:w="58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net income of subsidiaries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412,974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378,406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303,970</w:t>
            </w:r>
          </w:p>
        </w:tc>
      </w:tr>
      <w:tr>
        <w:trPr>
          <w:trHeight w:val="259"/>
        </w:trPr>
        <w:tc>
          <w:tcPr>
            <w:tcW w:w="58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409,035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373,120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296,541</w:t>
            </w:r>
          </w:p>
        </w:tc>
      </w:tr>
      <w:tr>
        <w:trPr>
          <w:trHeight w:val="22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86,925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80,218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65,411</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231,130</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0"/>
        </w:trPr>
        <w:tc>
          <w:tcPr>
            <w:tcW w:w="58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68"/>
        </w:trPr>
        <w:tc>
          <w:tcPr>
            <w:tcW w:w="58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Unrealized gains (losses) in accumulated other comprehensive income, net of tax</w:t>
            </w:r>
          </w:p>
        </w:tc>
        <w:tc>
          <w:tcPr>
            <w:tcW w:w="10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8"/>
        </w:trPr>
        <w:tc>
          <w:tcPr>
            <w:tcW w:w="58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expense (benefit) of $312, $(748), and $(95) for each of the years in the three-year</w:t>
            </w:r>
          </w:p>
        </w:tc>
        <w:tc>
          <w:tcPr>
            <w:tcW w:w="10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period ended December 31, 2023, respectively</w:t>
            </w: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r>
      <w:tr>
        <w:trPr>
          <w:trHeight w:val="168"/>
        </w:trPr>
        <w:tc>
          <w:tcPr>
            <w:tcW w:w="58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Reclassification adjustment for realized losses (gains) included in net income, net</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of tax (benefit) expense of $(7), $(3) and $2 for each of the years in the three-year</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3"/>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period ended December 31, 2023, respectively</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other comprehensive income (loss) of subsidiaries</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(52,006)</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64,406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(205,808)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(52,371)</w:t>
            </w: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386,516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87,094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178,759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PARENT COMPANY ONLY</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40" w:type="dxa"/>
            <w:vAlign w:val="bottom"/>
            <w:gridSpan w:val="6"/>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220" w:type="dxa"/>
            <w:vAlign w:val="bottom"/>
          </w:tcPr>
          <w:p>
            <w:pPr>
              <w:spacing w:after="0"/>
              <w:rPr>
                <w:sz w:val="15"/>
                <w:szCs w:val="15"/>
                <w:color w:val="auto"/>
              </w:rPr>
            </w:pPr>
          </w:p>
        </w:tc>
      </w:tr>
      <w:tr>
        <w:trPr>
          <w:trHeight w:val="23"/>
        </w:trPr>
        <w:tc>
          <w:tcPr>
            <w:tcW w:w="6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0"/>
        </w:trPr>
        <w:tc>
          <w:tcPr>
            <w:tcW w:w="60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7"/>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231,130</w:t>
            </w:r>
          </w:p>
        </w:tc>
      </w:tr>
      <w:tr>
        <w:trPr>
          <w:trHeight w:val="220"/>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10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20"/>
        </w:trPr>
        <w:tc>
          <w:tcPr>
            <w:tcW w:w="6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losses (gains)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r>
      <w:tr>
        <w:trPr>
          <w:trHeight w:val="220"/>
        </w:trPr>
        <w:tc>
          <w:tcPr>
            <w:tcW w:w="6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 and debt issuance costs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w:t>
            </w:r>
          </w:p>
        </w:tc>
      </w:tr>
      <w:tr>
        <w:trPr>
          <w:trHeight w:val="22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66,941</w:t>
            </w:r>
          </w:p>
        </w:tc>
      </w:tr>
      <w:tr>
        <w:trPr>
          <w:trHeight w:val="220"/>
        </w:trPr>
        <w:tc>
          <w:tcPr>
            <w:tcW w:w="6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16,678</w:t>
            </w:r>
          </w:p>
        </w:tc>
      </w:tr>
      <w:tr>
        <w:trPr>
          <w:trHeight w:val="22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60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Investment in subsidiaries, at equity in net assets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(314,556)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(343,477)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(302,165)</w:t>
            </w:r>
          </w:p>
        </w:tc>
      </w:tr>
      <w:tr>
        <w:trPr>
          <w:trHeight w:val="220"/>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0"/>
        </w:trPr>
        <w:tc>
          <w:tcPr>
            <w:tcW w:w="6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Receivable from affiliates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(9,474)</w:t>
            </w:r>
          </w:p>
        </w:tc>
      </w:tr>
      <w:tr>
        <w:trPr>
          <w:trHeight w:val="220"/>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assets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r>
      <w:tr>
        <w:trPr>
          <w:trHeight w:val="220"/>
        </w:trPr>
        <w:tc>
          <w:tcPr>
            <w:tcW w:w="6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0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10,068</w:t>
            </w:r>
          </w:p>
        </w:tc>
      </w:tr>
      <w:tr>
        <w:trPr>
          <w:trHeight w:val="21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14,664</w:t>
            </w:r>
          </w:p>
        </w:tc>
      </w:tr>
      <w:tr>
        <w:trPr>
          <w:trHeight w:val="200"/>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Capitalization of subsidiaries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r>
      <w:tr>
        <w:trPr>
          <w:trHeight w:val="220"/>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(10,640)</w:t>
            </w:r>
          </w:p>
        </w:tc>
      </w:tr>
      <w:tr>
        <w:trPr>
          <w:trHeight w:val="22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fixed-maturity investments, available-for-sale</w:t>
            </w:r>
          </w:p>
        </w:tc>
        <w:tc>
          <w:tcPr>
            <w:tcW w:w="10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(2,797)</w:t>
            </w:r>
          </w:p>
        </w:tc>
      </w:tr>
      <w:tr>
        <w:trPr>
          <w:trHeight w:val="220"/>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maturity of short-term investments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608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Proceeds from redemptions, maturities and sale of fixed-maturity investments,</w:t>
            </w:r>
          </w:p>
        </w:tc>
        <w:tc>
          <w:tcPr>
            <w:tcW w:w="10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3"/>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available-for-sale</w:t>
            </w:r>
          </w:p>
        </w:tc>
        <w:tc>
          <w:tcPr>
            <w:tcW w:w="10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19,673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4,464</w:t>
            </w:r>
          </w:p>
        </w:tc>
      </w:tr>
      <w:tr>
        <w:trPr>
          <w:trHeight w:val="220"/>
        </w:trPr>
        <w:tc>
          <w:tcPr>
            <w:tcW w:w="6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Software and equipment</w:t>
            </w:r>
          </w:p>
        </w:tc>
        <w:tc>
          <w:tcPr>
            <w:tcW w:w="10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w:t>
            </w:r>
          </w:p>
        </w:tc>
      </w:tr>
      <w:tr>
        <w:trPr>
          <w:trHeight w:val="21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43,446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(10,799)</w:t>
            </w:r>
          </w:p>
        </w:tc>
      </w:tr>
      <w:tr>
        <w:trPr>
          <w:trHeight w:val="200"/>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issuance of common stock related to employee equity plans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4,201</w:t>
            </w:r>
          </w:p>
        </w:tc>
      </w:tr>
      <w:tr>
        <w:trPr>
          <w:trHeight w:val="220"/>
        </w:trPr>
        <w:tc>
          <w:tcPr>
            <w:tcW w:w="6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related to warrant exercises</w:t>
            </w:r>
          </w:p>
        </w:tc>
        <w:tc>
          <w:tcPr>
            <w:tcW w:w="10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2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w:t>
            </w:r>
          </w:p>
        </w:tc>
      </w:tr>
      <w:tr>
        <w:trPr>
          <w:trHeight w:val="220"/>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10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w:t>
            </w:r>
          </w:p>
        </w:tc>
      </w:tr>
      <w:tr>
        <w:trPr>
          <w:trHeight w:val="22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0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(55,828)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(1,830)</w:t>
            </w:r>
          </w:p>
        </w:tc>
      </w:tr>
      <w:tr>
        <w:trPr>
          <w:trHeight w:val="135"/>
        </w:trPr>
        <w:tc>
          <w:tcPr>
            <w:tcW w:w="60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20"/>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w:t>
            </w:r>
          </w:p>
        </w:tc>
      </w:tr>
      <w:tr>
        <w:trPr>
          <w:trHeight w:val="22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0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19,146</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00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66,374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21,181</w:t>
            </w:r>
          </w:p>
        </w:tc>
      </w:tr>
      <w:tr>
        <w:trPr>
          <w:trHeight w:val="20"/>
        </w:trPr>
        <w:tc>
          <w:tcPr>
            <w:tcW w:w="6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SUPPLEMENTAL NOTES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PARENT COMPANY ONLY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A</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NMI Holdings, Inc. (Parent Company) financial statements represent the stand-alone financial statements of the Parent Company. These financial statements have been prepared on the same basis and using the same accounting policies as described in the consolidated financial statements included herein. Refer to the Parent Company's consolidated financial statements for additional information.</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NMIH and its subsidiaries entered into a tax sharing agreement effective August 23, 2012, which was subsequently amended on September 1, 2016. Under original and amended agreements, each of the parties agreed to file consolidated federal income tax returns for all tax years beginning in and subsequent to 2012, with NMIH as the direct tax filer. The tax liability of each subsidiary that is party to the agreement is limited to the amount of the liability it would incur if it filed separate returns.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B</w:t>
      </w:r>
    </w:p>
    <w:p>
      <w:pPr>
        <w:spacing w:after="0" w:line="169"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NMIC and Re One are subject to certain capital and dividend rules and regulations prescribed by jurisdictions in which they are authorized to operate and the GSEs that may restrict their ability to pay dividends to NMIH. Under Wisconsin law, NMIC and Re One may pay dividends up to specified levels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"ordinary" dividends) with 30 days' prior notice to the Wisconsin OCI. Dividends in larger amounts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,"extraordinary" dividends), are subject to the Wisconsin OCI's prior approval. Under Wisconsin law,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During the year ended December 31, 2023, NMIC paid a $98.0 million ordinary course dividend to NMIH, representing its full ordinary course dividend capacity payable under Wisconsin law for the twelve-month period ending December 31, 2023. NMIC has the capacity to pay aggregate ordinary dividends of $96.3 million to NMIH during the twelve-month period ending December 31, 2024.</w:t>
      </w:r>
    </w:p>
    <w:p>
      <w:pPr>
        <w:spacing w:after="0" w:line="127"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remaining net assets from dividend capacity are considered restricted. As of December 31, 2023, the amount of restricted net assets held by our consolidated insurance subsidiaries, which represents our equity investment in those insurance subsidiaries less their aggregate dividend capacity, totaled $2.5 billion, compared to $2.1 billion as of December 31,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C</w:t>
      </w:r>
    </w:p>
    <w:p>
      <w:pPr>
        <w:spacing w:after="0" w:line="169"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The Parent Company provides certain services to its subsidiaries. The Parent Company allocates to its subsidiaries corporate expense it incurs in the capacity of supporting those subsidiaries, based on either an allocated percentage of time spent or internally allocated capital. Total operating expenses allocated to subsidiaries for each of the years in the three-year period ended December 31, 2023 were $163.9 million, $148.4 million and $149.4 million, respectively. Amounts charged to the subsidiaries for operating expenses are based on actual cost, without any mark-up. The Parent Company considers these charges fair and reasonable. The subsidiaries reimburse the Parent Company for these costs in a timely manner, which has the impact of improving the cash flows of the Parent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IV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REINSURANCE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80" w:type="dxa"/>
            <w:vAlign w:val="bottom"/>
          </w:tcPr>
          <w:p>
            <w:pPr>
              <w:spacing w:after="0"/>
              <w:rPr>
                <w:sz w:val="13"/>
                <w:szCs w:val="13"/>
                <w:color w:val="auto"/>
              </w:rPr>
            </w:pP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Ceded to Other</w:t>
            </w:r>
          </w:p>
        </w:tc>
        <w:tc>
          <w:tcPr>
            <w:tcW w:w="200" w:type="dxa"/>
            <w:vAlign w:val="bottom"/>
          </w:tcPr>
          <w:p>
            <w:pPr>
              <w:spacing w:after="0"/>
              <w:rPr>
                <w:sz w:val="13"/>
                <w:szCs w:val="13"/>
                <w:color w:val="auto"/>
              </w:rPr>
            </w:pPr>
          </w:p>
        </w:tc>
        <w:tc>
          <w:tcPr>
            <w:tcW w:w="1760" w:type="dxa"/>
            <w:vAlign w:val="bottom"/>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w w:val="97"/>
              </w:rPr>
              <w:t>Assumed from Other</w:t>
            </w:r>
          </w:p>
        </w:tc>
        <w:tc>
          <w:tcPr>
            <w:tcW w:w="140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 Amount</w:t>
            </w:r>
          </w:p>
        </w:tc>
        <w:tc>
          <w:tcPr>
            <w:tcW w:w="0" w:type="dxa"/>
            <w:vAlign w:val="bottom"/>
          </w:tcPr>
          <w:p>
            <w:pPr>
              <w:spacing w:after="0"/>
              <w:rPr>
                <w:sz w:val="1"/>
                <w:szCs w:val="1"/>
                <w:color w:val="auto"/>
              </w:rPr>
            </w:pPr>
          </w:p>
        </w:tc>
      </w:tr>
      <w:tr>
        <w:trPr>
          <w:trHeight w:val="188"/>
        </w:trPr>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w w:val="98"/>
              </w:rPr>
              <w:t>Companies</w:t>
            </w:r>
          </w:p>
        </w:tc>
        <w:tc>
          <w:tcPr>
            <w:tcW w:w="140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Assumed to Net</w:t>
            </w:r>
          </w:p>
        </w:tc>
        <w:tc>
          <w:tcPr>
            <w:tcW w:w="0" w:type="dxa"/>
            <w:vAlign w:val="bottom"/>
          </w:tcPr>
          <w:p>
            <w:pPr>
              <w:spacing w:after="0"/>
              <w:rPr>
                <w:sz w:val="1"/>
                <w:szCs w:val="1"/>
                <w:color w:val="auto"/>
              </w:rPr>
            </w:pPr>
          </w:p>
        </w:tc>
      </w:tr>
      <w:tr>
        <w:trPr>
          <w:trHeight w:val="204"/>
        </w:trPr>
        <w:tc>
          <w:tcPr>
            <w:tcW w:w="294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650,411</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139,643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  $</w:t>
            </w:r>
          </w:p>
        </w:tc>
        <w:tc>
          <w:tcPr>
            <w:tcW w:w="14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510,768</w:t>
            </w:r>
          </w:p>
        </w:tc>
        <w:tc>
          <w:tcPr>
            <w:tcW w:w="16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29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2022</w:t>
            </w:r>
          </w:p>
        </w:tc>
        <w:tc>
          <w:tcPr>
            <w:tcW w:w="220" w:type="dxa"/>
            <w:vAlign w:val="bottom"/>
          </w:tcPr>
          <w:p>
            <w:pPr>
              <w:spacing w:after="0"/>
              <w:rPr>
                <w:sz w:val="19"/>
                <w:szCs w:val="19"/>
                <w:color w:val="auto"/>
              </w:rPr>
            </w:pP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594,127</w:t>
            </w:r>
          </w:p>
        </w:tc>
        <w:tc>
          <w:tcPr>
            <w:tcW w:w="28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118,861</w:t>
            </w:r>
          </w:p>
        </w:tc>
        <w:tc>
          <w:tcPr>
            <w:tcW w:w="200" w:type="dxa"/>
            <w:vAlign w:val="bottom"/>
          </w:tcPr>
          <w:p>
            <w:pPr>
              <w:spacing w:after="0"/>
              <w:rPr>
                <w:sz w:val="19"/>
                <w:szCs w:val="19"/>
                <w:color w:val="auto"/>
              </w:rPr>
            </w:pPr>
          </w:p>
        </w:tc>
        <w:tc>
          <w:tcPr>
            <w:tcW w:w="176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475,266</w:t>
            </w:r>
          </w:p>
        </w:tc>
        <w:tc>
          <w:tcPr>
            <w:tcW w:w="168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2021</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536,630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92,336</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444,294</w:t>
            </w:r>
          </w:p>
        </w:tc>
        <w:tc>
          <w:tcPr>
            <w:tcW w:w="16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11200"/>
          </w:cols>
          <w:pgMar w:left="340" w:top="121" w:right="35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NMI HOLDINGS, INC. AMENDED AND RESTATED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2014 OMNIBUS INCENTIVE PLAN</w:t>
      </w:r>
    </w:p>
    <w:p>
      <w:pPr>
        <w:spacing w:after="0" w:line="200" w:lineRule="exact"/>
        <w:rPr>
          <w:sz w:val="20"/>
          <w:szCs w:val="20"/>
          <w:color w:val="auto"/>
        </w:rPr>
      </w:pPr>
    </w:p>
    <w:p>
      <w:pPr>
        <w:spacing w:after="0" w:line="2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Section 1.</w:t>
        <w:tab/>
        <w:t>Purpose; Definitions</w:t>
      </w:r>
    </w:p>
    <w:p>
      <w:pPr>
        <w:spacing w:after="0" w:line="272" w:lineRule="exact"/>
        <w:rPr>
          <w:sz w:val="20"/>
          <w:szCs w:val="20"/>
          <w:color w:val="auto"/>
        </w:rPr>
      </w:pPr>
    </w:p>
    <w:p>
      <w:pPr>
        <w:jc w:val="both"/>
        <w:ind w:firstLine="1242"/>
        <w:spacing w:after="0" w:line="288" w:lineRule="auto"/>
        <w:rPr>
          <w:sz w:val="20"/>
          <w:szCs w:val="20"/>
          <w:color w:val="auto"/>
        </w:rPr>
      </w:pPr>
      <w:r>
        <w:rPr>
          <w:rFonts w:ascii="Times New Roman" w:cs="Times New Roman" w:eastAsia="Times New Roman" w:hAnsi="Times New Roman"/>
          <w:sz w:val="17"/>
          <w:szCs w:val="17"/>
          <w:color w:val="auto"/>
        </w:rPr>
        <w:t>The purpose of this Plan is to give the Company a competitive advantage in attracting, retaining and motivating officers, employees, directors and/or consultants and to provide the Company and its Subsidiaries and Affiliates with a compensation plan providing incentives for future performance of services directly linked to the profitability of the Company’s businesses and increases in Company shareholder value.</w:t>
      </w:r>
    </w:p>
    <w:p>
      <w:pPr>
        <w:spacing w:after="0" w:line="20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For purposes of this Plan, the following terms are defined as set forth below:</w:t>
      </w:r>
    </w:p>
    <w:p>
      <w:pPr>
        <w:spacing w:after="0" w:line="255" w:lineRule="exact"/>
        <w:rPr>
          <w:sz w:val="20"/>
          <w:szCs w:val="20"/>
          <w:color w:val="auto"/>
        </w:rPr>
      </w:pPr>
    </w:p>
    <w:p>
      <w:pPr>
        <w:ind w:left="1040" w:hanging="416"/>
        <w:spacing w:after="0"/>
        <w:tabs>
          <w:tab w:leader="none" w:pos="10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means a corporation or other entity controlled by, controlling or under common control with the Company.</w:t>
      </w:r>
    </w:p>
    <w:p>
      <w:pPr>
        <w:spacing w:after="0" w:line="257" w:lineRule="exact"/>
        <w:rPr>
          <w:rFonts w:ascii="Times New Roman" w:cs="Times New Roman" w:eastAsia="Times New Roman" w:hAnsi="Times New Roman"/>
          <w:sz w:val="17"/>
          <w:szCs w:val="17"/>
          <w:color w:val="auto"/>
        </w:rPr>
      </w:pPr>
    </w:p>
    <w:p>
      <w:pPr>
        <w:ind w:firstLine="624"/>
        <w:spacing w:after="0" w:line="325" w:lineRule="auto"/>
        <w:tabs>
          <w:tab w:leader="none" w:pos="108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Applicable Exchange</w:t>
      </w:r>
      <w:r>
        <w:rPr>
          <w:rFonts w:ascii="Times New Roman" w:cs="Times New Roman" w:eastAsia="Times New Roman" w:hAnsi="Times New Roman"/>
          <w:sz w:val="17"/>
          <w:szCs w:val="17"/>
          <w:color w:val="auto"/>
        </w:rPr>
        <w:t>” means the NASDAQ or such other securities exchange as may at the applicable time be the principal market for the Common Stock.</w:t>
      </w:r>
    </w:p>
    <w:p>
      <w:pPr>
        <w:spacing w:after="0" w:line="156" w:lineRule="exact"/>
        <w:rPr>
          <w:rFonts w:ascii="Times New Roman" w:cs="Times New Roman" w:eastAsia="Times New Roman" w:hAnsi="Times New Roman"/>
          <w:sz w:val="17"/>
          <w:szCs w:val="17"/>
          <w:color w:val="auto"/>
        </w:rPr>
      </w:pPr>
    </w:p>
    <w:p>
      <w:pPr>
        <w:ind w:firstLine="624"/>
        <w:spacing w:after="0" w:line="309" w:lineRule="auto"/>
        <w:tabs>
          <w:tab w:leader="none" w:pos="98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Award</w:t>
      </w:r>
      <w:r>
        <w:rPr>
          <w:rFonts w:ascii="Times New Roman" w:cs="Times New Roman" w:eastAsia="Times New Roman" w:hAnsi="Times New Roman"/>
          <w:sz w:val="17"/>
          <w:szCs w:val="17"/>
          <w:color w:val="auto"/>
        </w:rPr>
        <w:t>” means a Stock Option, Stock Appreciation Right, Restricted Stock, Restricted Stock Unit, Performance Unit, Other Stock-Based Award or Cash-Based Award granted pursuant to the terms of this Plan.</w:t>
      </w:r>
    </w:p>
    <w:p>
      <w:pPr>
        <w:spacing w:after="0" w:line="182" w:lineRule="exact"/>
        <w:rPr>
          <w:rFonts w:ascii="Times New Roman" w:cs="Times New Roman" w:eastAsia="Times New Roman" w:hAnsi="Times New Roman"/>
          <w:sz w:val="17"/>
          <w:szCs w:val="17"/>
          <w:color w:val="auto"/>
        </w:rPr>
      </w:pPr>
    </w:p>
    <w:p>
      <w:pPr>
        <w:ind w:left="1040" w:hanging="416"/>
        <w:spacing w:after="0"/>
        <w:tabs>
          <w:tab w:leader="none" w:pos="10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Award Agreement</w:t>
      </w:r>
      <w:r>
        <w:rPr>
          <w:rFonts w:ascii="Times New Roman" w:cs="Times New Roman" w:eastAsia="Times New Roman" w:hAnsi="Times New Roman"/>
          <w:sz w:val="17"/>
          <w:szCs w:val="17"/>
          <w:color w:val="auto"/>
        </w:rPr>
        <w:t>” means a written or electronic document or agreement setting forth the terms and conditions of a specific Award.</w:t>
      </w:r>
    </w:p>
    <w:p>
      <w:pPr>
        <w:spacing w:after="0" w:line="257" w:lineRule="exact"/>
        <w:rPr>
          <w:rFonts w:ascii="Times New Roman" w:cs="Times New Roman" w:eastAsia="Times New Roman" w:hAnsi="Times New Roman"/>
          <w:sz w:val="17"/>
          <w:szCs w:val="17"/>
          <w:color w:val="auto"/>
        </w:rPr>
      </w:pPr>
    </w:p>
    <w:p>
      <w:pPr>
        <w:ind w:left="980" w:hanging="356"/>
        <w:spacing w:after="0"/>
        <w:tabs>
          <w:tab w:leader="none" w:pos="9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Beneficial Ownership</w:t>
      </w:r>
      <w:r>
        <w:rPr>
          <w:rFonts w:ascii="Times New Roman" w:cs="Times New Roman" w:eastAsia="Times New Roman" w:hAnsi="Times New Roman"/>
          <w:sz w:val="17"/>
          <w:szCs w:val="17"/>
          <w:color w:val="auto"/>
        </w:rPr>
        <w:t>” shall have the meaning given in Rule 13d3 promulgated under the Exchange Act.</w:t>
      </w:r>
    </w:p>
    <w:p>
      <w:pPr>
        <w:spacing w:after="0" w:line="257" w:lineRule="exact"/>
        <w:rPr>
          <w:rFonts w:ascii="Times New Roman" w:cs="Times New Roman" w:eastAsia="Times New Roman" w:hAnsi="Times New Roman"/>
          <w:sz w:val="17"/>
          <w:szCs w:val="17"/>
          <w:color w:val="auto"/>
        </w:rPr>
      </w:pPr>
    </w:p>
    <w:p>
      <w:pPr>
        <w:ind w:left="960" w:hanging="336"/>
        <w:spacing w:after="0"/>
        <w:tabs>
          <w:tab w:leader="none" w:pos="9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70"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has the meaning set forth in Section 11(e)(iii).</w:t>
      </w:r>
    </w:p>
    <w:p>
      <w:pPr>
        <w:spacing w:after="0" w:line="257"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Cash-Based Award</w:t>
      </w:r>
      <w:r>
        <w:rPr>
          <w:rFonts w:ascii="Times New Roman" w:cs="Times New Roman" w:eastAsia="Times New Roman" w:hAnsi="Times New Roman"/>
          <w:sz w:val="17"/>
          <w:szCs w:val="17"/>
          <w:color w:val="auto"/>
        </w:rPr>
        <w:t>” means an Award denominated in a dollar amount.</w:t>
      </w:r>
    </w:p>
    <w:p>
      <w:pPr>
        <w:spacing w:after="0" w:line="257" w:lineRule="exact"/>
        <w:rPr>
          <w:rFonts w:ascii="Times New Roman" w:cs="Times New Roman" w:eastAsia="Times New Roman" w:hAnsi="Times New Roman"/>
          <w:sz w:val="17"/>
          <w:szCs w:val="17"/>
          <w:color w:val="auto"/>
        </w:rPr>
      </w:pPr>
    </w:p>
    <w:p>
      <w:pPr>
        <w:ind w:left="960" w:hanging="336"/>
        <w:spacing w:after="0"/>
        <w:tabs>
          <w:tab w:leader="none" w:pos="9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Cause</w:t>
      </w:r>
      <w:r>
        <w:rPr>
          <w:rFonts w:ascii="Times New Roman" w:cs="Times New Roman" w:eastAsia="Times New Roman" w:hAnsi="Times New Roman"/>
          <w:sz w:val="17"/>
          <w:szCs w:val="17"/>
          <w:color w:val="auto"/>
        </w:rPr>
        <w:t>” means, unless otherwise provided in an Award Agreement, (1) “Cause” as defined in any Individual</w:t>
      </w:r>
    </w:p>
    <w:p>
      <w:pPr>
        <w:spacing w:after="0" w:line="39" w:lineRule="exact"/>
        <w:rPr>
          <w:sz w:val="20"/>
          <w:szCs w:val="20"/>
          <w:color w:val="auto"/>
        </w:rPr>
      </w:pPr>
    </w:p>
    <w:p>
      <w:pPr>
        <w:jc w:val="both"/>
        <w:ind w:firstLine="621"/>
        <w:spacing w:after="0" w:line="280" w:lineRule="auto"/>
        <w:rPr>
          <w:sz w:val="20"/>
          <w:szCs w:val="20"/>
          <w:color w:val="auto"/>
        </w:rPr>
      </w:pPr>
      <w:r>
        <w:rPr>
          <w:rFonts w:ascii="Times New Roman" w:cs="Times New Roman" w:eastAsia="Times New Roman" w:hAnsi="Times New Roman"/>
          <w:sz w:val="17"/>
          <w:szCs w:val="17"/>
          <w:color w:val="auto"/>
        </w:rPr>
        <w:t xml:space="preserve">Agreement to which the Participant is a party as of the Grant Date, or (2) if there is no such Individual Agreement or if it does not define Cause: (A) conviction of, or plea of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by, the Participant for committing a felony under federal law or the law of the state in which such action occurred, (B) willful and deliberate failure on the part of the Participant to perform his or her employment duties in any material respect, (C) dishonesty in the course of fulfilling the Participant’s employment duties, (D) a material violation of the Company’s ethics and compliance program or (E) prior to a Change in Control, such other events as shall be determined by the Committee. Notwithstanding the general rule of Section 2(c), following a Change in Control, any determination by the Committee as to whether “Cause” exists shall be subject to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review.</w:t>
      </w:r>
    </w:p>
    <w:p>
      <w:pPr>
        <w:spacing w:after="0" w:line="208" w:lineRule="exact"/>
        <w:rPr>
          <w:sz w:val="20"/>
          <w:szCs w:val="20"/>
          <w:color w:val="auto"/>
        </w:rPr>
      </w:pPr>
    </w:p>
    <w:p>
      <w:pPr>
        <w:ind w:left="960" w:hanging="336"/>
        <w:spacing w:after="0"/>
        <w:tabs>
          <w:tab w:leader="none" w:pos="9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has the meaning set forth in Section 11(e).</w:t>
      </w:r>
    </w:p>
    <w:p>
      <w:pPr>
        <w:spacing w:after="0" w:line="257" w:lineRule="exact"/>
        <w:rPr>
          <w:rFonts w:ascii="Times New Roman" w:cs="Times New Roman" w:eastAsia="Times New Roman" w:hAnsi="Times New Roman"/>
          <w:sz w:val="17"/>
          <w:szCs w:val="17"/>
          <w:color w:val="auto"/>
        </w:rPr>
      </w:pPr>
    </w:p>
    <w:p>
      <w:pPr>
        <w:jc w:val="both"/>
        <w:ind w:firstLine="624"/>
        <w:spacing w:after="0" w:line="297" w:lineRule="auto"/>
        <w:tabs>
          <w:tab w:leader="none" w:pos="10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Code</w:t>
      </w:r>
      <w:r>
        <w:rPr>
          <w:rFonts w:ascii="Times New Roman" w:cs="Times New Roman" w:eastAsia="Times New Roman" w:hAnsi="Times New Roman"/>
          <w:sz w:val="17"/>
          <w:szCs w:val="17"/>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79" w:lineRule="exact"/>
        <w:rPr>
          <w:rFonts w:ascii="Times New Roman" w:cs="Times New Roman" w:eastAsia="Times New Roman" w:hAnsi="Times New Roman"/>
          <w:sz w:val="17"/>
          <w:szCs w:val="17"/>
          <w:color w:val="auto"/>
        </w:rPr>
      </w:pPr>
    </w:p>
    <w:p>
      <w:pPr>
        <w:ind w:left="960" w:hanging="336"/>
        <w:spacing w:after="0"/>
        <w:tabs>
          <w:tab w:leader="none" w:pos="9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Commission</w:t>
      </w:r>
      <w:r>
        <w:rPr>
          <w:rFonts w:ascii="Times New Roman" w:cs="Times New Roman" w:eastAsia="Times New Roman" w:hAnsi="Times New Roman"/>
          <w:sz w:val="17"/>
          <w:szCs w:val="17"/>
          <w:color w:val="auto"/>
        </w:rPr>
        <w:t>” means the Securities and Exchange Commission or any successor agency.</w:t>
      </w:r>
    </w:p>
    <w:p>
      <w:pPr>
        <w:sectPr>
          <w:pgSz w:w="11900" w:h="16838" w:orient="portrait"/>
          <w:cols w:equalWidth="0" w:num="1">
            <w:col w:w="11240"/>
          </w:cols>
          <w:pgMar w:left="320" w:top="339" w:right="339" w:bottom="1440" w:gutter="0" w:footer="0" w:header="0"/>
        </w:sectPr>
      </w:pPr>
    </w:p>
    <w:bookmarkStart w:id="140" w:name="page141"/>
    <w:bookmarkEnd w:id="140"/>
    <w:p>
      <w:pPr>
        <w:ind w:left="1040" w:hanging="416"/>
        <w:spacing w:after="0"/>
        <w:tabs>
          <w:tab w:leader="none" w:pos="10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Committee</w:t>
      </w:r>
      <w:r>
        <w:rPr>
          <w:rFonts w:ascii="Times New Roman" w:cs="Times New Roman" w:eastAsia="Times New Roman" w:hAnsi="Times New Roman"/>
          <w:sz w:val="17"/>
          <w:szCs w:val="17"/>
          <w:color w:val="auto"/>
        </w:rPr>
        <w:t>” means the Committee referred to in Section 2.</w:t>
      </w:r>
    </w:p>
    <w:p>
      <w:pPr>
        <w:spacing w:after="0" w:line="257"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means common stock, no par value per share, of the Company.</w:t>
      </w:r>
    </w:p>
    <w:p>
      <w:pPr>
        <w:spacing w:after="0" w:line="257"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means NMI Holdings, Inc., a Delaware corporation, or its successor.</w:t>
      </w:r>
    </w:p>
    <w:p>
      <w:pPr>
        <w:spacing w:after="0" w:line="270"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Corporate Transaction</w:t>
      </w:r>
      <w:r>
        <w:rPr>
          <w:rFonts w:ascii="Times New Roman" w:cs="Times New Roman" w:eastAsia="Times New Roman" w:hAnsi="Times New Roman"/>
          <w:sz w:val="17"/>
          <w:szCs w:val="17"/>
          <w:color w:val="auto"/>
        </w:rPr>
        <w:t>” has the meaning set forth in Section 3(d).</w:t>
      </w:r>
    </w:p>
    <w:p>
      <w:pPr>
        <w:spacing w:after="0" w:line="257" w:lineRule="exact"/>
        <w:rPr>
          <w:rFonts w:ascii="Times New Roman" w:cs="Times New Roman" w:eastAsia="Times New Roman" w:hAnsi="Times New Roman"/>
          <w:sz w:val="17"/>
          <w:szCs w:val="17"/>
          <w:color w:val="auto"/>
        </w:rPr>
      </w:pPr>
    </w:p>
    <w:p>
      <w:pPr>
        <w:jc w:val="both"/>
        <w:ind w:firstLine="624"/>
        <w:spacing w:after="0" w:line="280" w:lineRule="auto"/>
        <w:tabs>
          <w:tab w:leader="none" w:pos="1072"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Disability</w:t>
      </w:r>
      <w:r>
        <w:rPr>
          <w:rFonts w:ascii="Times New Roman" w:cs="Times New Roman" w:eastAsia="Times New Roman" w:hAnsi="Times New Roman"/>
          <w:sz w:val="17"/>
          <w:szCs w:val="17"/>
          <w:color w:val="auto"/>
        </w:rPr>
        <w:t>” means, unless otherwise provided in an Award Agreement, the Company or an Affiliate having cause to terminate a Participant’s employment or service on account of “disability,” as defined in any existing Individual Agreement, or, in the absence of such an Individual Agreement or if it does not define disability,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or, as determined by the Committee, based upon medical evidence acceptable to it. Notwithstanding the above, with respect to each Award that constitutes a “nonqualified deferred compensation plan” within the meaning of Section 409A of the Code, the foregoing definition shall apply for purposes of vesting of such Award, provided that such Award shall not be settled until the earliest of: (i) the Participant’s “disability” within the meaning of Section 409A of the Code, (ii) the Participant’s “separation from service” within the meaning of Section 409A of the Code and (iii) the date such Award would otherwise be settled pursuant to the terms of the Award Agreement.</w:t>
      </w:r>
    </w:p>
    <w:p>
      <w:pPr>
        <w:spacing w:after="0" w:line="198" w:lineRule="exact"/>
        <w:rPr>
          <w:rFonts w:ascii="Times New Roman" w:cs="Times New Roman" w:eastAsia="Times New Roman" w:hAnsi="Times New Roman"/>
          <w:sz w:val="17"/>
          <w:szCs w:val="17"/>
          <w:color w:val="auto"/>
        </w:rPr>
      </w:pPr>
    </w:p>
    <w:p>
      <w:pPr>
        <w:ind w:firstLine="624"/>
        <w:spacing w:after="0" w:line="309" w:lineRule="auto"/>
        <w:tabs>
          <w:tab w:leader="none" w:pos="96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Disaffiliation</w:t>
      </w:r>
      <w:r>
        <w:rPr>
          <w:rFonts w:ascii="Times New Roman" w:cs="Times New Roman" w:eastAsia="Times New Roman" w:hAnsi="Times New Roman"/>
          <w:sz w:val="17"/>
          <w:szCs w:val="17"/>
          <w:color w:val="auto"/>
        </w:rPr>
        <w:t>”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182" w:lineRule="exact"/>
        <w:rPr>
          <w:rFonts w:ascii="Times New Roman" w:cs="Times New Roman" w:eastAsia="Times New Roman" w:hAnsi="Times New Roman"/>
          <w:sz w:val="17"/>
          <w:szCs w:val="17"/>
          <w:color w:val="auto"/>
        </w:rPr>
      </w:pPr>
    </w:p>
    <w:p>
      <w:pPr>
        <w:ind w:left="980" w:hanging="356"/>
        <w:spacing w:after="0"/>
        <w:tabs>
          <w:tab w:leader="none" w:pos="9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7"/>
          <w:szCs w:val="17"/>
          <w:color w:val="auto"/>
        </w:rPr>
        <w:t>” has the meaning set forth in Section 13(a).</w:t>
      </w:r>
    </w:p>
    <w:p>
      <w:pPr>
        <w:spacing w:after="0" w:line="257" w:lineRule="exact"/>
        <w:rPr>
          <w:rFonts w:ascii="Times New Roman" w:cs="Times New Roman" w:eastAsia="Times New Roman" w:hAnsi="Times New Roman"/>
          <w:sz w:val="17"/>
          <w:szCs w:val="17"/>
          <w:color w:val="auto"/>
        </w:rPr>
      </w:pPr>
    </w:p>
    <w:p>
      <w:pPr>
        <w:jc w:val="both"/>
        <w:ind w:firstLine="624"/>
        <w:spacing w:after="0" w:line="297" w:lineRule="auto"/>
        <w:tabs>
          <w:tab w:leader="none" w:pos="95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Eligible Individuals</w:t>
      </w:r>
      <w:r>
        <w:rPr>
          <w:rFonts w:ascii="Times New Roman" w:cs="Times New Roman" w:eastAsia="Times New Roman" w:hAnsi="Times New Roman"/>
          <w:sz w:val="17"/>
          <w:szCs w:val="17"/>
          <w:color w:val="auto"/>
        </w:rPr>
        <w:t>” means any director, officer, employee or consultant of the Company or any of its Subsidiaries or Affiliates, or any prospective employee and consultant who has accepted an offer of employment or consultancy from the Company or its Subsidiaries or Affiliates, who are or will be responsible for, or contribute to, the management, growth or profitability of the business of the Company or its Subsidiaries or Affiliates.</w:t>
      </w:r>
    </w:p>
    <w:p>
      <w:pPr>
        <w:spacing w:after="0" w:line="179"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means the Securities Exchange Act of 1934, as amended from time to time, and 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successor thereto.</w:t>
      </w:r>
    </w:p>
    <w:p>
      <w:pPr>
        <w:spacing w:after="0" w:line="262" w:lineRule="exact"/>
        <w:rPr>
          <w:sz w:val="20"/>
          <w:szCs w:val="20"/>
          <w:color w:val="auto"/>
        </w:rPr>
      </w:pPr>
    </w:p>
    <w:p>
      <w:pPr>
        <w:jc w:val="both"/>
        <w:ind w:firstLine="624"/>
        <w:spacing w:after="0" w:line="283" w:lineRule="auto"/>
        <w:tabs>
          <w:tab w:leader="none" w:pos="99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Fair Market Value</w:t>
      </w:r>
      <w:r>
        <w:rPr>
          <w:rFonts w:ascii="Times New Roman" w:cs="Times New Roman" w:eastAsia="Times New Roman" w:hAnsi="Times New Roman"/>
          <w:sz w:val="17"/>
          <w:szCs w:val="17"/>
          <w:color w:val="auto"/>
        </w:rPr>
        <w:t>” means, except as otherwise determined by the Committee, the closing price of a Share on the Applicable Exchange on the date of measurement or, if Shares were not traded on the Applicable Exchange on such measurement date, then on the next preceding date on which Shares were traded on the Applicable Exchange, as reported by such source as the Committee may select. If there is no regular public trading market for such Common Stock, the Fair Market Value of the Common Stock shall be determined by the Committee in good faith and, to the extent applicable, such determination shall be made in a manner that satisfies Sections 409A and Sections 422(c)(1) of the Code.</w:t>
      </w:r>
    </w:p>
    <w:p>
      <w:pPr>
        <w:spacing w:after="0" w:line="192" w:lineRule="exact"/>
        <w:rPr>
          <w:rFonts w:ascii="Times New Roman" w:cs="Times New Roman" w:eastAsia="Times New Roman" w:hAnsi="Times New Roman"/>
          <w:sz w:val="17"/>
          <w:szCs w:val="17"/>
          <w:color w:val="auto"/>
        </w:rPr>
      </w:pPr>
    </w:p>
    <w:p>
      <w:pPr>
        <w:ind w:left="1040" w:hanging="416"/>
        <w:spacing w:after="0"/>
        <w:tabs>
          <w:tab w:leader="none" w:pos="10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Free-Standing SAR</w:t>
      </w:r>
      <w:r>
        <w:rPr>
          <w:rFonts w:ascii="Times New Roman" w:cs="Times New Roman" w:eastAsia="Times New Roman" w:hAnsi="Times New Roman"/>
          <w:sz w:val="17"/>
          <w:szCs w:val="17"/>
          <w:color w:val="auto"/>
        </w:rPr>
        <w:t>” has the meaning set forth in Section 5(b).</w:t>
      </w:r>
    </w:p>
    <w:p>
      <w:pPr>
        <w:spacing w:after="0" w:line="270"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Full-Value Award</w:t>
      </w:r>
      <w:r>
        <w:rPr>
          <w:rFonts w:ascii="Times New Roman" w:cs="Times New Roman" w:eastAsia="Times New Roman" w:hAnsi="Times New Roman"/>
          <w:sz w:val="17"/>
          <w:szCs w:val="17"/>
          <w:color w:val="auto"/>
        </w:rPr>
        <w:t>” means any Award other than a Cash-Based Award, Stock Option or Stock Appreciation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w:t>
      </w:r>
    </w:p>
    <w:p>
      <w:pPr>
        <w:spacing w:after="0" w:line="250" w:lineRule="exact"/>
        <w:rPr>
          <w:sz w:val="20"/>
          <w:szCs w:val="20"/>
          <w:color w:val="auto"/>
        </w:rPr>
      </w:pPr>
    </w:p>
    <w:p>
      <w:pPr>
        <w:jc w:val="both"/>
        <w:ind w:firstLine="624"/>
        <w:spacing w:after="0" w:line="297" w:lineRule="auto"/>
        <w:tabs>
          <w:tab w:leader="none" w:pos="99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Grant Date</w:t>
      </w:r>
      <w:r>
        <w:rPr>
          <w:rFonts w:ascii="Times New Roman" w:cs="Times New Roman" w:eastAsia="Times New Roman" w:hAnsi="Times New Roman"/>
          <w:sz w:val="17"/>
          <w:szCs w:val="17"/>
          <w:color w:val="auto"/>
        </w:rPr>
        <w:t>” means (i) the date on which the Committee by resolution selects an Eligible Individual to receive a grant of an Award and determines the number of Shares, or the formula for earning a number of Shares, to be subject to such Award or the cash amount subject to such Award, or (ii) such later date as the Committee shall provide in such resolution.</w:t>
      </w:r>
    </w:p>
    <w:p>
      <w:pPr>
        <w:sectPr>
          <w:pgSz w:w="11900" w:h="16838" w:orient="portrait"/>
          <w:cols w:equalWidth="0" w:num="1">
            <w:col w:w="11240"/>
          </w:cols>
          <w:pgMar w:left="320" w:top="1374"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624"/>
        <w:spacing w:after="0" w:line="309" w:lineRule="auto"/>
        <w:tabs>
          <w:tab w:leader="none" w:pos="98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Incentive Stock Option</w:t>
      </w:r>
      <w:r>
        <w:rPr>
          <w:rFonts w:ascii="Times New Roman" w:cs="Times New Roman" w:eastAsia="Times New Roman" w:hAnsi="Times New Roman"/>
          <w:sz w:val="17"/>
          <w:szCs w:val="17"/>
          <w:color w:val="auto"/>
        </w:rPr>
        <w:t>” means any Stock Option designated in the applicable Award Agreement as an “incentive stock option” within the meaning of Section 422 of the Code, and that in fact so qualifies.</w:t>
      </w:r>
    </w:p>
    <w:p>
      <w:pPr>
        <w:spacing w:after="0" w:line="169" w:lineRule="exact"/>
        <w:rPr>
          <w:sz w:val="20"/>
          <w:szCs w:val="20"/>
          <w:color w:val="auto"/>
        </w:rPr>
      </w:pPr>
    </w:p>
    <w:p>
      <w:pPr>
        <w:ind w:left="1060" w:hanging="436"/>
        <w:spacing w:after="0"/>
        <w:tabs>
          <w:tab w:leader="none" w:pos="10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Incumbent Board</w:t>
      </w:r>
      <w:r>
        <w:rPr>
          <w:rFonts w:ascii="Times New Roman" w:cs="Times New Roman" w:eastAsia="Times New Roman" w:hAnsi="Times New Roman"/>
          <w:sz w:val="17"/>
          <w:szCs w:val="17"/>
          <w:color w:val="auto"/>
        </w:rPr>
        <w:t>” has the meaning set forth in Section 11(e)(ii).</w:t>
      </w:r>
    </w:p>
    <w:p>
      <w:pPr>
        <w:spacing w:after="0" w:line="270"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Individual Agreement</w:t>
      </w:r>
      <w:r>
        <w:rPr>
          <w:rFonts w:ascii="Times New Roman" w:cs="Times New Roman" w:eastAsia="Times New Roman" w:hAnsi="Times New Roman"/>
          <w:sz w:val="17"/>
          <w:szCs w:val="17"/>
          <w:color w:val="auto"/>
        </w:rPr>
        <w:t>” means an employment, consulting or similar agreement between a Participant and the</w:t>
      </w:r>
    </w:p>
    <w:p>
      <w:pPr>
        <w:spacing w:after="0" w:line="3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Company or one of its Subsidiaries or Affiliates, and, after a Change in Control, a change in control or salary continuation agreement between a Participant and the Company or one of its Subsidiaries or Affiliates. If a Participant is party to both an employment agreement and a change in control or salary continuation agreement, the employment agreement shall be the relevant “Individual Agreement” prior to a Change in Control, and the change in control or salary continuation agreement shall be the relevant “Individual Agreement” after a Change in Control.</w:t>
      </w:r>
    </w:p>
    <w:p>
      <w:pPr>
        <w:spacing w:after="0" w:line="189" w:lineRule="exact"/>
        <w:rPr>
          <w:sz w:val="20"/>
          <w:szCs w:val="20"/>
          <w:color w:val="auto"/>
        </w:rPr>
      </w:pPr>
    </w:p>
    <w:p>
      <w:pPr>
        <w:ind w:left="1060" w:hanging="436"/>
        <w:spacing w:after="0"/>
        <w:tabs>
          <w:tab w:leader="none" w:pos="10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Nonqualified Stock Option</w:t>
      </w:r>
      <w:r>
        <w:rPr>
          <w:rFonts w:ascii="Times New Roman" w:cs="Times New Roman" w:eastAsia="Times New Roman" w:hAnsi="Times New Roman"/>
          <w:sz w:val="17"/>
          <w:szCs w:val="17"/>
          <w:color w:val="auto"/>
        </w:rPr>
        <w:t>” means any Stock Option that is not an Incentive Stock Option.</w:t>
      </w:r>
    </w:p>
    <w:p>
      <w:pPr>
        <w:spacing w:after="0" w:line="270" w:lineRule="exact"/>
        <w:rPr>
          <w:rFonts w:ascii="Times New Roman" w:cs="Times New Roman" w:eastAsia="Times New Roman" w:hAnsi="Times New Roman"/>
          <w:sz w:val="17"/>
          <w:szCs w:val="17"/>
          <w:color w:val="auto"/>
        </w:rPr>
      </w:pPr>
    </w:p>
    <w:p>
      <w:pPr>
        <w:ind w:firstLine="624"/>
        <w:spacing w:after="0" w:line="309" w:lineRule="auto"/>
        <w:tabs>
          <w:tab w:leader="none" w:pos="117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Other Stock-Based Award</w:t>
      </w:r>
      <w:r>
        <w:rPr>
          <w:rFonts w:ascii="Times New Roman" w:cs="Times New Roman" w:eastAsia="Times New Roman" w:hAnsi="Times New Roman"/>
          <w:sz w:val="17"/>
          <w:szCs w:val="17"/>
          <w:color w:val="auto"/>
        </w:rPr>
        <w:t>” means Awards of Common Stock and other Awards that are valued in whole or in part by reference to, or are otherwise based upon, Common Stock, including (without limitation) unrestricted stock, dividend equivalents, and convertible debentures.</w:t>
      </w:r>
    </w:p>
    <w:p>
      <w:pPr>
        <w:spacing w:after="0" w:line="169" w:lineRule="exact"/>
        <w:rPr>
          <w:rFonts w:ascii="Times New Roman" w:cs="Times New Roman" w:eastAsia="Times New Roman" w:hAnsi="Times New Roman"/>
          <w:sz w:val="17"/>
          <w:szCs w:val="17"/>
          <w:color w:val="auto"/>
        </w:rPr>
      </w:pPr>
    </w:p>
    <w:p>
      <w:pPr>
        <w:ind w:left="1060" w:hanging="436"/>
        <w:spacing w:after="0"/>
        <w:tabs>
          <w:tab w:leader="none" w:pos="10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Outstanding Common Stock</w:t>
      </w:r>
      <w:r>
        <w:rPr>
          <w:rFonts w:ascii="Times New Roman" w:cs="Times New Roman" w:eastAsia="Times New Roman" w:hAnsi="Times New Roman"/>
          <w:sz w:val="17"/>
          <w:szCs w:val="17"/>
          <w:color w:val="auto"/>
        </w:rPr>
        <w:t>” has the meaning set forth in Section 11(e)(i).</w:t>
      </w:r>
    </w:p>
    <w:p>
      <w:pPr>
        <w:spacing w:after="0" w:line="270"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“Outstanding Company Voting Securities</w:t>
      </w:r>
      <w:r>
        <w:rPr>
          <w:rFonts w:ascii="Times New Roman" w:cs="Times New Roman" w:eastAsia="Times New Roman" w:hAnsi="Times New Roman"/>
          <w:sz w:val="17"/>
          <w:szCs w:val="17"/>
          <w:color w:val="auto"/>
        </w:rPr>
        <w:t>” has the meaning set forth in Section 11(e)(i).</w:t>
      </w:r>
    </w:p>
    <w:p>
      <w:pPr>
        <w:spacing w:after="0" w:line="257" w:lineRule="exact"/>
        <w:rPr>
          <w:rFonts w:ascii="Times New Roman" w:cs="Times New Roman" w:eastAsia="Times New Roman" w:hAnsi="Times New Roman"/>
          <w:sz w:val="17"/>
          <w:szCs w:val="17"/>
          <w:i w:val="1"/>
          <w:iCs w:val="1"/>
          <w:color w:val="auto"/>
        </w:rPr>
      </w:pPr>
    </w:p>
    <w:p>
      <w:pPr>
        <w:ind w:left="1080" w:hanging="456"/>
        <w:spacing w:after="0"/>
        <w:tabs>
          <w:tab w:leader="none" w:pos="10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Participant</w:t>
      </w:r>
      <w:r>
        <w:rPr>
          <w:rFonts w:ascii="Times New Roman" w:cs="Times New Roman" w:eastAsia="Times New Roman" w:hAnsi="Times New Roman"/>
          <w:sz w:val="17"/>
          <w:szCs w:val="17"/>
          <w:color w:val="auto"/>
        </w:rPr>
        <w:t>” means an Eligible Individual to whom an Award is or has been granted.</w:t>
      </w:r>
    </w:p>
    <w:p>
      <w:pPr>
        <w:spacing w:after="0" w:line="257" w:lineRule="exact"/>
        <w:rPr>
          <w:rFonts w:ascii="Times New Roman" w:cs="Times New Roman" w:eastAsia="Times New Roman" w:hAnsi="Times New Roman"/>
          <w:sz w:val="17"/>
          <w:szCs w:val="17"/>
          <w:color w:val="auto"/>
        </w:rPr>
      </w:pPr>
    </w:p>
    <w:p>
      <w:pPr>
        <w:jc w:val="both"/>
        <w:ind w:firstLine="624"/>
        <w:spacing w:after="0" w:line="279" w:lineRule="auto"/>
        <w:tabs>
          <w:tab w:leader="none" w:pos="110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Performance Goals</w:t>
      </w:r>
      <w:r>
        <w:rPr>
          <w:rFonts w:ascii="Times New Roman" w:cs="Times New Roman" w:eastAsia="Times New Roman" w:hAnsi="Times New Roman"/>
          <w:sz w:val="17"/>
          <w:szCs w:val="17"/>
          <w:color w:val="auto"/>
        </w:rPr>
        <w:t>” means the performance goals established by the Committee in connection with the grant of an Award. Such goals shall be based on the attainment of specified levels of one or more of the following measures: new insurance written (“NIW”) volume, insurance in force levels (“IIF”), policies in force, market share, premiums written, premiums earned, investment income, total operating revenue (excluding net realized investment gains (losses) and gain (loss) from change in fair value of warrant liability), total underwriting expense, total incurred or paid losses, loss ratio, expense ratio, combined ratio, cost/expense management, net income (loss) (including earnings before tax, earnings before interest and tax and earnings before interest, tax, depreciation and amortization), operating earnings (loss) (excluding net realized investment gains (losses) and gain (loss) from change in fair value of warrant liability), return on equity or assets, book value, book value including net operating loss (“NOL”) carry forward, return on investment portfolio (absolute and relative to a benchmark), cash flow (excluding net realized investment gains (losses) and gain (loss) from change in fair value of warrant liability), capital management/liquidity, average premium (“BPS”) of portfolio, earned premium yield of portfolio, average FICO score of portfolio, average LTV of portfolio, delinquency rate of portfolio, objective customer service measures or indices, employee management, common stock share price, and total return to shareholders, in each case with respect to the Company or any one or more Subsidiaries, divisions, business units or business segments thereof, either in absolute terms or relative to the performance of one or more other companies (including an index covering multiple companies).</w:t>
      </w:r>
    </w:p>
    <w:p>
      <w:pPr>
        <w:spacing w:after="0" w:line="196" w:lineRule="exact"/>
        <w:rPr>
          <w:rFonts w:ascii="Times New Roman" w:cs="Times New Roman" w:eastAsia="Times New Roman" w:hAnsi="Times New Roman"/>
          <w:sz w:val="17"/>
          <w:szCs w:val="17"/>
          <w:color w:val="auto"/>
        </w:rPr>
      </w:pPr>
    </w:p>
    <w:p>
      <w:pPr>
        <w:ind w:firstLine="624"/>
        <w:spacing w:after="0" w:line="325" w:lineRule="auto"/>
        <w:tabs>
          <w:tab w:leader="none" w:pos="100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Performance Period</w:t>
      </w:r>
      <w:r>
        <w:rPr>
          <w:rFonts w:ascii="Times New Roman" w:cs="Times New Roman" w:eastAsia="Times New Roman" w:hAnsi="Times New Roman"/>
          <w:sz w:val="17"/>
          <w:szCs w:val="17"/>
          <w:color w:val="auto"/>
        </w:rPr>
        <w:t>” means that period established by the Committee at the time any Performance Unit or Cash-Based Award is granted or at any time thereafter during which any Performance Goals specified by the Committee with respect to such Award are to be measured.</w:t>
      </w:r>
    </w:p>
    <w:p>
      <w:pPr>
        <w:spacing w:after="0" w:line="156" w:lineRule="exact"/>
        <w:rPr>
          <w:rFonts w:ascii="Times New Roman" w:cs="Times New Roman" w:eastAsia="Times New Roman" w:hAnsi="Times New Roman"/>
          <w:sz w:val="17"/>
          <w:szCs w:val="17"/>
          <w:color w:val="auto"/>
        </w:rPr>
      </w:pPr>
    </w:p>
    <w:p>
      <w:pPr>
        <w:jc w:val="both"/>
        <w:ind w:firstLine="624"/>
        <w:spacing w:after="0" w:line="288" w:lineRule="auto"/>
        <w:tabs>
          <w:tab w:leader="none" w:pos="100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Performance Unit</w:t>
      </w:r>
      <w:r>
        <w:rPr>
          <w:rFonts w:ascii="Times New Roman" w:cs="Times New Roman" w:eastAsia="Times New Roman" w:hAnsi="Times New Roman"/>
          <w:sz w:val="17"/>
          <w:szCs w:val="17"/>
          <w:color w:val="auto"/>
        </w:rPr>
        <w:t>” means any Award granted under Section 8 of a unit valued by reference to a designated amount of cash or other property other than Shares, which value may be paid to the Participant by delivery of such property as the Committee shall determine, including, without limitation, cash, Shares, or any combination thereof, upon achievement of such Performance Goals during the Performance Period as the Committee shall establish at the time of such grant or thereafter.</w:t>
      </w:r>
    </w:p>
    <w:p>
      <w:pPr>
        <w:spacing w:after="0" w:line="187"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has the meaning set forth in Section 11(e)(i).</w:t>
      </w:r>
    </w:p>
    <w:p>
      <w:pPr>
        <w:spacing w:after="0" w:line="270"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Plan</w:t>
      </w:r>
      <w:r>
        <w:rPr>
          <w:rFonts w:ascii="Times New Roman" w:cs="Times New Roman" w:eastAsia="Times New Roman" w:hAnsi="Times New Roman"/>
          <w:sz w:val="17"/>
          <w:szCs w:val="17"/>
          <w:color w:val="auto"/>
        </w:rPr>
        <w:t>” means the NMI Holdings, Inc. Amended and Restated 2014 Omnibus Incentive Plan, as set forth</w:t>
      </w:r>
    </w:p>
    <w:p>
      <w:pPr>
        <w:sectPr>
          <w:pgSz w:w="11900" w:h="16838" w:orient="portrait"/>
          <w:cols w:equalWidth="0" w:num="1">
            <w:col w:w="11240"/>
          </w:cols>
          <w:pgMar w:left="320" w:top="339"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color w:val="auto"/>
        </w:rPr>
        <w:t>herein and as hereinafter amended from time to time.</w:t>
      </w:r>
    </w:p>
    <w:p>
      <w:pPr>
        <w:spacing w:after="0" w:line="255" w:lineRule="exact"/>
        <w:rPr>
          <w:sz w:val="20"/>
          <w:szCs w:val="20"/>
          <w:color w:val="auto"/>
        </w:rPr>
      </w:pPr>
    </w:p>
    <w:p>
      <w:pPr>
        <w:ind w:left="1180" w:hanging="556"/>
        <w:spacing w:after="0"/>
        <w:tabs>
          <w:tab w:leader="none" w:pos="11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Replaced Award</w:t>
      </w:r>
      <w:r>
        <w:rPr>
          <w:rFonts w:ascii="Times New Roman" w:cs="Times New Roman" w:eastAsia="Times New Roman" w:hAnsi="Times New Roman"/>
          <w:sz w:val="17"/>
          <w:szCs w:val="17"/>
          <w:color w:val="auto"/>
        </w:rPr>
        <w:t>” has the meaning set forth in Section 11(b)</w:t>
      </w:r>
    </w:p>
    <w:p>
      <w:pPr>
        <w:spacing w:after="0" w:line="257"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Replacement Award</w:t>
      </w:r>
      <w:r>
        <w:rPr>
          <w:rFonts w:ascii="Times New Roman" w:cs="Times New Roman" w:eastAsia="Times New Roman" w:hAnsi="Times New Roman"/>
          <w:sz w:val="17"/>
          <w:szCs w:val="17"/>
          <w:color w:val="auto"/>
        </w:rPr>
        <w:t>” has the meaning set forth in Section 11(b).</w:t>
      </w:r>
    </w:p>
    <w:p>
      <w:pPr>
        <w:spacing w:after="0" w:line="270"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Restatement Effective Date</w:t>
      </w:r>
      <w:r>
        <w:rPr>
          <w:rFonts w:ascii="Times New Roman" w:cs="Times New Roman" w:eastAsia="Times New Roman" w:hAnsi="Times New Roman"/>
          <w:sz w:val="17"/>
          <w:szCs w:val="17"/>
          <w:color w:val="auto"/>
        </w:rPr>
        <w:t>” has the meaning set forth in Section 13(a).</w:t>
      </w:r>
    </w:p>
    <w:p>
      <w:pPr>
        <w:spacing w:after="0" w:line="257"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Restricted Stock</w:t>
      </w:r>
      <w:r>
        <w:rPr>
          <w:rFonts w:ascii="Times New Roman" w:cs="Times New Roman" w:eastAsia="Times New Roman" w:hAnsi="Times New Roman"/>
          <w:sz w:val="17"/>
          <w:szCs w:val="17"/>
          <w:color w:val="auto"/>
        </w:rPr>
        <w:t>” means an Award granted under Section 6.</w:t>
      </w:r>
    </w:p>
    <w:p>
      <w:pPr>
        <w:spacing w:after="0" w:line="257"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Restricted Stock Unit</w:t>
      </w:r>
      <w:r>
        <w:rPr>
          <w:rFonts w:ascii="Times New Roman" w:cs="Times New Roman" w:eastAsia="Times New Roman" w:hAnsi="Times New Roman"/>
          <w:sz w:val="17"/>
          <w:szCs w:val="17"/>
          <w:color w:val="auto"/>
        </w:rPr>
        <w:t>” has the meaning set forth in Section 7(a).</w:t>
      </w:r>
    </w:p>
    <w:p>
      <w:pPr>
        <w:spacing w:after="0" w:line="270" w:lineRule="exact"/>
        <w:rPr>
          <w:rFonts w:ascii="Times New Roman" w:cs="Times New Roman" w:eastAsia="Times New Roman" w:hAnsi="Times New Roman"/>
          <w:sz w:val="17"/>
          <w:szCs w:val="17"/>
          <w:color w:val="auto"/>
        </w:rPr>
      </w:pPr>
    </w:p>
    <w:p>
      <w:pPr>
        <w:ind w:left="1020" w:hanging="396"/>
        <w:spacing w:after="0"/>
        <w:tabs>
          <w:tab w:leader="none" w:pos="10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Restriction Period</w:t>
      </w:r>
      <w:r>
        <w:rPr>
          <w:rFonts w:ascii="Times New Roman" w:cs="Times New Roman" w:eastAsia="Times New Roman" w:hAnsi="Times New Roman"/>
          <w:sz w:val="17"/>
          <w:szCs w:val="17"/>
          <w:color w:val="auto"/>
        </w:rPr>
        <w:t>” has the meaning set forth in Section 6(c)(ii).</w:t>
      </w:r>
    </w:p>
    <w:p>
      <w:pPr>
        <w:spacing w:after="0" w:line="257" w:lineRule="exact"/>
        <w:rPr>
          <w:rFonts w:ascii="Times New Roman" w:cs="Times New Roman" w:eastAsia="Times New Roman" w:hAnsi="Times New Roman"/>
          <w:sz w:val="17"/>
          <w:szCs w:val="17"/>
          <w:color w:val="auto"/>
        </w:rPr>
      </w:pPr>
    </w:p>
    <w:p>
      <w:pPr>
        <w:ind w:left="1040" w:hanging="416"/>
        <w:spacing w:after="0"/>
        <w:tabs>
          <w:tab w:leader="none" w:pos="10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Section 16(b)</w:t>
      </w:r>
      <w:r>
        <w:rPr>
          <w:rFonts w:ascii="Times New Roman" w:cs="Times New Roman" w:eastAsia="Times New Roman" w:hAnsi="Times New Roman"/>
          <w:sz w:val="17"/>
          <w:szCs w:val="17"/>
          <w:color w:val="auto"/>
        </w:rPr>
        <w:t>” has the meaning set forth in Section 12(d).</w:t>
      </w:r>
    </w:p>
    <w:p>
      <w:pPr>
        <w:spacing w:after="0" w:line="257"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Share</w:t>
      </w:r>
      <w:r>
        <w:rPr>
          <w:rFonts w:ascii="Times New Roman" w:cs="Times New Roman" w:eastAsia="Times New Roman" w:hAnsi="Times New Roman"/>
          <w:sz w:val="17"/>
          <w:szCs w:val="17"/>
          <w:color w:val="auto"/>
        </w:rPr>
        <w:t>” means a share of Common Stock.</w:t>
      </w:r>
    </w:p>
    <w:p>
      <w:pPr>
        <w:spacing w:after="0" w:line="270"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 Appreciation Right</w:t>
      </w:r>
      <w:r>
        <w:rPr>
          <w:rFonts w:ascii="Times New Roman" w:cs="Times New Roman" w:eastAsia="Times New Roman" w:hAnsi="Times New Roman"/>
          <w:sz w:val="17"/>
          <w:szCs w:val="17"/>
          <w:color w:val="auto"/>
        </w:rPr>
        <w:t>” means an Award granted under Section 5(b) or 5(c).</w:t>
      </w:r>
    </w:p>
    <w:p>
      <w:pPr>
        <w:spacing w:after="0" w:line="257"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 Option</w:t>
      </w:r>
      <w:r>
        <w:rPr>
          <w:rFonts w:ascii="Times New Roman" w:cs="Times New Roman" w:eastAsia="Times New Roman" w:hAnsi="Times New Roman"/>
          <w:sz w:val="17"/>
          <w:szCs w:val="17"/>
          <w:color w:val="auto"/>
        </w:rPr>
        <w:t>” means an Award granted under Section 5(a).</w:t>
      </w:r>
    </w:p>
    <w:p>
      <w:pPr>
        <w:spacing w:after="0" w:line="32" w:lineRule="exact"/>
        <w:rPr>
          <w:rFonts w:ascii="Times New Roman" w:cs="Times New Roman" w:eastAsia="Times New Roman" w:hAnsi="Times New Roman"/>
          <w:sz w:val="17"/>
          <w:szCs w:val="17"/>
          <w:color w:val="auto"/>
        </w:rPr>
      </w:pPr>
    </w:p>
    <w:p>
      <w:pPr>
        <w:ind w:left="1160" w:hanging="536"/>
        <w:spacing w:after="0"/>
        <w:tabs>
          <w:tab w:leader="none" w:pos="11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means any corporation, partnership, joint venture, limited liability company or other entity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any period in which at least a 50% voting or profits interest is owned, directly or indirectly, by the Company or any successor to the Company.</w:t>
      </w:r>
    </w:p>
    <w:p>
      <w:pPr>
        <w:spacing w:after="0" w:line="255" w:lineRule="exact"/>
        <w:rPr>
          <w:sz w:val="20"/>
          <w:szCs w:val="20"/>
          <w:color w:val="auto"/>
        </w:rPr>
      </w:pPr>
    </w:p>
    <w:p>
      <w:pPr>
        <w:ind w:left="1080" w:hanging="456"/>
        <w:spacing w:after="0"/>
        <w:tabs>
          <w:tab w:leader="none" w:pos="10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Tandem SAR</w:t>
      </w:r>
      <w:r>
        <w:rPr>
          <w:rFonts w:ascii="Times New Roman" w:cs="Times New Roman" w:eastAsia="Times New Roman" w:hAnsi="Times New Roman"/>
          <w:sz w:val="17"/>
          <w:szCs w:val="17"/>
          <w:color w:val="auto"/>
        </w:rPr>
        <w:t>” has the meaning set forth in Section 5(b).</w:t>
      </w:r>
    </w:p>
    <w:p>
      <w:pPr>
        <w:spacing w:after="0" w:line="257"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Term</w:t>
      </w:r>
      <w:r>
        <w:rPr>
          <w:rFonts w:ascii="Times New Roman" w:cs="Times New Roman" w:eastAsia="Times New Roman" w:hAnsi="Times New Roman"/>
          <w:sz w:val="17"/>
          <w:szCs w:val="17"/>
          <w:color w:val="auto"/>
        </w:rPr>
        <w:t>” means the maximum period during which a Stock Option or Stock Appreciation Right may remain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subject to earlier termination upon Termination of Employment or otherwise, as specified in the applicable Award Agreement.</w:t>
      </w:r>
    </w:p>
    <w:p>
      <w:pPr>
        <w:spacing w:after="0" w:line="255" w:lineRule="exact"/>
        <w:rPr>
          <w:sz w:val="20"/>
          <w:szCs w:val="20"/>
          <w:color w:val="auto"/>
        </w:rPr>
      </w:pPr>
    </w:p>
    <w:p>
      <w:pPr>
        <w:ind w:left="620"/>
        <w:spacing w:after="0"/>
        <w:tabs>
          <w:tab w:leader="none" w:pos="1040" w:val="left"/>
        </w:tabs>
        <w:rPr>
          <w:sz w:val="20"/>
          <w:szCs w:val="20"/>
          <w:color w:val="auto"/>
        </w:rPr>
      </w:pPr>
      <w:r>
        <w:rPr>
          <w:rFonts w:ascii="Times New Roman" w:cs="Times New Roman" w:eastAsia="Times New Roman" w:hAnsi="Times New Roman"/>
          <w:sz w:val="17"/>
          <w:szCs w:val="17"/>
          <w:color w:val="auto"/>
        </w:rPr>
        <w:t>(zz)</w:t>
        <w:tab/>
        <w:t>“</w:t>
      </w:r>
      <w:r>
        <w:rPr>
          <w:rFonts w:ascii="Times New Roman" w:cs="Times New Roman" w:eastAsia="Times New Roman" w:hAnsi="Times New Roman"/>
          <w:sz w:val="17"/>
          <w:szCs w:val="17"/>
          <w:i w:val="1"/>
          <w:iCs w:val="1"/>
          <w:color w:val="auto"/>
        </w:rPr>
        <w:t>Termination of Employment</w:t>
      </w:r>
      <w:r>
        <w:rPr>
          <w:rFonts w:ascii="Times New Roman" w:cs="Times New Roman" w:eastAsia="Times New Roman" w:hAnsi="Times New Roman"/>
          <w:sz w:val="17"/>
          <w:szCs w:val="17"/>
          <w:color w:val="auto"/>
        </w:rPr>
        <w:t>” means the termination of the applicable Participant’s employment with, or</w:t>
      </w:r>
    </w:p>
    <w:p>
      <w:pPr>
        <w:spacing w:after="0" w:line="3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performance of services for, the Company and any of its Subsidiaries or Affiliates. Unless otherwise determined by the Committee, (i) if a Participant’s employment with the Company and its Affiliates terminates but such Participant continues to provide services to the Company and its Affiliates in a non-employee capacity, such change in status shall not be deemed a Termination of Employment and (ii) a Participant employed by, or performing services for, a Subsidiary or an Affiliate or a division of the Company and its Affiliates shall also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the Company or another Subsidiary or Affiliate. Temporary absences from employment because of illness, vacation or leave of absence and transfers among the Company and its Subsidiaries and Affiliates shall not be considered Terminations of Employment. Notwithstanding the foregoing provisions of this definition, with respect to any Award that constitutes a “non-qualified deferred compensation plan” within the meaning of Section 409A of the Code, a Participant shall not be considered to have experienced a “Termination of Employment” unless the Participant has experienced a “separation from service” within the meaning of Section 409A of the Code (a “</w:t>
      </w:r>
      <w:r>
        <w:rPr>
          <w:rFonts w:ascii="Times New Roman" w:cs="Times New Roman" w:eastAsia="Times New Roman" w:hAnsi="Times New Roman"/>
          <w:sz w:val="17"/>
          <w:szCs w:val="17"/>
          <w:u w:val="single" w:color="auto"/>
          <w:color w:val="auto"/>
        </w:rPr>
        <w:t>Separation from Service</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certain other terms used herein have definitions given to them in the first place in which they are used.</w:t>
      </w:r>
    </w:p>
    <w:p>
      <w:pPr>
        <w:spacing w:after="0" w:line="25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Section 2.</w:t>
        <w:tab/>
        <w:t>Administration</w:t>
      </w:r>
    </w:p>
    <w:p>
      <w:pPr>
        <w:spacing w:after="0" w:line="257" w:lineRule="exact"/>
        <w:rPr>
          <w:sz w:val="20"/>
          <w:szCs w:val="20"/>
          <w:color w:val="auto"/>
        </w:rPr>
      </w:pPr>
    </w:p>
    <w:p>
      <w:pPr>
        <w:ind w:firstLine="624"/>
        <w:spacing w:after="0" w:line="325" w:lineRule="auto"/>
        <w:tabs>
          <w:tab w:leader="none" w:pos="994" w:val="left"/>
        </w:tabs>
        <w:numPr>
          <w:ilvl w:val="0"/>
          <w:numId w:val="8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Committee</w:t>
      </w:r>
      <w:r>
        <w:rPr>
          <w:rFonts w:ascii="Times New Roman" w:cs="Times New Roman" w:eastAsia="Times New Roman" w:hAnsi="Times New Roman"/>
          <w:sz w:val="17"/>
          <w:szCs w:val="17"/>
          <w:color w:val="auto"/>
        </w:rPr>
        <w:t>. The Plan shall be administered by the Board directly, or if the Board elects, by the Compensation Committee or such other committee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Board as the Board may from time to time designate, which committee shall be</w:t>
      </w:r>
    </w:p>
    <w:p>
      <w:pPr>
        <w:sectPr>
          <w:pgSz w:w="11900" w:h="16838" w:orient="portrait"/>
          <w:cols w:equalWidth="0" w:num="1">
            <w:col w:w="11240"/>
          </w:cols>
          <w:pgMar w:left="320" w:top="114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composed of not less than two directors, and shall be appointed by and serve at the pleasure of the Board. All references in this Plan to the “Committee” refer to the Board as a whole, unless a separate committee has been designated or authorized consistent with the foregoing.</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Subject to the terms and conditions of this Plan, the Committee shall have absolute authority:</w:t>
      </w:r>
    </w:p>
    <w:p>
      <w:pPr>
        <w:spacing w:after="0" w:line="270" w:lineRule="exact"/>
        <w:rPr>
          <w:sz w:val="20"/>
          <w:szCs w:val="20"/>
          <w:color w:val="auto"/>
        </w:rPr>
      </w:pPr>
    </w:p>
    <w:p>
      <w:pPr>
        <w:ind w:left="1580" w:hanging="335"/>
        <w:spacing w:after="0"/>
        <w:tabs>
          <w:tab w:leader="none" w:pos="158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select the Eligible Individuals to whom Awards may from time to time be granted;</w:t>
      </w:r>
    </w:p>
    <w:p>
      <w:pPr>
        <w:spacing w:after="0" w:line="257" w:lineRule="exact"/>
        <w:rPr>
          <w:rFonts w:ascii="Times New Roman" w:cs="Times New Roman" w:eastAsia="Times New Roman" w:hAnsi="Times New Roman"/>
          <w:sz w:val="17"/>
          <w:szCs w:val="17"/>
          <w:color w:val="auto"/>
        </w:rPr>
      </w:pPr>
    </w:p>
    <w:p>
      <w:pPr>
        <w:jc w:val="both"/>
        <w:ind w:left="1240" w:firstLine="5"/>
        <w:spacing w:after="0" w:line="296" w:lineRule="auto"/>
        <w:tabs>
          <w:tab w:leader="none" w:pos="1692"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and to what extent Incentive Stock Options, Nonqualified Stock Options, Stock Appreciation Rights, Restricted Stock, Restricted Stock Units, Performance Units, Other Stock-Based Awards, Cash-Based Awards or any combination thereof are to be granted hereunder;</w:t>
      </w:r>
    </w:p>
    <w:p>
      <w:pPr>
        <w:spacing w:after="0" w:line="182" w:lineRule="exact"/>
        <w:rPr>
          <w:rFonts w:ascii="Times New Roman" w:cs="Times New Roman" w:eastAsia="Times New Roman" w:hAnsi="Times New Roman"/>
          <w:sz w:val="17"/>
          <w:szCs w:val="17"/>
          <w:color w:val="auto"/>
        </w:rPr>
      </w:pPr>
    </w:p>
    <w:p>
      <w:pPr>
        <w:ind w:left="1680" w:hanging="435"/>
        <w:spacing w:after="0"/>
        <w:tabs>
          <w:tab w:leader="none" w:pos="168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number of Shares to be covered by each Award granted hereunder;</w:t>
      </w:r>
    </w:p>
    <w:p>
      <w:pPr>
        <w:spacing w:after="0" w:line="257" w:lineRule="exact"/>
        <w:rPr>
          <w:rFonts w:ascii="Times New Roman" w:cs="Times New Roman" w:eastAsia="Times New Roman" w:hAnsi="Times New Roman"/>
          <w:sz w:val="17"/>
          <w:szCs w:val="17"/>
          <w:color w:val="auto"/>
        </w:rPr>
      </w:pPr>
    </w:p>
    <w:p>
      <w:pPr>
        <w:jc w:val="both"/>
        <w:ind w:left="1240" w:firstLine="5"/>
        <w:spacing w:after="0" w:line="287" w:lineRule="auto"/>
        <w:tabs>
          <w:tab w:leader="none" w:pos="166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form of any Award Agreement and determine the terms and conditions of any Award granted hereunder, including, but not limited to, the exercise price (subject to Section 5(d)), any vesting condition, restriction or limitation (which may be related to the performance of the Participant, the Company or any Subsidiary or Affiliate) and any vesting acceleration or forfeiture waiver regarding any Award and the shares of Common Stock relating thereto, based on such factors as the Committee shall determine;</w:t>
      </w:r>
    </w:p>
    <w:p>
      <w:pPr>
        <w:spacing w:after="0" w:line="203" w:lineRule="exact"/>
        <w:rPr>
          <w:rFonts w:ascii="Times New Roman" w:cs="Times New Roman" w:eastAsia="Times New Roman" w:hAnsi="Times New Roman"/>
          <w:sz w:val="17"/>
          <w:szCs w:val="17"/>
          <w:color w:val="auto"/>
        </w:rPr>
      </w:pPr>
    </w:p>
    <w:p>
      <w:pPr>
        <w:ind w:left="1240" w:firstLine="5"/>
        <w:spacing w:after="0" w:line="307" w:lineRule="auto"/>
        <w:tabs>
          <w:tab w:leader="none" w:pos="1637"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modify, amend or adjust the terms and conditions of any Award (subject to Sections 5(d) and 13(d)), at any time or from time to time, including, but not limited to, Performance Goals;</w:t>
      </w:r>
    </w:p>
    <w:p>
      <w:pPr>
        <w:spacing w:after="0" w:line="172" w:lineRule="exact"/>
        <w:rPr>
          <w:rFonts w:ascii="Times New Roman" w:cs="Times New Roman" w:eastAsia="Times New Roman" w:hAnsi="Times New Roman"/>
          <w:sz w:val="17"/>
          <w:szCs w:val="17"/>
          <w:color w:val="auto"/>
        </w:rPr>
      </w:pPr>
    </w:p>
    <w:p>
      <w:pPr>
        <w:ind w:left="1240" w:firstLine="5"/>
        <w:spacing w:after="0" w:line="322" w:lineRule="auto"/>
        <w:tabs>
          <w:tab w:leader="none" w:pos="1685"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to what extent and under what circumstances Common Stock and other amounts payable with respect to an Award shall be deferred;</w:t>
      </w:r>
    </w:p>
    <w:p>
      <w:pPr>
        <w:spacing w:after="0" w:line="161" w:lineRule="exact"/>
        <w:rPr>
          <w:rFonts w:ascii="Times New Roman" w:cs="Times New Roman" w:eastAsia="Times New Roman" w:hAnsi="Times New Roman"/>
          <w:sz w:val="17"/>
          <w:szCs w:val="17"/>
          <w:color w:val="auto"/>
        </w:rPr>
      </w:pPr>
    </w:p>
    <w:p>
      <w:pPr>
        <w:ind w:left="1720" w:hanging="475"/>
        <w:spacing w:after="0"/>
        <w:tabs>
          <w:tab w:leader="none" w:pos="172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under what circumstances an Award may be settled in cash, Shares, other property or a combination of the foregoing;</w:t>
      </w:r>
    </w:p>
    <w:p>
      <w:pPr>
        <w:spacing w:after="0" w:line="257" w:lineRule="exact"/>
        <w:rPr>
          <w:rFonts w:ascii="Times New Roman" w:cs="Times New Roman" w:eastAsia="Times New Roman" w:hAnsi="Times New Roman"/>
          <w:sz w:val="17"/>
          <w:szCs w:val="17"/>
          <w:color w:val="auto"/>
        </w:rPr>
      </w:pPr>
    </w:p>
    <w:p>
      <w:pPr>
        <w:ind w:left="1240" w:firstLine="5"/>
        <w:spacing w:after="0" w:line="322" w:lineRule="auto"/>
        <w:tabs>
          <w:tab w:leader="none" w:pos="181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to what extent and under what circumstances cash, Shares and other property and other amounts payable with respect to an Award under this Plan shall be deferred either automatically or at the election of the Participant;</w:t>
      </w:r>
    </w:p>
    <w:p>
      <w:pPr>
        <w:spacing w:after="0" w:line="161" w:lineRule="exact"/>
        <w:rPr>
          <w:rFonts w:ascii="Times New Roman" w:cs="Times New Roman" w:eastAsia="Times New Roman" w:hAnsi="Times New Roman"/>
          <w:sz w:val="17"/>
          <w:szCs w:val="17"/>
          <w:color w:val="auto"/>
        </w:rPr>
      </w:pPr>
    </w:p>
    <w:p>
      <w:pPr>
        <w:ind w:left="1240" w:firstLine="5"/>
        <w:spacing w:after="0" w:line="307" w:lineRule="auto"/>
        <w:tabs>
          <w:tab w:leader="none" w:pos="1747"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adopt, alter and repeal such administrative rules, guidelines and practices governing this Plan as it shall from time to time deem advisable;</w:t>
      </w:r>
    </w:p>
    <w:p>
      <w:pPr>
        <w:spacing w:after="0" w:line="185" w:lineRule="exact"/>
        <w:rPr>
          <w:rFonts w:ascii="Times New Roman" w:cs="Times New Roman" w:eastAsia="Times New Roman" w:hAnsi="Times New Roman"/>
          <w:sz w:val="17"/>
          <w:szCs w:val="17"/>
          <w:color w:val="auto"/>
        </w:rPr>
      </w:pPr>
    </w:p>
    <w:p>
      <w:pPr>
        <w:jc w:val="both"/>
        <w:ind w:left="1240" w:firstLine="5"/>
        <w:spacing w:after="0" w:line="288" w:lineRule="auto"/>
        <w:tabs>
          <w:tab w:leader="none" w:pos="1693"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establish any “blackout” period that the Committee in its sole discretion deems necessary or advisable, but in no event shall such blackout period conflict with or be more permissive than the blackout period determined under the Company’s Insider Trading Policy as may be in effect from time to time;</w:t>
      </w:r>
    </w:p>
    <w:p>
      <w:pPr>
        <w:spacing w:after="0" w:line="201" w:lineRule="exact"/>
        <w:rPr>
          <w:rFonts w:ascii="Times New Roman" w:cs="Times New Roman" w:eastAsia="Times New Roman" w:hAnsi="Times New Roman"/>
          <w:sz w:val="17"/>
          <w:szCs w:val="17"/>
          <w:color w:val="auto"/>
        </w:rPr>
      </w:pPr>
    </w:p>
    <w:p>
      <w:pPr>
        <w:ind w:left="1660" w:hanging="415"/>
        <w:spacing w:after="0"/>
        <w:tabs>
          <w:tab w:leader="none" w:pos="166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interpret the terms and provisions of this Plan and any Award issued under this Plan (and any Award Agreement relating thereto);</w:t>
      </w:r>
    </w:p>
    <w:p>
      <w:pPr>
        <w:spacing w:after="0" w:line="257" w:lineRule="exact"/>
        <w:rPr>
          <w:rFonts w:ascii="Times New Roman" w:cs="Times New Roman" w:eastAsia="Times New Roman" w:hAnsi="Times New Roman"/>
          <w:sz w:val="17"/>
          <w:szCs w:val="17"/>
          <w:color w:val="auto"/>
        </w:rPr>
      </w:pPr>
    </w:p>
    <w:p>
      <w:pPr>
        <w:ind w:left="1720" w:hanging="475"/>
        <w:spacing w:after="0"/>
        <w:tabs>
          <w:tab w:leader="none" w:pos="172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decide all other matters that must be determined in connection with an Award; and</w:t>
      </w:r>
    </w:p>
    <w:p>
      <w:pPr>
        <w:spacing w:after="0" w:line="257" w:lineRule="exact"/>
        <w:rPr>
          <w:rFonts w:ascii="Times New Roman" w:cs="Times New Roman" w:eastAsia="Times New Roman" w:hAnsi="Times New Roman"/>
          <w:sz w:val="17"/>
          <w:szCs w:val="17"/>
          <w:color w:val="auto"/>
        </w:rPr>
      </w:pPr>
    </w:p>
    <w:p>
      <w:pPr>
        <w:ind w:left="1760" w:hanging="515"/>
        <w:spacing w:after="0"/>
        <w:tabs>
          <w:tab w:leader="none" w:pos="176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otherwise administer this Plan.</w:t>
      </w:r>
    </w:p>
    <w:p>
      <w:pPr>
        <w:spacing w:after="0" w:line="268"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8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Procedures</w:t>
      </w:r>
      <w:r>
        <w:rPr>
          <w:rFonts w:ascii="Times New Roman" w:cs="Times New Roman" w:eastAsia="Times New Roman" w:hAnsi="Times New Roman"/>
          <w:sz w:val="17"/>
          <w:szCs w:val="17"/>
          <w:color w:val="auto"/>
        </w:rPr>
        <w:t>.</w:t>
      </w:r>
    </w:p>
    <w:p>
      <w:pPr>
        <w:spacing w:after="0" w:line="259" w:lineRule="exact"/>
        <w:rPr>
          <w:rFonts w:ascii="Times New Roman" w:cs="Times New Roman" w:eastAsia="Times New Roman" w:hAnsi="Times New Roman"/>
          <w:sz w:val="17"/>
          <w:szCs w:val="17"/>
          <w:i w:val="1"/>
          <w:iCs w:val="1"/>
          <w:color w:val="auto"/>
        </w:rPr>
      </w:pPr>
    </w:p>
    <w:p>
      <w:pPr>
        <w:jc w:val="both"/>
        <w:ind w:left="1240" w:firstLine="5"/>
        <w:spacing w:after="0" w:line="296" w:lineRule="auto"/>
        <w:tabs>
          <w:tab w:leader="none" w:pos="1577"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act only by a majority of its members then in office, except that the Committee may, except to the extent prohibited by applicable law or the listing standards of the Applicable Exchange and subject to Section 11, allocate all or any portion of its responsibilities and powers to any one or more of its</w:t>
      </w:r>
    </w:p>
    <w:p>
      <w:pPr>
        <w:sectPr>
          <w:pgSz w:w="11900" w:h="16838" w:orient="portrait"/>
          <w:cols w:equalWidth="0" w:num="1">
            <w:col w:w="11240"/>
          </w:cols>
          <w:pgMar w:left="320" w:top="339" w:right="339" w:bottom="1440" w:gutter="0" w:footer="0" w:header="0"/>
        </w:sectPr>
      </w:pPr>
    </w:p>
    <w:bookmarkStart w:id="144" w:name="page145"/>
    <w:bookmarkEnd w:id="144"/>
    <w:p>
      <w:pPr>
        <w:ind w:left="1240"/>
        <w:spacing w:after="0" w:line="307" w:lineRule="auto"/>
        <w:rPr>
          <w:sz w:val="20"/>
          <w:szCs w:val="20"/>
          <w:color w:val="auto"/>
        </w:rPr>
      </w:pPr>
      <w:r>
        <w:rPr>
          <w:rFonts w:ascii="Times New Roman" w:cs="Times New Roman" w:eastAsia="Times New Roman" w:hAnsi="Times New Roman"/>
          <w:sz w:val="17"/>
          <w:szCs w:val="17"/>
          <w:color w:val="auto"/>
        </w:rPr>
        <w:t>members and may (to the extent permitted by applicable law) delegate all or any part of its responsibilities and powers to any person or persons selected by it. Any such allocation or delegation may be revoked by the Committee at any time.</w:t>
      </w:r>
    </w:p>
    <w:p>
      <w:pPr>
        <w:spacing w:after="0" w:line="173" w:lineRule="exact"/>
        <w:rPr>
          <w:sz w:val="20"/>
          <w:szCs w:val="20"/>
          <w:color w:val="auto"/>
        </w:rPr>
      </w:pPr>
    </w:p>
    <w:p>
      <w:pPr>
        <w:ind w:left="1240" w:firstLine="5"/>
        <w:spacing w:after="0" w:line="322" w:lineRule="auto"/>
        <w:tabs>
          <w:tab w:leader="none" w:pos="1687"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12(c), any authority granted to the Committee may be exercised by the full Board. To the extent that any permitted action taken by the Board conflicts with action taken by the Committee, the Board action shall control.</w:t>
      </w:r>
    </w:p>
    <w:p>
      <w:pPr>
        <w:spacing w:after="0" w:line="159" w:lineRule="exact"/>
        <w:rPr>
          <w:rFonts w:ascii="Times New Roman" w:cs="Times New Roman" w:eastAsia="Times New Roman" w:hAnsi="Times New Roman"/>
          <w:sz w:val="17"/>
          <w:szCs w:val="17"/>
          <w:color w:val="auto"/>
        </w:rPr>
      </w:pPr>
    </w:p>
    <w:p>
      <w:pPr>
        <w:jc w:val="both"/>
        <w:ind w:firstLine="624"/>
        <w:spacing w:after="0" w:line="288" w:lineRule="auto"/>
        <w:tabs>
          <w:tab w:leader="none" w:pos="993" w:val="left"/>
        </w:tabs>
        <w:numPr>
          <w:ilvl w:val="0"/>
          <w:numId w:val="8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Discretion of Committee</w:t>
      </w:r>
      <w:r>
        <w:rPr>
          <w:rFonts w:ascii="Times New Roman" w:cs="Times New Roman" w:eastAsia="Times New Roman" w:hAnsi="Times New Roman"/>
          <w:sz w:val="17"/>
          <w:szCs w:val="17"/>
          <w:color w:val="auto"/>
        </w:rPr>
        <w:t>. Subject to Section 1(i), any determination made by the Committee or pursuant to delegated authority under the provisions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this Plan with 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officer pursuant to the provisions of this Plan shall be final, binding and conclusive on all persons, including the Company, Participants and Eligible Individuals.</w:t>
      </w:r>
    </w:p>
    <w:p>
      <w:pPr>
        <w:spacing w:after="0" w:line="187" w:lineRule="exact"/>
        <w:rPr>
          <w:rFonts w:ascii="Times New Roman" w:cs="Times New Roman" w:eastAsia="Times New Roman" w:hAnsi="Times New Roman"/>
          <w:sz w:val="17"/>
          <w:szCs w:val="17"/>
          <w:i w:val="1"/>
          <w:iCs w:val="1"/>
          <w:color w:val="auto"/>
        </w:rPr>
      </w:pPr>
    </w:p>
    <w:p>
      <w:pPr>
        <w:ind w:left="1000" w:hanging="376"/>
        <w:spacing w:after="0"/>
        <w:tabs>
          <w:tab w:leader="none" w:pos="1000" w:val="left"/>
        </w:tabs>
        <w:numPr>
          <w:ilvl w:val="0"/>
          <w:numId w:val="8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Cancellation or Suspension</w:t>
      </w:r>
      <w:r>
        <w:rPr>
          <w:rFonts w:ascii="Times New Roman" w:cs="Times New Roman" w:eastAsia="Times New Roman" w:hAnsi="Times New Roman"/>
          <w:sz w:val="17"/>
          <w:szCs w:val="17"/>
          <w:color w:val="auto"/>
        </w:rPr>
        <w:t>. Subject to Section 5(d), the Committee shall have full power and authority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determine whether, to what extent and under what circumstances any Award shall be canceled or suspended.</w:t>
      </w:r>
    </w:p>
    <w:p>
      <w:pPr>
        <w:spacing w:after="0" w:line="255" w:lineRule="exact"/>
        <w:rPr>
          <w:sz w:val="20"/>
          <w:szCs w:val="20"/>
          <w:color w:val="auto"/>
        </w:rPr>
      </w:pPr>
    </w:p>
    <w:p>
      <w:pPr>
        <w:jc w:val="both"/>
        <w:ind w:firstLine="624"/>
        <w:spacing w:after="0" w:line="283" w:lineRule="auto"/>
        <w:tabs>
          <w:tab w:leader="none" w:pos="1002" w:val="left"/>
        </w:tabs>
        <w:numPr>
          <w:ilvl w:val="0"/>
          <w:numId w:val="8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Award Agreements</w:t>
      </w:r>
      <w:r>
        <w:rPr>
          <w:rFonts w:ascii="Times New Roman" w:cs="Times New Roman" w:eastAsia="Times New Roman" w:hAnsi="Times New Roman"/>
          <w:sz w:val="17"/>
          <w:szCs w:val="17"/>
          <w:color w:val="auto"/>
        </w:rPr>
        <w:t>. The terms and conditions of each Award, as determined by the Committee, shall be set forth in a written (or electronic)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Agreement, which shall be delivered to the Participant receiving such Award upon, or as promptly as is reasonably practicable following, the grant of such Award;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the terms of a Cash-Based Award may, but are not required to, be set forth in an Award Agreement. The effectiveness of an Award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the Award Agreement being signed by the Company and the Participant receiving the Award unless otherwise provided in the Award Agreement. Award Agreements may be amended only in accordance with Section 13(d) hereof.</w:t>
      </w:r>
    </w:p>
    <w:p>
      <w:pPr>
        <w:spacing w:after="0" w:line="20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Section 3.</w:t>
        <w:tab/>
        <w:t>Common Stock Subject to Plan</w:t>
      </w:r>
    </w:p>
    <w:p>
      <w:pPr>
        <w:spacing w:after="0" w:line="257" w:lineRule="exact"/>
        <w:rPr>
          <w:sz w:val="20"/>
          <w:szCs w:val="20"/>
          <w:color w:val="auto"/>
        </w:rPr>
      </w:pPr>
    </w:p>
    <w:p>
      <w:pPr>
        <w:jc w:val="both"/>
        <w:ind w:firstLine="624"/>
        <w:spacing w:after="0" w:line="288" w:lineRule="auto"/>
        <w:tabs>
          <w:tab w:leader="none" w:pos="994" w:val="left"/>
        </w:tabs>
        <w:numPr>
          <w:ilvl w:val="0"/>
          <w:numId w:val="8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Plan Maximums</w:t>
      </w:r>
      <w:r>
        <w:rPr>
          <w:rFonts w:ascii="Times New Roman" w:cs="Times New Roman" w:eastAsia="Times New Roman" w:hAnsi="Times New Roman"/>
          <w:sz w:val="17"/>
          <w:szCs w:val="17"/>
          <w:color w:val="auto"/>
        </w:rPr>
        <w:t>. The maximum number of Shares that may be granted pursuant to Awards under this Plan shall be 8,250,000 Shares (which amount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includes, for the avoidance of doubt the number of Shares subject to outstanding awards and otherwise available for issuance under the Prior Plan). The maximum number of Shares that may be granted pursuant to Stock Options intended to be Incentive Stock Options shall be 6,000,000 Shares. Shares subject to an Award under this Plan may be authorized and unissued Shares.</w:t>
      </w:r>
    </w:p>
    <w:p>
      <w:pPr>
        <w:spacing w:after="0" w:line="187" w:lineRule="exact"/>
        <w:rPr>
          <w:rFonts w:ascii="Times New Roman" w:cs="Times New Roman" w:eastAsia="Times New Roman" w:hAnsi="Times New Roman"/>
          <w:sz w:val="17"/>
          <w:szCs w:val="17"/>
          <w:i w:val="1"/>
          <w:iCs w:val="1"/>
          <w:color w:val="auto"/>
        </w:rPr>
      </w:pPr>
    </w:p>
    <w:p>
      <w:pPr>
        <w:ind w:left="1000" w:hanging="376"/>
        <w:spacing w:after="0"/>
        <w:tabs>
          <w:tab w:leader="none" w:pos="1000" w:val="left"/>
        </w:tabs>
        <w:numPr>
          <w:ilvl w:val="0"/>
          <w:numId w:val="8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Individual Limits</w:t>
      </w:r>
      <w:r>
        <w:rPr>
          <w:rFonts w:ascii="Times New Roman" w:cs="Times New Roman" w:eastAsia="Times New Roman" w:hAnsi="Times New Roman"/>
          <w:sz w:val="17"/>
          <w:szCs w:val="17"/>
          <w:color w:val="auto"/>
        </w:rPr>
        <w:t>.</w:t>
      </w:r>
    </w:p>
    <w:p>
      <w:pPr>
        <w:spacing w:after="0" w:line="272" w:lineRule="exact"/>
        <w:rPr>
          <w:rFonts w:ascii="Times New Roman" w:cs="Times New Roman" w:eastAsia="Times New Roman" w:hAnsi="Times New Roman"/>
          <w:sz w:val="17"/>
          <w:szCs w:val="17"/>
          <w:i w:val="1"/>
          <w:iCs w:val="1"/>
          <w:color w:val="auto"/>
        </w:rPr>
      </w:pPr>
    </w:p>
    <w:p>
      <w:pPr>
        <w:jc w:val="both"/>
        <w:ind w:left="1240" w:firstLine="5"/>
        <w:spacing w:after="0" w:line="288" w:lineRule="auto"/>
        <w:tabs>
          <w:tab w:leader="none" w:pos="1695"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Participant may be granted Performance Units (other than Stock Options and Stock Appreciation Rights) covering in excess of 1,000,000 Shares during any calendar year. No Participant may be granted Stock Options and Stock Appreciation Rights covering in excess of 1,000,000 Shares during any calendar year.</w:t>
      </w:r>
    </w:p>
    <w:p>
      <w:pPr>
        <w:spacing w:after="0" w:line="201" w:lineRule="exact"/>
        <w:rPr>
          <w:rFonts w:ascii="Times New Roman" w:cs="Times New Roman" w:eastAsia="Times New Roman" w:hAnsi="Times New Roman"/>
          <w:sz w:val="17"/>
          <w:szCs w:val="17"/>
          <w:color w:val="auto"/>
        </w:rPr>
      </w:pPr>
    </w:p>
    <w:p>
      <w:pPr>
        <w:jc w:val="both"/>
        <w:ind w:left="1240" w:firstLine="5"/>
        <w:spacing w:after="0" w:line="283" w:lineRule="auto"/>
        <w:tabs>
          <w:tab w:leader="none" w:pos="1675"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given calendar year, no Participant who is a non-employee member of the Board may be granted Awards (other than Cash-Based Awards) with a value in excess of $600,000 in respect of such Board service. For purposes of this Section 3(b)(ii), the value of an Option or Stock Appreciation right shall be determined in accordance with the Black-Scholes or other pricing model used to determine Option values in the Company’s most recent report on Form 10-K and the value of any Award of Restricted Stock, Restricted Stock Units or Performance Units or Other Stock-Based Awards shall be determined based on the Fair Market Value of the underlying Shares on the grant date of the Award.</w:t>
      </w:r>
    </w:p>
    <w:p>
      <w:pPr>
        <w:spacing w:after="0" w:line="190" w:lineRule="exact"/>
        <w:rPr>
          <w:rFonts w:ascii="Times New Roman" w:cs="Times New Roman" w:eastAsia="Times New Roman" w:hAnsi="Times New Roman"/>
          <w:sz w:val="17"/>
          <w:szCs w:val="17"/>
          <w:color w:val="auto"/>
        </w:rPr>
      </w:pPr>
    </w:p>
    <w:p>
      <w:pPr>
        <w:jc w:val="both"/>
        <w:ind w:firstLine="624"/>
        <w:spacing w:after="0" w:line="288" w:lineRule="auto"/>
        <w:tabs>
          <w:tab w:leader="none" w:pos="1025" w:val="left"/>
        </w:tabs>
        <w:numPr>
          <w:ilvl w:val="0"/>
          <w:numId w:val="8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Rules for Calculating Shares Delivered. </w:t>
      </w:r>
      <w:r>
        <w:rPr>
          <w:rFonts w:ascii="Times New Roman" w:cs="Times New Roman" w:eastAsia="Times New Roman" w:hAnsi="Times New Roman"/>
          <w:sz w:val="17"/>
          <w:szCs w:val="17"/>
          <w:color w:val="auto"/>
        </w:rPr>
        <w:t>To the extent that any Award is forfeited, terminates, expires or lapses instead of being exercised, or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is settled for cash, the Shares subject to such Awards not delivered as a result thereof shall again be available for Awards under this Plan. If the tax withholding obligations relating to any Award are satisfied by delivering Shares (either actually or through a signed document affirming the Participant’s ownership and delivery of such Shares) or withholding Shares relating to such Award, the net number of Shares subject to the Award after payment of</w:t>
      </w:r>
    </w:p>
    <w:p>
      <w:pPr>
        <w:sectPr>
          <w:pgSz w:w="11900" w:h="16838" w:orient="portrait"/>
          <w:cols w:equalWidth="0" w:num="1">
            <w:col w:w="11240"/>
          </w:cols>
          <w:pgMar w:left="320" w:top="114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the tax withholding obligations shall be deemed to have been granted for purposes of the first sentence of Section 3(a), and the number of Shares delivered or withheld to satisfy the tax withholding obligations shall again be available for Awards under the Plan. If any Shares subject to a Stock Option or Stock Appreciation Right are not delivered to a Participant because the Stock Option or Stock Appreciation Right is exercised through a reduction of Shares subject to the Award (i.e., “net exercised”), the number of Shares that are not delivered to the Participant shall no longer be available for issuance under the Plan. If any Shares are reacquired by the Company as consideration for the exercise of a Stock Option or a Stock Appreciation Right, such Shares shall no longer be available for issuance under the Plan.</w:t>
      </w:r>
    </w:p>
    <w:p>
      <w:pPr>
        <w:spacing w:after="0" w:line="208" w:lineRule="exact"/>
        <w:rPr>
          <w:sz w:val="20"/>
          <w:szCs w:val="20"/>
          <w:color w:val="auto"/>
        </w:rPr>
      </w:pPr>
    </w:p>
    <w:p>
      <w:pPr>
        <w:ind w:left="1000" w:hanging="376"/>
        <w:spacing w:after="0"/>
        <w:tabs>
          <w:tab w:leader="none" w:pos="1000" w:val="left"/>
        </w:tabs>
        <w:numPr>
          <w:ilvl w:val="0"/>
          <w:numId w:val="8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Adjustment Provisions</w:t>
      </w:r>
      <w:r>
        <w:rPr>
          <w:rFonts w:ascii="Times New Roman" w:cs="Times New Roman" w:eastAsia="Times New Roman" w:hAnsi="Times New Roman"/>
          <w:sz w:val="17"/>
          <w:szCs w:val="17"/>
          <w:color w:val="auto"/>
        </w:rPr>
        <w:t>.</w:t>
      </w:r>
    </w:p>
    <w:p>
      <w:pPr>
        <w:spacing w:after="0" w:line="259" w:lineRule="exact"/>
        <w:rPr>
          <w:rFonts w:ascii="Times New Roman" w:cs="Times New Roman" w:eastAsia="Times New Roman" w:hAnsi="Times New Roman"/>
          <w:sz w:val="17"/>
          <w:szCs w:val="17"/>
          <w:i w:val="1"/>
          <w:iCs w:val="1"/>
          <w:color w:val="auto"/>
        </w:rPr>
      </w:pPr>
    </w:p>
    <w:p>
      <w:pPr>
        <w:jc w:val="both"/>
        <w:ind w:left="1240" w:firstLine="5"/>
        <w:spacing w:after="0" w:line="279" w:lineRule="auto"/>
        <w:tabs>
          <w:tab w:leader="none" w:pos="1598"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merger, consolidation, acquisition of property or shares, stock rights offering, liquidation, disposition for consideration of the Company’s direct or indirect ownership of a Subsidiary or Affiliate (including by reason of a Disaffiliation), or similar event affecting the Company or any of its Subsidiaries (each, a “</w:t>
      </w:r>
      <w:r>
        <w:rPr>
          <w:rFonts w:ascii="Times New Roman" w:cs="Times New Roman" w:eastAsia="Times New Roman" w:hAnsi="Times New Roman"/>
          <w:sz w:val="17"/>
          <w:szCs w:val="17"/>
          <w:u w:val="single" w:color="auto"/>
          <w:color w:val="auto"/>
        </w:rPr>
        <w:t>Corporate Transaction</w:t>
      </w:r>
      <w:r>
        <w:rPr>
          <w:rFonts w:ascii="Times New Roman" w:cs="Times New Roman" w:eastAsia="Times New Roman" w:hAnsi="Times New Roman"/>
          <w:sz w:val="17"/>
          <w:szCs w:val="17"/>
          <w:color w:val="auto"/>
        </w:rPr>
        <w:t>”), the Committee or the Board may in its discretion make such substitutions or adjustments as it deems appropriate and equitable to (i) the aggregate number and kind of Shares or other securities reserved for issuance and delivery under this Plan, (ii) the various maximum limitations set forth in Sections 3(a) and 3(b) upon certain types of Awards and upon the grants to individuals of certain types of Awards, (iii) the number of Shares considered delivered based on the type of Award granted as set forth in Section 3(c), (iv) the number and kind of Shares or other securities subject to outstanding Awards; (v) the Performance Goals applicable to outstanding Awards; and (vi) the exercise price of outstanding Awards.</w:t>
      </w:r>
    </w:p>
    <w:p>
      <w:pPr>
        <w:spacing w:after="0" w:line="212" w:lineRule="exact"/>
        <w:rPr>
          <w:rFonts w:ascii="Times New Roman" w:cs="Times New Roman" w:eastAsia="Times New Roman" w:hAnsi="Times New Roman"/>
          <w:sz w:val="17"/>
          <w:szCs w:val="17"/>
          <w:color w:val="auto"/>
        </w:rPr>
      </w:pPr>
    </w:p>
    <w:p>
      <w:pPr>
        <w:jc w:val="both"/>
        <w:ind w:left="1240" w:firstLine="5"/>
        <w:spacing w:after="0" w:line="281" w:lineRule="auto"/>
        <w:tabs>
          <w:tab w:leader="none" w:pos="1697"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stock dividend, stock split, reverse stock split, reorganization, share combination, or recapitalization or similar event affecting the capital structure of the Company, or a Disaffiliation, separation or spinoff, in each case without consideration, or other extraordinary dividend of cash or other property to the Company’s shareholders, the Committee or the Board shall make such substitutions or adjustments as it deems appropriate and equitable to (A) the aggregate number and kind of Shares or other securities reserved for issuance and delivery under this Plan, (B) the various maximum limitations set forth in Sections 3(a) and 3(b) upon certain types of Awards and upon the grants to individuals of certain types of Awards, (C) the number and kind of Shares or other securities subject to outstanding Awards; (D) the Performance Goals applicable to outstanding Awards; and (E) the exercise price of outstanding Awards.</w:t>
      </w:r>
    </w:p>
    <w:p>
      <w:pPr>
        <w:spacing w:after="0" w:line="195" w:lineRule="exact"/>
        <w:rPr>
          <w:rFonts w:ascii="Times New Roman" w:cs="Times New Roman" w:eastAsia="Times New Roman" w:hAnsi="Times New Roman"/>
          <w:sz w:val="17"/>
          <w:szCs w:val="17"/>
          <w:color w:val="auto"/>
        </w:rPr>
      </w:pPr>
    </w:p>
    <w:p>
      <w:pPr>
        <w:jc w:val="both"/>
        <w:ind w:left="1240" w:firstLine="5"/>
        <w:spacing w:after="0" w:line="278" w:lineRule="auto"/>
        <w:tabs>
          <w:tab w:leader="none" w:pos="1727"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Corporate Transactions, such adjustments may include, without limitation, (1)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shareholders of Common Stock receive consideration other than publicly traded equity securities of the ultimate surviving entity, any such determination by the Committee that the value of a Stock Option or Stock Appreciation Right shall for this purpose be deemed to equal the excess, if any, of the value (as determined by the Board) of the consideration being paid for each Share pursuant to such Corporate Transaction over the exercise price of such Stock Option or Stock Appreciation Right shall conclusively be deemed valid); (2) the substitution of other property (including, without limitation, cash or other securities of the Company and securities of entities other than the Company) for the Shares subject to outstanding Awards; and (3)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 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w:t>
      </w:r>
    </w:p>
    <w:p>
      <w:pPr>
        <w:sectPr>
          <w:pgSz w:w="11900" w:h="16838" w:orient="portrait"/>
          <w:cols w:equalWidth="0" w:num="1">
            <w:col w:w="11240"/>
          </w:cols>
          <w:pgMar w:left="320" w:top="339" w:right="339" w:bottom="1440" w:gutter="0" w:footer="0" w:header="0"/>
        </w:sectPr>
      </w:pPr>
    </w:p>
    <w:bookmarkStart w:id="146" w:name="page147"/>
    <w:bookmarkEnd w:id="146"/>
    <w:p>
      <w:pPr>
        <w:ind w:left="1240"/>
        <w:spacing w:after="0" w:line="307" w:lineRule="auto"/>
        <w:rPr>
          <w:sz w:val="20"/>
          <w:szCs w:val="20"/>
          <w:color w:val="auto"/>
        </w:rPr>
      </w:pPr>
      <w:r>
        <w:rPr>
          <w:rFonts w:ascii="Times New Roman" w:cs="Times New Roman" w:eastAsia="Times New Roman" w:hAnsi="Times New Roman"/>
          <w:sz w:val="17"/>
          <w:szCs w:val="17"/>
          <w:color w:val="auto"/>
        </w:rPr>
        <w:t>identified in the Company’s financial statements, notes to the financial statements, management’s discussion and analysis or other the Company’s filings with the Commission.</w:t>
      </w:r>
    </w:p>
    <w:p>
      <w:pPr>
        <w:spacing w:after="0" w:line="173" w:lineRule="exact"/>
        <w:rPr>
          <w:sz w:val="20"/>
          <w:szCs w:val="20"/>
          <w:color w:val="auto"/>
        </w:rPr>
      </w:pPr>
    </w:p>
    <w:p>
      <w:pPr>
        <w:ind w:left="1660" w:hanging="415"/>
        <w:spacing w:after="0"/>
        <w:tabs>
          <w:tab w:leader="none" w:pos="16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adjustments made pursuant to this Section 3(d) to Awards that are considered “deferred compensation” within the meaning of Section</w:t>
      </w:r>
    </w:p>
    <w:p>
      <w:pPr>
        <w:spacing w:after="0" w:line="37" w:lineRule="exact"/>
        <w:rPr>
          <w:rFonts w:ascii="Times New Roman" w:cs="Times New Roman" w:eastAsia="Times New Roman" w:hAnsi="Times New Roman"/>
          <w:sz w:val="17"/>
          <w:szCs w:val="17"/>
          <w:color w:val="auto"/>
        </w:rPr>
      </w:pPr>
    </w:p>
    <w:p>
      <w:pPr>
        <w:jc w:val="both"/>
        <w:ind w:left="124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409A of the Code shall be made in compliance with the requirements of Section 409A of the Code; and (ii) any adjustments made pursuant to Section 3(d) to Awards that are not considered “deferred compensation” subject to Section 409A of the Code shall be made in such a manner as to ensure that after such adjustments, either (A) the Awards continue not to be subject to Section 409A of the Code or (B) there does not result in the imposition of any penalty taxes under Section 409A of the Code in respect of such Awards.</w:t>
      </w:r>
    </w:p>
    <w:p>
      <w:pPr>
        <w:spacing w:after="0" w:line="190" w:lineRule="exact"/>
        <w:rPr>
          <w:rFonts w:ascii="Times New Roman" w:cs="Times New Roman" w:eastAsia="Times New Roman" w:hAnsi="Times New Roman"/>
          <w:sz w:val="17"/>
          <w:szCs w:val="17"/>
          <w:color w:val="auto"/>
        </w:rPr>
      </w:pPr>
    </w:p>
    <w:p>
      <w:pPr>
        <w:ind w:left="1600" w:hanging="355"/>
        <w:spacing w:after="0"/>
        <w:tabs>
          <w:tab w:leader="none" w:pos="16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adjustment under this Section 3(d) need not be the same for all Participants.</w:t>
      </w:r>
    </w:p>
    <w:p>
      <w:pPr>
        <w:spacing w:after="0" w:line="25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Section 4.</w:t>
      </w:r>
      <w:r>
        <w:rPr>
          <w:sz w:val="20"/>
          <w:szCs w:val="20"/>
          <w:color w:val="auto"/>
        </w:rPr>
        <w:tab/>
      </w:r>
      <w:r>
        <w:rPr>
          <w:rFonts w:ascii="Times New Roman" w:cs="Times New Roman" w:eastAsia="Times New Roman" w:hAnsi="Times New Roman"/>
          <w:sz w:val="16"/>
          <w:szCs w:val="16"/>
          <w:b w:val="1"/>
          <w:bCs w:val="1"/>
          <w:color w:val="auto"/>
        </w:rPr>
        <w:t>Awards</w:t>
      </w:r>
    </w:p>
    <w:p>
      <w:pPr>
        <w:spacing w:after="0" w:line="270" w:lineRule="exact"/>
        <w:rPr>
          <w:sz w:val="20"/>
          <w:szCs w:val="20"/>
          <w:color w:val="auto"/>
        </w:rPr>
      </w:pPr>
    </w:p>
    <w:p>
      <w:pPr>
        <w:ind w:left="1000" w:hanging="376"/>
        <w:spacing w:after="0"/>
        <w:tabs>
          <w:tab w:leader="none" w:pos="1000" w:val="left"/>
        </w:tabs>
        <w:numPr>
          <w:ilvl w:val="0"/>
          <w:numId w:val="8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Awards may be granted under this Plan to Eligible Individuals;</w:t>
      </w:r>
      <w:r>
        <w:rPr>
          <w:rFonts w:ascii="Times New Roman" w:cs="Times New Roman" w:eastAsia="Times New Roman" w:hAnsi="Times New Roman"/>
          <w:sz w:val="17"/>
          <w:szCs w:val="17"/>
          <w:i w:val="1"/>
          <w:iCs w:val="1"/>
          <w:color w:val="auto"/>
        </w:rPr>
        <w:t xml:space="preserve"> 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Incentive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Options may be granted only to employees of the Company and its subsidiaries or parent corporation (within the meaning of Section 424(f) of the Code).</w:t>
      </w:r>
    </w:p>
    <w:p>
      <w:pPr>
        <w:spacing w:after="0" w:line="250" w:lineRule="exact"/>
        <w:rPr>
          <w:sz w:val="20"/>
          <w:szCs w:val="20"/>
          <w:color w:val="auto"/>
        </w:rPr>
      </w:pPr>
    </w:p>
    <w:p>
      <w:pPr>
        <w:ind w:left="1000" w:hanging="376"/>
        <w:spacing w:after="0"/>
        <w:tabs>
          <w:tab w:leader="none" w:pos="1000" w:val="left"/>
        </w:tabs>
        <w:numPr>
          <w:ilvl w:val="0"/>
          <w:numId w:val="9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Vesting</w:t>
      </w:r>
      <w:r>
        <w:rPr>
          <w:rFonts w:ascii="Times New Roman" w:cs="Times New Roman" w:eastAsia="Times New Roman" w:hAnsi="Times New Roman"/>
          <w:sz w:val="17"/>
          <w:szCs w:val="17"/>
          <w:color w:val="auto"/>
        </w:rPr>
        <w:t>. Notwithstanding anything contained in this Plan to the contrary, Awards granted under the Plan (i)</w:t>
      </w:r>
    </w:p>
    <w:p>
      <w:pPr>
        <w:spacing w:after="0" w:line="3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 xml:space="preserve">that vest based upon the continued service of the applicable Participant shall vest over a minimum service period of one year and (ii) that vest based on the attainment of Performance Goals shall vest over a minimum Performance Period of one year;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(x) the Committee may, in its discretion, determine that such restrictions may lapse (in whole or in part) in the event of a Participant’s death or disability or other termination of employment or services or upon a Change in Control and (y) up to 5% of the total number of Shares reserved for issuance under the Plan pursuant to Section 3(a) may be subject to Awards granted after the Restatement Effective Date which do not meet the preceding vesting or acceleration limitations.</w:t>
      </w:r>
    </w:p>
    <w:p>
      <w:pPr>
        <w:spacing w:after="0" w:line="191" w:lineRule="exact"/>
        <w:rPr>
          <w:sz w:val="20"/>
          <w:szCs w:val="20"/>
          <w:color w:val="auto"/>
        </w:rPr>
      </w:pPr>
    </w:p>
    <w:p>
      <w:pPr>
        <w:jc w:val="both"/>
        <w:ind w:firstLine="624"/>
        <w:spacing w:after="0" w:line="288" w:lineRule="auto"/>
        <w:tabs>
          <w:tab w:leader="none" w:pos="998" w:val="left"/>
        </w:tabs>
        <w:numPr>
          <w:ilvl w:val="0"/>
          <w:numId w:val="9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Notwithstanding anything contained in this Plan to the contrary, no dividends (whether payable in cash or Common Stock) shall be paid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 respect of an Award of Restricted Stock, Restricted Stock Units or Performance Units or Other Stock-Based Awards until the restrictions and risks of forfeiture applicable to the underlying Award (or portion thereof) have lapsed;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Committee may, in its sole discretion, provide that any such dividends may be accumulated and paid upon the date on which such restrictions or risks of forfeiture have lapsed in respect of the associated Award.</w:t>
      </w:r>
    </w:p>
    <w:p>
      <w:pPr>
        <w:spacing w:after="0" w:line="20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Section 5.</w:t>
        <w:tab/>
        <w:t>Stock Options and Stock Appreciation Rights</w:t>
      </w:r>
    </w:p>
    <w:p>
      <w:pPr>
        <w:spacing w:after="0" w:line="257" w:lineRule="exact"/>
        <w:rPr>
          <w:sz w:val="20"/>
          <w:szCs w:val="20"/>
          <w:color w:val="auto"/>
        </w:rPr>
      </w:pPr>
    </w:p>
    <w:p>
      <w:pPr>
        <w:jc w:val="both"/>
        <w:ind w:firstLine="624"/>
        <w:spacing w:after="0" w:line="297" w:lineRule="auto"/>
        <w:tabs>
          <w:tab w:leader="none" w:pos="1068" w:val="left"/>
        </w:tabs>
        <w:numPr>
          <w:ilvl w:val="0"/>
          <w:numId w:val="9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Types of Stock Options</w:t>
      </w:r>
      <w:r>
        <w:rPr>
          <w:rFonts w:ascii="Times New Roman" w:cs="Times New Roman" w:eastAsia="Times New Roman" w:hAnsi="Times New Roman"/>
          <w:sz w:val="17"/>
          <w:szCs w:val="17"/>
          <w:color w:val="auto"/>
        </w:rPr>
        <w:t>. Stock Options may be granted alone or in addition to other Awards granted under this Plan and may be of two types: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Incentive Stock Options and Nonqualified Stock Options. The Award Agreement for a Stock Option shall indicate whether the Stock Option is intended to be an Incentive Stock Option or a Nonqualified Stock Option.</w:t>
      </w:r>
    </w:p>
    <w:p>
      <w:pPr>
        <w:spacing w:after="0" w:line="179" w:lineRule="exact"/>
        <w:rPr>
          <w:rFonts w:ascii="Times New Roman" w:cs="Times New Roman" w:eastAsia="Times New Roman" w:hAnsi="Times New Roman"/>
          <w:sz w:val="17"/>
          <w:szCs w:val="17"/>
          <w:i w:val="1"/>
          <w:iCs w:val="1"/>
          <w:color w:val="auto"/>
        </w:rPr>
      </w:pPr>
    </w:p>
    <w:p>
      <w:pPr>
        <w:jc w:val="both"/>
        <w:ind w:firstLine="624"/>
        <w:spacing w:after="0" w:line="284" w:lineRule="auto"/>
        <w:tabs>
          <w:tab w:leader="none" w:pos="1010" w:val="left"/>
        </w:tabs>
        <w:numPr>
          <w:ilvl w:val="0"/>
          <w:numId w:val="9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Types and Nature of Stock Appreciation Rights</w:t>
      </w:r>
      <w:r>
        <w:rPr>
          <w:rFonts w:ascii="Times New Roman" w:cs="Times New Roman" w:eastAsia="Times New Roman" w:hAnsi="Times New Roman"/>
          <w:sz w:val="17"/>
          <w:szCs w:val="17"/>
          <w:color w:val="auto"/>
        </w:rPr>
        <w:t>. Stock Appreciation Rights may be “Tandem SARs,” which are granted in conjunction with a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 or “Free-Standing SARs,” which are not granted in conjunction with a Stock Option. Upon the exercise of a Stock Appreciation Right, the Participant shall be entitled to receive an amount in cash, Shares, or both, in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both, or shall reserve to the Committee or the Participant the right to make that determination prior to or upon the exercise of the Stock Appreciation Right.</w:t>
      </w:r>
    </w:p>
    <w:p>
      <w:pPr>
        <w:sectPr>
          <w:pgSz w:w="11900" w:h="16838" w:orient="portrait"/>
          <w:cols w:equalWidth="0" w:num="1">
            <w:col w:w="11240"/>
          </w:cols>
          <w:pgMar w:left="320" w:top="114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24"/>
        <w:spacing w:after="0" w:line="288" w:lineRule="auto"/>
        <w:tabs>
          <w:tab w:leader="none" w:pos="995" w:val="left"/>
        </w:tabs>
        <w:numPr>
          <w:ilvl w:val="0"/>
          <w:numId w:val="9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Tandem SARs</w:t>
      </w:r>
      <w:r>
        <w:rPr>
          <w:rFonts w:ascii="Times New Roman" w:cs="Times New Roman" w:eastAsia="Times New Roman" w:hAnsi="Times New Roman"/>
          <w:sz w:val="17"/>
          <w:szCs w:val="17"/>
          <w:color w:val="auto"/>
        </w:rPr>
        <w:t>. A Tandem SAR may be granted at the Grant Date of the related Stock Option. A Tandem SAR shall be exercisable only at such time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times and to the extent that the related Stock Option is exercisable in accordance with the provisions of this Section 5, and shall have the same exercise price as the related Stock Option. A Tandem SAR shall terminate or be forfeited upon the exercise or forfeiture of the related Stock Option, and the related Stock Option shall terminate or be forfeited upon the exercise or forfeiture of the Tandem SAR.</w:t>
      </w:r>
    </w:p>
    <w:p>
      <w:pPr>
        <w:spacing w:after="0" w:line="187" w:lineRule="exact"/>
        <w:rPr>
          <w:rFonts w:ascii="Times New Roman" w:cs="Times New Roman" w:eastAsia="Times New Roman" w:hAnsi="Times New Roman"/>
          <w:sz w:val="17"/>
          <w:szCs w:val="17"/>
          <w:i w:val="1"/>
          <w:iCs w:val="1"/>
          <w:color w:val="auto"/>
        </w:rPr>
      </w:pPr>
    </w:p>
    <w:p>
      <w:pPr>
        <w:jc w:val="both"/>
        <w:ind w:firstLine="624"/>
        <w:spacing w:after="0" w:line="284" w:lineRule="auto"/>
        <w:tabs>
          <w:tab w:leader="none" w:pos="994" w:val="left"/>
        </w:tabs>
        <w:numPr>
          <w:ilvl w:val="0"/>
          <w:numId w:val="9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Exercise Price</w:t>
      </w:r>
      <w:r>
        <w:rPr>
          <w:rFonts w:ascii="Times New Roman" w:cs="Times New Roman" w:eastAsia="Times New Roman" w:hAnsi="Times New Roman"/>
          <w:sz w:val="17"/>
          <w:szCs w:val="17"/>
          <w:color w:val="auto"/>
        </w:rPr>
        <w:t>. The exercise price per Share subject to a Stock Option or Free-Standing SAR shall be determined by the Committee and set forth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applicable Award Agreement, and shall not be less than the Fair Market Value of a share of the Common Stock on the applicable Grant Date. In no event may any Stock Option or Stock Appreciation Right granted under this Plan be amended, other than pursuant to Section 3(d), to decrease the exercise price thereof, be canceled in exchange for cash or other Awards or in conjunction with the grant of any new Stock Option or Free-Standing SAR with a lower exercise price, or otherwise be subject to any action that would be treated, under the Applicable Exchange listing standards or for accounting purposes, as a “repricing” of such Stock Option or Free-Standing SAR, unless such amendment, cancellation, or action is approved by the Company’s shareholders.</w:t>
      </w:r>
    </w:p>
    <w:p>
      <w:pPr>
        <w:spacing w:after="0" w:line="190" w:lineRule="exact"/>
        <w:rPr>
          <w:rFonts w:ascii="Times New Roman" w:cs="Times New Roman" w:eastAsia="Times New Roman" w:hAnsi="Times New Roman"/>
          <w:sz w:val="17"/>
          <w:szCs w:val="17"/>
          <w:i w:val="1"/>
          <w:iCs w:val="1"/>
          <w:color w:val="auto"/>
        </w:rPr>
      </w:pPr>
    </w:p>
    <w:p>
      <w:pPr>
        <w:ind w:firstLine="624"/>
        <w:spacing w:after="0" w:line="309" w:lineRule="auto"/>
        <w:tabs>
          <w:tab w:leader="none" w:pos="1024" w:val="left"/>
        </w:tabs>
        <w:numPr>
          <w:ilvl w:val="0"/>
          <w:numId w:val="9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w:t>
      </w:r>
      <w:r>
        <w:rPr>
          <w:rFonts w:ascii="Times New Roman" w:cs="Times New Roman" w:eastAsia="Times New Roman" w:hAnsi="Times New Roman"/>
          <w:sz w:val="17"/>
          <w:szCs w:val="17"/>
          <w:color w:val="auto"/>
        </w:rPr>
        <w:t>. The Term of each Stock Option and each Free-Standing SAR shall be fixed by the Committee, but no Stock Option or Free-Standing SAR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be exercisable more than 10 years after its Grant Date.</w:t>
      </w:r>
    </w:p>
    <w:p>
      <w:pPr>
        <w:spacing w:after="0" w:line="182" w:lineRule="exact"/>
        <w:rPr>
          <w:rFonts w:ascii="Times New Roman" w:cs="Times New Roman" w:eastAsia="Times New Roman" w:hAnsi="Times New Roman"/>
          <w:sz w:val="17"/>
          <w:szCs w:val="17"/>
          <w:i w:val="1"/>
          <w:iCs w:val="1"/>
          <w:color w:val="auto"/>
        </w:rPr>
      </w:pPr>
    </w:p>
    <w:p>
      <w:pPr>
        <w:ind w:firstLine="624"/>
        <w:spacing w:after="0" w:line="309" w:lineRule="auto"/>
        <w:tabs>
          <w:tab w:leader="none" w:pos="956" w:val="left"/>
        </w:tabs>
        <w:numPr>
          <w:ilvl w:val="0"/>
          <w:numId w:val="9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Exercisability</w:t>
      </w:r>
      <w:r>
        <w:rPr>
          <w:rFonts w:ascii="Times New Roman" w:cs="Times New Roman" w:eastAsia="Times New Roman" w:hAnsi="Times New Roman"/>
          <w:sz w:val="17"/>
          <w:szCs w:val="17"/>
          <w:color w:val="auto"/>
        </w:rPr>
        <w:t>. Except as otherwise provided herein, Stock Options and Free-Standing SARs shall be exercisable at such time or times and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terms and conditions as shall be determined by the Committee.</w:t>
      </w:r>
    </w:p>
    <w:p>
      <w:pPr>
        <w:spacing w:after="0" w:line="169" w:lineRule="exact"/>
        <w:rPr>
          <w:rFonts w:ascii="Times New Roman" w:cs="Times New Roman" w:eastAsia="Times New Roman" w:hAnsi="Times New Roman"/>
          <w:sz w:val="17"/>
          <w:szCs w:val="17"/>
          <w:i w:val="1"/>
          <w:iCs w:val="1"/>
          <w:color w:val="auto"/>
        </w:rPr>
      </w:pPr>
    </w:p>
    <w:p>
      <w:pPr>
        <w:jc w:val="both"/>
        <w:ind w:firstLine="624"/>
        <w:spacing w:after="0" w:line="297" w:lineRule="auto"/>
        <w:tabs>
          <w:tab w:leader="none" w:pos="994" w:val="left"/>
        </w:tabs>
        <w:numPr>
          <w:ilvl w:val="0"/>
          <w:numId w:val="9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Method of Exercise</w:t>
      </w:r>
      <w:r>
        <w:rPr>
          <w:rFonts w:ascii="Times New Roman" w:cs="Times New Roman" w:eastAsia="Times New Roman" w:hAnsi="Times New Roman"/>
          <w:sz w:val="17"/>
          <w:szCs w:val="17"/>
          <w:color w:val="auto"/>
        </w:rPr>
        <w:t>. Subject to the provisions of this Section 5, Stock Options and Free-Standing SARs may be exercised, in whole or in part, at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during the Term thereof by giving written notice of exercise to the Company specifying the number of shares of Common Stock subject to the Stock Option or Free-Standing SAR to be purchased.</w:t>
      </w:r>
    </w:p>
    <w:p>
      <w:pPr>
        <w:spacing w:after="0" w:line="182" w:lineRule="exact"/>
        <w:rPr>
          <w:sz w:val="20"/>
          <w:szCs w:val="20"/>
          <w:color w:val="auto"/>
        </w:rPr>
      </w:pPr>
    </w:p>
    <w:p>
      <w:pPr>
        <w:jc w:val="both"/>
        <w:ind w:firstLine="1242"/>
        <w:spacing w:after="0" w:line="287" w:lineRule="auto"/>
        <w:rPr>
          <w:sz w:val="20"/>
          <w:szCs w:val="20"/>
          <w:color w:val="auto"/>
        </w:rPr>
      </w:pPr>
      <w:r>
        <w:rPr>
          <w:rFonts w:ascii="Times New Roman" w:cs="Times New Roman" w:eastAsia="Times New Roman" w:hAnsi="Times New Roman"/>
          <w:sz w:val="17"/>
          <w:szCs w:val="17"/>
          <w:color w:val="auto"/>
        </w:rPr>
        <w:t>In the case of the exercise of a Stock Option, such notice shall be accompanied by payment in full of the aggregate purchase price (which shall equal the product of such number of Shares subject to such Stock Options multiplied by the applicable exercise price) per Share by certified or bank check, wire transfer, or such other instrument or method as the Company may accept. If provided for in the applicable Award Agreement as approved by the Committee, payment in full or in part may also be made as follows:</w:t>
      </w:r>
    </w:p>
    <w:p>
      <w:pPr>
        <w:spacing w:after="0" w:line="203" w:lineRule="exact"/>
        <w:rPr>
          <w:sz w:val="20"/>
          <w:szCs w:val="20"/>
          <w:color w:val="auto"/>
        </w:rPr>
      </w:pPr>
    </w:p>
    <w:p>
      <w:pPr>
        <w:jc w:val="both"/>
        <w:ind w:left="1240" w:firstLine="5"/>
        <w:spacing w:after="0" w:line="283" w:lineRule="auto"/>
        <w:tabs>
          <w:tab w:leader="none" w:pos="1587"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form of unrestricted Common Stock (by delivery of such shares or by attestation) already owned by the Participant of the same class as the Common Stock subject to the Stock Option (based on the Fair Market Value of the Common Stock on the date the Stock Option is exercised);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the case of an Incentive Stock Option, the Participant shall only have the right to make a payment in the form of already owned shares of Common Stock of the same class as the Common Stock subject to the Stock Option if such right is set forth in the applicable Award Agreement.</w:t>
      </w:r>
    </w:p>
    <w:p>
      <w:pPr>
        <w:spacing w:after="0" w:line="192" w:lineRule="exact"/>
        <w:rPr>
          <w:rFonts w:ascii="Times New Roman" w:cs="Times New Roman" w:eastAsia="Times New Roman" w:hAnsi="Times New Roman"/>
          <w:sz w:val="17"/>
          <w:szCs w:val="17"/>
          <w:color w:val="auto"/>
        </w:rPr>
      </w:pPr>
    </w:p>
    <w:p>
      <w:pPr>
        <w:jc w:val="both"/>
        <w:ind w:left="1240" w:firstLine="5"/>
        <w:spacing w:after="0" w:line="287" w:lineRule="auto"/>
        <w:tabs>
          <w:tab w:leader="none" w:pos="169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applicable law, by delivering a properly executed exercise notice to the Company, together with a copy of irrevocable instructions to a broker to deliver promptly to the Company the amount of sale necessary to pay the purchase price, and, if requested, by the amount of any federal, state, local or foreign withholding taxes. To facilitate the foregoing, the Company may, to the extent permitted by applicable law, enter into agreements for coordinated procedures with one or more brokerage firms.</w:t>
      </w:r>
    </w:p>
    <w:p>
      <w:pPr>
        <w:spacing w:after="0" w:line="203" w:lineRule="exact"/>
        <w:rPr>
          <w:rFonts w:ascii="Times New Roman" w:cs="Times New Roman" w:eastAsia="Times New Roman" w:hAnsi="Times New Roman"/>
          <w:sz w:val="17"/>
          <w:szCs w:val="17"/>
          <w:color w:val="auto"/>
        </w:rPr>
      </w:pPr>
    </w:p>
    <w:p>
      <w:pPr>
        <w:ind w:left="1680" w:hanging="435"/>
        <w:spacing w:after="0"/>
        <w:tabs>
          <w:tab w:leader="none" w:pos="16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instructing the Company to withhold a number of such shares having a Fair Market Value (based</w:t>
      </w:r>
    </w:p>
    <w:p>
      <w:pPr>
        <w:spacing w:after="0" w:line="30"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color w:val="auto"/>
        </w:rPr>
        <w:t>on the Fair Market Value of the Common Stock on the date the applicable Stock Option is exercised) equal to the product of (A) the exercise price per Share multiplied by (B) the number of shares of Common Stock in respect of which the Stock Option shall have been exercised.</w:t>
      </w:r>
    </w:p>
    <w:p>
      <w:pPr>
        <w:spacing w:after="0" w:line="191" w:lineRule="exact"/>
        <w:rPr>
          <w:sz w:val="20"/>
          <w:szCs w:val="20"/>
          <w:color w:val="auto"/>
        </w:rPr>
      </w:pPr>
    </w:p>
    <w:p>
      <w:pPr>
        <w:jc w:val="both"/>
        <w:ind w:firstLine="624"/>
        <w:spacing w:after="0" w:line="289" w:lineRule="auto"/>
        <w:tabs>
          <w:tab w:leader="none" w:pos="1068" w:val="left"/>
        </w:tabs>
        <w:numPr>
          <w:ilvl w:val="0"/>
          <w:numId w:val="9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Delivery; Rights of Shareholders</w:t>
      </w:r>
      <w:r>
        <w:rPr>
          <w:rFonts w:ascii="Times New Roman" w:cs="Times New Roman" w:eastAsia="Times New Roman" w:hAnsi="Times New Roman"/>
          <w:sz w:val="17"/>
          <w:szCs w:val="17"/>
          <w:color w:val="auto"/>
        </w:rPr>
        <w:t>. A Participant shall not be entitled to delivery of Shares pursuant to the exercise of a Stock Option or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Appreciation Right until the exercise price therefor has been fully paid and applicable taxes have been withheld. Except as otherwise provided in Section 5(l), a Participant shall have all of the rights of a shareholder of</w:t>
      </w:r>
    </w:p>
    <w:p>
      <w:pPr>
        <w:sectPr>
          <w:pgSz w:w="11900" w:h="16838" w:orient="portrait"/>
          <w:cols w:equalWidth="0" w:num="1">
            <w:col w:w="11240"/>
          </w:cols>
          <w:pgMar w:left="320" w:top="339" w:right="339" w:bottom="1440" w:gutter="0" w:footer="0" w:header="0"/>
        </w:sectPr>
      </w:pPr>
    </w:p>
    <w:bookmarkStart w:id="148" w:name="page149"/>
    <w:bookmarkEnd w:id="148"/>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holding the class or series of Common Stock that is subject to such Stock Option or Stock Appreciation Right (including, if applicable, the right to vote the applicable Shares), when the Participant (i) has given written notice of exercise, (ii) if requested, has given the representation described in Section 15(a) and (iii) in the case of a Stock Option, has paid in full for such Shares.</w:t>
      </w:r>
    </w:p>
    <w:p>
      <w:pPr>
        <w:spacing w:after="0" w:line="200" w:lineRule="exact"/>
        <w:rPr>
          <w:sz w:val="20"/>
          <w:szCs w:val="20"/>
          <w:color w:val="auto"/>
        </w:rPr>
      </w:pPr>
    </w:p>
    <w:p>
      <w:pPr>
        <w:jc w:val="both"/>
        <w:ind w:firstLine="624"/>
        <w:spacing w:after="0" w:line="280" w:lineRule="auto"/>
        <w:tabs>
          <w:tab w:leader="none" w:pos="1003" w:val="left"/>
        </w:tabs>
        <w:numPr>
          <w:ilvl w:val="0"/>
          <w:numId w:val="9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Nontransferability of Stock Options and Stock Appreciation Rights</w:t>
      </w:r>
      <w:r>
        <w:rPr>
          <w:rFonts w:ascii="Times New Roman" w:cs="Times New Roman" w:eastAsia="Times New Roman" w:hAnsi="Times New Roman"/>
          <w:sz w:val="17"/>
          <w:szCs w:val="17"/>
          <w:color w:val="auto"/>
        </w:rPr>
        <w:t>. No Stock Option or Free-Standing SAR shall be transferable by a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other than, for no value or consideration, (i) by will or by the laws of descent and distribution; or (ii) in the case of a Nonqualified Stock Option or Free-Standing SAR, as otherwise expressly permitted by the Committee including, if so permitted, pursuant to a transfer to such Participant’s family members, whether directly or indirectly or by means of a trust or partnership or otherwise (for purposes of this Plan, unless otherwise determined by the Committee, “family member” shall have the meaning given to such term in General Instructions A.1(a)(5) to Form S-8 under the Securities Act of 1933, as amended, and any successor thereto). A Tandem SAR shall be transferable only with the related Stock Option as permitted by the preceding sentence. Any Stock Option or Stock Appreciation Right shall be exercisable, subject to the terms of this Plan, only by the Participant, the guardian or legal representative of the Participant, or any person to whom such Stock Option is transferred pursuant to this Section 5(i), it being understood that the term “holder” and “Participant” include such guardian, legal representative and other transferee;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term “Termination of Employment” shall continue to refer to the Termination of Employment of the original Participant.</w:t>
      </w:r>
    </w:p>
    <w:p>
      <w:pPr>
        <w:spacing w:after="0" w:line="200" w:lineRule="exact"/>
        <w:rPr>
          <w:rFonts w:ascii="Times New Roman" w:cs="Times New Roman" w:eastAsia="Times New Roman" w:hAnsi="Times New Roman"/>
          <w:sz w:val="17"/>
          <w:szCs w:val="17"/>
          <w:i w:val="1"/>
          <w:iCs w:val="1"/>
          <w:color w:val="auto"/>
        </w:rPr>
      </w:pPr>
    </w:p>
    <w:p>
      <w:pPr>
        <w:spacing w:after="0" w:line="218" w:lineRule="exact"/>
        <w:rPr>
          <w:rFonts w:ascii="Times New Roman" w:cs="Times New Roman" w:eastAsia="Times New Roman" w:hAnsi="Times New Roman"/>
          <w:sz w:val="17"/>
          <w:szCs w:val="17"/>
          <w:i w:val="1"/>
          <w:iCs w:val="1"/>
          <w:color w:val="auto"/>
        </w:rPr>
      </w:pPr>
    </w:p>
    <w:p>
      <w:pPr>
        <w:ind w:firstLine="624"/>
        <w:spacing w:after="0" w:line="309" w:lineRule="auto"/>
        <w:tabs>
          <w:tab w:leader="none" w:pos="991" w:val="left"/>
        </w:tabs>
        <w:numPr>
          <w:ilvl w:val="0"/>
          <w:numId w:val="9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of Employment</w:t>
      </w:r>
      <w:r>
        <w:rPr>
          <w:rFonts w:ascii="Times New Roman" w:cs="Times New Roman" w:eastAsia="Times New Roman" w:hAnsi="Times New Roman"/>
          <w:sz w:val="17"/>
          <w:szCs w:val="17"/>
          <w:color w:val="auto"/>
        </w:rPr>
        <w:t>. Unless otherwise determined by the Committee or provided in the applicable Award Agreement, upon a Participant’s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Termination or Employment, his or her Stock Options and Stock Appreciation Rights shall be treated as set forth below:</w:t>
      </w:r>
    </w:p>
    <w:p>
      <w:pPr>
        <w:spacing w:after="0" w:line="182" w:lineRule="exact"/>
        <w:rPr>
          <w:rFonts w:ascii="Times New Roman" w:cs="Times New Roman" w:eastAsia="Times New Roman" w:hAnsi="Times New Roman"/>
          <w:sz w:val="17"/>
          <w:szCs w:val="17"/>
          <w:i w:val="1"/>
          <w:iCs w:val="1"/>
          <w:color w:val="auto"/>
        </w:rPr>
      </w:pPr>
    </w:p>
    <w:p>
      <w:pPr>
        <w:jc w:val="both"/>
        <w:ind w:left="1240" w:firstLine="5"/>
        <w:spacing w:after="0" w:line="283" w:lineRule="auto"/>
        <w:tabs>
          <w:tab w:leader="none" w:pos="1653" w:val="left"/>
        </w:tabs>
        <w:numPr>
          <w:ilvl w:val="1"/>
          <w:numId w:val="9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by Reason of Death</w:t>
      </w:r>
      <w:r>
        <w:rPr>
          <w:rFonts w:ascii="Times New Roman" w:cs="Times New Roman" w:eastAsia="Times New Roman" w:hAnsi="Times New Roman"/>
          <w:sz w:val="17"/>
          <w:szCs w:val="17"/>
          <w:color w:val="auto"/>
        </w:rPr>
        <w:t>. If a Participant incurs a Termination of Employment by reason of death, any Stock Option or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Appreciation Right held by such Participant shall immediately vest in full and may thereafter be exercised until the earlier of (A) the third anniversary of such Participant’s Termination of Employment and (B) the expiration of the stated full Term thereof. In the event of Termination of Employment by reason of death, if an Incentive Stock Option is exercised after the expiration of the post-termination exercise periods that apply for purposes of Section 422 of the Code, such Stock Option will thereafter be treated as a Nonqualified Stock Option.</w:t>
      </w:r>
    </w:p>
    <w:p>
      <w:pPr>
        <w:spacing w:after="0" w:line="192" w:lineRule="exact"/>
        <w:rPr>
          <w:rFonts w:ascii="Times New Roman" w:cs="Times New Roman" w:eastAsia="Times New Roman" w:hAnsi="Times New Roman"/>
          <w:sz w:val="17"/>
          <w:szCs w:val="17"/>
          <w:i w:val="1"/>
          <w:iCs w:val="1"/>
          <w:color w:val="auto"/>
        </w:rPr>
      </w:pPr>
    </w:p>
    <w:p>
      <w:pPr>
        <w:jc w:val="both"/>
        <w:ind w:left="1240" w:firstLine="5"/>
        <w:spacing w:after="0" w:line="287" w:lineRule="auto"/>
        <w:tabs>
          <w:tab w:leader="none" w:pos="1675" w:val="left"/>
        </w:tabs>
        <w:numPr>
          <w:ilvl w:val="1"/>
          <w:numId w:val="9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by Reason of Disability</w:t>
      </w:r>
      <w:r>
        <w:rPr>
          <w:rFonts w:ascii="Times New Roman" w:cs="Times New Roman" w:eastAsia="Times New Roman" w:hAnsi="Times New Roman"/>
          <w:sz w:val="17"/>
          <w:szCs w:val="17"/>
          <w:color w:val="auto"/>
        </w:rPr>
        <w:t>. If a Participant incurs a Termination of Employment by reason of Disability, any Stock Option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Appreciation Right held by such Participant shall immediately vest in full and may thereafter be exercised until the earlier of (A) the third anniversary of such Participant’s Termination of Employment and (B) the expiration of the stated full Term thereof. In the event of Termination of Employment by reason of Disability, if an Incentive Stock Option is exercised after the expiration of the exercise periods that apply for purposes of Section 422 of the Code, such Stock Option will thereafter be treated as a Nonqualified Stock Option.</w:t>
      </w:r>
    </w:p>
    <w:p>
      <w:pPr>
        <w:spacing w:after="0" w:line="189" w:lineRule="exact"/>
        <w:rPr>
          <w:rFonts w:ascii="Times New Roman" w:cs="Times New Roman" w:eastAsia="Times New Roman" w:hAnsi="Times New Roman"/>
          <w:sz w:val="17"/>
          <w:szCs w:val="17"/>
          <w:i w:val="1"/>
          <w:iCs w:val="1"/>
          <w:color w:val="auto"/>
        </w:rPr>
      </w:pPr>
    </w:p>
    <w:p>
      <w:pPr>
        <w:ind w:left="1240" w:firstLine="5"/>
        <w:spacing w:after="0" w:line="309" w:lineRule="auto"/>
        <w:tabs>
          <w:tab w:leader="none" w:pos="1728" w:val="left"/>
        </w:tabs>
        <w:numPr>
          <w:ilvl w:val="1"/>
          <w:numId w:val="9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by the Company for Cause</w:t>
      </w:r>
      <w:r>
        <w:rPr>
          <w:rFonts w:ascii="Times New Roman" w:cs="Times New Roman" w:eastAsia="Times New Roman" w:hAnsi="Times New Roman"/>
          <w:sz w:val="17"/>
          <w:szCs w:val="17"/>
          <w:color w:val="auto"/>
        </w:rPr>
        <w:t>. If a Participant incurs a Termination of Employment for Cause, any Stock Options and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Appreciation Rights held by such Participant, whether vested or unvested, shall thereupon terminate.</w:t>
      </w:r>
    </w:p>
    <w:p>
      <w:pPr>
        <w:spacing w:after="0" w:line="182" w:lineRule="exact"/>
        <w:rPr>
          <w:rFonts w:ascii="Times New Roman" w:cs="Times New Roman" w:eastAsia="Times New Roman" w:hAnsi="Times New Roman"/>
          <w:sz w:val="17"/>
          <w:szCs w:val="17"/>
          <w:i w:val="1"/>
          <w:iCs w:val="1"/>
          <w:color w:val="auto"/>
        </w:rPr>
      </w:pPr>
    </w:p>
    <w:p>
      <w:pPr>
        <w:jc w:val="both"/>
        <w:ind w:left="1240" w:firstLine="5"/>
        <w:spacing w:after="0" w:line="286" w:lineRule="auto"/>
        <w:tabs>
          <w:tab w:leader="none" w:pos="1714" w:val="left"/>
        </w:tabs>
        <w:numPr>
          <w:ilvl w:val="1"/>
          <w:numId w:val="9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Other Termination</w:t>
      </w:r>
      <w:r>
        <w:rPr>
          <w:rFonts w:ascii="Times New Roman" w:cs="Times New Roman" w:eastAsia="Times New Roman" w:hAnsi="Times New Roman"/>
          <w:sz w:val="17"/>
          <w:szCs w:val="17"/>
          <w:color w:val="auto"/>
        </w:rPr>
        <w:t>. If a Participant incurs a Termination of Employment for any reason other than death, Disability, or for Cause,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except as otherwise set forth in this Section 5(j), any Stock Option or Stock Appreciation Right held by such Participant, to the extent it was then exercisable at the time of termination, or, subject to Section 4(b), on such accelerated basis as the Committee may determine, may be exercised for the lesser of (A) 90 days following the date of such Termination of Employment and (B) the balance of the stated full Term thereof.</w:t>
      </w:r>
    </w:p>
    <w:p>
      <w:pPr>
        <w:spacing w:after="0" w:line="200" w:lineRule="exact"/>
        <w:rPr>
          <w:rFonts w:ascii="Times New Roman" w:cs="Times New Roman" w:eastAsia="Times New Roman" w:hAnsi="Times New Roman"/>
          <w:sz w:val="17"/>
          <w:szCs w:val="17"/>
          <w:i w:val="1"/>
          <w:iCs w:val="1"/>
          <w:color w:val="auto"/>
        </w:rPr>
      </w:pPr>
    </w:p>
    <w:p>
      <w:pPr>
        <w:spacing w:after="0" w:line="215" w:lineRule="exact"/>
        <w:rPr>
          <w:rFonts w:ascii="Times New Roman" w:cs="Times New Roman" w:eastAsia="Times New Roman" w:hAnsi="Times New Roman"/>
          <w:sz w:val="17"/>
          <w:szCs w:val="17"/>
          <w:i w:val="1"/>
          <w:iCs w:val="1"/>
          <w:color w:val="auto"/>
        </w:rPr>
      </w:pPr>
    </w:p>
    <w:p>
      <w:pPr>
        <w:ind w:left="1240" w:firstLine="5"/>
        <w:spacing w:after="0" w:line="322" w:lineRule="auto"/>
        <w:tabs>
          <w:tab w:leader="none" w:pos="1622"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provisions of Section 5(j) and subject to Section 4(b), the Committee shall have the power, in its discretion, to apply different rules concerning the consequences of a Termination</w:t>
      </w:r>
    </w:p>
    <w:p>
      <w:pPr>
        <w:sectPr>
          <w:pgSz w:w="11900" w:h="16838" w:orient="portrait"/>
          <w:cols w:equalWidth="0" w:num="1">
            <w:col w:w="11240"/>
          </w:cols>
          <w:pgMar w:left="320" w:top="1143" w:right="339" w:bottom="1440" w:gutter="0" w:footer="0" w:header="0"/>
        </w:sectPr>
      </w:pPr>
    </w:p>
    <w:bookmarkStart w:id="149" w:name="page150"/>
    <w:bookmarkEnd w:id="149"/>
    <w:p>
      <w:pPr>
        <w:ind w:left="1034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spacing w:after="0" w:line="309" w:lineRule="auto"/>
        <w:rPr>
          <w:sz w:val="20"/>
          <w:szCs w:val="20"/>
          <w:color w:val="auto"/>
        </w:rPr>
      </w:pPr>
      <w:r>
        <w:rPr>
          <w:rFonts w:ascii="Times New Roman" w:cs="Times New Roman" w:eastAsia="Times New Roman" w:hAnsi="Times New Roman"/>
          <w:sz w:val="17"/>
          <w:szCs w:val="17"/>
          <w:color w:val="auto"/>
        </w:rPr>
        <w:t xml:space="preserve">of Employment,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such rules are less favorable to the Participant than those set forth above, such rules are set forth in the applicable Award Agreement.</w:t>
      </w:r>
    </w:p>
    <w:p>
      <w:pPr>
        <w:spacing w:after="0" w:line="169" w:lineRule="exact"/>
        <w:rPr>
          <w:sz w:val="20"/>
          <w:szCs w:val="20"/>
          <w:color w:val="auto"/>
        </w:rPr>
      </w:pPr>
    </w:p>
    <w:p>
      <w:pPr>
        <w:jc w:val="both"/>
        <w:ind w:firstLine="624"/>
        <w:spacing w:after="0" w:line="282" w:lineRule="auto"/>
        <w:tabs>
          <w:tab w:leader="none" w:pos="987" w:val="left"/>
        </w:tabs>
        <w:numPr>
          <w:ilvl w:val="0"/>
          <w:numId w:val="9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Additional Rules for Incentive Stock Options</w:t>
      </w:r>
      <w:r>
        <w:rPr>
          <w:rFonts w:ascii="Times New Roman" w:cs="Times New Roman" w:eastAsia="Times New Roman" w:hAnsi="Times New Roman"/>
          <w:sz w:val="17"/>
          <w:szCs w:val="17"/>
          <w:color w:val="auto"/>
        </w:rPr>
        <w:t>. Notwithstanding any other provision of this Plan to the contrary, no Stock Option which is intended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qualify as an Incentive Stock Option may be granted to any Eligible Employee who at the time of such grant owns stock possessing more than 10% of the total combined voting power of all classes of stock of the Company or of any Subsidiary, unless at the time such Stock Option is granted the exercise price is at least 110% of the Fair Market Value of a Share and such Stock Option by its terms is not exercisable after the expiration of five years from the date such Stock Option is granted. In addition, the aggregate Fair Market Value of the Common Stock (determined at the time a Stock Option for the Common Stock is granted) for which Incentive Stock Options are exercisable for the first time by an optionee during any calendar year, under all of the incentive stock option plans of the Company and of any Subsidiary, may not exceed $100,000. To the extent a Stock Option that by its terms was intended to be an Incentive Stock Option exceeds this $100,000 limit, the portion of the Stock Option in excess of such limit shall be treated as a Nonqualified Stock Option.</w:t>
      </w:r>
    </w:p>
    <w:p>
      <w:pPr>
        <w:spacing w:after="0" w:line="193" w:lineRule="exact"/>
        <w:rPr>
          <w:rFonts w:ascii="Times New Roman" w:cs="Times New Roman" w:eastAsia="Times New Roman" w:hAnsi="Times New Roman"/>
          <w:sz w:val="17"/>
          <w:szCs w:val="17"/>
          <w:i w:val="1"/>
          <w:iCs w:val="1"/>
          <w:color w:val="auto"/>
        </w:rPr>
      </w:pPr>
    </w:p>
    <w:p>
      <w:pPr>
        <w:jc w:val="both"/>
        <w:ind w:firstLine="624"/>
        <w:spacing w:after="0" w:line="297" w:lineRule="auto"/>
        <w:tabs>
          <w:tab w:leader="none" w:pos="1008" w:val="left"/>
        </w:tabs>
        <w:numPr>
          <w:ilvl w:val="0"/>
          <w:numId w:val="9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Dividends and Dividend Equivalents</w:t>
      </w:r>
      <w:r>
        <w:rPr>
          <w:rFonts w:ascii="Times New Roman" w:cs="Times New Roman" w:eastAsia="Times New Roman" w:hAnsi="Times New Roman"/>
          <w:sz w:val="17"/>
          <w:szCs w:val="17"/>
          <w:color w:val="auto"/>
        </w:rPr>
        <w:t>. Dividends (whether paid in cash or Shares) and dividend equivalents may not be paid or accrued 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Options or Stock Appreciation Rights;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Stock Options and Stock Appreciation Rights may be adjusted under certain circumstances in accordance with the terms of Section 3(d).</w:t>
      </w:r>
    </w:p>
    <w:p>
      <w:pPr>
        <w:spacing w:after="0" w:line="18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Section 6.</w:t>
        <w:tab/>
        <w:t>Restricted Stock</w:t>
      </w:r>
    </w:p>
    <w:p>
      <w:pPr>
        <w:spacing w:after="0" w:line="257" w:lineRule="exact"/>
        <w:rPr>
          <w:sz w:val="20"/>
          <w:szCs w:val="20"/>
          <w:color w:val="auto"/>
        </w:rPr>
      </w:pPr>
    </w:p>
    <w:p>
      <w:pPr>
        <w:jc w:val="both"/>
        <w:ind w:firstLine="624"/>
        <w:spacing w:after="0" w:line="288" w:lineRule="auto"/>
        <w:tabs>
          <w:tab w:leader="none" w:pos="1004" w:val="left"/>
        </w:tabs>
        <w:numPr>
          <w:ilvl w:val="0"/>
          <w:numId w:val="9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Administration</w:t>
      </w:r>
      <w:r>
        <w:rPr>
          <w:rFonts w:ascii="Times New Roman" w:cs="Times New Roman" w:eastAsia="Times New Roman" w:hAnsi="Times New Roman"/>
          <w:sz w:val="17"/>
          <w:szCs w:val="17"/>
          <w:color w:val="auto"/>
        </w:rPr>
        <w:t>. Shares of Restricted Stock are actual Shares issued to a Participant and may be awarded either alone or in addition to other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granted under this Plan. The Committee shall determine the Eligible Individuals to whom and the time or times at which grants of Restricted Stock will be awarded, the number of shares to be awarded to any Eligible Individual, the conditions for vesting, the time or times within which such Awards may be subject to forfeiture and any other terms and conditions of the Awards, in addition to those contained in Section 6(c).</w:t>
      </w:r>
    </w:p>
    <w:p>
      <w:pPr>
        <w:spacing w:after="0" w:line="200" w:lineRule="exact"/>
        <w:rPr>
          <w:rFonts w:ascii="Times New Roman" w:cs="Times New Roman" w:eastAsia="Times New Roman" w:hAnsi="Times New Roman"/>
          <w:sz w:val="17"/>
          <w:szCs w:val="17"/>
          <w:i w:val="1"/>
          <w:iCs w:val="1"/>
          <w:color w:val="auto"/>
        </w:rPr>
      </w:pPr>
    </w:p>
    <w:p>
      <w:pPr>
        <w:jc w:val="both"/>
        <w:ind w:firstLine="624"/>
        <w:spacing w:after="0" w:line="288" w:lineRule="auto"/>
        <w:tabs>
          <w:tab w:leader="none" w:pos="1104" w:val="left"/>
        </w:tabs>
        <w:numPr>
          <w:ilvl w:val="0"/>
          <w:numId w:val="9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Book Entry Registration or Certificated Shares</w:t>
      </w:r>
      <w:r>
        <w:rPr>
          <w:rFonts w:ascii="Times New Roman" w:cs="Times New Roman" w:eastAsia="Times New Roman" w:hAnsi="Times New Roman"/>
          <w:sz w:val="17"/>
          <w:szCs w:val="17"/>
          <w:color w:val="auto"/>
        </w:rPr>
        <w:t>. Shares of Restricted Stock shall be evidenced in such manner as the Committee may deem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appropriate, including book-entry registration or issuance of one or more stock certificates. If any certificate is issued in respect of shares of Restricted Stock, such certificates shall be registered in the name of the Participant and shall bear an appropriate legend referring to the terms, conditions, and restrictions applicable to such Award, substantially in the following form:</w:t>
      </w:r>
    </w:p>
    <w:p>
      <w:pPr>
        <w:spacing w:after="0" w:line="189"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color w:val="auto"/>
        </w:rPr>
        <w:t>The transferability of this certificate and the shares of stock represented hereby are subject to the terms and conditions (including forfeiture) of the NMI Holdings, Inc. 2014 Amended and Restated Omnibus Incentive Plan and an Award Agreement. Copies of such Plan and Agreement are on file at the offices of NMI Holdings, Inc.</w:t>
      </w:r>
    </w:p>
    <w:p>
      <w:pPr>
        <w:spacing w:after="0" w:line="182"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180" w:lineRule="exact"/>
        <w:rPr>
          <w:sz w:val="20"/>
          <w:szCs w:val="20"/>
          <w:color w:val="auto"/>
        </w:rPr>
      </w:pPr>
    </w:p>
    <w:p>
      <w:pPr>
        <w:ind w:firstLine="624"/>
        <w:spacing w:after="0" w:line="309" w:lineRule="auto"/>
        <w:tabs>
          <w:tab w:leader="none" w:pos="1002" w:val="left"/>
        </w:tabs>
        <w:numPr>
          <w:ilvl w:val="0"/>
          <w:numId w:val="9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Terms and Conditions</w:t>
      </w:r>
      <w:r>
        <w:rPr>
          <w:rFonts w:ascii="Times New Roman" w:cs="Times New Roman" w:eastAsia="Times New Roman" w:hAnsi="Times New Roman"/>
          <w:sz w:val="17"/>
          <w:szCs w:val="17"/>
          <w:color w:val="auto"/>
        </w:rPr>
        <w:t>. Shares of Restricted Stock shall be subject to the following terms and conditions and such other terms and conditions as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set forth in the applicable Award Agreement (including the vesting or forfeiture provisions applicable upon a Termination of Employment):</w:t>
      </w:r>
    </w:p>
    <w:p>
      <w:pPr>
        <w:spacing w:after="0" w:line="184" w:lineRule="exact"/>
        <w:rPr>
          <w:rFonts w:ascii="Times New Roman" w:cs="Times New Roman" w:eastAsia="Times New Roman" w:hAnsi="Times New Roman"/>
          <w:sz w:val="17"/>
          <w:szCs w:val="17"/>
          <w:i w:val="1"/>
          <w:iCs w:val="1"/>
          <w:color w:val="auto"/>
        </w:rPr>
      </w:pPr>
    </w:p>
    <w:p>
      <w:pPr>
        <w:jc w:val="both"/>
        <w:ind w:left="1240" w:firstLine="5"/>
        <w:spacing w:after="0" w:line="283" w:lineRule="auto"/>
        <w:tabs>
          <w:tab w:leader="none" w:pos="1589"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prior to or at the time of grant, condition (A) the vesting of an Award of Restricted Stock upon the continued service of the applicable Participant, or (B) the grant or vesting of an Award of Restricted Stock upon the attainment of Performance Goals or (C) the grant or vesting of an Award of Restricted Stock upon the attainment of Performance Goals and the continued service of the applicable Participant. The conditions for grant or vesting and the other provisions of Restricted Stock Awards (including without limitation any applicable Performance Goals) need not be the same with respect to each recipient.</w:t>
      </w:r>
    </w:p>
    <w:p>
      <w:pPr>
        <w:sectPr>
          <w:pgSz w:w="11900" w:h="16838" w:orient="portrait"/>
          <w:cols w:equalWidth="0" w:num="1">
            <w:col w:w="11240"/>
          </w:cols>
          <w:pgMar w:left="320" w:top="339" w:right="339" w:bottom="1440" w:gutter="0" w:footer="0" w:header="0"/>
        </w:sectPr>
      </w:pPr>
    </w:p>
    <w:bookmarkStart w:id="150" w:name="page151"/>
    <w:bookmarkEnd w:id="150"/>
    <w:p>
      <w:pPr>
        <w:jc w:val="both"/>
        <w:ind w:left="1240" w:firstLine="5"/>
        <w:spacing w:after="0" w:line="288" w:lineRule="auto"/>
        <w:tabs>
          <w:tab w:leader="none" w:pos="1654"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this Plan and the applicable Award Agreement, during the period, if any, set by the Committee, commencing with the date of such Restricted Stock Award for which such vesting restrictions apply (the “</w:t>
      </w:r>
      <w:r>
        <w:rPr>
          <w:rFonts w:ascii="Times New Roman" w:cs="Times New Roman" w:eastAsia="Times New Roman" w:hAnsi="Times New Roman"/>
          <w:sz w:val="17"/>
          <w:szCs w:val="17"/>
          <w:u w:val="single" w:color="auto"/>
          <w:color w:val="auto"/>
        </w:rPr>
        <w:t>Restriction Period</w:t>
      </w:r>
      <w:r>
        <w:rPr>
          <w:rFonts w:ascii="Times New Roman" w:cs="Times New Roman" w:eastAsia="Times New Roman" w:hAnsi="Times New Roman"/>
          <w:sz w:val="17"/>
          <w:szCs w:val="17"/>
          <w:color w:val="auto"/>
        </w:rPr>
        <w:t>”), and until the expiration of the Restriction Period, the Participant shall not be permitted to sell, assign, transfer, pledge or otherwise encumber Shares of Restricted Stock.</w:t>
      </w:r>
    </w:p>
    <w:p>
      <w:pPr>
        <w:spacing w:after="0" w:line="199" w:lineRule="exact"/>
        <w:rPr>
          <w:rFonts w:ascii="Times New Roman" w:cs="Times New Roman" w:eastAsia="Times New Roman" w:hAnsi="Times New Roman"/>
          <w:sz w:val="17"/>
          <w:szCs w:val="17"/>
          <w:color w:val="auto"/>
        </w:rPr>
      </w:pPr>
    </w:p>
    <w:p>
      <w:pPr>
        <w:jc w:val="both"/>
        <w:ind w:firstLine="624"/>
        <w:spacing w:after="0" w:line="280" w:lineRule="auto"/>
        <w:tabs>
          <w:tab w:leader="none" w:pos="1068" w:val="left"/>
        </w:tabs>
        <w:numPr>
          <w:ilvl w:val="0"/>
          <w:numId w:val="10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Rights of a Shareholder</w:t>
      </w:r>
      <w:r>
        <w:rPr>
          <w:rFonts w:ascii="Times New Roman" w:cs="Times New Roman" w:eastAsia="Times New Roman" w:hAnsi="Times New Roman"/>
          <w:sz w:val="17"/>
          <w:szCs w:val="17"/>
          <w:color w:val="auto"/>
        </w:rPr>
        <w:t>. Except as provided in this Section 6 and the applicable Award Agreement, the applicable Participant shall have,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to the Shares of Restricted Stock, all of the rights of a shareholder of the Company holding the class or series of Common Stock that is the subject of the Restricted Stock, including, if applicable, the right to vote the Shares and the right to receive any dividends. As determined by the Committee in the applicable Award Agreement and subject to Section 15(e), (A) cash dividends on the class or series of Common Stock that is the subject of the Restricted Stock Award shall be payable in cash and shall be held subject to the vesting of the underlying Restricted Stock, or held subject to meeting Performance Goals applicable only to dividends, and (B) dividends payable in Common Stock shall be paid in the form of Restricted Stock of the same class as the Common Stock with which such dividend was paid, and shall be held subject to the vesting of the underlying Restricted Stock, or held subject to meeting Performance Goals applicable only to dividends.</w:t>
      </w:r>
    </w:p>
    <w:p>
      <w:pPr>
        <w:spacing w:after="0" w:line="193" w:lineRule="exact"/>
        <w:rPr>
          <w:rFonts w:ascii="Times New Roman" w:cs="Times New Roman" w:eastAsia="Times New Roman" w:hAnsi="Times New Roman"/>
          <w:sz w:val="17"/>
          <w:szCs w:val="17"/>
          <w:i w:val="1"/>
          <w:iCs w:val="1"/>
          <w:color w:val="auto"/>
        </w:rPr>
      </w:pPr>
    </w:p>
    <w:p>
      <w:pPr>
        <w:jc w:val="both"/>
        <w:ind w:firstLine="624"/>
        <w:spacing w:after="0" w:line="297" w:lineRule="auto"/>
        <w:tabs>
          <w:tab w:leader="none" w:pos="1000" w:val="left"/>
        </w:tabs>
        <w:numPr>
          <w:ilvl w:val="0"/>
          <w:numId w:val="10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Delivery of Unlegended Certificates</w:t>
      </w:r>
      <w:r>
        <w:rPr>
          <w:rFonts w:ascii="Times New Roman" w:cs="Times New Roman" w:eastAsia="Times New Roman" w:hAnsi="Times New Roman"/>
          <w:sz w:val="17"/>
          <w:szCs w:val="17"/>
          <w:color w:val="auto"/>
        </w:rPr>
        <w:t>. If and when any applicable Performance Goals are satisfied and the Restriction Period expires without a prior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forfeiture of the Shares of Restricted Stock for which legended certificates have been issued, unlegended certificates for such Shares shall be delivered to the Participant upon surrender of the legended certificates.</w:t>
      </w:r>
    </w:p>
    <w:p>
      <w:pPr>
        <w:spacing w:after="0" w:line="179" w:lineRule="exact"/>
        <w:rPr>
          <w:rFonts w:ascii="Times New Roman" w:cs="Times New Roman" w:eastAsia="Times New Roman" w:hAnsi="Times New Roman"/>
          <w:sz w:val="17"/>
          <w:szCs w:val="17"/>
          <w:i w:val="1"/>
          <w:iCs w:val="1"/>
          <w:color w:val="auto"/>
        </w:rPr>
      </w:pPr>
    </w:p>
    <w:p>
      <w:pPr>
        <w:ind w:firstLine="624"/>
        <w:spacing w:after="0" w:line="325" w:lineRule="auto"/>
        <w:tabs>
          <w:tab w:leader="none" w:pos="991" w:val="left"/>
        </w:tabs>
        <w:numPr>
          <w:ilvl w:val="0"/>
          <w:numId w:val="10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of Employment</w:t>
      </w:r>
      <w:r>
        <w:rPr>
          <w:rFonts w:ascii="Times New Roman" w:cs="Times New Roman" w:eastAsia="Times New Roman" w:hAnsi="Times New Roman"/>
          <w:sz w:val="17"/>
          <w:szCs w:val="17"/>
          <w:color w:val="auto"/>
        </w:rPr>
        <w:t>. Unless otherwise determined by the Committee or provided in the applicable Award Agreement, upon a Participant’s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Termination or Employment, his or her Restricted Stock shall be treated as set forth below:</w:t>
      </w:r>
    </w:p>
    <w:p>
      <w:pPr>
        <w:spacing w:after="0" w:line="156" w:lineRule="exact"/>
        <w:rPr>
          <w:rFonts w:ascii="Times New Roman" w:cs="Times New Roman" w:eastAsia="Times New Roman" w:hAnsi="Times New Roman"/>
          <w:sz w:val="17"/>
          <w:szCs w:val="17"/>
          <w:i w:val="1"/>
          <w:iCs w:val="1"/>
          <w:color w:val="auto"/>
        </w:rPr>
      </w:pPr>
    </w:p>
    <w:p>
      <w:pPr>
        <w:jc w:val="both"/>
        <w:ind w:left="1240" w:firstLine="5"/>
        <w:spacing w:after="0" w:line="288" w:lineRule="auto"/>
        <w:tabs>
          <w:tab w:leader="none" w:pos="1622" w:val="left"/>
        </w:tabs>
        <w:numPr>
          <w:ilvl w:val="1"/>
          <w:numId w:val="10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by Reason of Death or Disability</w:t>
      </w:r>
      <w:r>
        <w:rPr>
          <w:rFonts w:ascii="Times New Roman" w:cs="Times New Roman" w:eastAsia="Times New Roman" w:hAnsi="Times New Roman"/>
          <w:sz w:val="17"/>
          <w:szCs w:val="17"/>
          <w:color w:val="auto"/>
        </w:rPr>
        <w:t>. If a Participant incurs a Termination of Employment by reason of death or Disability,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restrictions, including any Performance Goals, applicable to any Restricted Stock shall lapse (with respect to Performance Goals, be deemed earned in full based on the applicable target level), and such Restricted Stock shall become free of all restrictions and become fully vested and transferable to the full extent of the original grant.</w:t>
      </w:r>
    </w:p>
    <w:p>
      <w:pPr>
        <w:spacing w:after="0" w:line="187" w:lineRule="exact"/>
        <w:rPr>
          <w:sz w:val="20"/>
          <w:szCs w:val="20"/>
          <w:color w:val="auto"/>
        </w:rPr>
      </w:pPr>
    </w:p>
    <w:p>
      <w:pPr>
        <w:jc w:val="both"/>
        <w:ind w:left="1240" w:firstLine="5"/>
        <w:spacing w:after="0" w:line="297" w:lineRule="auto"/>
        <w:tabs>
          <w:tab w:leader="none" w:pos="1757" w:val="left"/>
        </w:tabs>
        <w:numPr>
          <w:ilvl w:val="0"/>
          <w:numId w:val="10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Other Termination</w:t>
      </w:r>
      <w:r>
        <w:rPr>
          <w:rFonts w:ascii="Times New Roman" w:cs="Times New Roman" w:eastAsia="Times New Roman" w:hAnsi="Times New Roman"/>
          <w:sz w:val="17"/>
          <w:szCs w:val="17"/>
          <w:color w:val="auto"/>
        </w:rPr>
        <w:t>. If a Participant incurs a Termination of Employment for any reason other than death or Disability during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Restriction Period or before the requisite service period or applicable Performance Goals are satisfied, all Shares still subject to restriction shall be forfeited by the Participant.</w:t>
      </w:r>
    </w:p>
    <w:p>
      <w:pPr>
        <w:spacing w:after="0" w:line="18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Section 7.</w:t>
        <w:tab/>
        <w:t>Restricted Stock Units</w:t>
      </w:r>
    </w:p>
    <w:p>
      <w:pPr>
        <w:spacing w:after="0" w:line="270" w:lineRule="exact"/>
        <w:rPr>
          <w:sz w:val="20"/>
          <w:szCs w:val="20"/>
          <w:color w:val="auto"/>
        </w:rPr>
      </w:pPr>
    </w:p>
    <w:p>
      <w:pPr>
        <w:jc w:val="both"/>
        <w:ind w:firstLine="624"/>
        <w:spacing w:after="0" w:line="289" w:lineRule="auto"/>
        <w:tabs>
          <w:tab w:leader="none" w:pos="1020" w:val="left"/>
        </w:tabs>
        <w:numPr>
          <w:ilvl w:val="0"/>
          <w:numId w:val="10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Nature of Awards</w:t>
      </w:r>
      <w:r>
        <w:rPr>
          <w:rFonts w:ascii="Times New Roman" w:cs="Times New Roman" w:eastAsia="Times New Roman" w:hAnsi="Times New Roman"/>
          <w:sz w:val="17"/>
          <w:szCs w:val="17"/>
          <w:color w:val="auto"/>
        </w:rPr>
        <w:t>. Restricted stock units and deferred share rights (together, “</w:t>
      </w:r>
      <w:r>
        <w:rPr>
          <w:rFonts w:ascii="Times New Roman" w:cs="Times New Roman" w:eastAsia="Times New Roman" w:hAnsi="Times New Roman"/>
          <w:sz w:val="17"/>
          <w:szCs w:val="17"/>
          <w:u w:val="single" w:color="auto"/>
          <w:color w:val="auto"/>
        </w:rPr>
        <w:t>Restricted Stock Units</w:t>
      </w:r>
      <w:r>
        <w:rPr>
          <w:rFonts w:ascii="Times New Roman" w:cs="Times New Roman" w:eastAsia="Times New Roman" w:hAnsi="Times New Roman"/>
          <w:sz w:val="17"/>
          <w:szCs w:val="17"/>
          <w:color w:val="auto"/>
        </w:rPr>
        <w:t>”) are Awards denominated in Shares that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settled, subject to the terms and conditions of the Restricted Stock Units, in an amount in cash, Shares, or both, based upon the Fair Market Value of a specified number of Shares.</w:t>
      </w:r>
    </w:p>
    <w:p>
      <w:pPr>
        <w:spacing w:after="0" w:line="199" w:lineRule="exact"/>
        <w:rPr>
          <w:rFonts w:ascii="Times New Roman" w:cs="Times New Roman" w:eastAsia="Times New Roman" w:hAnsi="Times New Roman"/>
          <w:sz w:val="17"/>
          <w:szCs w:val="17"/>
          <w:i w:val="1"/>
          <w:iCs w:val="1"/>
          <w:color w:val="auto"/>
        </w:rPr>
      </w:pPr>
    </w:p>
    <w:p>
      <w:pPr>
        <w:ind w:firstLine="624"/>
        <w:spacing w:after="0" w:line="309" w:lineRule="auto"/>
        <w:tabs>
          <w:tab w:leader="none" w:pos="1012" w:val="left"/>
        </w:tabs>
        <w:numPr>
          <w:ilvl w:val="0"/>
          <w:numId w:val="10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Terms and Conditions</w:t>
      </w:r>
      <w:r>
        <w:rPr>
          <w:rFonts w:ascii="Times New Roman" w:cs="Times New Roman" w:eastAsia="Times New Roman" w:hAnsi="Times New Roman"/>
          <w:sz w:val="17"/>
          <w:szCs w:val="17"/>
          <w:color w:val="auto"/>
        </w:rPr>
        <w:t>. Restricted Stock Units shall be subject to the following terms and conditions and such other terms and conditions as are 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forth in the applicable Award Agreement (including the vesting or forfeiture provisions applicable upon a Termination of Employment):</w:t>
      </w:r>
    </w:p>
    <w:p>
      <w:pPr>
        <w:spacing w:after="0" w:line="171" w:lineRule="exact"/>
        <w:rPr>
          <w:rFonts w:ascii="Times New Roman" w:cs="Times New Roman" w:eastAsia="Times New Roman" w:hAnsi="Times New Roman"/>
          <w:sz w:val="17"/>
          <w:szCs w:val="17"/>
          <w:i w:val="1"/>
          <w:iCs w:val="1"/>
          <w:color w:val="auto"/>
        </w:rPr>
      </w:pPr>
    </w:p>
    <w:p>
      <w:pPr>
        <w:jc w:val="both"/>
        <w:ind w:left="1240" w:firstLine="5"/>
        <w:spacing w:after="0" w:line="283" w:lineRule="auto"/>
        <w:tabs>
          <w:tab w:leader="none" w:pos="1592"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prior to or at the time of grant, condition (A) the vesting of Restricted Stock Units upon the continued service of the applicable Participant, or (B) the grant or vesting of Restricted Stock Units upon the attainment of Performance Goals or (C) the grant or vesting of an Award of Restricted Stock Units upon the attainment of Performance Goals and the continued service of the applicable Participant. The conditions for grant or vesting and the other provisions of Restricted Stock Units (including without limitation any applicable Performance Goals) need not be the same with respect to each recipient. An Award of Restricted Stock Units shall be settled as and when the Restricted Stock Units vest, at a later time specified</w:t>
      </w:r>
    </w:p>
    <w:p>
      <w:pPr>
        <w:sectPr>
          <w:pgSz w:w="11900" w:h="16838" w:orient="portrait"/>
          <w:cols w:equalWidth="0" w:num="1">
            <w:col w:w="11240"/>
          </w:cols>
          <w:pgMar w:left="320" w:top="1143" w:right="339" w:bottom="1440" w:gutter="0" w:footer="0" w:header="0"/>
        </w:sectPr>
      </w:pPr>
    </w:p>
    <w:bookmarkStart w:id="151" w:name="page152"/>
    <w:bookmarkEnd w:id="151"/>
    <w:p>
      <w:pPr>
        <w:ind w:left="1034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by the Committee in the applicable Award Agreement, or, if the Committee so permits, in accordance with an election of the Participant.</w:t>
      </w:r>
    </w:p>
    <w:p>
      <w:pPr>
        <w:spacing w:after="0" w:line="257" w:lineRule="exact"/>
        <w:rPr>
          <w:sz w:val="20"/>
          <w:szCs w:val="20"/>
          <w:color w:val="auto"/>
        </w:rPr>
      </w:pPr>
    </w:p>
    <w:p>
      <w:pPr>
        <w:ind w:left="1240" w:firstLine="5"/>
        <w:spacing w:after="0" w:line="307" w:lineRule="auto"/>
        <w:tabs>
          <w:tab w:leader="none" w:pos="1633"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this Plan and the applicable Award Agreement, during the Restriction Period, if any, set by the Committee, the Participant shall not be permitted to sell, assign, transfer, pledge or otherwise encumber Restricted Stock Units.</w:t>
      </w:r>
    </w:p>
    <w:p>
      <w:pPr>
        <w:spacing w:after="0" w:line="185" w:lineRule="exact"/>
        <w:rPr>
          <w:rFonts w:ascii="Times New Roman" w:cs="Times New Roman" w:eastAsia="Times New Roman" w:hAnsi="Times New Roman"/>
          <w:sz w:val="17"/>
          <w:szCs w:val="17"/>
          <w:color w:val="auto"/>
        </w:rPr>
      </w:pPr>
    </w:p>
    <w:p>
      <w:pPr>
        <w:jc w:val="both"/>
        <w:ind w:left="1240" w:firstLine="5"/>
        <w:spacing w:after="0" w:line="288" w:lineRule="auto"/>
        <w:tabs>
          <w:tab w:leader="none" w:pos="1704"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 Agreement for Restricted Stock Units shall specify whether, to what extent and on what terms and conditions the applicable Participant shall be entitled to receive payments of cash, Common Stock or other property corresponding to the dividends payable on the Common Stock (subject to Section 15(e) below).</w:t>
      </w:r>
    </w:p>
    <w:p>
      <w:pPr>
        <w:spacing w:after="0" w:line="199" w:lineRule="exact"/>
        <w:rPr>
          <w:rFonts w:ascii="Times New Roman" w:cs="Times New Roman" w:eastAsia="Times New Roman" w:hAnsi="Times New Roman"/>
          <w:sz w:val="17"/>
          <w:szCs w:val="17"/>
          <w:color w:val="auto"/>
        </w:rPr>
      </w:pPr>
    </w:p>
    <w:p>
      <w:pPr>
        <w:jc w:val="both"/>
        <w:ind w:firstLine="624"/>
        <w:spacing w:after="0" w:line="281" w:lineRule="auto"/>
        <w:tabs>
          <w:tab w:leader="none" w:pos="1000" w:val="left"/>
        </w:tabs>
        <w:numPr>
          <w:ilvl w:val="0"/>
          <w:numId w:val="10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Rights of a Shareholder</w:t>
      </w:r>
      <w:r>
        <w:rPr>
          <w:rFonts w:ascii="Times New Roman" w:cs="Times New Roman" w:eastAsia="Times New Roman" w:hAnsi="Times New Roman"/>
          <w:sz w:val="17"/>
          <w:szCs w:val="17"/>
          <w:color w:val="auto"/>
        </w:rPr>
        <w:t>. A Participant to whom Restricted Stock Units are awarded shall have no rights as a shareholder with respect to the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represented by the Restricted Stock Units unless and until Shares are actually delivered to the participant in settlement thereof. Unless otherwise determined by the Committee and subject to Section 15(e), an Award of Restricted Stock Units shall be adjusted to reflect deemed reinvestment in additional Restricted Stock Units of the dividends that would be paid and distributions that would be made with respect to the Award of Restricted Stock Units if it consisted of actual Shares. Notwithstanding the immediately preceding sentence, if an adjustment to an Award of Restricted Stock Units is made pursuant to Section 3(d) as a result of any dividend or distribution, no increase to such Award (by means of deemed reinvestment in additional Restricted Stock Units) shall be made under this Section 7(c) as a result of the same dividend or distribution.</w:t>
      </w:r>
    </w:p>
    <w:p>
      <w:pPr>
        <w:spacing w:after="0" w:line="195" w:lineRule="exact"/>
        <w:rPr>
          <w:rFonts w:ascii="Times New Roman" w:cs="Times New Roman" w:eastAsia="Times New Roman" w:hAnsi="Times New Roman"/>
          <w:sz w:val="17"/>
          <w:szCs w:val="17"/>
          <w:i w:val="1"/>
          <w:iCs w:val="1"/>
          <w:color w:val="auto"/>
        </w:rPr>
      </w:pPr>
    </w:p>
    <w:p>
      <w:pPr>
        <w:ind w:firstLine="624"/>
        <w:spacing w:after="0" w:line="309" w:lineRule="auto"/>
        <w:tabs>
          <w:tab w:leader="none" w:pos="1020" w:val="left"/>
        </w:tabs>
        <w:numPr>
          <w:ilvl w:val="0"/>
          <w:numId w:val="10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of Employment</w:t>
      </w:r>
      <w:r>
        <w:rPr>
          <w:rFonts w:ascii="Times New Roman" w:cs="Times New Roman" w:eastAsia="Times New Roman" w:hAnsi="Times New Roman"/>
          <w:sz w:val="17"/>
          <w:szCs w:val="17"/>
          <w:color w:val="auto"/>
        </w:rPr>
        <w:t>. Unless otherwise determined by the Committee or provided in the applicable Award Agreement, upon a Participant’s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Termination of Employment, his or her Restricted Stock Units shall be treated as set forth below:</w:t>
      </w:r>
    </w:p>
    <w:p>
      <w:pPr>
        <w:spacing w:after="0" w:line="182" w:lineRule="exact"/>
        <w:rPr>
          <w:rFonts w:ascii="Times New Roman" w:cs="Times New Roman" w:eastAsia="Times New Roman" w:hAnsi="Times New Roman"/>
          <w:sz w:val="17"/>
          <w:szCs w:val="17"/>
          <w:i w:val="1"/>
          <w:iCs w:val="1"/>
          <w:color w:val="auto"/>
        </w:rPr>
      </w:pPr>
    </w:p>
    <w:p>
      <w:pPr>
        <w:jc w:val="both"/>
        <w:ind w:left="1240" w:firstLine="5"/>
        <w:spacing w:after="0" w:line="288" w:lineRule="auto"/>
        <w:tabs>
          <w:tab w:leader="none" w:pos="1622" w:val="left"/>
        </w:tabs>
        <w:numPr>
          <w:ilvl w:val="1"/>
          <w:numId w:val="10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by Reason of Death or Disability</w:t>
      </w:r>
      <w:r>
        <w:rPr>
          <w:rFonts w:ascii="Times New Roman" w:cs="Times New Roman" w:eastAsia="Times New Roman" w:hAnsi="Times New Roman"/>
          <w:sz w:val="17"/>
          <w:szCs w:val="17"/>
          <w:color w:val="auto"/>
        </w:rPr>
        <w:t>. If a Participant incurs a Termination of Employment by reason of death or Disability,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restrictions, including any Performance Goals, applicable to any Restricted Stock Units shall lapse (with respect to Performance Goals, be deemed earned in full based on the applicable target level), and such Restricted Stock Units shall become fully vested and settled to the full extent of the original grant.</w:t>
      </w:r>
    </w:p>
    <w:p>
      <w:pPr>
        <w:spacing w:after="0" w:line="187" w:lineRule="exact"/>
        <w:rPr>
          <w:rFonts w:ascii="Times New Roman" w:cs="Times New Roman" w:eastAsia="Times New Roman" w:hAnsi="Times New Roman"/>
          <w:sz w:val="17"/>
          <w:szCs w:val="17"/>
          <w:i w:val="1"/>
          <w:iCs w:val="1"/>
          <w:color w:val="auto"/>
        </w:rPr>
      </w:pPr>
    </w:p>
    <w:p>
      <w:pPr>
        <w:ind w:left="1240" w:firstLine="5"/>
        <w:spacing w:after="0" w:line="309" w:lineRule="auto"/>
        <w:tabs>
          <w:tab w:leader="none" w:pos="1623"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If a Participant incurs a Termination of Employment for any reason other than death or Disability during the Restriction Period or before the applicable Performance Goals are satisfied, all unvested Restricted Stock Units shall be forfeited by the Participant.</w:t>
      </w:r>
    </w:p>
    <w:p>
      <w:pPr>
        <w:spacing w:after="0" w:line="18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Section 8.</w:t>
        <w:tab/>
        <w:t>Performance Units</w:t>
      </w:r>
    </w:p>
    <w:p>
      <w:pPr>
        <w:spacing w:after="0" w:line="259" w:lineRule="exact"/>
        <w:rPr>
          <w:sz w:val="20"/>
          <w:szCs w:val="20"/>
          <w:color w:val="auto"/>
        </w:rPr>
      </w:pPr>
    </w:p>
    <w:p>
      <w:pPr>
        <w:jc w:val="both"/>
        <w:ind w:firstLine="1242"/>
        <w:spacing w:after="0" w:line="283" w:lineRule="auto"/>
        <w:rPr>
          <w:sz w:val="20"/>
          <w:szCs w:val="20"/>
          <w:color w:val="auto"/>
        </w:rPr>
      </w:pPr>
      <w:r>
        <w:rPr>
          <w:rFonts w:ascii="Times New Roman" w:cs="Times New Roman" w:eastAsia="Times New Roman" w:hAnsi="Times New Roman"/>
          <w:sz w:val="17"/>
          <w:szCs w:val="17"/>
          <w:color w:val="auto"/>
        </w:rPr>
        <w:t>Performance Units may be issued hereunder to Eligible Individuals, for no cash consideration or for such minimum consideration as may be required by applicable law, either alone or in addition to other Awards granted under this Plan. The Performance Goals to be achieved during any Performance Period and the length of the Performance Period shall be determined by the Committee upon the grant of each Performance Unit. The conditions for grant or vesting and the other provisions of Performance Units (including without limitation any applicable Performance Goals) need not be the same with respect to each recipient. Performance Units may be paid in cash, Shares, other property or any combination thereof, in the sole discretion of the Committee as set forth in the applicable Award Agreement.</w:t>
      </w:r>
    </w:p>
    <w:p>
      <w:pPr>
        <w:spacing w:after="0" w:line="19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Section 9.</w:t>
        <w:tab/>
        <w:t>Other Stock-Based Awards</w:t>
      </w:r>
    </w:p>
    <w:p>
      <w:pPr>
        <w:spacing w:after="0" w:line="259" w:lineRule="exact"/>
        <w:rPr>
          <w:sz w:val="20"/>
          <w:szCs w:val="20"/>
          <w:color w:val="auto"/>
        </w:rPr>
      </w:pPr>
    </w:p>
    <w:p>
      <w:pPr>
        <w:jc w:val="both"/>
        <w:ind w:firstLine="1242"/>
        <w:spacing w:after="0" w:line="287" w:lineRule="auto"/>
        <w:rPr>
          <w:sz w:val="20"/>
          <w:szCs w:val="20"/>
          <w:color w:val="auto"/>
        </w:rPr>
      </w:pPr>
      <w:r>
        <w:rPr>
          <w:rFonts w:ascii="Times New Roman" w:cs="Times New Roman" w:eastAsia="Times New Roman" w:hAnsi="Times New Roman"/>
          <w:sz w:val="17"/>
          <w:szCs w:val="17"/>
          <w:color w:val="auto"/>
        </w:rPr>
        <w:t>The Committee may grant Awards of Shares or related to Shares not otherwise described herein in such amounts and subject to such terms and conditions consistent with the terms of this Plan as the Committee shall determine. Without limiting the generality of the preceding sentence, each such Other Stock-Based Award may (a) involve the transfer of actual Shares to Participants, either at the time of grant or thereafter, or payment in cash or otherwise of amounts based on the</w:t>
      </w:r>
    </w:p>
    <w:p>
      <w:pPr>
        <w:sectPr>
          <w:pgSz w:w="11900" w:h="16838" w:orient="portrait"/>
          <w:cols w:equalWidth="0" w:num="1">
            <w:col w:w="11240"/>
          </w:cols>
          <w:pgMar w:left="320" w:top="339" w:right="339" w:bottom="1440" w:gutter="0" w:footer="0" w:header="0"/>
        </w:sectPr>
      </w:pPr>
    </w:p>
    <w:bookmarkStart w:id="152" w:name="page153"/>
    <w:bookmarkEnd w:id="152"/>
    <w:p>
      <w:pPr>
        <w:jc w:val="both"/>
        <w:spacing w:after="0" w:line="287" w:lineRule="auto"/>
        <w:rPr>
          <w:sz w:val="20"/>
          <w:szCs w:val="20"/>
          <w:color w:val="auto"/>
        </w:rPr>
      </w:pPr>
      <w:r>
        <w:rPr>
          <w:rFonts w:ascii="Times New Roman" w:cs="Times New Roman" w:eastAsia="Times New Roman" w:hAnsi="Times New Roman"/>
          <w:sz w:val="17"/>
          <w:szCs w:val="17"/>
          <w:color w:val="auto"/>
        </w:rPr>
        <w:t>value of Shares, (b) be subject to performance-based and/or service-based conditions, (c) be in the form of phantom stock, restricted stock, restricted stock units, performance shares, deferred share units or share-denominated performance units, or other Awards denominated in, or with a value determined by reference to, a number of Shares that is specified at the time of the grant of such Award, and (d) be designed to comply with applicable laws of jurisdictions other than the United States.</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Section 10.</w:t>
      </w:r>
      <w:r>
        <w:rPr>
          <w:sz w:val="20"/>
          <w:szCs w:val="20"/>
          <w:color w:val="auto"/>
        </w:rPr>
        <w:tab/>
      </w:r>
      <w:r>
        <w:rPr>
          <w:rFonts w:ascii="Times New Roman" w:cs="Times New Roman" w:eastAsia="Times New Roman" w:hAnsi="Times New Roman"/>
          <w:sz w:val="16"/>
          <w:szCs w:val="16"/>
          <w:b w:val="1"/>
          <w:bCs w:val="1"/>
          <w:color w:val="auto"/>
        </w:rPr>
        <w:t>Cash-Based Awards</w:t>
      </w:r>
    </w:p>
    <w:p>
      <w:pPr>
        <w:spacing w:after="0" w:line="259" w:lineRule="exact"/>
        <w:rPr>
          <w:sz w:val="20"/>
          <w:szCs w:val="20"/>
          <w:color w:val="auto"/>
        </w:rPr>
      </w:pPr>
    </w:p>
    <w:p>
      <w:pPr>
        <w:jc w:val="both"/>
        <w:ind w:firstLine="1242"/>
        <w:spacing w:after="0" w:line="287" w:lineRule="auto"/>
        <w:rPr>
          <w:sz w:val="20"/>
          <w:szCs w:val="20"/>
          <w:color w:val="auto"/>
        </w:rPr>
      </w:pPr>
      <w:r>
        <w:rPr>
          <w:rFonts w:ascii="Times New Roman" w:cs="Times New Roman" w:eastAsia="Times New Roman" w:hAnsi="Times New Roman"/>
          <w:sz w:val="17"/>
          <w:szCs w:val="17"/>
          <w:color w:val="auto"/>
        </w:rPr>
        <w:t>The Committee may grant Awards to Eligible Individuals that are denominated and payable in cash in such amounts and subject to such terms and conditions consistent with the terms of this Plan as the Committee shall determine. With respect to a Cash-Based Award subject to Performance Goals, the Performance Goals to be achieved during any performance period and the length of the performance period shall be determined by the Committee upon the grant of such Cash-Based Award, or (b) the grant or vesting of Cash-Based Awards upon the attainment of Performance Goals or (c) the grant or vesting of a Cash-Based Awards upon the attainment of Performance Goals and the continued service of the applicable Participant.</w:t>
      </w:r>
    </w:p>
    <w:p>
      <w:pPr>
        <w:spacing w:after="0" w:line="18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Section 11.</w:t>
        <w:tab/>
        <w:t>Change-in-Control Provisions</w:t>
      </w:r>
    </w:p>
    <w:p>
      <w:pPr>
        <w:spacing w:after="0" w:line="257" w:lineRule="exact"/>
        <w:rPr>
          <w:sz w:val="20"/>
          <w:szCs w:val="20"/>
          <w:color w:val="auto"/>
        </w:rPr>
      </w:pPr>
    </w:p>
    <w:p>
      <w:pPr>
        <w:ind w:firstLine="624"/>
        <w:spacing w:after="0" w:line="325" w:lineRule="auto"/>
        <w:tabs>
          <w:tab w:leader="none" w:pos="1046" w:val="left"/>
        </w:tabs>
        <w:numPr>
          <w:ilvl w:val="1"/>
          <w:numId w:val="10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The provisions of this Section 11 shall, subject to Section 3(d), apply notwithstanding any other provision of this Plan to the contrary,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except to the extent the Committee specifically provides otherwise in an Award Agreement.</w:t>
      </w:r>
    </w:p>
    <w:p>
      <w:pPr>
        <w:spacing w:after="0" w:line="156" w:lineRule="exact"/>
        <w:rPr>
          <w:rFonts w:ascii="Times New Roman" w:cs="Times New Roman" w:eastAsia="Times New Roman" w:hAnsi="Times New Roman"/>
          <w:sz w:val="17"/>
          <w:szCs w:val="17"/>
          <w:i w:val="1"/>
          <w:iCs w:val="1"/>
          <w:color w:val="auto"/>
        </w:rPr>
      </w:pPr>
    </w:p>
    <w:p>
      <w:pPr>
        <w:jc w:val="both"/>
        <w:ind w:firstLine="624"/>
        <w:spacing w:after="0" w:line="276" w:lineRule="auto"/>
        <w:tabs>
          <w:tab w:leader="none" w:pos="1033" w:val="left"/>
        </w:tabs>
        <w:numPr>
          <w:ilvl w:val="1"/>
          <w:numId w:val="10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Impact of Change in Control</w:t>
      </w:r>
      <w:r>
        <w:rPr>
          <w:rFonts w:ascii="Times New Roman" w:cs="Times New Roman" w:eastAsia="Times New Roman" w:hAnsi="Times New Roman"/>
          <w:sz w:val="17"/>
          <w:szCs w:val="17"/>
          <w:color w:val="auto"/>
        </w:rPr>
        <w:t>. Upon the occurrence of a Change in Control, unless otherwise provided in the applicable Award Agreement: (i)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then-outstanding Stock Options and Stock Appreciation Rights shall become fully vested and exercisable, and all Full-Value Awards (other than performance-based Awards) shall vest in full, be free of restrictions, and be deemed to be earned and payable in an amount equal to the full value of such Award, except in each case to the extent that another Award meeting the requirements of Section 11(c) (any award meeting the requirements of Section 11(c), a “</w:t>
      </w:r>
      <w:r>
        <w:rPr>
          <w:rFonts w:ascii="Times New Roman" w:cs="Times New Roman" w:eastAsia="Times New Roman" w:hAnsi="Times New Roman"/>
          <w:sz w:val="17"/>
          <w:szCs w:val="17"/>
          <w:u w:val="single" w:color="auto"/>
          <w:color w:val="auto"/>
        </w:rPr>
        <w:t>Replacement Award</w:t>
      </w:r>
      <w:r>
        <w:rPr>
          <w:rFonts w:ascii="Times New Roman" w:cs="Times New Roman" w:eastAsia="Times New Roman" w:hAnsi="Times New Roman"/>
          <w:sz w:val="17"/>
          <w:szCs w:val="17"/>
          <w:color w:val="auto"/>
        </w:rPr>
        <w:t>”) is provided to the Participant pursuant to Section 3(d) to replace such Award (any award intended to be replaced by a Replacement Award, a “</w:t>
      </w:r>
      <w:r>
        <w:rPr>
          <w:rFonts w:ascii="Times New Roman" w:cs="Times New Roman" w:eastAsia="Times New Roman" w:hAnsi="Times New Roman"/>
          <w:sz w:val="17"/>
          <w:szCs w:val="17"/>
          <w:u w:val="single" w:color="auto"/>
          <w:color w:val="auto"/>
        </w:rPr>
        <w:t>Replaced Award</w:t>
      </w:r>
      <w:r>
        <w:rPr>
          <w:rFonts w:ascii="Times New Roman" w:cs="Times New Roman" w:eastAsia="Times New Roman" w:hAnsi="Times New Roman"/>
          <w:sz w:val="17"/>
          <w:szCs w:val="17"/>
          <w:color w:val="auto"/>
        </w:rPr>
        <w:t>”),and</w:t>
      </w:r>
    </w:p>
    <w:p>
      <w:pPr>
        <w:spacing w:after="0" w:line="3" w:lineRule="exact"/>
        <w:rPr>
          <w:rFonts w:ascii="Times New Roman" w:cs="Times New Roman" w:eastAsia="Times New Roman" w:hAnsi="Times New Roman"/>
          <w:sz w:val="17"/>
          <w:szCs w:val="17"/>
          <w:i w:val="1"/>
          <w:iCs w:val="1"/>
          <w:color w:val="auto"/>
        </w:rPr>
      </w:pPr>
    </w:p>
    <w:p>
      <w:pPr>
        <w:jc w:val="both"/>
        <w:ind w:firstLine="3"/>
        <w:spacing w:after="0" w:line="283" w:lineRule="auto"/>
        <w:tabs>
          <w:tab w:leader="none" w:pos="259"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performance-based Award that is not replaced by a Replacement Award shall be deemed to be earned and payable in an amount equal to the full value of such performance-based Award (with all applicable Performance Goals deemed achieved at the greater of (x) the applicable target level and (y) the level of achievement of the Performance Goals for the Award as determined by the Committee not later than the date of the Change in Control, taking into account performance through the latest date preceding the Change in Control as to which performance can, as a practical matter, be determined (but not later than the end of the applicable Performance Period)).</w:t>
      </w:r>
    </w:p>
    <w:p>
      <w:pPr>
        <w:spacing w:after="0" w:line="190" w:lineRule="exact"/>
        <w:rPr>
          <w:rFonts w:ascii="Times New Roman" w:cs="Times New Roman" w:eastAsia="Times New Roman" w:hAnsi="Times New Roman"/>
          <w:sz w:val="17"/>
          <w:szCs w:val="17"/>
          <w:color w:val="auto"/>
        </w:rPr>
      </w:pPr>
    </w:p>
    <w:p>
      <w:pPr>
        <w:jc w:val="both"/>
        <w:ind w:firstLine="624"/>
        <w:spacing w:after="0" w:line="280" w:lineRule="auto"/>
        <w:tabs>
          <w:tab w:leader="none" w:pos="1005" w:val="left"/>
        </w:tabs>
        <w:numPr>
          <w:ilvl w:val="1"/>
          <w:numId w:val="10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Replacement Awards</w:t>
      </w:r>
      <w:r>
        <w:rPr>
          <w:rFonts w:ascii="Times New Roman" w:cs="Times New Roman" w:eastAsia="Times New Roman" w:hAnsi="Times New Roman"/>
          <w:sz w:val="17"/>
          <w:szCs w:val="17"/>
          <w:color w:val="auto"/>
        </w:rPr>
        <w:t>. An Award shall meet the conditions of this Section 11(c) (and hence qualify as a Replacement Award) if: (i) it is of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type as the Replaced Award; (ii) it has a value equal to the value of the Replaced Award as of the date of the Change in Control, as determined by the Committee in its sole discretion consistent with Section 3(d); (iii) if the underlying Replaced Award was an equity-based award, it relates to publicly traded equity securities of the Company or the entity surviving the Company following the Change in Control; (iv) it contains terms relating to vesting (including with respect to a Termination of Employment) that are substantially identical to those of the Replaced Award; and (v) its other terms and conditions are not less favorable to the Participant than the terms and conditions of the Replaced Award (including the provisions that would apply in the event of a subsequent Change in Control) as of the date of the Change in Control. Without limiting the generality of the foregoing, a Replacement Award may take the form of a continuation of the applicable Replaced Award if the requirements of the preceding sentence are satisfied. The determination whether the conditions of this Section 11(c) are satisfied shall be made by the Committee, as constituted immediately before the Change in Control, in its sole discretion.</w:t>
      </w:r>
    </w:p>
    <w:p>
      <w:pPr>
        <w:spacing w:after="0" w:line="198" w:lineRule="exact"/>
        <w:rPr>
          <w:rFonts w:ascii="Times New Roman" w:cs="Times New Roman" w:eastAsia="Times New Roman" w:hAnsi="Times New Roman"/>
          <w:sz w:val="17"/>
          <w:szCs w:val="17"/>
          <w:i w:val="1"/>
          <w:iCs w:val="1"/>
          <w:color w:val="auto"/>
        </w:rPr>
      </w:pPr>
    </w:p>
    <w:p>
      <w:pPr>
        <w:jc w:val="both"/>
        <w:ind w:firstLine="624"/>
        <w:spacing w:after="0" w:line="287" w:lineRule="auto"/>
        <w:tabs>
          <w:tab w:leader="none" w:pos="1038" w:val="left"/>
        </w:tabs>
        <w:numPr>
          <w:ilvl w:val="1"/>
          <w:numId w:val="10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of Employment</w:t>
      </w:r>
      <w:r>
        <w:rPr>
          <w:rFonts w:ascii="Times New Roman" w:cs="Times New Roman" w:eastAsia="Times New Roman" w:hAnsi="Times New Roman"/>
          <w:sz w:val="17"/>
          <w:szCs w:val="17"/>
          <w:color w:val="auto"/>
        </w:rPr>
        <w:t>. Notwithstanding any other provision of this Plan to the contrary and unless otherwise determined by the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set forth in the applicable Award Agreement (or other severance, change in control or employment agreement), upon a Termination of Employment of a Participant by the Company other than for Cause within 24 months following a Change in Control, (i) all Replacement Awards held by such Participant shall vest in full, be free of restrictions, and be deemed to be earned in full (with respect to Performance Goals, unless otherwise agreed in connection with the Change in Control, at the greater of (x) the applicable target level and (y) the level of achievement of the Performance Goals</w:t>
      </w:r>
    </w:p>
    <w:p>
      <w:pPr>
        <w:sectPr>
          <w:pgSz w:w="11900" w:h="16838" w:orient="portrait"/>
          <w:cols w:equalWidth="0" w:num="1">
            <w:col w:w="11240"/>
          </w:cols>
          <w:pgMar w:left="320" w:top="1143"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for the Award as determined by the Committee taking into account performance through the latest date preceding the Termination of Employment as to which performance can, as a practical matter, be determined (but not later than the end of the applicable Performance Period)), and (ii) unless otherwise provided in the applicable Award Agreement, notwithstanding any other provision of this Plan to the contrary, any Stock Option or Stock Appreciation Right held by the Participant as of the date of the Change in Control that remains outstanding as of the date of such Termination of Employment may thereafter be exercised until the expiration of the stated full Term of such Stock Option or Stock Appreciation Right.</w:t>
      </w:r>
    </w:p>
    <w:p>
      <w:pPr>
        <w:spacing w:after="0" w:line="191" w:lineRule="exact"/>
        <w:rPr>
          <w:sz w:val="20"/>
          <w:szCs w:val="20"/>
          <w:color w:val="auto"/>
        </w:rPr>
      </w:pPr>
    </w:p>
    <w:p>
      <w:pPr>
        <w:ind w:left="980" w:hanging="356"/>
        <w:spacing w:after="0"/>
        <w:tabs>
          <w:tab w:leader="none" w:pos="980" w:val="left"/>
        </w:tabs>
        <w:numPr>
          <w:ilvl w:val="0"/>
          <w:numId w:val="10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Definition of Change in Control</w:t>
      </w:r>
      <w:r>
        <w:rPr>
          <w:rFonts w:ascii="Times New Roman" w:cs="Times New Roman" w:eastAsia="Times New Roman" w:hAnsi="Times New Roman"/>
          <w:sz w:val="17"/>
          <w:szCs w:val="17"/>
          <w:color w:val="auto"/>
        </w:rPr>
        <w:t>. For purposes of this Plan, a “</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shall mean the happening of any of the following events:</w:t>
      </w:r>
    </w:p>
    <w:p>
      <w:pPr>
        <w:spacing w:after="0" w:line="272" w:lineRule="exact"/>
        <w:rPr>
          <w:sz w:val="20"/>
          <w:szCs w:val="20"/>
          <w:color w:val="auto"/>
        </w:rPr>
      </w:pPr>
    </w:p>
    <w:p>
      <w:pPr>
        <w:jc w:val="both"/>
        <w:ind w:left="620" w:firstLine="4"/>
        <w:spacing w:after="0" w:line="279" w:lineRule="auto"/>
        <w:tabs>
          <w:tab w:leader="none" w:pos="946"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by any individual, entity or group (within the meaning of Section 13(d)(3) or 14(d)(2) of the Exchange Act) (a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of beneficial ownership (within the meaning of Rule 13d-3 promulgated under the Exchange Act) of 30% or more of either (1) the then outstanding shares of common stock of the Company (the “</w:t>
      </w:r>
      <w:r>
        <w:rPr>
          <w:rFonts w:ascii="Times New Roman" w:cs="Times New Roman" w:eastAsia="Times New Roman" w:hAnsi="Times New Roman"/>
          <w:sz w:val="17"/>
          <w:szCs w:val="17"/>
          <w:u w:val="single" w:color="auto"/>
          <w:color w:val="auto"/>
        </w:rPr>
        <w:t>Outstanding Company Common Stock</w:t>
      </w:r>
      <w:r>
        <w:rPr>
          <w:rFonts w:ascii="Times New Roman" w:cs="Times New Roman" w:eastAsia="Times New Roman" w:hAnsi="Times New Roman"/>
          <w:sz w:val="17"/>
          <w:szCs w:val="17"/>
          <w:color w:val="auto"/>
        </w:rPr>
        <w:t>”) or (2) the combined voting power of the then outstanding voting securities of the Company entitled to vote generally in the election of directors (the “</w:t>
      </w:r>
      <w:r>
        <w:rPr>
          <w:rFonts w:ascii="Times New Roman" w:cs="Times New Roman" w:eastAsia="Times New Roman" w:hAnsi="Times New Roman"/>
          <w:sz w:val="17"/>
          <w:szCs w:val="17"/>
          <w:u w:val="single" w:color="auto"/>
          <w:color w:val="auto"/>
        </w:rPr>
        <w:t>Outstanding Company Voting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for purposes of this subsection (i), the following acquisitions shall not constitute a Change of Control: (1) any acquisition directly from the Company, (2) any acquisition by the Company, (3) any acquisition by any employee benefit plan (or related trust) sponsored or maintained by the Company or any entity controlled by the Company, or (4) any acquisition by any entity pursuant to a transaction which complies with clauses (1), (2) and (3) of subsection (iii) of this Section 11(e); or</w:t>
      </w:r>
    </w:p>
    <w:p>
      <w:pPr>
        <w:spacing w:after="0" w:line="199" w:lineRule="exact"/>
        <w:rPr>
          <w:rFonts w:ascii="Times New Roman" w:cs="Times New Roman" w:eastAsia="Times New Roman" w:hAnsi="Times New Roman"/>
          <w:sz w:val="17"/>
          <w:szCs w:val="17"/>
          <w:color w:val="auto"/>
        </w:rPr>
      </w:pPr>
    </w:p>
    <w:p>
      <w:pPr>
        <w:jc w:val="both"/>
        <w:ind w:left="620" w:firstLine="4"/>
        <w:spacing w:after="0" w:line="282" w:lineRule="auto"/>
        <w:tabs>
          <w:tab w:leader="none" w:pos="1043"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composition of the Board such that the individuals who, as of the Effective Date, constitute the Board (the “</w:t>
      </w:r>
      <w:r>
        <w:rPr>
          <w:rFonts w:ascii="Times New Roman" w:cs="Times New Roman" w:eastAsia="Times New Roman" w:hAnsi="Times New Roman"/>
          <w:sz w:val="17"/>
          <w:szCs w:val="17"/>
          <w:u w:val="single" w:color="auto"/>
          <w:color w:val="auto"/>
        </w:rPr>
        <w:t>Incumbent Board</w:t>
      </w:r>
      <w:r>
        <w:rPr>
          <w:rFonts w:ascii="Times New Roman" w:cs="Times New Roman" w:eastAsia="Times New Roman" w:hAnsi="Times New Roman"/>
          <w:sz w:val="17"/>
          <w:szCs w:val="17"/>
          <w:color w:val="auto"/>
        </w:rPr>
        <w:t xml:space="preserve">”) cease for any reason to constitute at least a majority of the Board;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for purposes of this Section 11(e), any individual who becomes a member of the Board subsequent to the Effective Date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 or</w:t>
      </w:r>
    </w:p>
    <w:p>
      <w:pPr>
        <w:spacing w:after="0" w:line="193" w:lineRule="exact"/>
        <w:rPr>
          <w:rFonts w:ascii="Times New Roman" w:cs="Times New Roman" w:eastAsia="Times New Roman" w:hAnsi="Times New Roman"/>
          <w:sz w:val="17"/>
          <w:szCs w:val="17"/>
          <w:color w:val="auto"/>
        </w:rPr>
      </w:pPr>
    </w:p>
    <w:p>
      <w:pPr>
        <w:jc w:val="both"/>
        <w:ind w:left="620" w:firstLine="4"/>
        <w:spacing w:after="0" w:line="277" w:lineRule="auto"/>
        <w:tabs>
          <w:tab w:leader="none" w:pos="107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reorganization, merger, statutory share exchange or consolidation or similar transaction involving the Company or any of its subsidiaries or sale or other disposition of all or substantially all of the assets of the Company, or the acquisition of assets or securities of another entity by the Company or any of its subsidiaries (a “</w:t>
      </w:r>
      <w:r>
        <w:rPr>
          <w:rFonts w:ascii="Times New Roman" w:cs="Times New Roman" w:eastAsia="Times New Roman" w:hAnsi="Times New Roman"/>
          <w:sz w:val="17"/>
          <w:szCs w:val="17"/>
          <w:u w:val="single" w:color="auto"/>
          <w:color w:val="auto"/>
        </w:rPr>
        <w:t>Business Combination</w:t>
      </w:r>
      <w:r>
        <w:rPr>
          <w:rFonts w:ascii="Times New Roman" w:cs="Times New Roman" w:eastAsia="Times New Roman" w:hAnsi="Times New Roman"/>
          <w:sz w:val="17"/>
          <w:szCs w:val="17"/>
          <w:color w:val="auto"/>
        </w:rPr>
        <w:t>”), in each case, unless, following such Business Combination, (1)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(or, for a non-corporate entity, equivalent securities) and the combined voting power of the then outstanding voting securities entitled to vote generally in the election of directors (or, for a non- corporate entity, equivalent securities),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(2) no Person (excluding any entity resulting from such Business Combination or any employee benefit plan (or related trust) of the Company or such entity resulting from such Business Combination) beneficially owns, directly or indirectly, 30% or more of, respectively, the then outstanding shares of common stock (or, for a non-corporate entity, equivalent securities) of the entity resulting from such Business Combination or the combined voting power of the then outstanding voting securities of such entity except to the extent that such ownership existed prior to the Business Combination, and (3) at least a majority of the members of the board of directors (or, for a non-corporate entity, equivalent body or committee) of the entity resulting from such</w:t>
      </w:r>
    </w:p>
    <w:p>
      <w:pPr>
        <w:sectPr>
          <w:pgSz w:w="11900" w:h="16838" w:orient="portrait"/>
          <w:cols w:equalWidth="0" w:num="1">
            <w:col w:w="11240"/>
          </w:cols>
          <w:pgMar w:left="320" w:top="339" w:right="339" w:bottom="1440" w:gutter="0" w:footer="0" w:header="0"/>
        </w:sectPr>
      </w:pPr>
    </w:p>
    <w:bookmarkStart w:id="154" w:name="page155"/>
    <w:bookmarkEnd w:id="154"/>
    <w:p>
      <w:pPr>
        <w:ind w:left="620"/>
        <w:spacing w:after="0" w:line="307" w:lineRule="auto"/>
        <w:rPr>
          <w:sz w:val="20"/>
          <w:szCs w:val="20"/>
          <w:color w:val="auto"/>
        </w:rPr>
      </w:pPr>
      <w:r>
        <w:rPr>
          <w:rFonts w:ascii="Times New Roman" w:cs="Times New Roman" w:eastAsia="Times New Roman" w:hAnsi="Times New Roman"/>
          <w:sz w:val="17"/>
          <w:szCs w:val="17"/>
          <w:color w:val="auto"/>
        </w:rPr>
        <w:t>Business Combination were members of the Incumbent Board at the time of the execution of the initial agreement, or of the action of the Board, providing for such Business Combination; or</w:t>
      </w:r>
    </w:p>
    <w:p>
      <w:pPr>
        <w:spacing w:after="0" w:line="173"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7"/>
          <w:szCs w:val="17"/>
          <w:color w:val="auto"/>
        </w:rPr>
        <w:t>(iv)</w:t>
        <w:tab/>
        <w:t>The approval by the shareholders of the Company of a complete liquidation or dissolution of the Company.</w:t>
      </w:r>
    </w:p>
    <w:p>
      <w:pPr>
        <w:spacing w:after="0" w:line="2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Section 12.</w:t>
        <w:tab/>
        <w:t>Section 16(b); Section 409A</w:t>
      </w:r>
    </w:p>
    <w:p>
      <w:pPr>
        <w:spacing w:after="0" w:line="259" w:lineRule="exact"/>
        <w:rPr>
          <w:sz w:val="20"/>
          <w:szCs w:val="20"/>
          <w:color w:val="auto"/>
        </w:rPr>
      </w:pPr>
    </w:p>
    <w:p>
      <w:pPr>
        <w:jc w:val="both"/>
        <w:ind w:firstLine="624"/>
        <w:spacing w:after="0" w:line="283" w:lineRule="auto"/>
        <w:tabs>
          <w:tab w:leader="none" w:pos="98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Plan are intended to ensure that no transaction under this Plan is subject to (and all such transactions will be exempt from) the short-swing recovery rules of Section 16(b) of the Exchange Act (“</w:t>
      </w:r>
      <w:r>
        <w:rPr>
          <w:rFonts w:ascii="Times New Roman" w:cs="Times New Roman" w:eastAsia="Times New Roman" w:hAnsi="Times New Roman"/>
          <w:sz w:val="17"/>
          <w:szCs w:val="17"/>
          <w:u w:val="single" w:color="auto"/>
          <w:color w:val="auto"/>
        </w:rPr>
        <w:t>Section 16(b)</w:t>
      </w:r>
      <w:r>
        <w:rPr>
          <w:rFonts w:ascii="Times New Roman" w:cs="Times New Roman" w:eastAsia="Times New Roman" w:hAnsi="Times New Roman"/>
          <w:sz w:val="17"/>
          <w:szCs w:val="17"/>
          <w:color w:val="auto"/>
        </w:rPr>
        <w:t>”).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205" w:lineRule="exact"/>
        <w:rPr>
          <w:rFonts w:ascii="Times New Roman" w:cs="Times New Roman" w:eastAsia="Times New Roman" w:hAnsi="Times New Roman"/>
          <w:sz w:val="17"/>
          <w:szCs w:val="17"/>
          <w:color w:val="auto"/>
        </w:rPr>
      </w:pPr>
    </w:p>
    <w:p>
      <w:pPr>
        <w:jc w:val="both"/>
        <w:ind w:firstLine="624"/>
        <w:spacing w:after="0" w:line="278" w:lineRule="auto"/>
        <w:tabs>
          <w:tab w:leader="none" w:pos="1043"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is intended to comply with the requirements of Section 409A of the Code or an exemption or exclusion therefrom and, with respect to amounts that are subject to Section 409A of the Code, it is intended that this Plan be administered in all respects in accordance with Section 409A of the Code. Each payment under any Award that constitutes non-qualified deferred compensation subject to Section 409A of the Code shall be treated as a separate payment for purposes of Section 409A of the Code. In no event may a Participant, directly or indirectly, designate the calendar year of any payment to be made under any Award that constitutes non-qualified deferred compensation subject to Section 409A of the Code. Notwithstanding any other provision of this Plan or any Award Agreement to the contrary, if a Participant is a “specified employee” within the meaning of Section 409A of the Code (as determined in accordance with the methodology established by the Company), amounts that constitute “nonqualified deferred compensation” within the meaning of Section 409A of the Code that would otherwise be payable by reason of a Participant’s Separation from Service during the six-month period immediately following such Separation from Service shall instead be paid or provided on the first business day following the date that is six months following the Participant’s Separation from Service. If the Participant dies following the Separation from Service and prior to the payment of any amounts delayed on account of Section 409A of the Code, such amounts shall be paid to the personal representative of the Participant’s estate within 30 days following the date of the Participant’s death.</w:t>
      </w:r>
    </w:p>
    <w:p>
      <w:pPr>
        <w:spacing w:after="0" w:line="19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Section 13.</w:t>
        <w:tab/>
        <w:t>Term, Amendment and Termination</w:t>
      </w:r>
    </w:p>
    <w:p>
      <w:pPr>
        <w:spacing w:after="0" w:line="270" w:lineRule="exact"/>
        <w:rPr>
          <w:sz w:val="20"/>
          <w:szCs w:val="20"/>
          <w:color w:val="auto"/>
        </w:rPr>
      </w:pPr>
    </w:p>
    <w:p>
      <w:pPr>
        <w:jc w:val="both"/>
        <w:ind w:firstLine="624"/>
        <w:spacing w:after="0" w:line="288" w:lineRule="auto"/>
        <w:tabs>
          <w:tab w:leader="none" w:pos="1046" w:val="left"/>
        </w:tabs>
        <w:numPr>
          <w:ilvl w:val="0"/>
          <w:numId w:val="1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Effectiveness</w:t>
      </w:r>
      <w:r>
        <w:rPr>
          <w:rFonts w:ascii="Times New Roman" w:cs="Times New Roman" w:eastAsia="Times New Roman" w:hAnsi="Times New Roman"/>
          <w:sz w:val="17"/>
          <w:szCs w:val="17"/>
          <w:color w:val="auto"/>
        </w:rPr>
        <w:t>. The Plan was approved by the Board on March 21, 2014, and became effective upon approval by the Company’s shareholders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8, 2014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The first amendment and restatement of the Plan was approved by the Board on February 9, 2017 and became effective upon approval by the Company’s shareholders on May 11, 2017. This second amendment and restatement of the Plan was approved by the Board on March 16, 2022, and it will be effective as of the date of such approval by the Company’s shareholders (the “</w:t>
      </w:r>
      <w:r>
        <w:rPr>
          <w:rFonts w:ascii="Times New Roman" w:cs="Times New Roman" w:eastAsia="Times New Roman" w:hAnsi="Times New Roman"/>
          <w:sz w:val="17"/>
          <w:szCs w:val="17"/>
          <w:u w:val="single" w:color="auto"/>
          <w:color w:val="auto"/>
        </w:rPr>
        <w:t>Restatement Effective Date</w:t>
      </w:r>
      <w:r>
        <w:rPr>
          <w:rFonts w:ascii="Times New Roman" w:cs="Times New Roman" w:eastAsia="Times New Roman" w:hAnsi="Times New Roman"/>
          <w:sz w:val="17"/>
          <w:szCs w:val="17"/>
          <w:color w:val="auto"/>
        </w:rPr>
        <w:t>”).</w:t>
      </w:r>
    </w:p>
    <w:p>
      <w:pPr>
        <w:spacing w:after="0" w:line="187" w:lineRule="exact"/>
        <w:rPr>
          <w:rFonts w:ascii="Times New Roman" w:cs="Times New Roman" w:eastAsia="Times New Roman" w:hAnsi="Times New Roman"/>
          <w:sz w:val="17"/>
          <w:szCs w:val="17"/>
          <w:i w:val="1"/>
          <w:iCs w:val="1"/>
          <w:color w:val="auto"/>
        </w:rPr>
      </w:pPr>
    </w:p>
    <w:p>
      <w:pPr>
        <w:ind w:firstLine="624"/>
        <w:spacing w:after="0" w:line="309" w:lineRule="auto"/>
        <w:tabs>
          <w:tab w:leader="none" w:pos="1033" w:val="left"/>
        </w:tabs>
        <w:numPr>
          <w:ilvl w:val="0"/>
          <w:numId w:val="1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The Plan will terminate on the tenth anniversary of the Restatement Effective Date. Awards outstanding as of such date shall not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affected or impaired by the termination of this Plan.</w:t>
      </w:r>
    </w:p>
    <w:p>
      <w:pPr>
        <w:spacing w:after="0" w:line="182" w:lineRule="exact"/>
        <w:rPr>
          <w:rFonts w:ascii="Times New Roman" w:cs="Times New Roman" w:eastAsia="Times New Roman" w:hAnsi="Times New Roman"/>
          <w:sz w:val="17"/>
          <w:szCs w:val="17"/>
          <w:i w:val="1"/>
          <w:iCs w:val="1"/>
          <w:color w:val="auto"/>
        </w:rPr>
      </w:pPr>
    </w:p>
    <w:p>
      <w:pPr>
        <w:jc w:val="both"/>
        <w:ind w:firstLine="624"/>
        <w:spacing w:after="0" w:line="283" w:lineRule="auto"/>
        <w:tabs>
          <w:tab w:leader="none" w:pos="999" w:val="left"/>
        </w:tabs>
        <w:numPr>
          <w:ilvl w:val="0"/>
          <w:numId w:val="1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Amendment of Plan</w:t>
      </w:r>
      <w:r>
        <w:rPr>
          <w:rFonts w:ascii="Times New Roman" w:cs="Times New Roman" w:eastAsia="Times New Roman" w:hAnsi="Times New Roman"/>
          <w:sz w:val="17"/>
          <w:szCs w:val="17"/>
          <w:color w:val="auto"/>
        </w:rPr>
        <w:t>. The Board or the Committee may amend, alter, or discontinue this Plan, but no amendment, alteration or discontinuation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made which would materially impair the rights of the Participant with respect to a previously granted Award without such Participant’s consent, except such an amendment made to comply with applicable law, including without limitation Section 409A of the Code, Applicable Exchange listing standards or accounting rules. In addition, no amendment shall be made without the approval of the Company’s shareholders to the extent such approval is required by applicable law or the listing standards of the Applicable Exchange.</w:t>
      </w:r>
    </w:p>
    <w:p>
      <w:pPr>
        <w:spacing w:after="0" w:line="192" w:lineRule="exact"/>
        <w:rPr>
          <w:rFonts w:ascii="Times New Roman" w:cs="Times New Roman" w:eastAsia="Times New Roman" w:hAnsi="Times New Roman"/>
          <w:sz w:val="17"/>
          <w:szCs w:val="17"/>
          <w:i w:val="1"/>
          <w:iCs w:val="1"/>
          <w:color w:val="auto"/>
        </w:rPr>
      </w:pPr>
    </w:p>
    <w:p>
      <w:pPr>
        <w:jc w:val="both"/>
        <w:ind w:firstLine="624"/>
        <w:spacing w:after="0" w:line="297" w:lineRule="auto"/>
        <w:tabs>
          <w:tab w:leader="none" w:pos="1043" w:val="left"/>
        </w:tabs>
        <w:numPr>
          <w:ilvl w:val="0"/>
          <w:numId w:val="1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Amendment of Awards</w:t>
      </w:r>
      <w:r>
        <w:rPr>
          <w:rFonts w:ascii="Times New Roman" w:cs="Times New Roman" w:eastAsia="Times New Roman" w:hAnsi="Times New Roman"/>
          <w:sz w:val="17"/>
          <w:szCs w:val="17"/>
          <w:color w:val="auto"/>
        </w:rPr>
        <w:t>. Subject to Section 5(d), the Committee may unilaterally amend the terms of any Award theretofore granted, but no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 shall without the Participant’s consent materially impair the rights of any Participant with respect to an Award, except such an amendment made to cause this Plan or Award to comply with applicable law, Applicable Exchange listing standards or accounting rules.</w:t>
      </w:r>
    </w:p>
    <w:p>
      <w:pPr>
        <w:sectPr>
          <w:pgSz w:w="11900" w:h="16838" w:orient="portrait"/>
          <w:cols w:equalWidth="0" w:num="1">
            <w:col w:w="11240"/>
          </w:cols>
          <w:pgMar w:left="320" w:top="1143"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Section 14.</w:t>
        <w:tab/>
        <w:t>Unfunded Status of Plan</w:t>
      </w:r>
    </w:p>
    <w:p>
      <w:pPr>
        <w:spacing w:after="0" w:line="259"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color w:val="auto"/>
        </w:rPr>
        <w:t xml:space="preserve">It is intended that this Plan constitute an “unfunded” plan for incentive and deferred compensation. The Committee may authorize the creation of trusts or other arrangements to meet the obligations created under this Plan to deliver Common Stock or make payments;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unless the Committee otherwise determines, the existence of such trusts or other arrangements is consistent with the “unfunded” status of this Plan.</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Section 15.</w:t>
        <w:tab/>
        <w:t>General Provisions</w:t>
      </w:r>
    </w:p>
    <w:p>
      <w:pPr>
        <w:spacing w:after="0" w:line="257" w:lineRule="exact"/>
        <w:rPr>
          <w:sz w:val="20"/>
          <w:szCs w:val="20"/>
          <w:color w:val="auto"/>
        </w:rPr>
      </w:pPr>
    </w:p>
    <w:p>
      <w:pPr>
        <w:jc w:val="both"/>
        <w:ind w:firstLine="624"/>
        <w:spacing w:after="0" w:line="281" w:lineRule="auto"/>
        <w:tabs>
          <w:tab w:leader="none" w:pos="1038" w:val="left"/>
        </w:tabs>
        <w:numPr>
          <w:ilvl w:val="0"/>
          <w:numId w:val="1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Conditions for Issuance</w:t>
      </w:r>
      <w:r>
        <w:rPr>
          <w:rFonts w:ascii="Times New Roman" w:cs="Times New Roman" w:eastAsia="Times New Roman" w:hAnsi="Times New Roman"/>
          <w:sz w:val="17"/>
          <w:szCs w:val="17"/>
          <w:color w:val="auto"/>
        </w:rPr>
        <w:t>. The Committee may require each person purchasing or receiving Shares pursuant to an Award to represent to and agree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this Plan or agreements made pursuant thereto, the Company shall not be required to issue or deliver any certificate or certificates for Shares under this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spacing w:after="0" w:line="200" w:lineRule="exact"/>
        <w:rPr>
          <w:rFonts w:ascii="Times New Roman" w:cs="Times New Roman" w:eastAsia="Times New Roman" w:hAnsi="Times New Roman"/>
          <w:sz w:val="17"/>
          <w:szCs w:val="17"/>
          <w:i w:val="1"/>
          <w:iCs w:val="1"/>
          <w:color w:val="auto"/>
        </w:rPr>
      </w:pPr>
    </w:p>
    <w:p>
      <w:pPr>
        <w:spacing w:after="0" w:line="219" w:lineRule="exact"/>
        <w:rPr>
          <w:rFonts w:ascii="Times New Roman" w:cs="Times New Roman" w:eastAsia="Times New Roman" w:hAnsi="Times New Roman"/>
          <w:sz w:val="17"/>
          <w:szCs w:val="17"/>
          <w:i w:val="1"/>
          <w:iCs w:val="1"/>
          <w:color w:val="auto"/>
        </w:rPr>
      </w:pPr>
    </w:p>
    <w:p>
      <w:pPr>
        <w:ind w:firstLine="624"/>
        <w:spacing w:after="0" w:line="325" w:lineRule="auto"/>
        <w:tabs>
          <w:tab w:leader="none" w:pos="1043" w:val="left"/>
        </w:tabs>
        <w:numPr>
          <w:ilvl w:val="0"/>
          <w:numId w:val="1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Additional Compensation Arrangements</w:t>
      </w:r>
      <w:r>
        <w:rPr>
          <w:rFonts w:ascii="Times New Roman" w:cs="Times New Roman" w:eastAsia="Times New Roman" w:hAnsi="Times New Roman"/>
          <w:sz w:val="17"/>
          <w:szCs w:val="17"/>
          <w:color w:val="auto"/>
        </w:rPr>
        <w:t>. Nothing contained in this Plan shall prevent the Company or any Subsidiary or Affiliate from adopting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or additional compensation arrangements for its employees.</w:t>
      </w:r>
    </w:p>
    <w:p>
      <w:pPr>
        <w:spacing w:after="0" w:line="156" w:lineRule="exact"/>
        <w:rPr>
          <w:rFonts w:ascii="Times New Roman" w:cs="Times New Roman" w:eastAsia="Times New Roman" w:hAnsi="Times New Roman"/>
          <w:sz w:val="17"/>
          <w:szCs w:val="17"/>
          <w:i w:val="1"/>
          <w:iCs w:val="1"/>
          <w:color w:val="auto"/>
        </w:rPr>
      </w:pPr>
    </w:p>
    <w:p>
      <w:pPr>
        <w:jc w:val="both"/>
        <w:ind w:firstLine="624"/>
        <w:spacing w:after="0" w:line="297" w:lineRule="auto"/>
        <w:tabs>
          <w:tab w:leader="none" w:pos="1000" w:val="left"/>
        </w:tabs>
        <w:numPr>
          <w:ilvl w:val="0"/>
          <w:numId w:val="1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 Contract of Employment</w:t>
      </w:r>
      <w:r>
        <w:rPr>
          <w:rFonts w:ascii="Times New Roman" w:cs="Times New Roman" w:eastAsia="Times New Roman" w:hAnsi="Times New Roman"/>
          <w:sz w:val="17"/>
          <w:szCs w:val="17"/>
          <w:color w:val="auto"/>
        </w:rPr>
        <w:t>. The Plan shall not constitute a contract of employment, and adoption of this Plan shall not confer upon any employee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right to continued employment, nor shall it interfere in any way with the right of the Company or any Subsidiary or Affiliate to terminate the employment of any employee at any time.</w:t>
      </w:r>
    </w:p>
    <w:p>
      <w:pPr>
        <w:spacing w:after="0" w:line="179" w:lineRule="exact"/>
        <w:rPr>
          <w:rFonts w:ascii="Times New Roman" w:cs="Times New Roman" w:eastAsia="Times New Roman" w:hAnsi="Times New Roman"/>
          <w:sz w:val="17"/>
          <w:szCs w:val="17"/>
          <w:i w:val="1"/>
          <w:iCs w:val="1"/>
          <w:color w:val="auto"/>
        </w:rPr>
      </w:pPr>
    </w:p>
    <w:p>
      <w:pPr>
        <w:jc w:val="both"/>
        <w:ind w:firstLine="624"/>
        <w:spacing w:after="0" w:line="278" w:lineRule="auto"/>
        <w:tabs>
          <w:tab w:leader="none" w:pos="994" w:val="left"/>
        </w:tabs>
        <w:numPr>
          <w:ilvl w:val="0"/>
          <w:numId w:val="1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Required Taxes</w:t>
      </w:r>
      <w:r>
        <w:rPr>
          <w:rFonts w:ascii="Times New Roman" w:cs="Times New Roman" w:eastAsia="Times New Roman" w:hAnsi="Times New Roman"/>
          <w:sz w:val="17"/>
          <w:szCs w:val="17"/>
          <w:color w:val="auto"/>
        </w:rPr>
        <w:t>. No later than the date as of which an amount first becomes includible in the gross income of a Participant for federal, state, local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foreign income or employment or other tax purposes with respect to any Award under this Plan, such Participant shall pay to the Company, or make arrangements satisfactory to the Company regarding the payment of, any federal, state, local or foreign taxes of any kind required by law to be withheld with respect to such amount. Unless otherwise determined by the Company, withholding obligations may be settled with Common Stock, including Common Stock that is part of the Award that gives rise to the withholding requirement, having a Fair Market Value on the date of withholding of up to the maximum amount permitted to be withheld for tax purposes, but in no event less than the minimum amount required to be withheld for tax purposes, all in accordance with such procedures as the Committee establishes. The obligations of the Company under this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unless otherwise subsequently determined by the Committee, with respect to a Participant subject to Section 16 of the Exchange Act, the withholding of Shares by the Company or any of its Affiliates to satisfy tax, exercise price or other withholding obligations in respect of an Award shall be mandatory.</w:t>
      </w:r>
    </w:p>
    <w:p>
      <w:pPr>
        <w:spacing w:after="0" w:line="212" w:lineRule="exact"/>
        <w:rPr>
          <w:rFonts w:ascii="Times New Roman" w:cs="Times New Roman" w:eastAsia="Times New Roman" w:hAnsi="Times New Roman"/>
          <w:sz w:val="17"/>
          <w:szCs w:val="17"/>
          <w:i w:val="1"/>
          <w:iCs w:val="1"/>
          <w:color w:val="auto"/>
        </w:rPr>
      </w:pPr>
    </w:p>
    <w:p>
      <w:pPr>
        <w:jc w:val="both"/>
        <w:ind w:firstLine="624"/>
        <w:spacing w:after="0" w:line="281" w:lineRule="auto"/>
        <w:tabs>
          <w:tab w:leader="none" w:pos="1088" w:val="left"/>
        </w:tabs>
        <w:numPr>
          <w:ilvl w:val="0"/>
          <w:numId w:val="1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Limitation on Dividend Reinvestment and Dividend Equivalents</w:t>
      </w:r>
      <w:r>
        <w:rPr>
          <w:rFonts w:ascii="Times New Roman" w:cs="Times New Roman" w:eastAsia="Times New Roman" w:hAnsi="Times New Roman"/>
          <w:sz w:val="17"/>
          <w:szCs w:val="17"/>
          <w:color w:val="auto"/>
        </w:rPr>
        <w:t>. Reinvestment of dividends in additional Restricted Stock at the time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dividend payment, and the payment of Shares with respect to dividends to Participants holding Awards of Restricted Stock Units, shall only be permissible if sufficient Shares are available under Section 3 for such reinvestment or payment (taking into account then-outstanding Awards). If sufficient Shares are not available for such reinvestment or payment, such reinvestment or payment shall be made in the form of a grant of Restricted Stock Units equal in number to the Shares that would have been obtained by such payment or reinvestment, the terms of which Restricted Stock Units shall provide for settlement in cash and for dividend equivalent reinvestment in further Restricted Stock Units on the terms contemplated by this Section 15(e).</w:t>
      </w:r>
    </w:p>
    <w:p>
      <w:pPr>
        <w:sectPr>
          <w:pgSz w:w="11900" w:h="16838" w:orient="portrait"/>
          <w:cols w:equalWidth="0" w:num="1">
            <w:col w:w="11240"/>
          </w:cols>
          <w:pgMar w:left="320" w:top="339" w:right="339" w:bottom="1440" w:gutter="0" w:footer="0" w:header="0"/>
        </w:sectPr>
      </w:pPr>
    </w:p>
    <w:bookmarkStart w:id="156" w:name="page157"/>
    <w:bookmarkEnd w:id="156"/>
    <w:p>
      <w:pPr>
        <w:jc w:val="both"/>
        <w:ind w:left="-624" w:firstLine="624"/>
        <w:spacing w:after="0" w:line="289" w:lineRule="auto"/>
        <w:tabs>
          <w:tab w:leader="none" w:pos="332" w:val="left"/>
        </w:tabs>
        <w:numPr>
          <w:ilvl w:val="0"/>
          <w:numId w:val="1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Designation of Death Beneficiary</w:t>
      </w:r>
      <w:r>
        <w:rPr>
          <w:rFonts w:ascii="Times New Roman" w:cs="Times New Roman" w:eastAsia="Times New Roman" w:hAnsi="Times New Roman"/>
          <w:sz w:val="17"/>
          <w:szCs w:val="17"/>
          <w:color w:val="auto"/>
        </w:rPr>
        <w:t>. The Committee shall establish such procedures as it deems appropriate for a Participant to designate a beneficiary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whom any amounts payable in the event of such Participant’s death are to be paid or by whom any rights of such eligible Individual, after such Participant’s death, may be exercised.</w:t>
      </w:r>
    </w:p>
    <w:p>
      <w:pPr>
        <w:spacing w:after="0" w:line="199" w:lineRule="exact"/>
        <w:rPr>
          <w:rFonts w:ascii="Times New Roman" w:cs="Times New Roman" w:eastAsia="Times New Roman" w:hAnsi="Times New Roman"/>
          <w:sz w:val="17"/>
          <w:szCs w:val="17"/>
          <w:i w:val="1"/>
          <w:iCs w:val="1"/>
          <w:color w:val="auto"/>
        </w:rPr>
      </w:pPr>
    </w:p>
    <w:p>
      <w:pPr>
        <w:jc w:val="both"/>
        <w:ind w:left="-624" w:firstLine="624"/>
        <w:spacing w:after="0" w:line="288" w:lineRule="auto"/>
        <w:tabs>
          <w:tab w:leader="none" w:pos="380" w:val="left"/>
        </w:tabs>
        <w:numPr>
          <w:ilvl w:val="0"/>
          <w:numId w:val="1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Subsidiary Employees</w:t>
      </w:r>
      <w:r>
        <w:rPr>
          <w:rFonts w:ascii="Times New Roman" w:cs="Times New Roman" w:eastAsia="Times New Roman" w:hAnsi="Times New Roman"/>
          <w:sz w:val="17"/>
          <w:szCs w:val="17"/>
          <w:color w:val="auto"/>
        </w:rPr>
        <w:t>. In the case of a grant of an Award to any employee of a Subsidiary, the Company may, if the Committee so directs, issue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this Plan. All Shares underlying Awards that are forfeited or canceled revert to the Company.</w:t>
      </w:r>
    </w:p>
    <w:p>
      <w:pPr>
        <w:spacing w:after="0" w:line="187" w:lineRule="exact"/>
        <w:rPr>
          <w:rFonts w:ascii="Times New Roman" w:cs="Times New Roman" w:eastAsia="Times New Roman" w:hAnsi="Times New Roman"/>
          <w:sz w:val="17"/>
          <w:szCs w:val="17"/>
          <w:i w:val="1"/>
          <w:iCs w:val="1"/>
          <w:color w:val="auto"/>
        </w:rPr>
      </w:pPr>
    </w:p>
    <w:p>
      <w:pPr>
        <w:jc w:val="both"/>
        <w:ind w:left="-624" w:firstLine="624"/>
        <w:spacing w:after="0" w:line="297" w:lineRule="auto"/>
        <w:tabs>
          <w:tab w:leader="none" w:pos="392" w:val="left"/>
        </w:tabs>
        <w:numPr>
          <w:ilvl w:val="0"/>
          <w:numId w:val="1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Governing Law and Interpretation</w:t>
      </w:r>
      <w:r>
        <w:rPr>
          <w:rFonts w:ascii="Times New Roman" w:cs="Times New Roman" w:eastAsia="Times New Roman" w:hAnsi="Times New Roman"/>
          <w:sz w:val="17"/>
          <w:szCs w:val="17"/>
          <w:color w:val="auto"/>
        </w:rPr>
        <w:t>. The Plan and all Awards made and actions taken thereunder shall be governed by and construed in accordance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laws of the State of Delaware, without reference to principles of conflict of laws. The captions of this Plan are not part of the provisions hereof and shall have no force or effect.</w:t>
      </w:r>
    </w:p>
    <w:p>
      <w:pPr>
        <w:spacing w:after="0" w:line="179" w:lineRule="exact"/>
        <w:rPr>
          <w:rFonts w:ascii="Times New Roman" w:cs="Times New Roman" w:eastAsia="Times New Roman" w:hAnsi="Times New Roman"/>
          <w:sz w:val="17"/>
          <w:szCs w:val="17"/>
          <w:i w:val="1"/>
          <w:iCs w:val="1"/>
          <w:color w:val="auto"/>
        </w:rPr>
      </w:pPr>
    </w:p>
    <w:p>
      <w:pPr>
        <w:ind w:left="-624" w:firstLine="624"/>
        <w:spacing w:after="0" w:line="309" w:lineRule="auto"/>
        <w:tabs>
          <w:tab w:leader="none" w:pos="345" w:val="left"/>
        </w:tabs>
        <w:numPr>
          <w:ilvl w:val="0"/>
          <w:numId w:val="1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Non-Transferability</w:t>
      </w:r>
      <w:r>
        <w:rPr>
          <w:rFonts w:ascii="Times New Roman" w:cs="Times New Roman" w:eastAsia="Times New Roman" w:hAnsi="Times New Roman"/>
          <w:sz w:val="17"/>
          <w:szCs w:val="17"/>
          <w:color w:val="auto"/>
        </w:rPr>
        <w:t>. Except as otherwise provided in Sections 5(i), 6(c)(ii) and 7(b)(ii) or as determined by the Committee, Awards under this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not transferable except by will or by laws of descent and distribution.</w:t>
      </w:r>
    </w:p>
    <w:p>
      <w:pPr>
        <w:spacing w:after="0" w:line="182" w:lineRule="exact"/>
        <w:rPr>
          <w:rFonts w:ascii="Times New Roman" w:cs="Times New Roman" w:eastAsia="Times New Roman" w:hAnsi="Times New Roman"/>
          <w:sz w:val="17"/>
          <w:szCs w:val="17"/>
          <w:i w:val="1"/>
          <w:iCs w:val="1"/>
          <w:color w:val="auto"/>
        </w:rPr>
      </w:pPr>
    </w:p>
    <w:p>
      <w:pPr>
        <w:ind w:left="-624" w:firstLine="624"/>
        <w:spacing w:after="0" w:line="309" w:lineRule="auto"/>
        <w:tabs>
          <w:tab w:leader="none" w:pos="332" w:val="left"/>
        </w:tabs>
        <w:numPr>
          <w:ilvl w:val="0"/>
          <w:numId w:val="1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Recoupment Policy</w:t>
      </w:r>
      <w:r>
        <w:rPr>
          <w:rFonts w:ascii="Times New Roman" w:cs="Times New Roman" w:eastAsia="Times New Roman" w:hAnsi="Times New Roman"/>
          <w:sz w:val="17"/>
          <w:szCs w:val="17"/>
          <w:color w:val="auto"/>
        </w:rPr>
        <w:t>. Awards shall be subject to any incentive compensation recoupment policy established from time to time by the Company and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 events shall be subject to such forfeiture and recoupment provisions as may be required by applicable law or exchange rule or regulation.</w:t>
      </w:r>
    </w:p>
    <w:p>
      <w:pPr>
        <w:sectPr>
          <w:pgSz w:w="11900" w:h="16838" w:orient="portrait"/>
          <w:cols w:equalWidth="0" w:num="1">
            <w:col w:w="10616"/>
          </w:cols>
          <w:pgMar w:left="944" w:top="1374" w:right="339" w:bottom="1440" w:gutter="0" w:footer="0" w:header="0"/>
        </w:sectPr>
      </w:pPr>
    </w:p>
    <w:bookmarkStart w:id="157" w:name="page158"/>
    <w:bookmarkEnd w:id="157"/>
    <w:p>
      <w:pPr>
        <w:jc w:val="right"/>
        <w:spacing w:after="0"/>
        <w:rPr>
          <w:sz w:val="20"/>
          <w:szCs w:val="20"/>
          <w:color w:val="auto"/>
        </w:rPr>
      </w:pPr>
      <w:r>
        <w:rPr>
          <w:rFonts w:ascii="Calibri" w:cs="Calibri" w:eastAsia="Calibri" w:hAnsi="Calibri"/>
          <w:sz w:val="19"/>
          <w:szCs w:val="19"/>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760"/>
        <w:spacing w:after="0"/>
        <w:rPr>
          <w:sz w:val="20"/>
          <w:szCs w:val="20"/>
          <w:color w:val="auto"/>
        </w:rPr>
      </w:pPr>
      <w:r>
        <w:rPr>
          <w:rFonts w:ascii="Calibri" w:cs="Calibri" w:eastAsia="Calibri" w:hAnsi="Calibri"/>
          <w:sz w:val="19"/>
          <w:szCs w:val="19"/>
          <w:b w:val="1"/>
          <w:bCs w:val="1"/>
          <w:color w:val="404040"/>
        </w:rPr>
        <w:t>NMI HOLDINGS, INC.</w:t>
      </w:r>
    </w:p>
    <w:p>
      <w:pPr>
        <w:ind w:left="3240"/>
        <w:spacing w:after="0" w:line="200" w:lineRule="auto"/>
        <w:rPr>
          <w:sz w:val="20"/>
          <w:szCs w:val="20"/>
          <w:color w:val="auto"/>
        </w:rPr>
      </w:pPr>
      <w:r>
        <w:rPr>
          <w:rFonts w:ascii="Calibri" w:cs="Calibri" w:eastAsia="Calibri" w:hAnsi="Calibri"/>
          <w:sz w:val="19"/>
          <w:szCs w:val="19"/>
          <w:b w:val="1"/>
          <w:bCs w:val="1"/>
          <w:color w:val="404040"/>
        </w:rPr>
        <w:t>AMENDED AND RESTATED 2014 OMNIBUS INCENTIVE PLAN</w:t>
      </w:r>
    </w:p>
    <w:p>
      <w:pPr>
        <w:ind w:left="3760"/>
        <w:spacing w:after="0" w:line="194" w:lineRule="auto"/>
        <w:rPr>
          <w:sz w:val="20"/>
          <w:szCs w:val="20"/>
          <w:color w:val="auto"/>
        </w:rPr>
      </w:pPr>
      <w:r>
        <w:rPr>
          <w:rFonts w:ascii="Calibri" w:cs="Calibri" w:eastAsia="Calibri" w:hAnsi="Calibri"/>
          <w:sz w:val="19"/>
          <w:szCs w:val="19"/>
          <w:b w:val="1"/>
          <w:bCs w:val="1"/>
          <w:color w:val="404040"/>
        </w:rPr>
        <w:t>RESTRICTED STOCK UNIT AWARD AGREEMENT</w:t>
      </w:r>
    </w:p>
    <w:p>
      <w:pPr>
        <w:jc w:val="center"/>
        <w:spacing w:after="0" w:line="194" w:lineRule="auto"/>
        <w:rPr>
          <w:sz w:val="20"/>
          <w:szCs w:val="20"/>
          <w:color w:val="auto"/>
        </w:rPr>
      </w:pPr>
      <w:r>
        <w:rPr>
          <w:rFonts w:ascii="Calibri" w:cs="Calibri" w:eastAsia="Calibri" w:hAnsi="Calibri"/>
          <w:sz w:val="19"/>
          <w:szCs w:val="19"/>
          <w:b w:val="1"/>
          <w:bCs w:val="1"/>
          <w:color w:val="404040"/>
        </w:rPr>
        <w:t>(FOR INDEPENDENT DIRECTORS)</w:t>
      </w:r>
    </w:p>
    <w:p>
      <w:pPr>
        <w:spacing w:after="0" w:line="166" w:lineRule="exact"/>
        <w:rPr>
          <w:sz w:val="20"/>
          <w:szCs w:val="20"/>
          <w:color w:val="auto"/>
        </w:rPr>
      </w:pPr>
    </w:p>
    <w:p>
      <w:pPr>
        <w:ind w:left="1240"/>
        <w:spacing w:after="0"/>
        <w:rPr>
          <w:sz w:val="20"/>
          <w:szCs w:val="20"/>
          <w:color w:val="auto"/>
        </w:rPr>
      </w:pPr>
      <w:r>
        <w:rPr>
          <w:rFonts w:ascii="Calibri" w:cs="Calibri" w:eastAsia="Calibri" w:hAnsi="Calibri"/>
          <w:sz w:val="19"/>
          <w:szCs w:val="19"/>
          <w:b w:val="1"/>
          <w:bCs w:val="1"/>
          <w:color w:val="404040"/>
        </w:rPr>
        <w:t xml:space="preserve">THIS RESTRICTED STOCK UNIT AWARD AGREEMENT </w:t>
      </w:r>
      <w:r>
        <w:rPr>
          <w:rFonts w:ascii="Calibri" w:cs="Calibri" w:eastAsia="Calibri" w:hAnsi="Calibri"/>
          <w:sz w:val="19"/>
          <w:szCs w:val="19"/>
          <w:color w:val="404040"/>
        </w:rPr>
        <w:t>(this “</w:t>
      </w:r>
      <w:r>
        <w:rPr>
          <w:rFonts w:ascii="Calibri" w:cs="Calibri" w:eastAsia="Calibri" w:hAnsi="Calibri"/>
          <w:sz w:val="19"/>
          <w:szCs w:val="19"/>
          <w:u w:val="single" w:color="auto"/>
          <w:color w:val="404040"/>
        </w:rPr>
        <w:t>Agreement</w:t>
      </w:r>
      <w:r>
        <w:rPr>
          <w:rFonts w:ascii="Calibri" w:cs="Calibri" w:eastAsia="Calibri" w:hAnsi="Calibri"/>
          <w:sz w:val="19"/>
          <w:szCs w:val="19"/>
          <w:color w:val="404040"/>
        </w:rPr>
        <w:t>”), dated as of [</w:t>
      </w:r>
      <w:r>
        <w:rPr>
          <w:rFonts w:ascii="Arial" w:cs="Arial" w:eastAsia="Arial" w:hAnsi="Arial"/>
          <w:sz w:val="19"/>
          <w:szCs w:val="19"/>
          <w:color w:val="404040"/>
        </w:rPr>
        <w:t>●</w:t>
      </w:r>
      <w:r>
        <w:rPr>
          <w:rFonts w:ascii="Calibri" w:cs="Calibri" w:eastAsia="Calibri" w:hAnsi="Calibri"/>
          <w:sz w:val="19"/>
          <w:szCs w:val="19"/>
          <w:color w:val="404040"/>
        </w:rPr>
        <w:t>], ________ (the “</w:t>
      </w:r>
      <w:r>
        <w:rPr>
          <w:rFonts w:ascii="Calibri" w:cs="Calibri" w:eastAsia="Calibri" w:hAnsi="Calibri"/>
          <w:sz w:val="19"/>
          <w:szCs w:val="19"/>
          <w:u w:val="single" w:color="auto"/>
          <w:color w:val="404040"/>
        </w:rPr>
        <w:t>Grant Date</w:t>
      </w:r>
      <w:r>
        <w:rPr>
          <w:rFonts w:ascii="Calibri" w:cs="Calibri" w:eastAsia="Calibri" w:hAnsi="Calibri"/>
          <w:sz w:val="19"/>
          <w:szCs w:val="19"/>
          <w:color w:val="404040"/>
        </w:rPr>
        <w:t>”), is made</w:t>
      </w:r>
    </w:p>
    <w:p>
      <w:pPr>
        <w:spacing w:after="0" w:line="204" w:lineRule="auto"/>
        <w:rPr>
          <w:sz w:val="20"/>
          <w:szCs w:val="20"/>
          <w:color w:val="auto"/>
        </w:rPr>
      </w:pPr>
      <w:r>
        <w:rPr>
          <w:rFonts w:ascii="Calibri" w:cs="Calibri" w:eastAsia="Calibri" w:hAnsi="Calibri"/>
          <w:sz w:val="19"/>
          <w:szCs w:val="19"/>
          <w:color w:val="404040"/>
        </w:rPr>
        <w:t>by and between NMI Holdings, Inc., a Delaware corporaton (the “</w:t>
      </w:r>
      <w:r>
        <w:rPr>
          <w:rFonts w:ascii="Calibri" w:cs="Calibri" w:eastAsia="Calibri" w:hAnsi="Calibri"/>
          <w:sz w:val="19"/>
          <w:szCs w:val="19"/>
          <w:u w:val="single" w:color="auto"/>
          <w:color w:val="404040"/>
        </w:rPr>
        <w:t>Company</w:t>
      </w:r>
      <w:r>
        <w:rPr>
          <w:rFonts w:ascii="Calibri" w:cs="Calibri" w:eastAsia="Calibri" w:hAnsi="Calibri"/>
          <w:sz w:val="19"/>
          <w:szCs w:val="19"/>
          <w:color w:val="404040"/>
        </w:rPr>
        <w:t>”), and [NAME] (“</w:t>
      </w:r>
      <w:r>
        <w:rPr>
          <w:rFonts w:ascii="Calibri" w:cs="Calibri" w:eastAsia="Calibri" w:hAnsi="Calibri"/>
          <w:sz w:val="19"/>
          <w:szCs w:val="19"/>
          <w:u w:val="single" w:color="auto"/>
          <w:color w:val="404040"/>
        </w:rPr>
        <w:t>Partcipant</w:t>
      </w:r>
      <w:r>
        <w:rPr>
          <w:rFonts w:ascii="Calibri" w:cs="Calibri" w:eastAsia="Calibri" w:hAnsi="Calibri"/>
          <w:sz w:val="19"/>
          <w:szCs w:val="19"/>
          <w:color w:val="404040"/>
        </w:rPr>
        <w:t>”).</w:t>
      </w:r>
    </w:p>
    <w:p>
      <w:pPr>
        <w:spacing w:after="0" w:line="157" w:lineRule="exact"/>
        <w:rPr>
          <w:sz w:val="20"/>
          <w:szCs w:val="20"/>
          <w:color w:val="auto"/>
        </w:rPr>
      </w:pPr>
    </w:p>
    <w:p>
      <w:pPr>
        <w:ind w:left="1240"/>
        <w:spacing w:after="0"/>
        <w:rPr>
          <w:sz w:val="20"/>
          <w:szCs w:val="20"/>
          <w:color w:val="auto"/>
        </w:rPr>
      </w:pPr>
      <w:r>
        <w:rPr>
          <w:rFonts w:ascii="Calibri" w:cs="Calibri" w:eastAsia="Calibri" w:hAnsi="Calibri"/>
          <w:sz w:val="19"/>
          <w:szCs w:val="19"/>
          <w:b w:val="1"/>
          <w:bCs w:val="1"/>
          <w:color w:val="404040"/>
        </w:rPr>
        <w:t>WHEREAS</w:t>
      </w:r>
      <w:r>
        <w:rPr>
          <w:rFonts w:ascii="Calibri" w:cs="Calibri" w:eastAsia="Calibri" w:hAnsi="Calibri"/>
          <w:sz w:val="19"/>
          <w:szCs w:val="19"/>
          <w:color w:val="404040"/>
        </w:rPr>
        <w:t>, the Company has adopted the NMI Holdings, Inc. Amended and Restated 2014 Omnibus Incentve Plan (the</w:t>
      </w:r>
    </w:p>
    <w:p>
      <w:pPr>
        <w:spacing w:after="0" w:line="200" w:lineRule="auto"/>
        <w:rPr>
          <w:sz w:val="20"/>
          <w:szCs w:val="20"/>
          <w:color w:val="auto"/>
        </w:rPr>
      </w:pPr>
      <w:r>
        <w:rPr>
          <w:rFonts w:ascii="Calibri" w:cs="Calibri" w:eastAsia="Calibri" w:hAnsi="Calibri"/>
          <w:sz w:val="19"/>
          <w:szCs w:val="19"/>
          <w:color w:val="404040"/>
        </w:rPr>
        <w:t>“</w:t>
      </w:r>
      <w:r>
        <w:rPr>
          <w:rFonts w:ascii="Calibri" w:cs="Calibri" w:eastAsia="Calibri" w:hAnsi="Calibri"/>
          <w:sz w:val="19"/>
          <w:szCs w:val="19"/>
          <w:u w:val="single" w:color="auto"/>
          <w:color w:val="404040"/>
        </w:rPr>
        <w:t>Plan</w:t>
      </w:r>
      <w:r>
        <w:rPr>
          <w:rFonts w:ascii="Calibri" w:cs="Calibri" w:eastAsia="Calibri" w:hAnsi="Calibri"/>
          <w:sz w:val="19"/>
          <w:szCs w:val="19"/>
          <w:color w:val="404040"/>
        </w:rPr>
        <w:t>”); and</w:t>
      </w:r>
    </w:p>
    <w:p>
      <w:pPr>
        <w:spacing w:after="0" w:line="176" w:lineRule="exact"/>
        <w:rPr>
          <w:sz w:val="20"/>
          <w:szCs w:val="20"/>
          <w:color w:val="auto"/>
        </w:rPr>
      </w:pPr>
    </w:p>
    <w:p>
      <w:pPr>
        <w:jc w:val="both"/>
        <w:ind w:right="100" w:firstLine="1242"/>
        <w:spacing w:after="0" w:line="207" w:lineRule="auto"/>
        <w:rPr>
          <w:sz w:val="20"/>
          <w:szCs w:val="20"/>
          <w:color w:val="auto"/>
        </w:rPr>
      </w:pPr>
      <w:r>
        <w:rPr>
          <w:rFonts w:ascii="Calibri" w:cs="Calibri" w:eastAsia="Calibri" w:hAnsi="Calibri"/>
          <w:sz w:val="19"/>
          <w:szCs w:val="19"/>
          <w:b w:val="1"/>
          <w:bCs w:val="1"/>
          <w:color w:val="404040"/>
        </w:rPr>
        <w:t>WHEREAS</w:t>
      </w:r>
      <w:r>
        <w:rPr>
          <w:rFonts w:ascii="Calibri" w:cs="Calibri" w:eastAsia="Calibri" w:hAnsi="Calibri"/>
          <w:sz w:val="19"/>
          <w:szCs w:val="19"/>
          <w:color w:val="404040"/>
        </w:rPr>
        <w:t>, the Commitee has determined that it would be in the best interests of the Company and its stockholders to grant</w:t>
      </w:r>
      <w:r>
        <w:rPr>
          <w:rFonts w:ascii="Calibri" w:cs="Calibri" w:eastAsia="Calibri" w:hAnsi="Calibri"/>
          <w:sz w:val="19"/>
          <w:szCs w:val="19"/>
          <w:b w:val="1"/>
          <w:bCs w:val="1"/>
          <w:color w:val="404040"/>
        </w:rPr>
        <w:t xml:space="preserve"> </w:t>
      </w:r>
      <w:r>
        <w:rPr>
          <w:rFonts w:ascii="Calibri" w:cs="Calibri" w:eastAsia="Calibri" w:hAnsi="Calibri"/>
          <w:sz w:val="19"/>
          <w:szCs w:val="19"/>
          <w:color w:val="404040"/>
        </w:rPr>
        <w:t>Partcipant restricted stock units with respect to a number of shares of the Company’s Common Stock (the “</w:t>
      </w:r>
      <w:r>
        <w:rPr>
          <w:rFonts w:ascii="Calibri" w:cs="Calibri" w:eastAsia="Calibri" w:hAnsi="Calibri"/>
          <w:sz w:val="19"/>
          <w:szCs w:val="19"/>
          <w:u w:val="single" w:color="auto"/>
          <w:color w:val="404040"/>
        </w:rPr>
        <w:t>Shares</w:t>
      </w:r>
      <w:r>
        <w:rPr>
          <w:rFonts w:ascii="Calibri" w:cs="Calibri" w:eastAsia="Calibri" w:hAnsi="Calibri"/>
          <w:sz w:val="19"/>
          <w:szCs w:val="19"/>
          <w:color w:val="404040"/>
        </w:rPr>
        <w:t>”) on the terms and subject to the conditons set forth in this Agreement and the Plan.</w:t>
      </w:r>
    </w:p>
    <w:p>
      <w:pPr>
        <w:spacing w:after="0" w:line="176" w:lineRule="exact"/>
        <w:rPr>
          <w:sz w:val="20"/>
          <w:szCs w:val="20"/>
          <w:color w:val="auto"/>
        </w:rPr>
      </w:pPr>
    </w:p>
    <w:p>
      <w:pPr>
        <w:ind w:right="100" w:firstLine="1242"/>
        <w:spacing w:after="0" w:line="207" w:lineRule="auto"/>
        <w:rPr>
          <w:sz w:val="20"/>
          <w:szCs w:val="20"/>
          <w:color w:val="auto"/>
        </w:rPr>
      </w:pPr>
      <w:r>
        <w:rPr>
          <w:rFonts w:ascii="Calibri" w:cs="Calibri" w:eastAsia="Calibri" w:hAnsi="Calibri"/>
          <w:sz w:val="19"/>
          <w:szCs w:val="19"/>
          <w:b w:val="1"/>
          <w:bCs w:val="1"/>
          <w:color w:val="404040"/>
        </w:rPr>
        <w:t>NOW THEREFORE</w:t>
      </w:r>
      <w:r>
        <w:rPr>
          <w:rFonts w:ascii="Calibri" w:cs="Calibri" w:eastAsia="Calibri" w:hAnsi="Calibri"/>
          <w:sz w:val="19"/>
          <w:szCs w:val="19"/>
          <w:color w:val="404040"/>
        </w:rPr>
        <w:t>, for and in consideraton of the premises and the covenants of the partes contained in this Agreement, and</w:t>
      </w:r>
      <w:r>
        <w:rPr>
          <w:rFonts w:ascii="Calibri" w:cs="Calibri" w:eastAsia="Calibri" w:hAnsi="Calibri"/>
          <w:sz w:val="19"/>
          <w:szCs w:val="19"/>
          <w:b w:val="1"/>
          <w:bCs w:val="1"/>
          <w:color w:val="404040"/>
        </w:rPr>
        <w:t xml:space="preserve"> </w:t>
      </w:r>
      <w:r>
        <w:rPr>
          <w:rFonts w:ascii="Calibri" w:cs="Calibri" w:eastAsia="Calibri" w:hAnsi="Calibri"/>
          <w:sz w:val="19"/>
          <w:szCs w:val="19"/>
          <w:color w:val="404040"/>
        </w:rPr>
        <w:t>for other good and valuable consideraton, the receipt of which is hereby acknowledged, the partes hereto, for themselves, their successors and assigns, hereby agree as follows:</w:t>
      </w:r>
    </w:p>
    <w:p>
      <w:pPr>
        <w:spacing w:after="0" w:line="170" w:lineRule="exact"/>
        <w:rPr>
          <w:sz w:val="20"/>
          <w:szCs w:val="20"/>
          <w:color w:val="auto"/>
        </w:rPr>
      </w:pPr>
    </w:p>
    <w:p>
      <w:pPr>
        <w:ind w:left="1560" w:hanging="315"/>
        <w:spacing w:after="0"/>
        <w:tabs>
          <w:tab w:leader="none" w:pos="1560" w:val="left"/>
        </w:tabs>
        <w:numPr>
          <w:ilvl w:val="0"/>
          <w:numId w:val="114"/>
        </w:numPr>
        <w:rPr>
          <w:rFonts w:ascii="Calibri" w:cs="Calibri" w:eastAsia="Calibri" w:hAnsi="Calibri"/>
          <w:sz w:val="19"/>
          <w:szCs w:val="19"/>
          <w:color w:val="404040"/>
        </w:rPr>
      </w:pPr>
      <w:r>
        <w:rPr>
          <w:rFonts w:ascii="Calibri" w:cs="Calibri" w:eastAsia="Calibri" w:hAnsi="Calibri"/>
          <w:sz w:val="19"/>
          <w:szCs w:val="19"/>
          <w:u w:val="single" w:color="auto"/>
          <w:color w:val="404040"/>
        </w:rPr>
        <w:t>Grant of Restricted Stock Unit Award</w:t>
      </w:r>
      <w:r>
        <w:rPr>
          <w:rFonts w:ascii="Calibri" w:cs="Calibri" w:eastAsia="Calibri" w:hAnsi="Calibri"/>
          <w:sz w:val="19"/>
          <w:szCs w:val="19"/>
          <w:color w:val="404040"/>
        </w:rPr>
        <w:t>.</w:t>
      </w:r>
    </w:p>
    <w:p>
      <w:pPr>
        <w:spacing w:after="0" w:line="152" w:lineRule="exact"/>
        <w:rPr>
          <w:rFonts w:ascii="Calibri" w:cs="Calibri" w:eastAsia="Calibri" w:hAnsi="Calibri"/>
          <w:sz w:val="19"/>
          <w:szCs w:val="19"/>
          <w:color w:val="404040"/>
        </w:rPr>
      </w:pPr>
    </w:p>
    <w:p>
      <w:pPr>
        <w:ind w:right="40" w:firstLine="1866"/>
        <w:spacing w:after="0" w:line="222" w:lineRule="auto"/>
        <w:tabs>
          <w:tab w:leader="none" w:pos="2249" w:val="left"/>
        </w:tabs>
        <w:numPr>
          <w:ilvl w:val="1"/>
          <w:numId w:val="114"/>
        </w:numPr>
        <w:rPr>
          <w:rFonts w:ascii="Calibri" w:cs="Calibri" w:eastAsia="Calibri" w:hAnsi="Calibri"/>
          <w:sz w:val="19"/>
          <w:szCs w:val="19"/>
          <w:color w:val="404040"/>
        </w:rPr>
      </w:pPr>
      <w:r>
        <w:rPr>
          <w:rFonts w:ascii="Calibri" w:cs="Calibri" w:eastAsia="Calibri" w:hAnsi="Calibri"/>
          <w:sz w:val="19"/>
          <w:szCs w:val="19"/>
          <w:u w:val="single" w:color="auto"/>
          <w:color w:val="404040"/>
        </w:rPr>
        <w:t>Grant</w:t>
      </w:r>
      <w:r>
        <w:rPr>
          <w:rFonts w:ascii="Calibri" w:cs="Calibri" w:eastAsia="Calibri" w:hAnsi="Calibri"/>
          <w:sz w:val="19"/>
          <w:szCs w:val="19"/>
          <w:color w:val="404040"/>
        </w:rPr>
        <w:t>. The Company hereby grants to Partcipant an award of restricted stock units with respect to [</w:t>
      </w:r>
      <w:r>
        <w:rPr>
          <w:rFonts w:ascii="Arial" w:cs="Arial" w:eastAsia="Arial" w:hAnsi="Arial"/>
          <w:sz w:val="19"/>
          <w:szCs w:val="19"/>
          <w:color w:val="404040"/>
        </w:rPr>
        <w:t>●</w:t>
      </w:r>
      <w:r>
        <w:rPr>
          <w:rFonts w:ascii="Calibri" w:cs="Calibri" w:eastAsia="Calibri" w:hAnsi="Calibri"/>
          <w:sz w:val="19"/>
          <w:szCs w:val="19"/>
          <w:color w:val="404040"/>
        </w:rPr>
        <w:t>] Shares (the “</w:t>
      </w:r>
      <w:r>
        <w:rPr>
          <w:rFonts w:ascii="Calibri" w:cs="Calibri" w:eastAsia="Calibri" w:hAnsi="Calibri"/>
          <w:sz w:val="19"/>
          <w:szCs w:val="19"/>
          <w:u w:val="single" w:color="auto"/>
          <w:color w:val="404040"/>
        </w:rPr>
        <w:t>RSUs</w:t>
      </w:r>
      <w:r>
        <w:rPr>
          <w:rFonts w:ascii="Calibri" w:cs="Calibri" w:eastAsia="Calibri" w:hAnsi="Calibri"/>
          <w:sz w:val="19"/>
          <w:szCs w:val="19"/>
          <w:color w:val="404040"/>
        </w:rPr>
        <w:t>”) on the terms and conditons set forth in this Agreement and as otherwise provided in the Plan.</w:t>
      </w:r>
    </w:p>
    <w:p>
      <w:pPr>
        <w:spacing w:after="0" w:line="175" w:lineRule="exact"/>
        <w:rPr>
          <w:rFonts w:ascii="Calibri" w:cs="Calibri" w:eastAsia="Calibri" w:hAnsi="Calibri"/>
          <w:sz w:val="19"/>
          <w:szCs w:val="19"/>
          <w:color w:val="404040"/>
        </w:rPr>
      </w:pPr>
    </w:p>
    <w:p>
      <w:pPr>
        <w:jc w:val="both"/>
        <w:ind w:firstLine="1866"/>
        <w:spacing w:after="0" w:line="207" w:lineRule="auto"/>
        <w:tabs>
          <w:tab w:leader="none" w:pos="2258" w:val="left"/>
        </w:tabs>
        <w:numPr>
          <w:ilvl w:val="1"/>
          <w:numId w:val="114"/>
        </w:numPr>
        <w:rPr>
          <w:rFonts w:ascii="Calibri" w:cs="Calibri" w:eastAsia="Calibri" w:hAnsi="Calibri"/>
          <w:sz w:val="19"/>
          <w:szCs w:val="19"/>
          <w:color w:val="404040"/>
        </w:rPr>
      </w:pPr>
      <w:r>
        <w:rPr>
          <w:rFonts w:ascii="Calibri" w:cs="Calibri" w:eastAsia="Calibri" w:hAnsi="Calibri"/>
          <w:sz w:val="19"/>
          <w:szCs w:val="19"/>
          <w:u w:val="single" w:color="auto"/>
          <w:color w:val="404040"/>
        </w:rPr>
        <w:t>Incorporaton by Reference, Etc.</w:t>
      </w:r>
      <w:r>
        <w:rPr>
          <w:rFonts w:ascii="Calibri" w:cs="Calibri" w:eastAsia="Calibri" w:hAnsi="Calibri"/>
          <w:sz w:val="19"/>
          <w:szCs w:val="19"/>
          <w:color w:val="404040"/>
        </w:rPr>
        <w:t xml:space="preserve"> The provisions of the Plan are hereby incorporated herein by reference. Except as otherwise expressly set forth herein, this Agreement shall be construed in accordance with the provisions of the Plan and any capitalized terms not otherwise defned in this Agreement shall have the defnitons set forth in the Plan.</w:t>
      </w:r>
    </w:p>
    <w:p>
      <w:pPr>
        <w:spacing w:after="0" w:line="170" w:lineRule="exact"/>
        <w:rPr>
          <w:rFonts w:ascii="Calibri" w:cs="Calibri" w:eastAsia="Calibri" w:hAnsi="Calibri"/>
          <w:sz w:val="19"/>
          <w:szCs w:val="19"/>
          <w:color w:val="404040"/>
        </w:rPr>
      </w:pPr>
    </w:p>
    <w:p>
      <w:pPr>
        <w:ind w:left="1560" w:hanging="315"/>
        <w:spacing w:after="0"/>
        <w:tabs>
          <w:tab w:leader="none" w:pos="1560" w:val="left"/>
        </w:tabs>
        <w:numPr>
          <w:ilvl w:val="0"/>
          <w:numId w:val="114"/>
        </w:numPr>
        <w:rPr>
          <w:rFonts w:ascii="Calibri" w:cs="Calibri" w:eastAsia="Calibri" w:hAnsi="Calibri"/>
          <w:sz w:val="19"/>
          <w:szCs w:val="19"/>
          <w:color w:val="404040"/>
        </w:rPr>
      </w:pPr>
      <w:r>
        <w:rPr>
          <w:rFonts w:ascii="Calibri" w:cs="Calibri" w:eastAsia="Calibri" w:hAnsi="Calibri"/>
          <w:sz w:val="19"/>
          <w:szCs w:val="19"/>
          <w:u w:val="single" w:color="auto"/>
          <w:color w:val="404040"/>
        </w:rPr>
        <w:t>Vestng</w:t>
      </w:r>
      <w:r>
        <w:rPr>
          <w:rFonts w:ascii="Calibri" w:cs="Calibri" w:eastAsia="Calibri" w:hAnsi="Calibri"/>
          <w:sz w:val="19"/>
          <w:szCs w:val="19"/>
          <w:color w:val="404040"/>
        </w:rPr>
        <w:t>.</w:t>
      </w:r>
    </w:p>
    <w:p>
      <w:pPr>
        <w:spacing w:after="0" w:line="161" w:lineRule="exact"/>
        <w:rPr>
          <w:rFonts w:ascii="Calibri" w:cs="Calibri" w:eastAsia="Calibri" w:hAnsi="Calibri"/>
          <w:sz w:val="19"/>
          <w:szCs w:val="19"/>
          <w:color w:val="404040"/>
        </w:rPr>
      </w:pPr>
    </w:p>
    <w:p>
      <w:pPr>
        <w:ind w:right="380" w:firstLine="1866"/>
        <w:spacing w:after="0" w:line="217" w:lineRule="auto"/>
        <w:tabs>
          <w:tab w:leader="none" w:pos="2249" w:val="left"/>
        </w:tabs>
        <w:numPr>
          <w:ilvl w:val="1"/>
          <w:numId w:val="114"/>
        </w:numPr>
        <w:rPr>
          <w:rFonts w:ascii="Calibri" w:cs="Calibri" w:eastAsia="Calibri" w:hAnsi="Calibri"/>
          <w:sz w:val="19"/>
          <w:szCs w:val="19"/>
          <w:color w:val="404040"/>
        </w:rPr>
      </w:pPr>
      <w:r>
        <w:rPr>
          <w:rFonts w:ascii="Calibri" w:cs="Calibri" w:eastAsia="Calibri" w:hAnsi="Calibri"/>
          <w:sz w:val="19"/>
          <w:szCs w:val="19"/>
          <w:u w:val="single" w:color="auto"/>
          <w:color w:val="404040"/>
        </w:rPr>
        <w:t>General</w:t>
      </w:r>
      <w:r>
        <w:rPr>
          <w:rFonts w:ascii="Calibri" w:cs="Calibri" w:eastAsia="Calibri" w:hAnsi="Calibri"/>
          <w:sz w:val="19"/>
          <w:szCs w:val="19"/>
          <w:color w:val="404040"/>
        </w:rPr>
        <w:t>. Except as may otherwise be provided herein, the RSUs shall vest on the frst anniversary of the Grant Date, subject to Partcipant not having incurred a Terminaton of Employment prior to the applicable vestng date.</w:t>
      </w:r>
    </w:p>
    <w:p>
      <w:pPr>
        <w:spacing w:after="0" w:line="162" w:lineRule="exact"/>
        <w:rPr>
          <w:rFonts w:ascii="Calibri" w:cs="Calibri" w:eastAsia="Calibri" w:hAnsi="Calibri"/>
          <w:sz w:val="19"/>
          <w:szCs w:val="19"/>
          <w:color w:val="404040"/>
        </w:rPr>
      </w:pPr>
    </w:p>
    <w:p>
      <w:pPr>
        <w:ind w:right="220" w:firstLine="1866"/>
        <w:spacing w:after="0" w:line="204" w:lineRule="auto"/>
        <w:tabs>
          <w:tab w:leader="none" w:pos="2258" w:val="left"/>
        </w:tabs>
        <w:numPr>
          <w:ilvl w:val="1"/>
          <w:numId w:val="114"/>
        </w:numPr>
        <w:rPr>
          <w:rFonts w:ascii="Calibri" w:cs="Calibri" w:eastAsia="Calibri" w:hAnsi="Calibri"/>
          <w:sz w:val="19"/>
          <w:szCs w:val="19"/>
          <w:color w:val="404040"/>
        </w:rPr>
      </w:pPr>
      <w:r>
        <w:rPr>
          <w:rFonts w:ascii="Calibri" w:cs="Calibri" w:eastAsia="Calibri" w:hAnsi="Calibri"/>
          <w:sz w:val="19"/>
          <w:szCs w:val="19"/>
          <w:u w:val="single" w:color="auto"/>
          <w:color w:val="404040"/>
        </w:rPr>
        <w:t>Terminaton of Employment</w:t>
      </w:r>
      <w:r>
        <w:rPr>
          <w:rFonts w:ascii="Calibri" w:cs="Calibri" w:eastAsia="Calibri" w:hAnsi="Calibri"/>
          <w:sz w:val="19"/>
          <w:szCs w:val="19"/>
          <w:color w:val="404040"/>
        </w:rPr>
        <w:t>. Except as provided in the immediately following sentence, in the event that Partcipant incurs a Terminaton of Employment, any unvested RSUs shall be forfeited by Partcipant without consideraton therefor. Notwithstanding the foregoing, in the event that Partcipant incurs a Terminaton of Employment due to Partcipant’s death or Disability, any unvested RSUs shall accelerate and vest in full as of the date of Terminaton of Employment and be paid out as soon as is administratvely practcable.</w:t>
      </w:r>
    </w:p>
    <w:p>
      <w:pPr>
        <w:spacing w:after="0" w:line="178" w:lineRule="exact"/>
        <w:rPr>
          <w:rFonts w:ascii="Calibri" w:cs="Calibri" w:eastAsia="Calibri" w:hAnsi="Calibri"/>
          <w:sz w:val="19"/>
          <w:szCs w:val="19"/>
          <w:color w:val="404040"/>
        </w:rPr>
      </w:pPr>
    </w:p>
    <w:p>
      <w:pPr>
        <w:ind w:right="200" w:firstLine="1245"/>
        <w:spacing w:after="0" w:line="207" w:lineRule="auto"/>
        <w:tabs>
          <w:tab w:leader="none" w:pos="1565" w:val="left"/>
        </w:tabs>
        <w:numPr>
          <w:ilvl w:val="0"/>
          <w:numId w:val="114"/>
        </w:numPr>
        <w:rPr>
          <w:rFonts w:ascii="Calibri" w:cs="Calibri" w:eastAsia="Calibri" w:hAnsi="Calibri"/>
          <w:sz w:val="19"/>
          <w:szCs w:val="19"/>
          <w:color w:val="404040"/>
        </w:rPr>
      </w:pPr>
      <w:r>
        <w:rPr>
          <w:rFonts w:ascii="Calibri" w:cs="Calibri" w:eastAsia="Calibri" w:hAnsi="Calibri"/>
          <w:sz w:val="19"/>
          <w:szCs w:val="19"/>
          <w:u w:val="single" w:color="auto"/>
          <w:color w:val="404040"/>
        </w:rPr>
        <w:t>Setlement</w:t>
      </w:r>
      <w:r>
        <w:rPr>
          <w:rFonts w:ascii="Calibri" w:cs="Calibri" w:eastAsia="Calibri" w:hAnsi="Calibri"/>
          <w:sz w:val="19"/>
          <w:szCs w:val="19"/>
          <w:color w:val="404040"/>
        </w:rPr>
        <w:t>. As soon as practcable afer any RSUs have vested (and in any event, no later than ffeen business days immediately following the date of such vestng), such RSUs shall be setled. For each vested RSU setled pursuant to this Secton 3, subject to Secton 3(d) of the Plan (as applicable), the Company shall issue to Partcipant one Share.</w:t>
      </w:r>
    </w:p>
    <w:p>
      <w:pPr>
        <w:spacing w:after="0" w:line="201" w:lineRule="exact"/>
        <w:rPr>
          <w:rFonts w:ascii="Calibri" w:cs="Calibri" w:eastAsia="Calibri" w:hAnsi="Calibri"/>
          <w:sz w:val="19"/>
          <w:szCs w:val="19"/>
          <w:color w:val="404040"/>
        </w:rPr>
      </w:pPr>
    </w:p>
    <w:p>
      <w:pPr>
        <w:ind w:right="140" w:firstLine="1245"/>
        <w:spacing w:after="0" w:line="205" w:lineRule="auto"/>
        <w:tabs>
          <w:tab w:leader="none" w:pos="1565" w:val="left"/>
        </w:tabs>
        <w:numPr>
          <w:ilvl w:val="0"/>
          <w:numId w:val="114"/>
        </w:numPr>
        <w:rPr>
          <w:rFonts w:ascii="Calibri" w:cs="Calibri" w:eastAsia="Calibri" w:hAnsi="Calibri"/>
          <w:sz w:val="19"/>
          <w:szCs w:val="19"/>
          <w:color w:val="404040"/>
        </w:rPr>
      </w:pPr>
      <w:r>
        <w:rPr>
          <w:rFonts w:ascii="Calibri" w:cs="Calibri" w:eastAsia="Calibri" w:hAnsi="Calibri"/>
          <w:sz w:val="19"/>
          <w:szCs w:val="19"/>
          <w:u w:val="single" w:color="auto"/>
          <w:color w:val="404040"/>
        </w:rPr>
        <w:t>Taxes</w:t>
      </w:r>
      <w:r>
        <w:rPr>
          <w:rFonts w:ascii="Calibri" w:cs="Calibri" w:eastAsia="Calibri" w:hAnsi="Calibri"/>
          <w:sz w:val="19"/>
          <w:szCs w:val="19"/>
          <w:color w:val="404040"/>
        </w:rPr>
        <w:t>. Partcipant (or, in the event of Partcipant’s death, any benefciary), shall be solely responsible for any federal, state or local income or self-employment taxes that Partcipant incurs in connecton with the receipt of the award of RSUs or the vestng of such RSUs and the Company shall have no obligaton or liability with respect to the Partcipant’s (or, in the event of Partcipant’s death, any benefciary’s) satsfacton of such taxes and shall have no withholding obligatons with respect thereof.</w:t>
      </w:r>
    </w:p>
    <w:p>
      <w:pPr>
        <w:sectPr>
          <w:pgSz w:w="11900" w:h="16838" w:orient="portrait"/>
          <w:cols w:equalWidth="0" w:num="1">
            <w:col w:w="11240"/>
          </w:cols>
          <w:pgMar w:left="320" w:top="83" w:right="339" w:bottom="1440" w:gutter="0" w:footer="0" w:header="0"/>
        </w:sectPr>
      </w:pPr>
    </w:p>
    <w:bookmarkStart w:id="158" w:name="page159"/>
    <w:bookmarkEnd w:id="158"/>
    <w:p>
      <w:pPr>
        <w:ind w:firstLine="1245"/>
        <w:spacing w:after="0" w:line="211" w:lineRule="auto"/>
        <w:tabs>
          <w:tab w:leader="none" w:pos="1565" w:val="left"/>
        </w:tabs>
        <w:numPr>
          <w:ilvl w:val="0"/>
          <w:numId w:val="115"/>
        </w:numPr>
        <w:rPr>
          <w:rFonts w:ascii="Calibri" w:cs="Calibri" w:eastAsia="Calibri" w:hAnsi="Calibri"/>
          <w:sz w:val="19"/>
          <w:szCs w:val="19"/>
          <w:color w:val="404040"/>
        </w:rPr>
      </w:pPr>
      <w:r>
        <w:rPr>
          <w:rFonts w:ascii="Calibri" w:cs="Calibri" w:eastAsia="Calibri" w:hAnsi="Calibri"/>
          <w:sz w:val="19"/>
          <w:szCs w:val="19"/>
          <w:u w:val="single" w:color="auto"/>
          <w:color w:val="404040"/>
        </w:rPr>
        <w:t>No Rights as Stockholder</w:t>
      </w:r>
      <w:r>
        <w:rPr>
          <w:rFonts w:ascii="Calibri" w:cs="Calibri" w:eastAsia="Calibri" w:hAnsi="Calibri"/>
          <w:sz w:val="19"/>
          <w:szCs w:val="19"/>
          <w:color w:val="404040"/>
        </w:rPr>
        <w:t>. Untl such tme as the RSUs have been setled and the underlying Shares have been delivered to Partcipant and Partcipant has become the holder of record of such Shares, Partcipant shall have no rights as a stockholder, including, without limitaton, the right to dividends and the right to vote.</w:t>
      </w:r>
    </w:p>
    <w:p>
      <w:pPr>
        <w:spacing w:after="0" w:line="164" w:lineRule="exact"/>
        <w:rPr>
          <w:rFonts w:ascii="Calibri" w:cs="Calibri" w:eastAsia="Calibri" w:hAnsi="Calibri"/>
          <w:sz w:val="19"/>
          <w:szCs w:val="19"/>
          <w:color w:val="404040"/>
        </w:rPr>
      </w:pPr>
    </w:p>
    <w:p>
      <w:pPr>
        <w:ind w:firstLine="1245"/>
        <w:spacing w:after="0" w:line="204" w:lineRule="auto"/>
        <w:tabs>
          <w:tab w:leader="none" w:pos="1565" w:val="left"/>
        </w:tabs>
        <w:numPr>
          <w:ilvl w:val="0"/>
          <w:numId w:val="115"/>
        </w:numPr>
        <w:rPr>
          <w:rFonts w:ascii="Calibri" w:cs="Calibri" w:eastAsia="Calibri" w:hAnsi="Calibri"/>
          <w:sz w:val="19"/>
          <w:szCs w:val="19"/>
          <w:color w:val="404040"/>
        </w:rPr>
      </w:pPr>
      <w:r>
        <w:rPr>
          <w:rFonts w:ascii="Calibri" w:cs="Calibri" w:eastAsia="Calibri" w:hAnsi="Calibri"/>
          <w:sz w:val="19"/>
          <w:szCs w:val="19"/>
          <w:u w:val="single" w:color="auto"/>
          <w:color w:val="404040"/>
        </w:rPr>
        <w:t>Transferability</w:t>
      </w:r>
      <w:r>
        <w:rPr>
          <w:rFonts w:ascii="Calibri" w:cs="Calibri" w:eastAsia="Calibri" w:hAnsi="Calibri"/>
          <w:sz w:val="19"/>
          <w:szCs w:val="19"/>
          <w:color w:val="404040"/>
        </w:rPr>
        <w:t xml:space="preserve">. The RSUs may not, at any tme prior to becoming vested, be assigned, alienated, pledged, atached, sold or otherwise transferred or encumbered by Partcipant other than by will or by the laws of descent and distributon and any such purported assignment, alienaton, pledge, atachment, sale, transfer or encumbrance shall be void and unenforceable against the Company, its Subsidiary or Afliate; </w:t>
      </w:r>
      <w:r>
        <w:rPr>
          <w:rFonts w:ascii="Calibri" w:cs="Calibri" w:eastAsia="Calibri" w:hAnsi="Calibri"/>
          <w:sz w:val="19"/>
          <w:szCs w:val="19"/>
          <w:u w:val="single" w:color="auto"/>
          <w:color w:val="404040"/>
        </w:rPr>
        <w:t>provided</w:t>
      </w:r>
      <w:r>
        <w:rPr>
          <w:rFonts w:ascii="Calibri" w:cs="Calibri" w:eastAsia="Calibri" w:hAnsi="Calibri"/>
          <w:sz w:val="19"/>
          <w:szCs w:val="19"/>
          <w:color w:val="404040"/>
        </w:rPr>
        <w:t xml:space="preserve"> that the designaton of a benefciary shall not consttute an assignment, alienaton, pledge, atachment, sale, transfer or encumbrance.</w:t>
      </w:r>
    </w:p>
    <w:p>
      <w:pPr>
        <w:spacing w:after="0" w:line="178" w:lineRule="exact"/>
        <w:rPr>
          <w:rFonts w:ascii="Calibri" w:cs="Calibri" w:eastAsia="Calibri" w:hAnsi="Calibri"/>
          <w:sz w:val="19"/>
          <w:szCs w:val="19"/>
          <w:color w:val="404040"/>
        </w:rPr>
      </w:pPr>
    </w:p>
    <w:p>
      <w:pPr>
        <w:ind w:right="780" w:firstLine="1245"/>
        <w:spacing w:after="0" w:line="210" w:lineRule="auto"/>
        <w:tabs>
          <w:tab w:leader="none" w:pos="1565" w:val="left"/>
        </w:tabs>
        <w:numPr>
          <w:ilvl w:val="0"/>
          <w:numId w:val="115"/>
        </w:numPr>
        <w:rPr>
          <w:rFonts w:ascii="Calibri" w:cs="Calibri" w:eastAsia="Calibri" w:hAnsi="Calibri"/>
          <w:sz w:val="19"/>
          <w:szCs w:val="19"/>
          <w:color w:val="404040"/>
        </w:rPr>
      </w:pPr>
      <w:r>
        <w:rPr>
          <w:rFonts w:ascii="Calibri" w:cs="Calibri" w:eastAsia="Calibri" w:hAnsi="Calibri"/>
          <w:sz w:val="19"/>
          <w:szCs w:val="19"/>
          <w:u w:val="single" w:color="auto"/>
          <w:color w:val="404040"/>
        </w:rPr>
        <w:t>Adjustment</w:t>
      </w:r>
      <w:r>
        <w:rPr>
          <w:rFonts w:ascii="Calibri" w:cs="Calibri" w:eastAsia="Calibri" w:hAnsi="Calibri"/>
          <w:sz w:val="19"/>
          <w:szCs w:val="19"/>
          <w:color w:val="404040"/>
        </w:rPr>
        <w:t>. Upon any event described in Secton 3(d) of the Plan occurring afer the Grant Date, the adjustment provisions as provided for under Secton 3(d) of the Plan shall apply to the RSUs.</w:t>
      </w:r>
    </w:p>
    <w:p>
      <w:pPr>
        <w:spacing w:after="0" w:line="176" w:lineRule="exact"/>
        <w:rPr>
          <w:rFonts w:ascii="Calibri" w:cs="Calibri" w:eastAsia="Calibri" w:hAnsi="Calibri"/>
          <w:sz w:val="19"/>
          <w:szCs w:val="19"/>
          <w:color w:val="404040"/>
        </w:rPr>
      </w:pPr>
    </w:p>
    <w:p>
      <w:pPr>
        <w:ind w:right="120" w:firstLine="1245"/>
        <w:spacing w:after="0" w:line="207" w:lineRule="auto"/>
        <w:tabs>
          <w:tab w:leader="none" w:pos="1565" w:val="left"/>
        </w:tabs>
        <w:numPr>
          <w:ilvl w:val="0"/>
          <w:numId w:val="115"/>
        </w:numPr>
        <w:rPr>
          <w:rFonts w:ascii="Calibri" w:cs="Calibri" w:eastAsia="Calibri" w:hAnsi="Calibri"/>
          <w:sz w:val="19"/>
          <w:szCs w:val="19"/>
          <w:color w:val="404040"/>
        </w:rPr>
      </w:pPr>
      <w:r>
        <w:rPr>
          <w:rFonts w:ascii="Calibri" w:cs="Calibri" w:eastAsia="Calibri" w:hAnsi="Calibri"/>
          <w:sz w:val="19"/>
          <w:szCs w:val="19"/>
          <w:u w:val="single" w:color="auto"/>
          <w:color w:val="404040"/>
        </w:rPr>
        <w:t>Change in Control</w:t>
      </w:r>
      <w:r>
        <w:rPr>
          <w:rFonts w:ascii="Calibri" w:cs="Calibri" w:eastAsia="Calibri" w:hAnsi="Calibri"/>
          <w:sz w:val="19"/>
          <w:szCs w:val="19"/>
          <w:color w:val="404040"/>
        </w:rPr>
        <w:t>. In the event of a Change in Control of the Company occurring afer the Grant Date, all outstanding unvested RSUs shall become fully vested upon the occurrence of such Change in Control. Any RSUs that vest in connecton with this Secton 8 shall be setled in a manner consistent with Secton 3 of this Agreement.</w:t>
      </w:r>
    </w:p>
    <w:p>
      <w:pPr>
        <w:spacing w:after="0" w:line="170" w:lineRule="exact"/>
        <w:rPr>
          <w:rFonts w:ascii="Calibri" w:cs="Calibri" w:eastAsia="Calibri" w:hAnsi="Calibri"/>
          <w:sz w:val="19"/>
          <w:szCs w:val="19"/>
          <w:color w:val="404040"/>
        </w:rPr>
      </w:pPr>
    </w:p>
    <w:p>
      <w:pPr>
        <w:ind w:left="1560" w:hanging="315"/>
        <w:spacing w:after="0"/>
        <w:tabs>
          <w:tab w:leader="none" w:pos="1560" w:val="left"/>
        </w:tabs>
        <w:numPr>
          <w:ilvl w:val="0"/>
          <w:numId w:val="115"/>
        </w:numPr>
        <w:rPr>
          <w:rFonts w:ascii="Calibri" w:cs="Calibri" w:eastAsia="Calibri" w:hAnsi="Calibri"/>
          <w:sz w:val="19"/>
          <w:szCs w:val="19"/>
          <w:color w:val="404040"/>
        </w:rPr>
      </w:pPr>
      <w:r>
        <w:rPr>
          <w:rFonts w:ascii="Calibri" w:cs="Calibri" w:eastAsia="Calibri" w:hAnsi="Calibri"/>
          <w:sz w:val="19"/>
          <w:szCs w:val="19"/>
          <w:u w:val="single" w:color="auto"/>
          <w:color w:val="404040"/>
        </w:rPr>
        <w:t>Miscellaneous</w:t>
      </w:r>
      <w:r>
        <w:rPr>
          <w:rFonts w:ascii="Calibri" w:cs="Calibri" w:eastAsia="Calibri" w:hAnsi="Calibri"/>
          <w:sz w:val="19"/>
          <w:szCs w:val="19"/>
          <w:color w:val="404040"/>
        </w:rPr>
        <w:t>.</w:t>
      </w:r>
    </w:p>
    <w:p>
      <w:pPr>
        <w:spacing w:after="0" w:line="174" w:lineRule="exact"/>
        <w:rPr>
          <w:rFonts w:ascii="Calibri" w:cs="Calibri" w:eastAsia="Calibri" w:hAnsi="Calibri"/>
          <w:sz w:val="19"/>
          <w:szCs w:val="19"/>
          <w:color w:val="404040"/>
        </w:rPr>
      </w:pPr>
    </w:p>
    <w:p>
      <w:pPr>
        <w:ind w:right="40" w:firstLine="1866"/>
        <w:spacing w:after="0" w:line="201" w:lineRule="auto"/>
        <w:tabs>
          <w:tab w:leader="none" w:pos="2249" w:val="left"/>
        </w:tabs>
        <w:numPr>
          <w:ilvl w:val="1"/>
          <w:numId w:val="115"/>
        </w:numPr>
        <w:rPr>
          <w:rFonts w:ascii="Calibri" w:cs="Calibri" w:eastAsia="Calibri" w:hAnsi="Calibri"/>
          <w:sz w:val="19"/>
          <w:szCs w:val="19"/>
          <w:color w:val="404040"/>
        </w:rPr>
      </w:pPr>
      <w:r>
        <w:rPr>
          <w:rFonts w:ascii="Calibri" w:cs="Calibri" w:eastAsia="Calibri" w:hAnsi="Calibri"/>
          <w:sz w:val="19"/>
          <w:szCs w:val="19"/>
          <w:u w:val="single" w:color="auto"/>
          <w:color w:val="404040"/>
        </w:rPr>
        <w:t>Waiver and Amendment</w:t>
      </w:r>
      <w:r>
        <w:rPr>
          <w:rFonts w:ascii="Calibri" w:cs="Calibri" w:eastAsia="Calibri" w:hAnsi="Calibri"/>
          <w:sz w:val="19"/>
          <w:szCs w:val="19"/>
          <w:color w:val="404040"/>
        </w:rPr>
        <w:t xml:space="preserve">. The Commitee may waive any conditons or rights under, or amend any terms of, this Agreement and the RSUs granted thereunder; </w:t>
      </w:r>
      <w:r>
        <w:rPr>
          <w:rFonts w:ascii="Calibri" w:cs="Calibri" w:eastAsia="Calibri" w:hAnsi="Calibri"/>
          <w:sz w:val="19"/>
          <w:szCs w:val="19"/>
          <w:u w:val="single" w:color="auto"/>
          <w:color w:val="404040"/>
        </w:rPr>
        <w:t>provided</w:t>
      </w:r>
      <w:r>
        <w:rPr>
          <w:rFonts w:ascii="Calibri" w:cs="Calibri" w:eastAsia="Calibri" w:hAnsi="Calibri"/>
          <w:sz w:val="19"/>
          <w:szCs w:val="19"/>
          <w:color w:val="404040"/>
        </w:rPr>
        <w:t xml:space="preserve"> that any such waiver or amendment that would materially impair the rights of any Partcipant or any holder or benefciary of any RSUs granted hereunder shall not to that extent be efectve without the consent of Partcipant.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consttute a waiver of any other breach or a waiver of the contnuaton of the same breach.</w:t>
      </w:r>
    </w:p>
    <w:p>
      <w:pPr>
        <w:spacing w:after="0" w:line="179" w:lineRule="exact"/>
        <w:rPr>
          <w:rFonts w:ascii="Calibri" w:cs="Calibri" w:eastAsia="Calibri" w:hAnsi="Calibri"/>
          <w:sz w:val="19"/>
          <w:szCs w:val="19"/>
          <w:color w:val="404040"/>
        </w:rPr>
      </w:pPr>
    </w:p>
    <w:p>
      <w:pPr>
        <w:jc w:val="both"/>
        <w:ind w:right="60" w:firstLine="1866"/>
        <w:spacing w:after="0" w:line="202" w:lineRule="auto"/>
        <w:tabs>
          <w:tab w:leader="none" w:pos="2258" w:val="left"/>
        </w:tabs>
        <w:numPr>
          <w:ilvl w:val="1"/>
          <w:numId w:val="115"/>
        </w:numPr>
        <w:rPr>
          <w:rFonts w:ascii="Calibri" w:cs="Calibri" w:eastAsia="Calibri" w:hAnsi="Calibri"/>
          <w:sz w:val="19"/>
          <w:szCs w:val="19"/>
          <w:color w:val="404040"/>
        </w:rPr>
      </w:pPr>
      <w:r>
        <w:rPr>
          <w:rFonts w:ascii="Calibri" w:cs="Calibri" w:eastAsia="Calibri" w:hAnsi="Calibri"/>
          <w:sz w:val="19"/>
          <w:szCs w:val="19"/>
          <w:u w:val="single" w:color="auto"/>
          <w:color w:val="404040"/>
        </w:rPr>
        <w:t>Unsecured Obligaton</w:t>
      </w:r>
      <w:r>
        <w:rPr>
          <w:rFonts w:ascii="Calibri" w:cs="Calibri" w:eastAsia="Calibri" w:hAnsi="Calibri"/>
          <w:sz w:val="19"/>
          <w:szCs w:val="19"/>
          <w:color w:val="404040"/>
        </w:rPr>
        <w:t>. This Award is unfunded, and even as to any RSUs which vest, Partcipant shall be considered an unsecured creditor of the Company with respect to the Company’s obligatons, if any, to issue Shares pursuant to this Agreement. Nothing contained in this Agreement, and no acton taken pursuant to its provisions, shall create or be construed to create a trust of any kind or a fduciary relatonship between Partcipant and the Company or any other person.</w:t>
      </w:r>
    </w:p>
    <w:p>
      <w:pPr>
        <w:spacing w:after="0" w:line="176" w:lineRule="exact"/>
        <w:rPr>
          <w:rFonts w:ascii="Calibri" w:cs="Calibri" w:eastAsia="Calibri" w:hAnsi="Calibri"/>
          <w:sz w:val="19"/>
          <w:szCs w:val="19"/>
          <w:color w:val="404040"/>
        </w:rPr>
      </w:pPr>
    </w:p>
    <w:p>
      <w:pPr>
        <w:ind w:right="220" w:firstLine="1866"/>
        <w:spacing w:after="0" w:line="217" w:lineRule="auto"/>
        <w:tabs>
          <w:tab w:leader="none" w:pos="2238" w:val="left"/>
        </w:tabs>
        <w:numPr>
          <w:ilvl w:val="1"/>
          <w:numId w:val="115"/>
        </w:numPr>
        <w:rPr>
          <w:rFonts w:ascii="Calibri" w:cs="Calibri" w:eastAsia="Calibri" w:hAnsi="Calibri"/>
          <w:sz w:val="19"/>
          <w:szCs w:val="19"/>
          <w:color w:val="404040"/>
        </w:rPr>
      </w:pPr>
      <w:r>
        <w:rPr>
          <w:rFonts w:ascii="Calibri" w:cs="Calibri" w:eastAsia="Calibri" w:hAnsi="Calibri"/>
          <w:sz w:val="19"/>
          <w:szCs w:val="19"/>
          <w:u w:val="single" w:color="auto"/>
          <w:color w:val="404040"/>
        </w:rPr>
        <w:t>Notces</w:t>
      </w:r>
      <w:r>
        <w:rPr>
          <w:rFonts w:ascii="Calibri" w:cs="Calibri" w:eastAsia="Calibri" w:hAnsi="Calibri"/>
          <w:sz w:val="19"/>
          <w:szCs w:val="19"/>
          <w:color w:val="404040"/>
        </w:rPr>
        <w:t>. All notces, demands and other communicatons provided for or permited hereunder shall be made in writng and shall be by registered or certfed frst-class mail, return receipt requested, facsimile, courier service or personal delivery:</w:t>
      </w:r>
    </w:p>
    <w:p>
      <w:pPr>
        <w:spacing w:after="0" w:line="157" w:lineRule="exact"/>
        <w:rPr>
          <w:sz w:val="20"/>
          <w:szCs w:val="20"/>
          <w:color w:val="auto"/>
        </w:rPr>
      </w:pPr>
    </w:p>
    <w:p>
      <w:pPr>
        <w:ind w:left="1860"/>
        <w:spacing w:after="0"/>
        <w:rPr>
          <w:sz w:val="20"/>
          <w:szCs w:val="20"/>
          <w:color w:val="auto"/>
        </w:rPr>
      </w:pPr>
      <w:r>
        <w:rPr>
          <w:rFonts w:ascii="Calibri" w:cs="Calibri" w:eastAsia="Calibri" w:hAnsi="Calibri"/>
          <w:sz w:val="19"/>
          <w:szCs w:val="19"/>
          <w:color w:val="404040"/>
        </w:rPr>
        <w:t>if to the Company:</w:t>
      </w:r>
    </w:p>
    <w:p>
      <w:pPr>
        <w:spacing w:after="0" w:line="160" w:lineRule="exact"/>
        <w:rPr>
          <w:sz w:val="20"/>
          <w:szCs w:val="20"/>
          <w:color w:val="auto"/>
        </w:rPr>
      </w:pPr>
    </w:p>
    <w:p>
      <w:pPr>
        <w:ind w:left="1860"/>
        <w:spacing w:after="0"/>
        <w:rPr>
          <w:sz w:val="20"/>
          <w:szCs w:val="20"/>
          <w:color w:val="auto"/>
        </w:rPr>
      </w:pPr>
      <w:r>
        <w:rPr>
          <w:rFonts w:ascii="Calibri" w:cs="Calibri" w:eastAsia="Calibri" w:hAnsi="Calibri"/>
          <w:sz w:val="19"/>
          <w:szCs w:val="19"/>
          <w:color w:val="404040"/>
        </w:rPr>
        <w:t>NMI Holdings, Inc.</w:t>
      </w:r>
    </w:p>
    <w:p>
      <w:pPr>
        <w:ind w:left="1860"/>
        <w:spacing w:after="0" w:line="183" w:lineRule="auto"/>
        <w:rPr>
          <w:sz w:val="20"/>
          <w:szCs w:val="20"/>
          <w:color w:val="auto"/>
        </w:rPr>
      </w:pPr>
      <w:r>
        <w:rPr>
          <w:rFonts w:ascii="Calibri" w:cs="Calibri" w:eastAsia="Calibri" w:hAnsi="Calibri"/>
          <w:sz w:val="17"/>
          <w:szCs w:val="17"/>
          <w:color w:val="404040"/>
        </w:rPr>
        <w:t>2100 Powell Street, 12</w:t>
      </w:r>
      <w:r>
        <w:rPr>
          <w:rFonts w:ascii="Calibri" w:cs="Calibri" w:eastAsia="Calibri" w:hAnsi="Calibri"/>
          <w:sz w:val="21"/>
          <w:szCs w:val="21"/>
          <w:color w:val="404040"/>
          <w:vertAlign w:val="superscript"/>
        </w:rPr>
        <w:t>th</w:t>
      </w:r>
      <w:r>
        <w:rPr>
          <w:rFonts w:ascii="Calibri" w:cs="Calibri" w:eastAsia="Calibri" w:hAnsi="Calibri"/>
          <w:sz w:val="17"/>
          <w:szCs w:val="17"/>
          <w:color w:val="404040"/>
        </w:rPr>
        <w:t xml:space="preserve"> Floor</w:t>
      </w:r>
    </w:p>
    <w:p>
      <w:pPr>
        <w:ind w:left="1860"/>
        <w:spacing w:after="0" w:line="195" w:lineRule="auto"/>
        <w:rPr>
          <w:sz w:val="20"/>
          <w:szCs w:val="20"/>
          <w:color w:val="auto"/>
        </w:rPr>
      </w:pPr>
      <w:r>
        <w:rPr>
          <w:rFonts w:ascii="Calibri" w:cs="Calibri" w:eastAsia="Calibri" w:hAnsi="Calibri"/>
          <w:sz w:val="19"/>
          <w:szCs w:val="19"/>
          <w:color w:val="404040"/>
        </w:rPr>
        <w:t>Emeryville, CA 94608</w:t>
      </w:r>
    </w:p>
    <w:p>
      <w:pPr>
        <w:ind w:left="1860"/>
        <w:spacing w:after="0" w:line="201" w:lineRule="auto"/>
        <w:rPr>
          <w:sz w:val="20"/>
          <w:szCs w:val="20"/>
          <w:color w:val="auto"/>
        </w:rPr>
      </w:pPr>
      <w:r>
        <w:rPr>
          <w:rFonts w:ascii="Calibri" w:cs="Calibri" w:eastAsia="Calibri" w:hAnsi="Calibri"/>
          <w:sz w:val="19"/>
          <w:szCs w:val="19"/>
          <w:color w:val="404040"/>
        </w:rPr>
        <w:t>Atenton: General Counsel</w:t>
      </w:r>
    </w:p>
    <w:p>
      <w:pPr>
        <w:spacing w:after="0" w:line="195" w:lineRule="exact"/>
        <w:rPr>
          <w:sz w:val="20"/>
          <w:szCs w:val="20"/>
          <w:color w:val="auto"/>
        </w:rPr>
      </w:pPr>
    </w:p>
    <w:p>
      <w:pPr>
        <w:ind w:left="1860"/>
        <w:spacing w:after="0"/>
        <w:rPr>
          <w:sz w:val="20"/>
          <w:szCs w:val="20"/>
          <w:color w:val="auto"/>
        </w:rPr>
      </w:pPr>
      <w:r>
        <w:rPr>
          <w:rFonts w:ascii="Calibri" w:cs="Calibri" w:eastAsia="Calibri" w:hAnsi="Calibri"/>
          <w:sz w:val="19"/>
          <w:szCs w:val="19"/>
          <w:color w:val="404040"/>
        </w:rPr>
        <w:t>if to Partcipant: at the address last on the records of the Company.</w:t>
      </w:r>
    </w:p>
    <w:p>
      <w:pPr>
        <w:spacing w:after="0" w:line="162" w:lineRule="exact"/>
        <w:rPr>
          <w:sz w:val="20"/>
          <w:szCs w:val="20"/>
          <w:color w:val="auto"/>
        </w:rPr>
      </w:pPr>
    </w:p>
    <w:p>
      <w:pPr>
        <w:ind w:right="140"/>
        <w:spacing w:after="0" w:line="211" w:lineRule="auto"/>
        <w:rPr>
          <w:sz w:val="20"/>
          <w:szCs w:val="20"/>
          <w:color w:val="auto"/>
        </w:rPr>
      </w:pPr>
      <w:r>
        <w:rPr>
          <w:rFonts w:ascii="Calibri" w:cs="Calibri" w:eastAsia="Calibri" w:hAnsi="Calibri"/>
          <w:sz w:val="19"/>
          <w:szCs w:val="19"/>
          <w:color w:val="404040"/>
        </w:rPr>
        <w:t>All such notces, demands and other communicatons shall be deemed to have been duly given when delivered by hand, if personally delivered; when delivered by courier, if delivered by commercial courier service; fve business days afer being deposited in the mail, postage prepaid, if mailed; and when receipt is mechanically acknowledged, if by facsimile or e-mail.</w:t>
      </w:r>
    </w:p>
    <w:p>
      <w:pPr>
        <w:spacing w:after="0" w:line="164" w:lineRule="exact"/>
        <w:rPr>
          <w:sz w:val="20"/>
          <w:szCs w:val="20"/>
          <w:color w:val="auto"/>
        </w:rPr>
      </w:pPr>
    </w:p>
    <w:p>
      <w:pPr>
        <w:ind w:right="260" w:firstLine="1866"/>
        <w:spacing w:after="0" w:line="217" w:lineRule="auto"/>
        <w:tabs>
          <w:tab w:leader="none" w:pos="2258" w:val="left"/>
        </w:tabs>
        <w:numPr>
          <w:ilvl w:val="0"/>
          <w:numId w:val="116"/>
        </w:numPr>
        <w:rPr>
          <w:rFonts w:ascii="Calibri" w:cs="Calibri" w:eastAsia="Calibri" w:hAnsi="Calibri"/>
          <w:sz w:val="19"/>
          <w:szCs w:val="19"/>
          <w:color w:val="404040"/>
        </w:rPr>
      </w:pPr>
      <w:r>
        <w:rPr>
          <w:rFonts w:ascii="Calibri" w:cs="Calibri" w:eastAsia="Calibri" w:hAnsi="Calibri"/>
          <w:sz w:val="19"/>
          <w:szCs w:val="19"/>
          <w:u w:val="single" w:color="auto"/>
          <w:color w:val="404040"/>
        </w:rPr>
        <w:t>Severability</w:t>
      </w:r>
      <w:r>
        <w:rPr>
          <w:rFonts w:ascii="Calibri" w:cs="Calibri" w:eastAsia="Calibri" w:hAnsi="Calibri"/>
          <w:sz w:val="19"/>
          <w:szCs w:val="19"/>
          <w:color w:val="404040"/>
        </w:rPr>
        <w:t>. The invalidity or unenforceability of any provision of this Agreement shall not afect the validity or enforceability of any other provision of this Agreement, and</w:t>
      </w:r>
    </w:p>
    <w:p>
      <w:pPr>
        <w:sectPr>
          <w:pgSz w:w="11900" w:h="16838" w:orient="portrait"/>
          <w:cols w:equalWidth="0" w:num="1">
            <w:col w:w="11200"/>
          </w:cols>
          <w:pgMar w:left="320" w:top="1201" w:right="379" w:bottom="1440" w:gutter="0" w:footer="0" w:header="0"/>
        </w:sectPr>
      </w:pPr>
    </w:p>
    <w:bookmarkStart w:id="159" w:name="page160"/>
    <w:bookmarkEnd w:id="159"/>
    <w:p>
      <w:pPr>
        <w:spacing w:after="0"/>
        <w:rPr>
          <w:sz w:val="20"/>
          <w:szCs w:val="20"/>
          <w:color w:val="auto"/>
        </w:rPr>
      </w:pPr>
      <w:r>
        <w:rPr>
          <w:rFonts w:ascii="Calibri" w:cs="Calibri" w:eastAsia="Calibri" w:hAnsi="Calibri"/>
          <w:sz w:val="19"/>
          <w:szCs w:val="19"/>
          <w:color w:val="404040"/>
        </w:rPr>
        <w:t>each other provision of this Agreement shall be severable and enforceable to the extent permited by law.</w:t>
      </w:r>
    </w:p>
    <w:p>
      <w:pPr>
        <w:spacing w:after="0" w:line="175" w:lineRule="exact"/>
        <w:rPr>
          <w:sz w:val="20"/>
          <w:szCs w:val="20"/>
          <w:color w:val="auto"/>
        </w:rPr>
      </w:pPr>
    </w:p>
    <w:p>
      <w:pPr>
        <w:ind w:firstLine="1866"/>
        <w:spacing w:after="0" w:line="205" w:lineRule="auto"/>
        <w:tabs>
          <w:tab w:leader="none" w:pos="2252" w:val="left"/>
        </w:tabs>
        <w:numPr>
          <w:ilvl w:val="1"/>
          <w:numId w:val="117"/>
        </w:numPr>
        <w:rPr>
          <w:rFonts w:ascii="Calibri" w:cs="Calibri" w:eastAsia="Calibri" w:hAnsi="Calibri"/>
          <w:sz w:val="19"/>
          <w:szCs w:val="19"/>
          <w:color w:val="404040"/>
        </w:rPr>
      </w:pPr>
      <w:r>
        <w:rPr>
          <w:rFonts w:ascii="Calibri" w:cs="Calibri" w:eastAsia="Calibri" w:hAnsi="Calibri"/>
          <w:sz w:val="19"/>
          <w:szCs w:val="19"/>
          <w:u w:val="single" w:color="auto"/>
          <w:color w:val="404040"/>
        </w:rPr>
        <w:t>No Rights to Service</w:t>
      </w:r>
      <w:r>
        <w:rPr>
          <w:rFonts w:ascii="Calibri" w:cs="Calibri" w:eastAsia="Calibri" w:hAnsi="Calibri"/>
          <w:sz w:val="19"/>
          <w:szCs w:val="19"/>
          <w:color w:val="404040"/>
        </w:rPr>
        <w:t>. Nothing contained in this Agreement shall be construed as giving Partcipant any right to be retained, in any positon, as an employee, consultant or director of the Company or its Afliates or shall interfere with or restrict in any way the right of the Company or its Afliates, which is hereby expressly reserved, to remove, terminate or discharge Partcipant at any tme for any reason whatsoever.</w:t>
      </w:r>
    </w:p>
    <w:p>
      <w:pPr>
        <w:spacing w:after="0" w:line="177" w:lineRule="exact"/>
        <w:rPr>
          <w:rFonts w:ascii="Calibri" w:cs="Calibri" w:eastAsia="Calibri" w:hAnsi="Calibri"/>
          <w:sz w:val="19"/>
          <w:szCs w:val="19"/>
          <w:color w:val="404040"/>
        </w:rPr>
      </w:pPr>
    </w:p>
    <w:p>
      <w:pPr>
        <w:ind w:right="20" w:firstLine="1866"/>
        <w:spacing w:after="0" w:line="201" w:lineRule="auto"/>
        <w:tabs>
          <w:tab w:leader="none" w:pos="2218" w:val="left"/>
        </w:tabs>
        <w:numPr>
          <w:ilvl w:val="1"/>
          <w:numId w:val="117"/>
        </w:numPr>
        <w:rPr>
          <w:rFonts w:ascii="Calibri" w:cs="Calibri" w:eastAsia="Calibri" w:hAnsi="Calibri"/>
          <w:sz w:val="19"/>
          <w:szCs w:val="19"/>
          <w:color w:val="404040"/>
        </w:rPr>
      </w:pPr>
      <w:r>
        <w:rPr>
          <w:rFonts w:ascii="Calibri" w:cs="Calibri" w:eastAsia="Calibri" w:hAnsi="Calibri"/>
          <w:sz w:val="19"/>
          <w:szCs w:val="19"/>
          <w:u w:val="single" w:color="auto"/>
          <w:color w:val="404040"/>
        </w:rPr>
        <w:t>Benefciary</w:t>
      </w:r>
      <w:r>
        <w:rPr>
          <w:rFonts w:ascii="Calibri" w:cs="Calibri" w:eastAsia="Calibri" w:hAnsi="Calibri"/>
          <w:sz w:val="19"/>
          <w:szCs w:val="19"/>
          <w:color w:val="404040"/>
        </w:rPr>
        <w:t xml:space="preserve">. Partcipant may fle with the Company a writen designaton of a benefciary on such form as may be prescribed by the Commitee and may, from tme to tme, change or revoke such designaton by fling a new designaton with the Company. The last such designaton received by the Company shall be controlling; </w:t>
      </w:r>
      <w:r>
        <w:rPr>
          <w:rFonts w:ascii="Calibri" w:cs="Calibri" w:eastAsia="Calibri" w:hAnsi="Calibri"/>
          <w:sz w:val="19"/>
          <w:szCs w:val="19"/>
          <w:u w:val="single" w:color="auto"/>
          <w:color w:val="404040"/>
        </w:rPr>
        <w:t>provided</w:t>
      </w:r>
      <w:r>
        <w:rPr>
          <w:rFonts w:ascii="Calibri" w:cs="Calibri" w:eastAsia="Calibri" w:hAnsi="Calibri"/>
          <w:sz w:val="19"/>
          <w:szCs w:val="19"/>
          <w:color w:val="404040"/>
        </w:rPr>
        <w:t xml:space="preserve">, </w:t>
      </w:r>
      <w:r>
        <w:rPr>
          <w:rFonts w:ascii="Calibri" w:cs="Calibri" w:eastAsia="Calibri" w:hAnsi="Calibri"/>
          <w:sz w:val="19"/>
          <w:szCs w:val="19"/>
          <w:u w:val="single" w:color="auto"/>
          <w:color w:val="404040"/>
        </w:rPr>
        <w:t>however</w:t>
      </w:r>
      <w:r>
        <w:rPr>
          <w:rFonts w:ascii="Calibri" w:cs="Calibri" w:eastAsia="Calibri" w:hAnsi="Calibri"/>
          <w:sz w:val="19"/>
          <w:szCs w:val="19"/>
          <w:color w:val="404040"/>
        </w:rPr>
        <w:t>, that no designaton, or change or revocaton thereof, shall be efectve unless received by the Company prior to Partcipant’s death, and in no event shall it be efectve as of a date prior to such receipt. If no benefciary designaton is fled by Partcipant, the benefciary shall be deemed to be his spouse or, if Partcipant is unmarried at the tme of death, his estate.</w:t>
      </w:r>
    </w:p>
    <w:p>
      <w:pPr>
        <w:spacing w:after="0" w:line="179" w:lineRule="exact"/>
        <w:rPr>
          <w:rFonts w:ascii="Calibri" w:cs="Calibri" w:eastAsia="Calibri" w:hAnsi="Calibri"/>
          <w:sz w:val="19"/>
          <w:szCs w:val="19"/>
          <w:color w:val="404040"/>
        </w:rPr>
      </w:pPr>
    </w:p>
    <w:p>
      <w:pPr>
        <w:ind w:right="180" w:firstLine="1866"/>
        <w:spacing w:after="0" w:line="205" w:lineRule="auto"/>
        <w:tabs>
          <w:tab w:leader="none" w:pos="2248" w:val="left"/>
        </w:tabs>
        <w:numPr>
          <w:ilvl w:val="1"/>
          <w:numId w:val="117"/>
        </w:numPr>
        <w:rPr>
          <w:rFonts w:ascii="Calibri" w:cs="Calibri" w:eastAsia="Calibri" w:hAnsi="Calibri"/>
          <w:sz w:val="19"/>
          <w:szCs w:val="19"/>
          <w:color w:val="404040"/>
        </w:rPr>
      </w:pPr>
      <w:r>
        <w:rPr>
          <w:rFonts w:ascii="Calibri" w:cs="Calibri" w:eastAsia="Calibri" w:hAnsi="Calibri"/>
          <w:sz w:val="19"/>
          <w:szCs w:val="19"/>
          <w:u w:val="single" w:color="auto"/>
          <w:color w:val="404040"/>
        </w:rPr>
        <w:t>Secton 409A</w:t>
      </w:r>
      <w:r>
        <w:rPr>
          <w:rFonts w:ascii="Calibri" w:cs="Calibri" w:eastAsia="Calibri" w:hAnsi="Calibri"/>
          <w:sz w:val="19"/>
          <w:szCs w:val="19"/>
          <w:color w:val="404040"/>
        </w:rPr>
        <w:t>. It is intended that the Awards granted pursuant to this Agreement and the provisions of this Agreement be exempt from or be designed such that the taxes and/or penaltes under Secton 409A of the Code are not imposed, and all provisions of this Agreement shall be construed and interpreted in a manner consistent with the requirements for avoiding taxes or penaltes under Secton 409A of the Code.</w:t>
      </w:r>
    </w:p>
    <w:p>
      <w:pPr>
        <w:spacing w:after="0" w:line="164" w:lineRule="exact"/>
        <w:rPr>
          <w:rFonts w:ascii="Calibri" w:cs="Calibri" w:eastAsia="Calibri" w:hAnsi="Calibri"/>
          <w:sz w:val="19"/>
          <w:szCs w:val="19"/>
          <w:color w:val="404040"/>
        </w:rPr>
      </w:pPr>
    </w:p>
    <w:p>
      <w:pPr>
        <w:ind w:right="580" w:firstLine="1866"/>
        <w:spacing w:after="0" w:line="217" w:lineRule="auto"/>
        <w:tabs>
          <w:tab w:leader="none" w:pos="2258" w:val="left"/>
        </w:tabs>
        <w:numPr>
          <w:ilvl w:val="1"/>
          <w:numId w:val="117"/>
        </w:numPr>
        <w:rPr>
          <w:rFonts w:ascii="Calibri" w:cs="Calibri" w:eastAsia="Calibri" w:hAnsi="Calibri"/>
          <w:sz w:val="19"/>
          <w:szCs w:val="19"/>
          <w:color w:val="404040"/>
        </w:rPr>
      </w:pPr>
      <w:r>
        <w:rPr>
          <w:rFonts w:ascii="Calibri" w:cs="Calibri" w:eastAsia="Calibri" w:hAnsi="Calibri"/>
          <w:sz w:val="19"/>
          <w:szCs w:val="19"/>
          <w:u w:val="single" w:color="auto"/>
          <w:color w:val="404040"/>
        </w:rPr>
        <w:t>Successors</w:t>
      </w:r>
      <w:r>
        <w:rPr>
          <w:rFonts w:ascii="Calibri" w:cs="Calibri" w:eastAsia="Calibri" w:hAnsi="Calibri"/>
          <w:sz w:val="19"/>
          <w:szCs w:val="19"/>
          <w:color w:val="404040"/>
        </w:rPr>
        <w:t>. The terms of this Agreement shall be binding upon and inure to the beneft of the Company, its successors and assigns, and of Partcipant and the benefciaries, executors, administrators, heirs and successors of Partcipant.</w:t>
      </w:r>
    </w:p>
    <w:p>
      <w:pPr>
        <w:spacing w:after="0" w:line="175" w:lineRule="exact"/>
        <w:rPr>
          <w:rFonts w:ascii="Calibri" w:cs="Calibri" w:eastAsia="Calibri" w:hAnsi="Calibri"/>
          <w:sz w:val="19"/>
          <w:szCs w:val="19"/>
          <w:color w:val="404040"/>
        </w:rPr>
      </w:pPr>
    </w:p>
    <w:p>
      <w:pPr>
        <w:jc w:val="both"/>
        <w:ind w:right="320" w:firstLine="1866"/>
        <w:spacing w:after="0" w:line="207" w:lineRule="auto"/>
        <w:tabs>
          <w:tab w:leader="none" w:pos="2200" w:val="left"/>
        </w:tabs>
        <w:numPr>
          <w:ilvl w:val="1"/>
          <w:numId w:val="117"/>
        </w:numPr>
        <w:rPr>
          <w:rFonts w:ascii="Calibri" w:cs="Calibri" w:eastAsia="Calibri" w:hAnsi="Calibri"/>
          <w:sz w:val="19"/>
          <w:szCs w:val="19"/>
          <w:color w:val="404040"/>
        </w:rPr>
      </w:pPr>
      <w:r>
        <w:rPr>
          <w:rFonts w:ascii="Calibri" w:cs="Calibri" w:eastAsia="Calibri" w:hAnsi="Calibri"/>
          <w:sz w:val="19"/>
          <w:szCs w:val="19"/>
          <w:u w:val="single" w:color="auto"/>
          <w:color w:val="404040"/>
        </w:rPr>
        <w:t>Entre Agreement</w:t>
      </w:r>
      <w:r>
        <w:rPr>
          <w:rFonts w:ascii="Calibri" w:cs="Calibri" w:eastAsia="Calibri" w:hAnsi="Calibri"/>
          <w:sz w:val="19"/>
          <w:szCs w:val="19"/>
          <w:color w:val="404040"/>
        </w:rPr>
        <w:t>. This Agreement and the Plan contain the entre agreement and understanding of the partes hereto with respect to the subject mater contained herein and supersede all prior communicatons, representatons and negotatons with respect thereto.</w:t>
      </w:r>
    </w:p>
    <w:p>
      <w:pPr>
        <w:spacing w:after="0" w:line="175" w:lineRule="exact"/>
        <w:rPr>
          <w:rFonts w:ascii="Calibri" w:cs="Calibri" w:eastAsia="Calibri" w:hAnsi="Calibri"/>
          <w:sz w:val="19"/>
          <w:szCs w:val="19"/>
          <w:color w:val="404040"/>
        </w:rPr>
      </w:pPr>
    </w:p>
    <w:p>
      <w:pPr>
        <w:ind w:right="280" w:firstLine="1866"/>
        <w:spacing w:after="0" w:line="210" w:lineRule="auto"/>
        <w:tabs>
          <w:tab w:leader="none" w:pos="2208" w:val="left"/>
        </w:tabs>
        <w:numPr>
          <w:ilvl w:val="1"/>
          <w:numId w:val="117"/>
        </w:numPr>
        <w:rPr>
          <w:rFonts w:ascii="Calibri" w:cs="Calibri" w:eastAsia="Calibri" w:hAnsi="Calibri"/>
          <w:sz w:val="19"/>
          <w:szCs w:val="19"/>
          <w:color w:val="404040"/>
        </w:rPr>
      </w:pPr>
      <w:r>
        <w:rPr>
          <w:rFonts w:ascii="Calibri" w:cs="Calibri" w:eastAsia="Calibri" w:hAnsi="Calibri"/>
          <w:sz w:val="19"/>
          <w:szCs w:val="19"/>
          <w:u w:val="single" w:color="auto"/>
          <w:color w:val="404040"/>
        </w:rPr>
        <w:t>Bound by the Plan</w:t>
      </w:r>
      <w:r>
        <w:rPr>
          <w:rFonts w:ascii="Calibri" w:cs="Calibri" w:eastAsia="Calibri" w:hAnsi="Calibri"/>
          <w:sz w:val="19"/>
          <w:szCs w:val="19"/>
          <w:color w:val="404040"/>
        </w:rPr>
        <w:t>. By signing this Agreement, Partcipant acknowledges that he has received a copy of the Plan and has had an opportunity to review the Plan and agrees to be bound by all the terms and provisions of the Plan.</w:t>
      </w:r>
    </w:p>
    <w:p>
      <w:pPr>
        <w:spacing w:after="0" w:line="176" w:lineRule="exact"/>
        <w:rPr>
          <w:rFonts w:ascii="Calibri" w:cs="Calibri" w:eastAsia="Calibri" w:hAnsi="Calibri"/>
          <w:sz w:val="19"/>
          <w:szCs w:val="19"/>
          <w:color w:val="404040"/>
        </w:rPr>
      </w:pPr>
    </w:p>
    <w:p>
      <w:pPr>
        <w:ind w:right="220" w:firstLine="1866"/>
        <w:spacing w:after="0" w:line="207" w:lineRule="auto"/>
        <w:tabs>
          <w:tab w:leader="none" w:pos="2244" w:val="left"/>
        </w:tabs>
        <w:numPr>
          <w:ilvl w:val="1"/>
          <w:numId w:val="117"/>
        </w:numPr>
        <w:rPr>
          <w:rFonts w:ascii="Calibri" w:cs="Calibri" w:eastAsia="Calibri" w:hAnsi="Calibri"/>
          <w:sz w:val="19"/>
          <w:szCs w:val="19"/>
          <w:color w:val="404040"/>
        </w:rPr>
      </w:pPr>
      <w:r>
        <w:rPr>
          <w:rFonts w:ascii="Calibri" w:cs="Calibri" w:eastAsia="Calibri" w:hAnsi="Calibri"/>
          <w:sz w:val="19"/>
          <w:szCs w:val="19"/>
          <w:u w:val="single" w:color="auto"/>
          <w:color w:val="404040"/>
        </w:rPr>
        <w:t>Governing Law</w:t>
      </w:r>
      <w:r>
        <w:rPr>
          <w:rFonts w:ascii="Calibri" w:cs="Calibri" w:eastAsia="Calibri" w:hAnsi="Calibri"/>
          <w:sz w:val="19"/>
          <w:szCs w:val="19"/>
          <w:color w:val="404040"/>
        </w:rPr>
        <w:t>. This Agreement shall be construed and interpreted in accordance with the internal laws of the State of Delaware without regard to principles of conficts of law thereof, or principles of conficts of laws of any other jurisdicton that could cause the applicaton of the laws of any jurisdicton other than the State of Delaware.</w:t>
      </w:r>
    </w:p>
    <w:p>
      <w:pPr>
        <w:spacing w:after="0" w:line="175" w:lineRule="exact"/>
        <w:rPr>
          <w:rFonts w:ascii="Calibri" w:cs="Calibri" w:eastAsia="Calibri" w:hAnsi="Calibri"/>
          <w:sz w:val="19"/>
          <w:szCs w:val="19"/>
          <w:color w:val="404040"/>
        </w:rPr>
      </w:pPr>
    </w:p>
    <w:p>
      <w:pPr>
        <w:ind w:right="260" w:firstLine="1866"/>
        <w:spacing w:after="0" w:line="210" w:lineRule="auto"/>
        <w:tabs>
          <w:tab w:leader="none" w:pos="2200" w:val="left"/>
        </w:tabs>
        <w:numPr>
          <w:ilvl w:val="1"/>
          <w:numId w:val="117"/>
        </w:numPr>
        <w:rPr>
          <w:rFonts w:ascii="Calibri" w:cs="Calibri" w:eastAsia="Calibri" w:hAnsi="Calibri"/>
          <w:sz w:val="19"/>
          <w:szCs w:val="19"/>
          <w:color w:val="404040"/>
        </w:rPr>
      </w:pPr>
      <w:r>
        <w:rPr>
          <w:rFonts w:ascii="Calibri" w:cs="Calibri" w:eastAsia="Calibri" w:hAnsi="Calibri"/>
          <w:sz w:val="19"/>
          <w:szCs w:val="19"/>
          <w:u w:val="single" w:color="auto"/>
          <w:color w:val="404040"/>
        </w:rPr>
        <w:t>Headings</w:t>
      </w:r>
      <w:r>
        <w:rPr>
          <w:rFonts w:ascii="Calibri" w:cs="Calibri" w:eastAsia="Calibri" w:hAnsi="Calibri"/>
          <w:sz w:val="19"/>
          <w:szCs w:val="19"/>
          <w:color w:val="404040"/>
        </w:rPr>
        <w:t>. The headings of the Sectons hereof are provided for convenience only and are not to serve as a basis for interpretaton or constructon, and shall not consttute a part, of this Agreement.</w:t>
      </w:r>
    </w:p>
    <w:p>
      <w:pPr>
        <w:spacing w:after="0" w:line="176" w:lineRule="exact"/>
        <w:rPr>
          <w:rFonts w:ascii="Calibri" w:cs="Calibri" w:eastAsia="Calibri" w:hAnsi="Calibri"/>
          <w:sz w:val="19"/>
          <w:szCs w:val="19"/>
          <w:color w:val="404040"/>
        </w:rPr>
      </w:pPr>
    </w:p>
    <w:p>
      <w:pPr>
        <w:ind w:firstLine="1866"/>
        <w:spacing w:after="0" w:line="217" w:lineRule="auto"/>
        <w:tabs>
          <w:tab w:leader="none" w:pos="2311" w:val="left"/>
        </w:tabs>
        <w:numPr>
          <w:ilvl w:val="1"/>
          <w:numId w:val="117"/>
        </w:numPr>
        <w:rPr>
          <w:rFonts w:ascii="Calibri" w:cs="Calibri" w:eastAsia="Calibri" w:hAnsi="Calibri"/>
          <w:sz w:val="19"/>
          <w:szCs w:val="19"/>
          <w:color w:val="404040"/>
        </w:rPr>
      </w:pPr>
      <w:r>
        <w:rPr>
          <w:rFonts w:ascii="Calibri" w:cs="Calibri" w:eastAsia="Calibri" w:hAnsi="Calibri"/>
          <w:sz w:val="19"/>
          <w:szCs w:val="19"/>
          <w:u w:val="single" w:color="auto"/>
          <w:color w:val="404040"/>
        </w:rPr>
        <w:t>Signature in Counterparts</w:t>
      </w:r>
      <w:r>
        <w:rPr>
          <w:rFonts w:ascii="Calibri" w:cs="Calibri" w:eastAsia="Calibri" w:hAnsi="Calibri"/>
          <w:sz w:val="19"/>
          <w:szCs w:val="19"/>
          <w:color w:val="404040"/>
        </w:rPr>
        <w:t>. This Agreement may be signed in counterparts, each of which shall be an original, with the same efect as if the signatures thereto and hereto were upon the same instrument.</w:t>
      </w:r>
    </w:p>
    <w:p>
      <w:pPr>
        <w:spacing w:after="0" w:line="162" w:lineRule="exact"/>
        <w:rPr>
          <w:rFonts w:ascii="Calibri" w:cs="Calibri" w:eastAsia="Calibri" w:hAnsi="Calibri"/>
          <w:sz w:val="19"/>
          <w:szCs w:val="19"/>
          <w:color w:val="404040"/>
        </w:rPr>
      </w:pPr>
    </w:p>
    <w:p>
      <w:pPr>
        <w:ind w:right="40" w:firstLine="1245"/>
        <w:spacing w:after="0" w:line="204" w:lineRule="auto"/>
        <w:tabs>
          <w:tab w:leader="none" w:pos="1663" w:val="left"/>
        </w:tabs>
        <w:numPr>
          <w:ilvl w:val="0"/>
          <w:numId w:val="118"/>
        </w:numPr>
        <w:rPr>
          <w:rFonts w:ascii="Calibri" w:cs="Calibri" w:eastAsia="Calibri" w:hAnsi="Calibri"/>
          <w:sz w:val="19"/>
          <w:szCs w:val="19"/>
          <w:color w:val="404040"/>
        </w:rPr>
      </w:pPr>
      <w:r>
        <w:rPr>
          <w:rFonts w:ascii="Calibri" w:cs="Calibri" w:eastAsia="Calibri" w:hAnsi="Calibri"/>
          <w:sz w:val="19"/>
          <w:szCs w:val="19"/>
          <w:u w:val="single" w:color="auto"/>
          <w:color w:val="404040"/>
        </w:rPr>
        <w:t>Compliance with Legal Requirements</w:t>
      </w:r>
      <w:r>
        <w:rPr>
          <w:rFonts w:ascii="Calibri" w:cs="Calibri" w:eastAsia="Calibri" w:hAnsi="Calibri"/>
          <w:sz w:val="19"/>
          <w:szCs w:val="19"/>
          <w:color w:val="404040"/>
        </w:rPr>
        <w:t>. The grant of the RSUs, and the delivery of the Shares in setlement thereof and any other obligatons of the Company under this Agreement shall be subject to all applicable federal and state laws, rules and regulatons and to such approvals by any regulatory or governmental agency as may be required. Subject to Secton 9(h) of this Agreement, the Commitee, in its sole discreton, may postpone the issuance or delivery of Shares as the Commitee may consider appropriate and may require Partcipant to make such representatons and furnish such informaton as it may consider appropriate in connecton with the issuance or delivery of the Shares in compliance with applicable laws, rules and regulatons.</w:t>
      </w:r>
    </w:p>
    <w:p>
      <w:pPr>
        <w:spacing w:after="0" w:line="157"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i w:val="1"/>
          <w:iCs w:val="1"/>
          <w:color w:val="404040"/>
        </w:rPr>
        <w:t>[Remainder of page intentonally lef blank; signature page to follow]</w:t>
      </w:r>
    </w:p>
    <w:p>
      <w:pPr>
        <w:sectPr>
          <w:pgSz w:w="11900" w:h="16838" w:orient="portrait"/>
          <w:cols w:equalWidth="0" w:num="1">
            <w:col w:w="11240"/>
          </w:cols>
          <w:pgMar w:left="320" w:top="1195" w:right="339" w:bottom="1440" w:gutter="0" w:footer="0" w:header="0"/>
        </w:sectPr>
      </w:pPr>
    </w:p>
    <w:bookmarkStart w:id="160" w:name="page161"/>
    <w:bookmarkEnd w:id="160"/>
    <w:p>
      <w:pPr>
        <w:spacing w:after="0" w:line="19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404040"/>
        </w:rPr>
        <w:t>IN WITNESS WHEREOF</w:t>
      </w:r>
      <w:r>
        <w:rPr>
          <w:rFonts w:ascii="Calibri" w:cs="Calibri" w:eastAsia="Calibri" w:hAnsi="Calibri"/>
          <w:sz w:val="19"/>
          <w:szCs w:val="19"/>
          <w:color w:val="404040"/>
        </w:rPr>
        <w:t>, the partes hereto have executed this Agreement.</w:t>
      </w:r>
    </w:p>
    <w:p>
      <w:pPr>
        <w:spacing w:after="0" w:line="169" w:lineRule="exact"/>
        <w:rPr>
          <w:sz w:val="20"/>
          <w:szCs w:val="20"/>
          <w:color w:val="auto"/>
        </w:rPr>
      </w:pPr>
    </w:p>
    <w:p>
      <w:pPr>
        <w:ind w:left="3720"/>
        <w:spacing w:after="0"/>
        <w:rPr>
          <w:sz w:val="20"/>
          <w:szCs w:val="20"/>
          <w:color w:val="auto"/>
        </w:rPr>
      </w:pPr>
      <w:r>
        <w:rPr>
          <w:rFonts w:ascii="Calibri" w:cs="Calibri" w:eastAsia="Calibri" w:hAnsi="Calibri"/>
          <w:sz w:val="19"/>
          <w:szCs w:val="19"/>
          <w:color w:val="404040"/>
        </w:rPr>
        <w:t>NMI HOLDINGS, INC.</w:t>
      </w:r>
    </w:p>
    <w:p>
      <w:pPr>
        <w:spacing w:after="0" w:line="200" w:lineRule="exact"/>
        <w:rPr>
          <w:sz w:val="20"/>
          <w:szCs w:val="20"/>
          <w:color w:val="auto"/>
        </w:rPr>
      </w:pPr>
    </w:p>
    <w:p>
      <w:pPr>
        <w:spacing w:after="0" w:line="221" w:lineRule="exact"/>
        <w:rPr>
          <w:sz w:val="20"/>
          <w:szCs w:val="20"/>
          <w:color w:val="auto"/>
        </w:rPr>
      </w:pPr>
    </w:p>
    <w:p>
      <w:pPr>
        <w:ind w:left="3720"/>
        <w:spacing w:after="0"/>
        <w:rPr>
          <w:sz w:val="20"/>
          <w:szCs w:val="20"/>
          <w:color w:val="auto"/>
        </w:rPr>
      </w:pPr>
      <w:r>
        <w:rPr>
          <w:rFonts w:ascii="Calibri" w:cs="Calibri" w:eastAsia="Calibri" w:hAnsi="Calibri"/>
          <w:sz w:val="19"/>
          <w:szCs w:val="19"/>
          <w:color w:val="404040"/>
        </w:rPr>
        <w:t>___________________________________</w:t>
      </w:r>
    </w:p>
    <w:p>
      <w:pPr>
        <w:ind w:left="3720"/>
        <w:spacing w:after="0" w:line="194" w:lineRule="auto"/>
        <w:rPr>
          <w:sz w:val="20"/>
          <w:szCs w:val="20"/>
          <w:color w:val="auto"/>
        </w:rPr>
      </w:pPr>
      <w:r>
        <w:rPr>
          <w:rFonts w:ascii="Calibri" w:cs="Calibri" w:eastAsia="Calibri" w:hAnsi="Calibri"/>
          <w:sz w:val="19"/>
          <w:szCs w:val="19"/>
          <w:color w:val="404040"/>
        </w:rPr>
        <w:t>By:</w:t>
      </w:r>
    </w:p>
    <w:p>
      <w:pPr>
        <w:ind w:left="3720"/>
        <w:spacing w:after="0" w:line="201" w:lineRule="auto"/>
        <w:rPr>
          <w:sz w:val="20"/>
          <w:szCs w:val="20"/>
          <w:color w:val="auto"/>
        </w:rPr>
      </w:pPr>
      <w:r>
        <w:rPr>
          <w:rFonts w:ascii="Calibri" w:cs="Calibri" w:eastAsia="Calibri" w:hAnsi="Calibri"/>
          <w:sz w:val="19"/>
          <w:szCs w:val="19"/>
          <w:color w:val="404040"/>
        </w:rPr>
        <w:t>Title: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720"/>
        <w:spacing w:after="0"/>
        <w:rPr>
          <w:sz w:val="20"/>
          <w:szCs w:val="20"/>
          <w:color w:val="auto"/>
        </w:rPr>
      </w:pPr>
      <w:r>
        <w:rPr>
          <w:rFonts w:ascii="Calibri" w:cs="Calibri" w:eastAsia="Calibri" w:hAnsi="Calibri"/>
          <w:sz w:val="19"/>
          <w:szCs w:val="19"/>
          <w:color w:val="404040"/>
        </w:rPr>
        <w:t>PARTICIPANT</w:t>
      </w:r>
    </w:p>
    <w:p>
      <w:pPr>
        <w:spacing w:after="0" w:line="200" w:lineRule="exact"/>
        <w:rPr>
          <w:sz w:val="20"/>
          <w:szCs w:val="20"/>
          <w:color w:val="auto"/>
        </w:rPr>
      </w:pPr>
    </w:p>
    <w:p>
      <w:pPr>
        <w:spacing w:after="0" w:line="215" w:lineRule="exact"/>
        <w:rPr>
          <w:sz w:val="20"/>
          <w:szCs w:val="20"/>
          <w:color w:val="auto"/>
        </w:rPr>
      </w:pPr>
    </w:p>
    <w:p>
      <w:pPr>
        <w:ind w:left="3720"/>
        <w:spacing w:after="0"/>
        <w:rPr>
          <w:sz w:val="20"/>
          <w:szCs w:val="20"/>
          <w:color w:val="auto"/>
        </w:rPr>
      </w:pPr>
      <w:r>
        <w:rPr>
          <w:rFonts w:ascii="Calibri" w:cs="Calibri" w:eastAsia="Calibri" w:hAnsi="Calibri"/>
          <w:sz w:val="19"/>
          <w:szCs w:val="19"/>
          <w:color w:val="404040"/>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1239"/>
        <w:spacing w:after="0"/>
        <w:rPr>
          <w:sz w:val="20"/>
          <w:szCs w:val="20"/>
          <w:color w:val="auto"/>
        </w:rPr>
      </w:pPr>
      <w:r>
        <w:rPr>
          <w:rFonts w:ascii="Calibri" w:cs="Calibri" w:eastAsia="Calibri" w:hAnsi="Calibri"/>
          <w:sz w:val="19"/>
          <w:szCs w:val="19"/>
          <w:i w:val="1"/>
          <w:iCs w:val="1"/>
          <w:color w:val="404040"/>
        </w:rPr>
        <w:t>[Signature Page to Restricted Stock Unit Award Agreement (Independent Directors)]</w:t>
      </w:r>
    </w:p>
    <w:p>
      <w:pPr>
        <w:sectPr>
          <w:pgSz w:w="11900" w:h="16838" w:orient="portrait"/>
          <w:cols w:equalWidth="0" w:num="1">
            <w:col w:w="10139"/>
          </w:cols>
          <w:pgMar w:left="320" w:top="1440" w:right="1440" w:bottom="1440" w:gutter="0" w:footer="0" w:header="0"/>
        </w:sectPr>
      </w:pPr>
    </w:p>
    <w:bookmarkStart w:id="161" w:name="page162"/>
    <w:bookmarkEnd w:id="161"/>
    <w:p>
      <w:pPr>
        <w:jc w:val="right"/>
        <w:spacing w:after="0"/>
        <w:rPr>
          <w:sz w:val="20"/>
          <w:szCs w:val="20"/>
          <w:color w:val="auto"/>
        </w:rPr>
      </w:pPr>
      <w:r>
        <w:rPr>
          <w:rFonts w:ascii="Calibri" w:cs="Calibri" w:eastAsia="Calibri" w:hAnsi="Calibri"/>
          <w:sz w:val="19"/>
          <w:szCs w:val="19"/>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b w:val="1"/>
          <w:bCs w:val="1"/>
          <w:color w:val="auto"/>
        </w:rPr>
        <w:t>NMI HOLDINGS, INC.</w:t>
      </w:r>
    </w:p>
    <w:p>
      <w:pPr>
        <w:jc w:val="center"/>
        <w:ind w:right="40"/>
        <w:spacing w:after="0" w:line="200" w:lineRule="auto"/>
        <w:rPr>
          <w:sz w:val="20"/>
          <w:szCs w:val="20"/>
          <w:color w:val="auto"/>
        </w:rPr>
      </w:pPr>
      <w:r>
        <w:rPr>
          <w:rFonts w:ascii="Calibri" w:cs="Calibri" w:eastAsia="Calibri" w:hAnsi="Calibri"/>
          <w:sz w:val="19"/>
          <w:szCs w:val="19"/>
          <w:b w:val="1"/>
          <w:bCs w:val="1"/>
          <w:color w:val="auto"/>
        </w:rPr>
        <w:t>AMENDED AND RESTATED 2014 OMNIBUS INCENTIVE PLAN</w:t>
      </w:r>
    </w:p>
    <w:p>
      <w:pPr>
        <w:jc w:val="center"/>
        <w:spacing w:after="0" w:line="194" w:lineRule="auto"/>
        <w:rPr>
          <w:sz w:val="20"/>
          <w:szCs w:val="20"/>
          <w:color w:val="auto"/>
        </w:rPr>
      </w:pPr>
      <w:r>
        <w:rPr>
          <w:rFonts w:ascii="Calibri" w:cs="Calibri" w:eastAsia="Calibri" w:hAnsi="Calibri"/>
          <w:sz w:val="19"/>
          <w:szCs w:val="19"/>
          <w:b w:val="1"/>
          <w:bCs w:val="1"/>
          <w:color w:val="auto"/>
        </w:rPr>
        <w:t>RESTRICTED STOCK UNIT AWARD AGREEMENT</w:t>
      </w:r>
    </w:p>
    <w:p>
      <w:pPr>
        <w:jc w:val="center"/>
        <w:spacing w:after="0" w:line="194" w:lineRule="auto"/>
        <w:rPr>
          <w:sz w:val="20"/>
          <w:szCs w:val="20"/>
          <w:color w:val="auto"/>
        </w:rPr>
      </w:pPr>
      <w:r>
        <w:rPr>
          <w:rFonts w:ascii="Calibri" w:cs="Calibri" w:eastAsia="Calibri" w:hAnsi="Calibri"/>
          <w:sz w:val="19"/>
          <w:szCs w:val="19"/>
          <w:b w:val="1"/>
          <w:bCs w:val="1"/>
          <w:color w:val="auto"/>
        </w:rPr>
        <w:t>(FOR EMPLOYEES)</w:t>
      </w:r>
    </w:p>
    <w:p>
      <w:pPr>
        <w:spacing w:after="0" w:line="166" w:lineRule="exact"/>
        <w:rPr>
          <w:sz w:val="20"/>
          <w:szCs w:val="20"/>
          <w:color w:val="auto"/>
        </w:rPr>
      </w:pPr>
    </w:p>
    <w:p>
      <w:pPr>
        <w:ind w:left="1240"/>
        <w:spacing w:after="0"/>
        <w:rPr>
          <w:sz w:val="20"/>
          <w:szCs w:val="20"/>
          <w:color w:val="auto"/>
        </w:rPr>
      </w:pPr>
      <w:r>
        <w:rPr>
          <w:rFonts w:ascii="Calibri" w:cs="Calibri" w:eastAsia="Calibri" w:hAnsi="Calibri"/>
          <w:sz w:val="19"/>
          <w:szCs w:val="19"/>
          <w:b w:val="1"/>
          <w:bCs w:val="1"/>
          <w:color w:val="auto"/>
        </w:rPr>
        <w:t xml:space="preserve">THIS RESTRICTED STOCK UNIT AWARD AGREEMENT </w:t>
      </w:r>
      <w:r>
        <w:rPr>
          <w:rFonts w:ascii="Calibri" w:cs="Calibri" w:eastAsia="Calibri" w:hAnsi="Calibri"/>
          <w:sz w:val="19"/>
          <w:szCs w:val="19"/>
          <w:color w:val="auto"/>
        </w:rPr>
        <w:t>(this “</w:t>
      </w:r>
      <w:r>
        <w:rPr>
          <w:rFonts w:ascii="Calibri" w:cs="Calibri" w:eastAsia="Calibri" w:hAnsi="Calibri"/>
          <w:sz w:val="19"/>
          <w:szCs w:val="19"/>
          <w:u w:val="single" w:color="auto"/>
          <w:color w:val="auto"/>
        </w:rPr>
        <w:t>Agreement</w:t>
      </w:r>
      <w:r>
        <w:rPr>
          <w:rFonts w:ascii="Calibri" w:cs="Calibri" w:eastAsia="Calibri" w:hAnsi="Calibri"/>
          <w:sz w:val="19"/>
          <w:szCs w:val="19"/>
          <w:color w:val="auto"/>
        </w:rPr>
        <w:t>”), dated as of [</w:t>
      </w:r>
      <w:r>
        <w:rPr>
          <w:rFonts w:ascii="Arial" w:cs="Arial" w:eastAsia="Arial" w:hAnsi="Arial"/>
          <w:sz w:val="19"/>
          <w:szCs w:val="19"/>
          <w:color w:val="auto"/>
        </w:rPr>
        <w:t>●</w:t>
      </w:r>
      <w:r>
        <w:rPr>
          <w:rFonts w:ascii="Calibri" w:cs="Calibri" w:eastAsia="Calibri" w:hAnsi="Calibri"/>
          <w:sz w:val="19"/>
          <w:szCs w:val="19"/>
          <w:color w:val="auto"/>
        </w:rPr>
        <w:t>], _____ (the “</w:t>
      </w:r>
      <w:r>
        <w:rPr>
          <w:rFonts w:ascii="Calibri" w:cs="Calibri" w:eastAsia="Calibri" w:hAnsi="Calibri"/>
          <w:sz w:val="19"/>
          <w:szCs w:val="19"/>
          <w:u w:val="single" w:color="auto"/>
          <w:color w:val="auto"/>
        </w:rPr>
        <w:t>Grant Date</w:t>
      </w:r>
      <w:r>
        <w:rPr>
          <w:rFonts w:ascii="Calibri" w:cs="Calibri" w:eastAsia="Calibri" w:hAnsi="Calibri"/>
          <w:sz w:val="19"/>
          <w:szCs w:val="19"/>
          <w:color w:val="auto"/>
        </w:rPr>
        <w:t>”), is made by</w:t>
      </w:r>
    </w:p>
    <w:p>
      <w:pPr>
        <w:spacing w:after="0" w:line="204" w:lineRule="auto"/>
        <w:rPr>
          <w:sz w:val="20"/>
          <w:szCs w:val="20"/>
          <w:color w:val="auto"/>
        </w:rPr>
      </w:pPr>
      <w:r>
        <w:rPr>
          <w:rFonts w:ascii="Calibri" w:cs="Calibri" w:eastAsia="Calibri" w:hAnsi="Calibri"/>
          <w:sz w:val="19"/>
          <w:szCs w:val="19"/>
          <w:color w:val="auto"/>
        </w:rPr>
        <w:t>and between NMI Holdings, Inc., a Delaware corporaton (the “</w:t>
      </w:r>
      <w:r>
        <w:rPr>
          <w:rFonts w:ascii="Calibri" w:cs="Calibri" w:eastAsia="Calibri" w:hAnsi="Calibri"/>
          <w:sz w:val="19"/>
          <w:szCs w:val="19"/>
          <w:u w:val="single" w:color="auto"/>
          <w:color w:val="auto"/>
        </w:rPr>
        <w:t>Company</w:t>
      </w:r>
      <w:r>
        <w:rPr>
          <w:rFonts w:ascii="Calibri" w:cs="Calibri" w:eastAsia="Calibri" w:hAnsi="Calibri"/>
          <w:sz w:val="19"/>
          <w:szCs w:val="19"/>
          <w:color w:val="auto"/>
        </w:rPr>
        <w:t>”), and [NAME] (“</w:t>
      </w:r>
      <w:r>
        <w:rPr>
          <w:rFonts w:ascii="Calibri" w:cs="Calibri" w:eastAsia="Calibri" w:hAnsi="Calibri"/>
          <w:sz w:val="19"/>
          <w:szCs w:val="19"/>
          <w:u w:val="single" w:color="auto"/>
          <w:color w:val="auto"/>
        </w:rPr>
        <w:t>Partcipant</w:t>
      </w:r>
      <w:r>
        <w:rPr>
          <w:rFonts w:ascii="Calibri" w:cs="Calibri" w:eastAsia="Calibri" w:hAnsi="Calibri"/>
          <w:sz w:val="19"/>
          <w:szCs w:val="19"/>
          <w:color w:val="auto"/>
        </w:rPr>
        <w:t>”).</w:t>
      </w:r>
    </w:p>
    <w:p>
      <w:pPr>
        <w:spacing w:after="0" w:line="162" w:lineRule="exact"/>
        <w:rPr>
          <w:sz w:val="20"/>
          <w:szCs w:val="20"/>
          <w:color w:val="auto"/>
        </w:rPr>
      </w:pPr>
    </w:p>
    <w:p>
      <w:pPr>
        <w:jc w:val="both"/>
        <w:ind w:firstLine="1242"/>
        <w:spacing w:after="0" w:line="211" w:lineRule="auto"/>
        <w:rPr>
          <w:sz w:val="20"/>
          <w:szCs w:val="20"/>
          <w:color w:val="auto"/>
        </w:rPr>
      </w:pPr>
      <w:r>
        <w:rPr>
          <w:rFonts w:ascii="Calibri" w:cs="Calibri" w:eastAsia="Calibri" w:hAnsi="Calibri"/>
          <w:sz w:val="19"/>
          <w:szCs w:val="19"/>
          <w:b w:val="1"/>
          <w:bCs w:val="1"/>
          <w:color w:val="auto"/>
        </w:rPr>
        <w:t>WHEREAS</w:t>
      </w:r>
      <w:r>
        <w:rPr>
          <w:rFonts w:ascii="Calibri" w:cs="Calibri" w:eastAsia="Calibri" w:hAnsi="Calibri"/>
          <w:sz w:val="19"/>
          <w:szCs w:val="19"/>
          <w:color w:val="auto"/>
        </w:rPr>
        <w:t>, the Company has adopted the NMI Holdings, Inc. Amended and Restated 2014 Omnibus Incentve Plan (the “</w:t>
      </w:r>
      <w:r>
        <w:rPr>
          <w:rFonts w:ascii="Calibri" w:cs="Calibri" w:eastAsia="Calibri" w:hAnsi="Calibri"/>
          <w:sz w:val="19"/>
          <w:szCs w:val="19"/>
          <w:u w:val="single" w:color="auto"/>
          <w:color w:val="auto"/>
        </w:rPr>
        <w:t>Plan</w:t>
      </w:r>
      <w:r>
        <w:rPr>
          <w:rFonts w:ascii="Calibri" w:cs="Calibri" w:eastAsia="Calibri" w:hAnsi="Calibri"/>
          <w:sz w:val="19"/>
          <w:szCs w:val="19"/>
          <w:color w:val="auto"/>
        </w:rPr>
        <w: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pursuant to which restricted stock units relatng to shares of the Company’s common stock, par value $0.01 per share (“</w:t>
      </w:r>
      <w:r>
        <w:rPr>
          <w:rFonts w:ascii="Calibri" w:cs="Calibri" w:eastAsia="Calibri" w:hAnsi="Calibri"/>
          <w:sz w:val="19"/>
          <w:szCs w:val="19"/>
          <w:u w:val="single" w:color="auto"/>
          <w:color w:val="auto"/>
        </w:rPr>
        <w:t>Common Stock</w:t>
      </w:r>
      <w:r>
        <w:rPr>
          <w:rFonts w:ascii="Calibri" w:cs="Calibri" w:eastAsia="Calibri" w:hAnsi="Calibri"/>
          <w:sz w:val="19"/>
          <w:szCs w:val="19"/>
          <w:color w:val="auto"/>
        </w:rPr>
        <w:t>”), may be granted; and</w:t>
      </w:r>
    </w:p>
    <w:p>
      <w:pPr>
        <w:spacing w:after="0" w:line="164" w:lineRule="exact"/>
        <w:rPr>
          <w:sz w:val="20"/>
          <w:szCs w:val="20"/>
          <w:color w:val="auto"/>
        </w:rPr>
      </w:pPr>
    </w:p>
    <w:p>
      <w:pPr>
        <w:jc w:val="both"/>
        <w:ind w:right="100" w:firstLine="1242"/>
        <w:spacing w:after="0" w:line="211" w:lineRule="auto"/>
        <w:rPr>
          <w:sz w:val="20"/>
          <w:szCs w:val="20"/>
          <w:color w:val="auto"/>
        </w:rPr>
      </w:pPr>
      <w:r>
        <w:rPr>
          <w:rFonts w:ascii="Calibri" w:cs="Calibri" w:eastAsia="Calibri" w:hAnsi="Calibri"/>
          <w:sz w:val="19"/>
          <w:szCs w:val="19"/>
          <w:b w:val="1"/>
          <w:bCs w:val="1"/>
          <w:color w:val="auto"/>
        </w:rPr>
        <w:t>WHEREAS</w:t>
      </w:r>
      <w:r>
        <w:rPr>
          <w:rFonts w:ascii="Calibri" w:cs="Calibri" w:eastAsia="Calibri" w:hAnsi="Calibri"/>
          <w:sz w:val="19"/>
          <w:szCs w:val="19"/>
          <w:color w:val="auto"/>
        </w:rPr>
        <w:t>, the Commitee has determined that it would be in the best interests of the Company and its stockholders to grant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Partcipant restricted stock units with respect to a number of shares of the Company’s Common Stock (the “</w:t>
      </w:r>
      <w:r>
        <w:rPr>
          <w:rFonts w:ascii="Calibri" w:cs="Calibri" w:eastAsia="Calibri" w:hAnsi="Calibri"/>
          <w:sz w:val="19"/>
          <w:szCs w:val="19"/>
          <w:u w:val="single" w:color="auto"/>
          <w:color w:val="auto"/>
        </w:rPr>
        <w:t>Shares</w:t>
      </w:r>
      <w:r>
        <w:rPr>
          <w:rFonts w:ascii="Calibri" w:cs="Calibri" w:eastAsia="Calibri" w:hAnsi="Calibri"/>
          <w:sz w:val="19"/>
          <w:szCs w:val="19"/>
          <w:color w:val="auto"/>
        </w:rPr>
        <w:t>”) on the terms and subject to the conditons set forth in this Agreement and the Plan.</w:t>
      </w:r>
    </w:p>
    <w:p>
      <w:pPr>
        <w:spacing w:after="0" w:line="164" w:lineRule="exact"/>
        <w:rPr>
          <w:sz w:val="20"/>
          <w:szCs w:val="20"/>
          <w:color w:val="auto"/>
        </w:rPr>
      </w:pPr>
    </w:p>
    <w:p>
      <w:pPr>
        <w:ind w:right="100" w:firstLine="1242"/>
        <w:spacing w:after="0" w:line="211" w:lineRule="auto"/>
        <w:rPr>
          <w:sz w:val="20"/>
          <w:szCs w:val="20"/>
          <w:color w:val="auto"/>
        </w:rPr>
      </w:pPr>
      <w:r>
        <w:rPr>
          <w:rFonts w:ascii="Calibri" w:cs="Calibri" w:eastAsia="Calibri" w:hAnsi="Calibri"/>
          <w:sz w:val="19"/>
          <w:szCs w:val="19"/>
          <w:b w:val="1"/>
          <w:bCs w:val="1"/>
          <w:color w:val="auto"/>
        </w:rPr>
        <w:t>NOW THEREFORE</w:t>
      </w:r>
      <w:r>
        <w:rPr>
          <w:rFonts w:ascii="Calibri" w:cs="Calibri" w:eastAsia="Calibri" w:hAnsi="Calibri"/>
          <w:sz w:val="19"/>
          <w:szCs w:val="19"/>
          <w:color w:val="auto"/>
        </w:rPr>
        <w:t>, for and in consideraton of the premises and the covenants of the partes contained in this Agreement,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for other good and valuable consideraton, the receipt of which is hereby acknowledged, the partes hereto, for themselves, their successors and assigns, hereby agree as follows:</w:t>
      </w:r>
    </w:p>
    <w:p>
      <w:pPr>
        <w:spacing w:after="0" w:line="159" w:lineRule="exact"/>
        <w:rPr>
          <w:sz w:val="20"/>
          <w:szCs w:val="20"/>
          <w:color w:val="auto"/>
        </w:rPr>
      </w:pPr>
    </w:p>
    <w:p>
      <w:pPr>
        <w:ind w:left="1560" w:hanging="315"/>
        <w:spacing w:after="0"/>
        <w:tabs>
          <w:tab w:leader="none" w:pos="1560" w:val="left"/>
        </w:tabs>
        <w:numPr>
          <w:ilvl w:val="0"/>
          <w:numId w:val="119"/>
        </w:numPr>
        <w:rPr>
          <w:rFonts w:ascii="Calibri" w:cs="Calibri" w:eastAsia="Calibri" w:hAnsi="Calibri"/>
          <w:sz w:val="19"/>
          <w:szCs w:val="19"/>
          <w:color w:val="auto"/>
        </w:rPr>
      </w:pPr>
      <w:r>
        <w:rPr>
          <w:rFonts w:ascii="Calibri" w:cs="Calibri" w:eastAsia="Calibri" w:hAnsi="Calibri"/>
          <w:sz w:val="19"/>
          <w:szCs w:val="19"/>
          <w:u w:val="single" w:color="auto"/>
          <w:color w:val="auto"/>
        </w:rPr>
        <w:t>Grant of Restricted Stock Unit Award</w:t>
      </w:r>
      <w:r>
        <w:rPr>
          <w:rFonts w:ascii="Calibri" w:cs="Calibri" w:eastAsia="Calibri" w:hAnsi="Calibri"/>
          <w:sz w:val="19"/>
          <w:szCs w:val="19"/>
          <w:color w:val="auto"/>
        </w:rPr>
        <w:t>.</w:t>
      </w:r>
    </w:p>
    <w:p>
      <w:pPr>
        <w:spacing w:after="0" w:line="165" w:lineRule="exact"/>
        <w:rPr>
          <w:rFonts w:ascii="Calibri" w:cs="Calibri" w:eastAsia="Calibri" w:hAnsi="Calibri"/>
          <w:sz w:val="19"/>
          <w:szCs w:val="19"/>
          <w:color w:val="auto"/>
        </w:rPr>
      </w:pPr>
    </w:p>
    <w:p>
      <w:pPr>
        <w:ind w:right="40" w:firstLine="1866"/>
        <w:spacing w:after="0" w:line="222" w:lineRule="auto"/>
        <w:tabs>
          <w:tab w:leader="none" w:pos="2249" w:val="left"/>
        </w:tabs>
        <w:numPr>
          <w:ilvl w:val="1"/>
          <w:numId w:val="119"/>
        </w:numPr>
        <w:rPr>
          <w:rFonts w:ascii="Calibri" w:cs="Calibri" w:eastAsia="Calibri" w:hAnsi="Calibri"/>
          <w:sz w:val="19"/>
          <w:szCs w:val="19"/>
          <w:color w:val="auto"/>
        </w:rPr>
      </w:pPr>
      <w:r>
        <w:rPr>
          <w:rFonts w:ascii="Calibri" w:cs="Calibri" w:eastAsia="Calibri" w:hAnsi="Calibri"/>
          <w:sz w:val="19"/>
          <w:szCs w:val="19"/>
          <w:u w:val="single" w:color="auto"/>
          <w:color w:val="auto"/>
        </w:rPr>
        <w:t>Grant</w:t>
      </w:r>
      <w:r>
        <w:rPr>
          <w:rFonts w:ascii="Calibri" w:cs="Calibri" w:eastAsia="Calibri" w:hAnsi="Calibri"/>
          <w:sz w:val="19"/>
          <w:szCs w:val="19"/>
          <w:color w:val="auto"/>
        </w:rPr>
        <w:t>. The Company hereby grants to Partcipant an award of restricted stock units with respect to [</w:t>
      </w:r>
      <w:r>
        <w:rPr>
          <w:rFonts w:ascii="Arial" w:cs="Arial" w:eastAsia="Arial" w:hAnsi="Arial"/>
          <w:sz w:val="19"/>
          <w:szCs w:val="19"/>
          <w:color w:val="auto"/>
        </w:rPr>
        <w:t>●</w:t>
      </w:r>
      <w:r>
        <w:rPr>
          <w:rFonts w:ascii="Calibri" w:cs="Calibri" w:eastAsia="Calibri" w:hAnsi="Calibri"/>
          <w:sz w:val="19"/>
          <w:szCs w:val="19"/>
          <w:color w:val="auto"/>
        </w:rPr>
        <w:t>] Shares (the “</w:t>
      </w:r>
      <w:r>
        <w:rPr>
          <w:rFonts w:ascii="Calibri" w:cs="Calibri" w:eastAsia="Calibri" w:hAnsi="Calibri"/>
          <w:sz w:val="19"/>
          <w:szCs w:val="19"/>
          <w:u w:val="single" w:color="auto"/>
          <w:color w:val="auto"/>
        </w:rPr>
        <w:t>RSUs</w:t>
      </w:r>
      <w:r>
        <w:rPr>
          <w:rFonts w:ascii="Calibri" w:cs="Calibri" w:eastAsia="Calibri" w:hAnsi="Calibri"/>
          <w:sz w:val="19"/>
          <w:szCs w:val="19"/>
          <w:color w:val="auto"/>
        </w:rPr>
        <w:t>”) on the terms and conditons set forth in this Agreement and as otherwise provided in the Plan.</w:t>
      </w:r>
    </w:p>
    <w:p>
      <w:pPr>
        <w:spacing w:after="0" w:line="162" w:lineRule="exact"/>
        <w:rPr>
          <w:rFonts w:ascii="Calibri" w:cs="Calibri" w:eastAsia="Calibri" w:hAnsi="Calibri"/>
          <w:sz w:val="19"/>
          <w:szCs w:val="19"/>
          <w:color w:val="auto"/>
        </w:rPr>
      </w:pPr>
    </w:p>
    <w:p>
      <w:pPr>
        <w:jc w:val="both"/>
        <w:ind w:firstLine="1866"/>
        <w:spacing w:after="0" w:line="211" w:lineRule="auto"/>
        <w:tabs>
          <w:tab w:leader="none" w:pos="2258" w:val="left"/>
        </w:tabs>
        <w:numPr>
          <w:ilvl w:val="1"/>
          <w:numId w:val="119"/>
        </w:numPr>
        <w:rPr>
          <w:rFonts w:ascii="Calibri" w:cs="Calibri" w:eastAsia="Calibri" w:hAnsi="Calibri"/>
          <w:sz w:val="19"/>
          <w:szCs w:val="19"/>
          <w:color w:val="auto"/>
        </w:rPr>
      </w:pPr>
      <w:r>
        <w:rPr>
          <w:rFonts w:ascii="Calibri" w:cs="Calibri" w:eastAsia="Calibri" w:hAnsi="Calibri"/>
          <w:sz w:val="19"/>
          <w:szCs w:val="19"/>
          <w:u w:val="single" w:color="auto"/>
          <w:color w:val="auto"/>
        </w:rPr>
        <w:t>Incorporaton by Reference, Etc.</w:t>
      </w:r>
      <w:r>
        <w:rPr>
          <w:rFonts w:ascii="Calibri" w:cs="Calibri" w:eastAsia="Calibri" w:hAnsi="Calibri"/>
          <w:sz w:val="19"/>
          <w:szCs w:val="19"/>
          <w:color w:val="auto"/>
        </w:rPr>
        <w:t xml:space="preserve"> The provisions of the Plan are hereby incorporated herein by reference. Except as otherwise expressly set forth herein, this Agreement shall be construed in accordance with the provisions of the Plan and any capitalized terms not otherwise defned in this Agreement shall have the defnitons set forth in the Plan.</w:t>
      </w:r>
    </w:p>
    <w:p>
      <w:pPr>
        <w:spacing w:after="0" w:line="158" w:lineRule="exact"/>
        <w:rPr>
          <w:rFonts w:ascii="Calibri" w:cs="Calibri" w:eastAsia="Calibri" w:hAnsi="Calibri"/>
          <w:sz w:val="19"/>
          <w:szCs w:val="19"/>
          <w:color w:val="auto"/>
        </w:rPr>
      </w:pPr>
    </w:p>
    <w:p>
      <w:pPr>
        <w:ind w:left="1560" w:hanging="315"/>
        <w:spacing w:after="0"/>
        <w:tabs>
          <w:tab w:leader="none" w:pos="1560" w:val="left"/>
        </w:tabs>
        <w:numPr>
          <w:ilvl w:val="0"/>
          <w:numId w:val="119"/>
        </w:numPr>
        <w:rPr>
          <w:rFonts w:ascii="Calibri" w:cs="Calibri" w:eastAsia="Calibri" w:hAnsi="Calibri"/>
          <w:sz w:val="19"/>
          <w:szCs w:val="19"/>
          <w:color w:val="auto"/>
        </w:rPr>
      </w:pPr>
      <w:r>
        <w:rPr>
          <w:rFonts w:ascii="Calibri" w:cs="Calibri" w:eastAsia="Calibri" w:hAnsi="Calibri"/>
          <w:sz w:val="19"/>
          <w:szCs w:val="19"/>
          <w:u w:val="single" w:color="auto"/>
          <w:color w:val="auto"/>
        </w:rPr>
        <w:t>Vestng</w:t>
      </w:r>
      <w:r>
        <w:rPr>
          <w:rFonts w:ascii="Calibri" w:cs="Calibri" w:eastAsia="Calibri" w:hAnsi="Calibri"/>
          <w:sz w:val="19"/>
          <w:szCs w:val="19"/>
          <w:color w:val="auto"/>
        </w:rPr>
        <w:t>.</w:t>
      </w:r>
    </w:p>
    <w:p>
      <w:pPr>
        <w:spacing w:after="0" w:line="174" w:lineRule="exact"/>
        <w:rPr>
          <w:rFonts w:ascii="Calibri" w:cs="Calibri" w:eastAsia="Calibri" w:hAnsi="Calibri"/>
          <w:sz w:val="19"/>
          <w:szCs w:val="19"/>
          <w:color w:val="auto"/>
        </w:rPr>
      </w:pPr>
    </w:p>
    <w:p>
      <w:pPr>
        <w:ind w:firstLine="1866"/>
        <w:spacing w:after="0" w:line="202" w:lineRule="auto"/>
        <w:tabs>
          <w:tab w:leader="none" w:pos="2249" w:val="left"/>
        </w:tabs>
        <w:numPr>
          <w:ilvl w:val="1"/>
          <w:numId w:val="119"/>
        </w:numPr>
        <w:rPr>
          <w:rFonts w:ascii="Calibri" w:cs="Calibri" w:eastAsia="Calibri" w:hAnsi="Calibri"/>
          <w:sz w:val="19"/>
          <w:szCs w:val="19"/>
          <w:color w:val="auto"/>
        </w:rPr>
      </w:pPr>
      <w:r>
        <w:rPr>
          <w:rFonts w:ascii="Calibri" w:cs="Calibri" w:eastAsia="Calibri" w:hAnsi="Calibri"/>
          <w:sz w:val="19"/>
          <w:szCs w:val="19"/>
          <w:color w:val="auto"/>
        </w:rPr>
        <w:t>Except as may otherwise be provided herein, (i) 40% of the RSUs (rounded down to the nearest whole Share) shall become vested on the frst anniversary of the Grant Date, (ii) 40% of the RSUs (rounded down to the nearest whole Share) shall become vested on the second anniversary of the Grant Date and (iii) the remainder of the RSUs shall become vested on the third anniversary of the Grant Date, in the case of each of clauses (i), (ii) and (iii), subject to Partcipant not having incurred a Terminaton of Employment prior to the applicable vestng date.</w:t>
      </w:r>
    </w:p>
    <w:p>
      <w:pPr>
        <w:spacing w:after="0" w:line="175" w:lineRule="exact"/>
        <w:rPr>
          <w:rFonts w:ascii="Calibri" w:cs="Calibri" w:eastAsia="Calibri" w:hAnsi="Calibri"/>
          <w:sz w:val="19"/>
          <w:szCs w:val="19"/>
          <w:color w:val="auto"/>
        </w:rPr>
      </w:pPr>
    </w:p>
    <w:p>
      <w:pPr>
        <w:ind w:right="20" w:firstLine="1866"/>
        <w:spacing w:after="0" w:line="200" w:lineRule="auto"/>
        <w:tabs>
          <w:tab w:leader="none" w:pos="2258" w:val="left"/>
        </w:tabs>
        <w:numPr>
          <w:ilvl w:val="1"/>
          <w:numId w:val="119"/>
        </w:numPr>
        <w:rPr>
          <w:rFonts w:ascii="Calibri" w:cs="Calibri" w:eastAsia="Calibri" w:hAnsi="Calibri"/>
          <w:sz w:val="19"/>
          <w:szCs w:val="19"/>
          <w:color w:val="auto"/>
        </w:rPr>
      </w:pPr>
      <w:r>
        <w:rPr>
          <w:rFonts w:ascii="Calibri" w:cs="Calibri" w:eastAsia="Calibri" w:hAnsi="Calibri"/>
          <w:sz w:val="19"/>
          <w:szCs w:val="19"/>
          <w:color w:val="auto"/>
        </w:rPr>
        <w:t>Except as provided in the immediately following sentence, in the event that Partcipant incurs a Terminaton of Employment, any unvested RSUs shall be forfeited by Partcipant without consideraton therefor. Notwithstanding the foregoing, if Partcipant incurs a Terminaton of Employment (i) as a result of terminaton by the Company or its Afliate without Cause on or afer the frst anniversary of the Grant Date, then any unvested RSUs that are outstanding immediately prior to such Terminaton of Employment and that would have vested on the next vestng date shall vest pro-rata as of the date of Partcipant’s Terminaton of Employment, with the number of RSUs vestng to be determined by multplying the number of unvested RSUs that would have vested on the next vestng date by a fracton, the numerator of which is the number of days between the prior vestng date (or Grant Date if no vestng date occurred prior to Partcipant’s Terminaton of Employment) and the date of Partcipant’s Terminaton of Employment and the denominator of which is 365; or (ii) due to Partcipant’s death or Disability, then any unvested RSUs shall accelerate and vest in full as of the date of Terminaton of Employment and be paid out as soon as is administratvely practcable.</w:t>
      </w:r>
    </w:p>
    <w:p>
      <w:pPr>
        <w:spacing w:after="0" w:line="175" w:lineRule="exact"/>
        <w:rPr>
          <w:rFonts w:ascii="Calibri" w:cs="Calibri" w:eastAsia="Calibri" w:hAnsi="Calibri"/>
          <w:sz w:val="19"/>
          <w:szCs w:val="19"/>
          <w:color w:val="auto"/>
        </w:rPr>
      </w:pPr>
    </w:p>
    <w:p>
      <w:pPr>
        <w:ind w:right="640" w:firstLine="1245"/>
        <w:spacing w:after="0" w:line="210" w:lineRule="auto"/>
        <w:tabs>
          <w:tab w:leader="none" w:pos="1565" w:val="left"/>
        </w:tabs>
        <w:numPr>
          <w:ilvl w:val="0"/>
          <w:numId w:val="119"/>
        </w:numPr>
        <w:rPr>
          <w:rFonts w:ascii="Calibri" w:cs="Calibri" w:eastAsia="Calibri" w:hAnsi="Calibri"/>
          <w:sz w:val="19"/>
          <w:szCs w:val="19"/>
          <w:color w:val="auto"/>
        </w:rPr>
      </w:pPr>
      <w:r>
        <w:rPr>
          <w:rFonts w:ascii="Calibri" w:cs="Calibri" w:eastAsia="Calibri" w:hAnsi="Calibri"/>
          <w:sz w:val="19"/>
          <w:szCs w:val="19"/>
          <w:u w:val="single" w:color="auto"/>
          <w:color w:val="auto"/>
        </w:rPr>
        <w:t>Setlement</w:t>
      </w:r>
      <w:r>
        <w:rPr>
          <w:rFonts w:ascii="Calibri" w:cs="Calibri" w:eastAsia="Calibri" w:hAnsi="Calibri"/>
          <w:sz w:val="19"/>
          <w:szCs w:val="19"/>
          <w:color w:val="auto"/>
        </w:rPr>
        <w:t>. As soon as practcable afer any RSUs have vested (and in any event, no later than ffeen business days immediately following the date of such vestng), such RSUs</w:t>
      </w:r>
    </w:p>
    <w:p>
      <w:pPr>
        <w:sectPr>
          <w:pgSz w:w="11900" w:h="16838" w:orient="portrait"/>
          <w:cols w:equalWidth="0" w:num="1">
            <w:col w:w="11240"/>
          </w:cols>
          <w:pgMar w:left="320" w:top="83" w:right="339" w:bottom="1440" w:gutter="0" w:footer="0" w:header="0"/>
        </w:sectPr>
      </w:pPr>
    </w:p>
    <w:bookmarkStart w:id="162" w:name="page163"/>
    <w:bookmarkEnd w:id="162"/>
    <w:p>
      <w:pPr>
        <w:jc w:val="right"/>
        <w:spacing w:after="0"/>
        <w:rPr>
          <w:sz w:val="20"/>
          <w:szCs w:val="20"/>
          <w:color w:val="auto"/>
        </w:rPr>
      </w:pPr>
      <w:r>
        <w:rPr>
          <w:rFonts w:ascii="Calibri" w:cs="Calibri" w:eastAsia="Calibri" w:hAnsi="Calibri"/>
          <w:sz w:val="19"/>
          <w:szCs w:val="19"/>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20"/>
        <w:spacing w:after="0" w:line="217" w:lineRule="auto"/>
        <w:rPr>
          <w:sz w:val="20"/>
          <w:szCs w:val="20"/>
          <w:color w:val="auto"/>
        </w:rPr>
      </w:pPr>
      <w:r>
        <w:rPr>
          <w:rFonts w:ascii="Calibri" w:cs="Calibri" w:eastAsia="Calibri" w:hAnsi="Calibri"/>
          <w:sz w:val="19"/>
          <w:szCs w:val="19"/>
          <w:color w:val="auto"/>
        </w:rPr>
        <w:t>shall be setled. Subject to Secton 4 (pertaining to the withholding of taxes) and Secton 3(d) of the Plan (as applicable), for each vested RSU setled pursuant to this Secton 3, the Company shall issue to Partcipant one Share.</w:t>
      </w:r>
    </w:p>
    <w:p>
      <w:pPr>
        <w:spacing w:after="0" w:line="66" w:lineRule="exact"/>
        <w:rPr>
          <w:sz w:val="20"/>
          <w:szCs w:val="20"/>
          <w:color w:val="auto"/>
        </w:rPr>
      </w:pPr>
    </w:p>
    <w:p>
      <w:pPr>
        <w:ind w:left="1560" w:hanging="315"/>
        <w:spacing w:after="0"/>
        <w:tabs>
          <w:tab w:leader="none" w:pos="1560" w:val="left"/>
        </w:tabs>
        <w:numPr>
          <w:ilvl w:val="0"/>
          <w:numId w:val="120"/>
        </w:numPr>
        <w:rPr>
          <w:rFonts w:ascii="Calibri" w:cs="Calibri" w:eastAsia="Calibri" w:hAnsi="Calibri"/>
          <w:sz w:val="19"/>
          <w:szCs w:val="19"/>
          <w:color w:val="auto"/>
        </w:rPr>
      </w:pPr>
      <w:r>
        <w:rPr>
          <w:rFonts w:ascii="Calibri" w:cs="Calibri" w:eastAsia="Calibri" w:hAnsi="Calibri"/>
          <w:sz w:val="19"/>
          <w:szCs w:val="19"/>
          <w:u w:val="single" w:color="auto"/>
          <w:color w:val="auto"/>
        </w:rPr>
        <w:t>Tax Withholding</w:t>
      </w:r>
      <w:r>
        <w:rPr>
          <w:rFonts w:ascii="Calibri" w:cs="Calibri" w:eastAsia="Calibri" w:hAnsi="Calibri"/>
          <w:sz w:val="19"/>
          <w:szCs w:val="19"/>
          <w:color w:val="auto"/>
        </w:rPr>
        <w:t>.</w:t>
      </w:r>
    </w:p>
    <w:p>
      <w:pPr>
        <w:spacing w:after="0" w:line="58" w:lineRule="exact"/>
        <w:rPr>
          <w:rFonts w:ascii="Calibri" w:cs="Calibri" w:eastAsia="Calibri" w:hAnsi="Calibri"/>
          <w:sz w:val="19"/>
          <w:szCs w:val="19"/>
          <w:color w:val="auto"/>
        </w:rPr>
      </w:pPr>
    </w:p>
    <w:p>
      <w:pPr>
        <w:ind w:firstLine="1866"/>
        <w:spacing w:after="0" w:line="201" w:lineRule="auto"/>
        <w:tabs>
          <w:tab w:leader="none" w:pos="2249" w:val="left"/>
        </w:tabs>
        <w:numPr>
          <w:ilvl w:val="1"/>
          <w:numId w:val="120"/>
        </w:numPr>
        <w:rPr>
          <w:rFonts w:ascii="Calibri" w:cs="Calibri" w:eastAsia="Calibri" w:hAnsi="Calibri"/>
          <w:sz w:val="19"/>
          <w:szCs w:val="19"/>
          <w:color w:val="auto"/>
        </w:rPr>
      </w:pPr>
      <w:r>
        <w:rPr>
          <w:rFonts w:ascii="Calibri" w:cs="Calibri" w:eastAsia="Calibri" w:hAnsi="Calibri"/>
          <w:sz w:val="19"/>
          <w:szCs w:val="19"/>
          <w:color w:val="auto"/>
        </w:rPr>
        <w:t>As a conditon to delivery of the Shares in respect of vested RSUs, Partcipant will, pursuant to Secton 15(d) of the Plan, make provisions satsfactory to the Company for payment of, any applicable taxes of any kind and other statutory obligatons (including but not limited to Partcipant’s FICA and SDI obligatons) (collectvely, the “Tax Obligatons”) in respect of the transfer of Shares in setlement of the RSUs. The Company shall have the power and the right to deduct or withhold from all amounts payable to Partcipant pursuant to the RSUs or otherwise, or require Partcipant to remit to the Company, an amount sufcient to satsfy the Tax Obligatons which the Company, in its sole discreton, deems necessary to be withheld or remited to comply with the Code and/or any other applicable law, rule or regulaton with respect to the RSUs and, if Partcipant fails to do so, the Company may otherwise refuse to issue or transfer any Shares otherwise required to be issued pursuant to this Agreement.</w:t>
      </w:r>
    </w:p>
    <w:p>
      <w:pPr>
        <w:spacing w:after="0" w:line="179" w:lineRule="exact"/>
        <w:rPr>
          <w:rFonts w:ascii="Calibri" w:cs="Calibri" w:eastAsia="Calibri" w:hAnsi="Calibri"/>
          <w:sz w:val="19"/>
          <w:szCs w:val="19"/>
          <w:color w:val="auto"/>
        </w:rPr>
      </w:pPr>
    </w:p>
    <w:p>
      <w:pPr>
        <w:ind w:right="20" w:firstLine="1866"/>
        <w:spacing w:after="0" w:line="198" w:lineRule="auto"/>
        <w:tabs>
          <w:tab w:leader="none" w:pos="2258" w:val="left"/>
        </w:tabs>
        <w:numPr>
          <w:ilvl w:val="1"/>
          <w:numId w:val="120"/>
        </w:numPr>
        <w:rPr>
          <w:rFonts w:ascii="Calibri" w:cs="Calibri" w:eastAsia="Calibri" w:hAnsi="Calibri"/>
          <w:sz w:val="19"/>
          <w:szCs w:val="19"/>
          <w:color w:val="auto"/>
        </w:rPr>
      </w:pPr>
      <w:r>
        <w:rPr>
          <w:rFonts w:ascii="Calibri" w:cs="Calibri" w:eastAsia="Calibri" w:hAnsi="Calibri"/>
          <w:sz w:val="19"/>
          <w:szCs w:val="19"/>
          <w:color w:val="auto"/>
        </w:rPr>
        <w:t>Except as provided in Secton 10(c), any such Tax Obligatons with regard to Partcipant shall be satsfed solely by retaining and instructng a registered broker(s) of the Company’s choosing to sell such number of Shares necessary to satsfy such Tax Obligatons, afer deducton of the broker’s commission, and the broker shall remit to the Company the cash proceeds thereof. In furtherance of the foregoing, by the executon of this Agreement, Partcipant hereby irrevocably instructs the Company and a registered broker(s) of the Company’s choosing to sell on behalf of Partcipant at the “market price,” that number of Shares required to generate sufcient cash necessary in order for the Company to satsfy the Tax Obligatons with regard to Partcipant. Partcipant represents to the Company and the broker that Partcipant is entering into this Agreement in good faith. Partcipant shall have no ability to modify these instructons. Partcipant further agrees to execute any such documents as are requested by the broker or the Company in order to efectuate the sale of the Shares and payment of the Tax Obligatons to the Company as contemplated hereby. The Partcipant represents to the Company that, as of the date hereof, he or she is not aware of any material nonpublic informaton about the Company or the Shares. It is Partcipant’s intenton that this provision comply with the requirements of Rule 10b5-1 promulgated under the Exchange Act.</w:t>
      </w:r>
    </w:p>
    <w:p>
      <w:pPr>
        <w:spacing w:after="0" w:line="184" w:lineRule="exact"/>
        <w:rPr>
          <w:rFonts w:ascii="Calibri" w:cs="Calibri" w:eastAsia="Calibri" w:hAnsi="Calibri"/>
          <w:sz w:val="19"/>
          <w:szCs w:val="19"/>
          <w:color w:val="auto"/>
        </w:rPr>
      </w:pPr>
    </w:p>
    <w:p>
      <w:pPr>
        <w:jc w:val="both"/>
        <w:ind w:right="100" w:firstLine="1866"/>
        <w:spacing w:after="0"/>
        <w:tabs>
          <w:tab w:leader="none" w:pos="2238" w:val="left"/>
        </w:tabs>
        <w:numPr>
          <w:ilvl w:val="1"/>
          <w:numId w:val="120"/>
        </w:numPr>
        <w:rPr>
          <w:rFonts w:ascii="Calibri" w:cs="Calibri" w:eastAsia="Calibri" w:hAnsi="Calibri"/>
          <w:sz w:val="19"/>
          <w:szCs w:val="19"/>
          <w:color w:val="auto"/>
        </w:rPr>
      </w:pPr>
      <w:r>
        <w:rPr>
          <w:rFonts w:ascii="Calibri" w:cs="Calibri" w:eastAsia="Calibri" w:hAnsi="Calibri"/>
          <w:sz w:val="19"/>
          <w:szCs w:val="19"/>
          <w:color w:val="auto"/>
        </w:rPr>
        <w:t>Notwithstanding Secton 4(b) hereof, with respect to any Partcipant who as of the date hereof is a Secton 16 ofcer of the Company and with respect to any Partcipant who becomes a Secton 16 ofcer on or following the date hereof, any such Tax Obligatons with regard to Partcipant shall be satsfed through the withholding of Shares otherwise issuable in connecton with the vestng of such RSUs.</w:t>
      </w:r>
    </w:p>
    <w:p>
      <w:pPr>
        <w:spacing w:after="0" w:line="261" w:lineRule="exact"/>
        <w:rPr>
          <w:rFonts w:ascii="Calibri" w:cs="Calibri" w:eastAsia="Calibri" w:hAnsi="Calibri"/>
          <w:sz w:val="19"/>
          <w:szCs w:val="19"/>
          <w:color w:val="auto"/>
        </w:rPr>
      </w:pPr>
    </w:p>
    <w:p>
      <w:pPr>
        <w:ind w:right="40" w:firstLine="1245"/>
        <w:spacing w:after="0" w:line="209" w:lineRule="auto"/>
        <w:tabs>
          <w:tab w:leader="none" w:pos="1565" w:val="left"/>
        </w:tabs>
        <w:numPr>
          <w:ilvl w:val="0"/>
          <w:numId w:val="120"/>
        </w:numPr>
        <w:rPr>
          <w:rFonts w:ascii="Calibri" w:cs="Calibri" w:eastAsia="Calibri" w:hAnsi="Calibri"/>
          <w:sz w:val="19"/>
          <w:szCs w:val="19"/>
          <w:color w:val="auto"/>
        </w:rPr>
      </w:pPr>
      <w:r>
        <w:rPr>
          <w:rFonts w:ascii="Calibri" w:cs="Calibri" w:eastAsia="Calibri" w:hAnsi="Calibri"/>
          <w:sz w:val="19"/>
          <w:szCs w:val="19"/>
          <w:u w:val="single" w:color="auto"/>
          <w:color w:val="auto"/>
        </w:rPr>
        <w:t>No Rights as Stockholder</w:t>
      </w:r>
      <w:r>
        <w:rPr>
          <w:rFonts w:ascii="Calibri" w:cs="Calibri" w:eastAsia="Calibri" w:hAnsi="Calibri"/>
          <w:sz w:val="19"/>
          <w:szCs w:val="19"/>
          <w:color w:val="auto"/>
        </w:rPr>
        <w:t>. Untl such tme as the RSUs have been setled and the underlying Shares have been delivered to Partcipant and Partcipant has become the holder of record of such Shares, Partcipant shall have no rights as a stockholder, including, without limitaton, the right to dividends and the right to vote.</w:t>
      </w:r>
    </w:p>
    <w:p>
      <w:pPr>
        <w:spacing w:after="0" w:line="1" w:lineRule="exact"/>
        <w:rPr>
          <w:rFonts w:ascii="Calibri" w:cs="Calibri" w:eastAsia="Calibri" w:hAnsi="Calibri"/>
          <w:sz w:val="19"/>
          <w:szCs w:val="19"/>
          <w:color w:val="auto"/>
        </w:rPr>
      </w:pPr>
    </w:p>
    <w:p>
      <w:pPr>
        <w:ind w:right="80" w:firstLine="1245"/>
        <w:spacing w:after="0" w:line="196" w:lineRule="auto"/>
        <w:tabs>
          <w:tab w:leader="none" w:pos="1565" w:val="left"/>
        </w:tabs>
        <w:numPr>
          <w:ilvl w:val="0"/>
          <w:numId w:val="120"/>
        </w:numPr>
        <w:rPr>
          <w:rFonts w:ascii="Calibri" w:cs="Calibri" w:eastAsia="Calibri" w:hAnsi="Calibri"/>
          <w:sz w:val="19"/>
          <w:szCs w:val="19"/>
          <w:color w:val="auto"/>
        </w:rPr>
      </w:pPr>
      <w:r>
        <w:rPr>
          <w:rFonts w:ascii="Calibri" w:cs="Calibri" w:eastAsia="Calibri" w:hAnsi="Calibri"/>
          <w:sz w:val="19"/>
          <w:szCs w:val="19"/>
          <w:u w:val="single" w:color="auto"/>
          <w:color w:val="auto"/>
        </w:rPr>
        <w:t>Transferability</w:t>
      </w:r>
      <w:r>
        <w:rPr>
          <w:rFonts w:ascii="Calibri" w:cs="Calibri" w:eastAsia="Calibri" w:hAnsi="Calibri"/>
          <w:sz w:val="19"/>
          <w:szCs w:val="19"/>
          <w:color w:val="auto"/>
        </w:rPr>
        <w:t xml:space="preserve">. The RSUs may not, at any tme prior to becoming vested, be assigned, alienated, pledged, atached, sold or otherwise transferred or encumbered by Partcipant other than by will or by the laws of descent and distributon and any such purported assignment, alienaton, pledge, atachment, sale, transfer or encumbrance shall be void and unenforceable against the Company, its Subsidiaries or Afliates;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that the designaton of a benefciary shall not consttute an assignment, alienaton, pledge, atachment, sale, transfer or encumbrance.</w:t>
      </w:r>
    </w:p>
    <w:p>
      <w:pPr>
        <w:spacing w:after="0" w:line="179" w:lineRule="exact"/>
        <w:rPr>
          <w:rFonts w:ascii="Calibri" w:cs="Calibri" w:eastAsia="Calibri" w:hAnsi="Calibri"/>
          <w:sz w:val="19"/>
          <w:szCs w:val="19"/>
          <w:color w:val="auto"/>
        </w:rPr>
      </w:pPr>
    </w:p>
    <w:p>
      <w:pPr>
        <w:ind w:right="820" w:firstLine="1245"/>
        <w:spacing w:after="0" w:line="210" w:lineRule="auto"/>
        <w:tabs>
          <w:tab w:leader="none" w:pos="1565" w:val="left"/>
        </w:tabs>
        <w:numPr>
          <w:ilvl w:val="0"/>
          <w:numId w:val="120"/>
        </w:numPr>
        <w:rPr>
          <w:rFonts w:ascii="Calibri" w:cs="Calibri" w:eastAsia="Calibri" w:hAnsi="Calibri"/>
          <w:sz w:val="19"/>
          <w:szCs w:val="19"/>
          <w:color w:val="auto"/>
        </w:rPr>
      </w:pPr>
      <w:r>
        <w:rPr>
          <w:rFonts w:ascii="Calibri" w:cs="Calibri" w:eastAsia="Calibri" w:hAnsi="Calibri"/>
          <w:sz w:val="19"/>
          <w:szCs w:val="19"/>
          <w:u w:val="single" w:color="auto"/>
          <w:color w:val="auto"/>
        </w:rPr>
        <w:t>Adjustment</w:t>
      </w:r>
      <w:r>
        <w:rPr>
          <w:rFonts w:ascii="Calibri" w:cs="Calibri" w:eastAsia="Calibri" w:hAnsi="Calibri"/>
          <w:sz w:val="19"/>
          <w:szCs w:val="19"/>
          <w:color w:val="auto"/>
        </w:rPr>
        <w:t>. Upon any event described in Secton 3(d) of the Plan occurring afer the Grant Date, the adjustment provisions as provided for under Secton 3(d) of the Plan shall apply to the RSUs.</w:t>
      </w:r>
    </w:p>
    <w:p>
      <w:pPr>
        <w:spacing w:after="0" w:line="176" w:lineRule="exact"/>
        <w:rPr>
          <w:rFonts w:ascii="Calibri" w:cs="Calibri" w:eastAsia="Calibri" w:hAnsi="Calibri"/>
          <w:sz w:val="19"/>
          <w:szCs w:val="19"/>
          <w:color w:val="auto"/>
        </w:rPr>
      </w:pPr>
    </w:p>
    <w:p>
      <w:pPr>
        <w:ind w:right="160" w:firstLine="1245"/>
        <w:spacing w:after="0" w:line="207" w:lineRule="auto"/>
        <w:tabs>
          <w:tab w:leader="none" w:pos="1565" w:val="left"/>
        </w:tabs>
        <w:numPr>
          <w:ilvl w:val="0"/>
          <w:numId w:val="120"/>
        </w:numPr>
        <w:rPr>
          <w:rFonts w:ascii="Calibri" w:cs="Calibri" w:eastAsia="Calibri" w:hAnsi="Calibri"/>
          <w:sz w:val="19"/>
          <w:szCs w:val="19"/>
          <w:color w:val="auto"/>
        </w:rPr>
      </w:pPr>
      <w:r>
        <w:rPr>
          <w:rFonts w:ascii="Calibri" w:cs="Calibri" w:eastAsia="Calibri" w:hAnsi="Calibri"/>
          <w:sz w:val="19"/>
          <w:szCs w:val="19"/>
          <w:u w:val="single" w:color="auto"/>
          <w:color w:val="auto"/>
        </w:rPr>
        <w:t>Change in Control</w:t>
      </w:r>
      <w:r>
        <w:rPr>
          <w:rFonts w:ascii="Calibri" w:cs="Calibri" w:eastAsia="Calibri" w:hAnsi="Calibri"/>
          <w:sz w:val="19"/>
          <w:szCs w:val="19"/>
          <w:color w:val="auto"/>
        </w:rPr>
        <w:t>. In the event of a Change in Control of the Company occurring afer the Grant Date, all outstanding unvested RSUs shall become fully vested upon the occurrence of such Change in Control. Any RSUs that vest in connecton with this Secton 8 shall be setled in a manner consistent with Secton 3 of this Agreement.</w:t>
      </w:r>
    </w:p>
    <w:p>
      <w:pPr>
        <w:sectPr>
          <w:pgSz w:w="11900" w:h="16838" w:orient="portrait"/>
          <w:cols w:equalWidth="0" w:num="1">
            <w:col w:w="11240"/>
          </w:cols>
          <w:pgMar w:left="320" w:top="83" w:right="339" w:bottom="1440" w:gutter="0" w:footer="0" w:header="0"/>
        </w:sectPr>
      </w:pPr>
    </w:p>
    <w:bookmarkStart w:id="163" w:name="page164"/>
    <w:bookmarkEnd w:id="163"/>
    <w:p>
      <w:pPr>
        <w:jc w:val="right"/>
        <w:spacing w:after="0"/>
        <w:rPr>
          <w:sz w:val="20"/>
          <w:szCs w:val="20"/>
          <w:color w:val="auto"/>
        </w:rPr>
      </w:pPr>
      <w:r>
        <w:rPr>
          <w:rFonts w:ascii="Calibri" w:cs="Calibri" w:eastAsia="Calibri" w:hAnsi="Calibri"/>
          <w:sz w:val="19"/>
          <w:szCs w:val="19"/>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560" w:hanging="315"/>
        <w:spacing w:after="0"/>
        <w:tabs>
          <w:tab w:leader="none" w:pos="1560" w:val="left"/>
        </w:tabs>
        <w:numPr>
          <w:ilvl w:val="0"/>
          <w:numId w:val="121"/>
        </w:numPr>
        <w:rPr>
          <w:rFonts w:ascii="Calibri" w:cs="Calibri" w:eastAsia="Calibri" w:hAnsi="Calibri"/>
          <w:sz w:val="19"/>
          <w:szCs w:val="19"/>
          <w:color w:val="auto"/>
        </w:rPr>
      </w:pPr>
      <w:r>
        <w:rPr>
          <w:rFonts w:ascii="Calibri" w:cs="Calibri" w:eastAsia="Calibri" w:hAnsi="Calibri"/>
          <w:sz w:val="19"/>
          <w:szCs w:val="19"/>
          <w:u w:val="single" w:color="auto"/>
          <w:color w:val="auto"/>
        </w:rPr>
        <w:t>Miscellaneous</w:t>
      </w:r>
      <w:r>
        <w:rPr>
          <w:rFonts w:ascii="Calibri" w:cs="Calibri" w:eastAsia="Calibri" w:hAnsi="Calibri"/>
          <w:sz w:val="19"/>
          <w:szCs w:val="19"/>
          <w:color w:val="auto"/>
        </w:rPr>
        <w:t>.</w:t>
      </w:r>
    </w:p>
    <w:p>
      <w:pPr>
        <w:spacing w:after="0" w:line="174" w:lineRule="exact"/>
        <w:rPr>
          <w:rFonts w:ascii="Calibri" w:cs="Calibri" w:eastAsia="Calibri" w:hAnsi="Calibri"/>
          <w:sz w:val="19"/>
          <w:szCs w:val="19"/>
          <w:color w:val="auto"/>
        </w:rPr>
      </w:pPr>
    </w:p>
    <w:p>
      <w:pPr>
        <w:ind w:right="80" w:firstLine="1866"/>
        <w:spacing w:after="0" w:line="201" w:lineRule="auto"/>
        <w:tabs>
          <w:tab w:leader="none" w:pos="2249" w:val="left"/>
        </w:tabs>
        <w:numPr>
          <w:ilvl w:val="1"/>
          <w:numId w:val="121"/>
        </w:numPr>
        <w:rPr>
          <w:rFonts w:ascii="Calibri" w:cs="Calibri" w:eastAsia="Calibri" w:hAnsi="Calibri"/>
          <w:sz w:val="19"/>
          <w:szCs w:val="19"/>
          <w:color w:val="auto"/>
        </w:rPr>
      </w:pPr>
      <w:r>
        <w:rPr>
          <w:rFonts w:ascii="Calibri" w:cs="Calibri" w:eastAsia="Calibri" w:hAnsi="Calibri"/>
          <w:sz w:val="19"/>
          <w:szCs w:val="19"/>
          <w:u w:val="single" w:color="auto"/>
          <w:color w:val="auto"/>
        </w:rPr>
        <w:t>Waiver and Amendment</w:t>
      </w:r>
      <w:r>
        <w:rPr>
          <w:rFonts w:ascii="Calibri" w:cs="Calibri" w:eastAsia="Calibri" w:hAnsi="Calibri"/>
          <w:sz w:val="19"/>
          <w:szCs w:val="19"/>
          <w:color w:val="auto"/>
        </w:rPr>
        <w:t xml:space="preserve">. The Commitee may waive any conditons or rights under, or amend any terms of, this Agreement and the RSUs granted thereunder;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that any such waiver or amendment that would materially impair the rights of any Partcipant or any holder or benefciary of any RSUs granted hereunder shall not to that extent be efectve without the consent of Partcipant.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consttute a waiver of any other breach or a waiver of the contnuaton of the same breach.</w:t>
      </w:r>
    </w:p>
    <w:p>
      <w:pPr>
        <w:spacing w:after="0" w:line="179" w:lineRule="exact"/>
        <w:rPr>
          <w:rFonts w:ascii="Calibri" w:cs="Calibri" w:eastAsia="Calibri" w:hAnsi="Calibri"/>
          <w:sz w:val="19"/>
          <w:szCs w:val="19"/>
          <w:color w:val="auto"/>
        </w:rPr>
      </w:pPr>
    </w:p>
    <w:p>
      <w:pPr>
        <w:jc w:val="both"/>
        <w:ind w:right="100" w:firstLine="1866"/>
        <w:spacing w:after="0" w:line="205" w:lineRule="auto"/>
        <w:tabs>
          <w:tab w:leader="none" w:pos="2258" w:val="left"/>
        </w:tabs>
        <w:numPr>
          <w:ilvl w:val="1"/>
          <w:numId w:val="121"/>
        </w:numPr>
        <w:rPr>
          <w:rFonts w:ascii="Calibri" w:cs="Calibri" w:eastAsia="Calibri" w:hAnsi="Calibri"/>
          <w:sz w:val="19"/>
          <w:szCs w:val="19"/>
          <w:color w:val="auto"/>
        </w:rPr>
      </w:pPr>
      <w:r>
        <w:rPr>
          <w:rFonts w:ascii="Calibri" w:cs="Calibri" w:eastAsia="Calibri" w:hAnsi="Calibri"/>
          <w:sz w:val="19"/>
          <w:szCs w:val="19"/>
          <w:u w:val="single" w:color="auto"/>
          <w:color w:val="auto"/>
        </w:rPr>
        <w:t>Unsecured Obligaton</w:t>
      </w:r>
      <w:r>
        <w:rPr>
          <w:rFonts w:ascii="Calibri" w:cs="Calibri" w:eastAsia="Calibri" w:hAnsi="Calibri"/>
          <w:sz w:val="19"/>
          <w:szCs w:val="19"/>
          <w:color w:val="auto"/>
        </w:rPr>
        <w:t>. This Award is unfunded, and even as to any RSUs which vest, Partcipant shall be considered an unsecured creditor of the Company with respect to the Company’s obligatons, if any, to issue Shares pursuant to this Agreement. Nothing contained in this Agreement, and no acton taken pursuant to its provisions, shall create or be construed to create a trust of any kind or a fduciary relatonship between Partcipant and the Company or any other person.</w:t>
      </w:r>
    </w:p>
    <w:p>
      <w:pPr>
        <w:spacing w:after="0" w:line="177" w:lineRule="exact"/>
        <w:rPr>
          <w:rFonts w:ascii="Calibri" w:cs="Calibri" w:eastAsia="Calibri" w:hAnsi="Calibri"/>
          <w:sz w:val="19"/>
          <w:szCs w:val="19"/>
          <w:color w:val="auto"/>
        </w:rPr>
      </w:pPr>
    </w:p>
    <w:p>
      <w:pPr>
        <w:ind w:right="260" w:firstLine="1866"/>
        <w:spacing w:after="0" w:line="210" w:lineRule="auto"/>
        <w:tabs>
          <w:tab w:leader="none" w:pos="2238" w:val="left"/>
        </w:tabs>
        <w:numPr>
          <w:ilvl w:val="1"/>
          <w:numId w:val="121"/>
        </w:numPr>
        <w:rPr>
          <w:rFonts w:ascii="Calibri" w:cs="Calibri" w:eastAsia="Calibri" w:hAnsi="Calibri"/>
          <w:sz w:val="19"/>
          <w:szCs w:val="19"/>
          <w:color w:val="auto"/>
        </w:rPr>
      </w:pPr>
      <w:r>
        <w:rPr>
          <w:rFonts w:ascii="Calibri" w:cs="Calibri" w:eastAsia="Calibri" w:hAnsi="Calibri"/>
          <w:sz w:val="19"/>
          <w:szCs w:val="19"/>
          <w:u w:val="single" w:color="auto"/>
          <w:color w:val="auto"/>
        </w:rPr>
        <w:t>Notces</w:t>
      </w:r>
      <w:r>
        <w:rPr>
          <w:rFonts w:ascii="Calibri" w:cs="Calibri" w:eastAsia="Calibri" w:hAnsi="Calibri"/>
          <w:sz w:val="19"/>
          <w:szCs w:val="19"/>
          <w:color w:val="auto"/>
        </w:rPr>
        <w:t>. All notces, demands and other communicatons provided for or permited hereunder shall be made in writng and shall be by registered or certfed frst-class mail, return receipt requested, facsimile, courier service or personal delivery:</w:t>
      </w:r>
    </w:p>
    <w:p>
      <w:pPr>
        <w:spacing w:after="0" w:line="170"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if to the Company:</w:t>
      </w:r>
    </w:p>
    <w:p>
      <w:pPr>
        <w:spacing w:after="0" w:line="147"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NMI Holdings, Inc.</w:t>
      </w:r>
    </w:p>
    <w:p>
      <w:pPr>
        <w:ind w:left="1860"/>
        <w:spacing w:after="0" w:line="186" w:lineRule="auto"/>
        <w:rPr>
          <w:sz w:val="20"/>
          <w:szCs w:val="20"/>
          <w:color w:val="auto"/>
        </w:rPr>
      </w:pPr>
      <w:r>
        <w:rPr>
          <w:rFonts w:ascii="Calibri" w:cs="Calibri" w:eastAsia="Calibri" w:hAnsi="Calibri"/>
          <w:sz w:val="17"/>
          <w:szCs w:val="17"/>
          <w:color w:val="auto"/>
        </w:rPr>
        <w:t>2100 Powell Street, 12</w:t>
      </w:r>
      <w:r>
        <w:rPr>
          <w:rFonts w:ascii="Calibri" w:cs="Calibri" w:eastAsia="Calibri" w:hAnsi="Calibri"/>
          <w:sz w:val="22"/>
          <w:szCs w:val="22"/>
          <w:color w:val="auto"/>
          <w:vertAlign w:val="superscript"/>
        </w:rPr>
        <w:t>th</w:t>
      </w:r>
      <w:r>
        <w:rPr>
          <w:rFonts w:ascii="Calibri" w:cs="Calibri" w:eastAsia="Calibri" w:hAnsi="Calibri"/>
          <w:sz w:val="17"/>
          <w:szCs w:val="17"/>
          <w:color w:val="auto"/>
        </w:rPr>
        <w:t xml:space="preserve"> Floor</w:t>
      </w:r>
    </w:p>
    <w:p>
      <w:pPr>
        <w:ind w:left="1860"/>
        <w:spacing w:after="0" w:line="195" w:lineRule="auto"/>
        <w:rPr>
          <w:sz w:val="20"/>
          <w:szCs w:val="20"/>
          <w:color w:val="auto"/>
        </w:rPr>
      </w:pPr>
      <w:r>
        <w:rPr>
          <w:rFonts w:ascii="Calibri" w:cs="Calibri" w:eastAsia="Calibri" w:hAnsi="Calibri"/>
          <w:sz w:val="19"/>
          <w:szCs w:val="19"/>
          <w:color w:val="auto"/>
        </w:rPr>
        <w:t>Emeryville, CA 94608</w:t>
      </w:r>
    </w:p>
    <w:p>
      <w:pPr>
        <w:ind w:left="1860"/>
        <w:spacing w:after="0" w:line="201" w:lineRule="auto"/>
        <w:rPr>
          <w:sz w:val="20"/>
          <w:szCs w:val="20"/>
          <w:color w:val="auto"/>
        </w:rPr>
      </w:pPr>
      <w:r>
        <w:rPr>
          <w:rFonts w:ascii="Calibri" w:cs="Calibri" w:eastAsia="Calibri" w:hAnsi="Calibri"/>
          <w:sz w:val="19"/>
          <w:szCs w:val="19"/>
          <w:color w:val="auto"/>
        </w:rPr>
        <w:t>Atenton: General Counsel</w:t>
      </w:r>
    </w:p>
    <w:p>
      <w:pPr>
        <w:spacing w:after="0" w:line="182"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if to Partcipant: at the address last on the records of the Company.</w:t>
      </w:r>
    </w:p>
    <w:p>
      <w:pPr>
        <w:spacing w:after="0" w:line="175" w:lineRule="exact"/>
        <w:rPr>
          <w:sz w:val="20"/>
          <w:szCs w:val="20"/>
          <w:color w:val="auto"/>
        </w:rPr>
      </w:pPr>
    </w:p>
    <w:p>
      <w:pPr>
        <w:ind w:right="180"/>
        <w:spacing w:after="0" w:line="207" w:lineRule="auto"/>
        <w:rPr>
          <w:sz w:val="20"/>
          <w:szCs w:val="20"/>
          <w:color w:val="auto"/>
        </w:rPr>
      </w:pPr>
      <w:r>
        <w:rPr>
          <w:rFonts w:ascii="Calibri" w:cs="Calibri" w:eastAsia="Calibri" w:hAnsi="Calibri"/>
          <w:sz w:val="19"/>
          <w:szCs w:val="19"/>
          <w:color w:val="auto"/>
        </w:rPr>
        <w:t>All such notces, demands and other communicatons shall be deemed to have been duly given when delivered by hand, if personally delivered; when delivered by courier, if delivered by commercial courier service; fve business days afer being deposited in the mail, postage prepaid, if mailed; and when receipt is mechanically acknowledged, if by facsimile or e-mail.</w:t>
      </w:r>
    </w:p>
    <w:p>
      <w:pPr>
        <w:spacing w:after="0" w:line="176" w:lineRule="exact"/>
        <w:rPr>
          <w:sz w:val="20"/>
          <w:szCs w:val="20"/>
          <w:color w:val="auto"/>
        </w:rPr>
      </w:pPr>
    </w:p>
    <w:p>
      <w:pPr>
        <w:ind w:right="140" w:firstLine="1866"/>
        <w:spacing w:after="0" w:line="207" w:lineRule="auto"/>
        <w:tabs>
          <w:tab w:leader="none" w:pos="2258" w:val="left"/>
        </w:tabs>
        <w:numPr>
          <w:ilvl w:val="0"/>
          <w:numId w:val="122"/>
        </w:numPr>
        <w:rPr>
          <w:rFonts w:ascii="Calibri" w:cs="Calibri" w:eastAsia="Calibri" w:hAnsi="Calibri"/>
          <w:sz w:val="19"/>
          <w:szCs w:val="19"/>
          <w:color w:val="auto"/>
        </w:rPr>
      </w:pPr>
      <w:r>
        <w:rPr>
          <w:rFonts w:ascii="Calibri" w:cs="Calibri" w:eastAsia="Calibri" w:hAnsi="Calibri"/>
          <w:sz w:val="19"/>
          <w:szCs w:val="19"/>
          <w:u w:val="single" w:color="auto"/>
          <w:color w:val="auto"/>
        </w:rPr>
        <w:t>Severability</w:t>
      </w:r>
      <w:r>
        <w:rPr>
          <w:rFonts w:ascii="Calibri" w:cs="Calibri" w:eastAsia="Calibri" w:hAnsi="Calibri"/>
          <w:sz w:val="19"/>
          <w:szCs w:val="19"/>
          <w:color w:val="auto"/>
        </w:rPr>
        <w:t>. The invalidity or unenforceability of any provision of this Agreement shall not afect the validity or enforceability of any other provision of this Agreement, and each other provision of this Agreement shall be severable and enforceable to the extent permited by law.</w:t>
      </w:r>
    </w:p>
    <w:p>
      <w:pPr>
        <w:spacing w:after="0" w:line="175" w:lineRule="exact"/>
        <w:rPr>
          <w:rFonts w:ascii="Calibri" w:cs="Calibri" w:eastAsia="Calibri" w:hAnsi="Calibri"/>
          <w:sz w:val="19"/>
          <w:szCs w:val="19"/>
          <w:color w:val="auto"/>
        </w:rPr>
      </w:pPr>
    </w:p>
    <w:p>
      <w:pPr>
        <w:ind w:firstLine="1866"/>
        <w:spacing w:after="0" w:line="205" w:lineRule="auto"/>
        <w:tabs>
          <w:tab w:leader="none" w:pos="2252" w:val="left"/>
        </w:tabs>
        <w:numPr>
          <w:ilvl w:val="0"/>
          <w:numId w:val="122"/>
        </w:numPr>
        <w:rPr>
          <w:rFonts w:ascii="Calibri" w:cs="Calibri" w:eastAsia="Calibri" w:hAnsi="Calibri"/>
          <w:sz w:val="19"/>
          <w:szCs w:val="19"/>
          <w:color w:val="auto"/>
        </w:rPr>
      </w:pPr>
      <w:r>
        <w:rPr>
          <w:rFonts w:ascii="Calibri" w:cs="Calibri" w:eastAsia="Calibri" w:hAnsi="Calibri"/>
          <w:sz w:val="19"/>
          <w:szCs w:val="19"/>
          <w:u w:val="single" w:color="auto"/>
          <w:color w:val="auto"/>
        </w:rPr>
        <w:t>No Rights to Service</w:t>
      </w:r>
      <w:r>
        <w:rPr>
          <w:rFonts w:ascii="Calibri" w:cs="Calibri" w:eastAsia="Calibri" w:hAnsi="Calibri"/>
          <w:sz w:val="19"/>
          <w:szCs w:val="19"/>
          <w:color w:val="auto"/>
        </w:rPr>
        <w:t>. Nothing contained in this Agreement shall be construed as giving Partcipant any right to be retained, in any positon, as an employee, consultant or director of the Company or its Afliates or shall interfere with or restrict in any way the right of the Company or its Afliates, which is hereby expressly reserved, to remove, terminate or discharge Partcipant at any tme for any reason whatsoever.</w:t>
      </w:r>
    </w:p>
    <w:p>
      <w:pPr>
        <w:spacing w:after="0" w:line="164" w:lineRule="exact"/>
        <w:rPr>
          <w:rFonts w:ascii="Calibri" w:cs="Calibri" w:eastAsia="Calibri" w:hAnsi="Calibri"/>
          <w:sz w:val="19"/>
          <w:szCs w:val="19"/>
          <w:color w:val="auto"/>
        </w:rPr>
      </w:pPr>
    </w:p>
    <w:p>
      <w:pPr>
        <w:ind w:firstLine="1866"/>
        <w:spacing w:after="0" w:line="204" w:lineRule="auto"/>
        <w:tabs>
          <w:tab w:leader="none" w:pos="2218" w:val="left"/>
        </w:tabs>
        <w:numPr>
          <w:ilvl w:val="0"/>
          <w:numId w:val="122"/>
        </w:numPr>
        <w:rPr>
          <w:rFonts w:ascii="Calibri" w:cs="Calibri" w:eastAsia="Calibri" w:hAnsi="Calibri"/>
          <w:sz w:val="19"/>
          <w:szCs w:val="19"/>
          <w:color w:val="auto"/>
        </w:rPr>
      </w:pPr>
      <w:r>
        <w:rPr>
          <w:rFonts w:ascii="Calibri" w:cs="Calibri" w:eastAsia="Calibri" w:hAnsi="Calibri"/>
          <w:sz w:val="19"/>
          <w:szCs w:val="19"/>
          <w:u w:val="single" w:color="auto"/>
          <w:color w:val="auto"/>
        </w:rPr>
        <w:t>Benefciary</w:t>
      </w:r>
      <w:r>
        <w:rPr>
          <w:rFonts w:ascii="Calibri" w:cs="Calibri" w:eastAsia="Calibri" w:hAnsi="Calibri"/>
          <w:sz w:val="19"/>
          <w:szCs w:val="19"/>
          <w:color w:val="auto"/>
        </w:rPr>
        <w:t xml:space="preserve">. Partcipant may fle with the Company a writen designaton of a benefciary on such form as may be prescribed by the Commitee and may, from tme to tme, change or revoke such designaton by fling a new designaton with the Company. The last such designaton received by the Company shall be controlling;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auto"/>
        </w:rPr>
        <w:t>however</w:t>
      </w:r>
      <w:r>
        <w:rPr>
          <w:rFonts w:ascii="Calibri" w:cs="Calibri" w:eastAsia="Calibri" w:hAnsi="Calibri"/>
          <w:sz w:val="19"/>
          <w:szCs w:val="19"/>
          <w:color w:val="auto"/>
        </w:rPr>
        <w:t>, that no designaton, or change or revocaton thereof, shall be efectve unless received by the Company prior to Partcipant’s death, and in no event shall it be efectve as of a date prior to such receipt. If no benefciary designaton is fled by Partcipant, the benefciary shall be deemed to be the Partcipant’s spouse or, if Partcipant is unmarried at the tme of death, his or her estate.</w:t>
      </w:r>
    </w:p>
    <w:p>
      <w:pPr>
        <w:spacing w:after="0" w:line="162" w:lineRule="exact"/>
        <w:rPr>
          <w:rFonts w:ascii="Calibri" w:cs="Calibri" w:eastAsia="Calibri" w:hAnsi="Calibri"/>
          <w:sz w:val="19"/>
          <w:szCs w:val="19"/>
          <w:color w:val="auto"/>
        </w:rPr>
      </w:pPr>
    </w:p>
    <w:p>
      <w:pPr>
        <w:ind w:right="580" w:firstLine="1866"/>
        <w:spacing w:after="0" w:line="217" w:lineRule="auto"/>
        <w:tabs>
          <w:tab w:leader="none" w:pos="2248" w:val="left"/>
        </w:tabs>
        <w:numPr>
          <w:ilvl w:val="0"/>
          <w:numId w:val="122"/>
        </w:numPr>
        <w:rPr>
          <w:rFonts w:ascii="Calibri" w:cs="Calibri" w:eastAsia="Calibri" w:hAnsi="Calibri"/>
          <w:sz w:val="19"/>
          <w:szCs w:val="19"/>
          <w:color w:val="auto"/>
        </w:rPr>
      </w:pPr>
      <w:r>
        <w:rPr>
          <w:rFonts w:ascii="Calibri" w:cs="Calibri" w:eastAsia="Calibri" w:hAnsi="Calibri"/>
          <w:sz w:val="19"/>
          <w:szCs w:val="19"/>
          <w:u w:val="single" w:color="auto"/>
          <w:color w:val="auto"/>
        </w:rPr>
        <w:t>Successors</w:t>
      </w:r>
      <w:r>
        <w:rPr>
          <w:rFonts w:ascii="Calibri" w:cs="Calibri" w:eastAsia="Calibri" w:hAnsi="Calibri"/>
          <w:sz w:val="19"/>
          <w:szCs w:val="19"/>
          <w:color w:val="auto"/>
        </w:rPr>
        <w:t>. The terms of this Agreement shall be binding upon and inure to the beneft of the Company, its successors and assigns, and of Partcipant and the benefciaries, executors, administrators, heirs and successors of Partcipant.</w:t>
      </w:r>
    </w:p>
    <w:p>
      <w:pPr>
        <w:sectPr>
          <w:pgSz w:w="11900" w:h="16838" w:orient="portrait"/>
          <w:cols w:equalWidth="0" w:num="1">
            <w:col w:w="11240"/>
          </w:cols>
          <w:pgMar w:left="320" w:top="83" w:right="339" w:bottom="1440" w:gutter="0" w:footer="0" w:header="0"/>
        </w:sectPr>
      </w:pPr>
    </w:p>
    <w:bookmarkStart w:id="164" w:name="page165"/>
    <w:bookmarkEnd w:id="164"/>
    <w:p>
      <w:pPr>
        <w:jc w:val="right"/>
        <w:spacing w:after="0"/>
        <w:rPr>
          <w:sz w:val="20"/>
          <w:szCs w:val="20"/>
          <w:color w:val="auto"/>
        </w:rPr>
      </w:pPr>
      <w:r>
        <w:rPr>
          <w:rFonts w:ascii="Calibri" w:cs="Calibri" w:eastAsia="Calibri" w:hAnsi="Calibri"/>
          <w:sz w:val="19"/>
          <w:szCs w:val="19"/>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firstLine="1866"/>
        <w:spacing w:after="0" w:line="211" w:lineRule="auto"/>
        <w:tabs>
          <w:tab w:leader="none" w:pos="2258" w:val="left"/>
        </w:tabs>
        <w:numPr>
          <w:ilvl w:val="1"/>
          <w:numId w:val="123"/>
        </w:numPr>
        <w:rPr>
          <w:rFonts w:ascii="Calibri" w:cs="Calibri" w:eastAsia="Calibri" w:hAnsi="Calibri"/>
          <w:sz w:val="19"/>
          <w:szCs w:val="19"/>
          <w:color w:val="auto"/>
        </w:rPr>
      </w:pPr>
      <w:r>
        <w:rPr>
          <w:rFonts w:ascii="Calibri" w:cs="Calibri" w:eastAsia="Calibri" w:hAnsi="Calibri"/>
          <w:sz w:val="19"/>
          <w:szCs w:val="19"/>
          <w:u w:val="single" w:color="auto"/>
          <w:color w:val="auto"/>
        </w:rPr>
        <w:t>Entre Agreement</w:t>
      </w:r>
      <w:r>
        <w:rPr>
          <w:rFonts w:ascii="Calibri" w:cs="Calibri" w:eastAsia="Calibri" w:hAnsi="Calibri"/>
          <w:sz w:val="19"/>
          <w:szCs w:val="19"/>
          <w:color w:val="auto"/>
        </w:rPr>
        <w:t>. This Agreement and the Plan contain the entre agreement and understanding of the partes hereto with respect to the subject mater contained herein and supersede all prior communicatons, representatons and negotatons with respect thereto.</w:t>
      </w:r>
    </w:p>
    <w:p>
      <w:pPr>
        <w:spacing w:after="0" w:line="164" w:lineRule="exact"/>
        <w:rPr>
          <w:rFonts w:ascii="Calibri" w:cs="Calibri" w:eastAsia="Calibri" w:hAnsi="Calibri"/>
          <w:sz w:val="19"/>
          <w:szCs w:val="19"/>
          <w:color w:val="auto"/>
        </w:rPr>
      </w:pPr>
    </w:p>
    <w:p>
      <w:pPr>
        <w:ind w:right="140" w:firstLine="1866"/>
        <w:spacing w:after="0" w:line="217" w:lineRule="auto"/>
        <w:tabs>
          <w:tab w:leader="none" w:pos="2200" w:val="left"/>
        </w:tabs>
        <w:numPr>
          <w:ilvl w:val="1"/>
          <w:numId w:val="123"/>
        </w:numPr>
        <w:rPr>
          <w:rFonts w:ascii="Calibri" w:cs="Calibri" w:eastAsia="Calibri" w:hAnsi="Calibri"/>
          <w:sz w:val="19"/>
          <w:szCs w:val="19"/>
          <w:color w:val="auto"/>
        </w:rPr>
      </w:pPr>
      <w:r>
        <w:rPr>
          <w:rFonts w:ascii="Calibri" w:cs="Calibri" w:eastAsia="Calibri" w:hAnsi="Calibri"/>
          <w:sz w:val="19"/>
          <w:szCs w:val="19"/>
          <w:u w:val="single" w:color="auto"/>
          <w:color w:val="auto"/>
        </w:rPr>
        <w:t>Bound by the Plan</w:t>
      </w:r>
      <w:r>
        <w:rPr>
          <w:rFonts w:ascii="Calibri" w:cs="Calibri" w:eastAsia="Calibri" w:hAnsi="Calibri"/>
          <w:sz w:val="19"/>
          <w:szCs w:val="19"/>
          <w:color w:val="auto"/>
        </w:rPr>
        <w:t>. By signing this Agreement, Partcipant acknowledges that he or she has received a copy of the Plan and has had an opportunity to review the Plan and agrees to be bound by all the terms and provisions of the Plan.</w:t>
      </w:r>
    </w:p>
    <w:p>
      <w:pPr>
        <w:spacing w:after="0" w:line="175" w:lineRule="exact"/>
        <w:rPr>
          <w:rFonts w:ascii="Calibri" w:cs="Calibri" w:eastAsia="Calibri" w:hAnsi="Calibri"/>
          <w:sz w:val="19"/>
          <w:szCs w:val="19"/>
          <w:color w:val="auto"/>
        </w:rPr>
      </w:pPr>
    </w:p>
    <w:p>
      <w:pPr>
        <w:ind w:right="180" w:firstLine="1866"/>
        <w:spacing w:after="0" w:line="205" w:lineRule="auto"/>
        <w:tabs>
          <w:tab w:leader="none" w:pos="2208" w:val="left"/>
        </w:tabs>
        <w:numPr>
          <w:ilvl w:val="1"/>
          <w:numId w:val="123"/>
        </w:numPr>
        <w:rPr>
          <w:rFonts w:ascii="Calibri" w:cs="Calibri" w:eastAsia="Calibri" w:hAnsi="Calibri"/>
          <w:sz w:val="19"/>
          <w:szCs w:val="19"/>
          <w:color w:val="auto"/>
        </w:rPr>
      </w:pPr>
      <w:r>
        <w:rPr>
          <w:rFonts w:ascii="Calibri" w:cs="Calibri" w:eastAsia="Calibri" w:hAnsi="Calibri"/>
          <w:sz w:val="19"/>
          <w:szCs w:val="19"/>
          <w:u w:val="single" w:color="auto"/>
          <w:color w:val="auto"/>
        </w:rPr>
        <w:t>Secton 409A.</w:t>
      </w:r>
      <w:r>
        <w:rPr>
          <w:rFonts w:ascii="Calibri" w:cs="Calibri" w:eastAsia="Calibri" w:hAnsi="Calibri"/>
          <w:sz w:val="19"/>
          <w:szCs w:val="19"/>
          <w:color w:val="auto"/>
        </w:rPr>
        <w:t xml:space="preserve"> It is intended that the Awards granted pursuant to this Agreement and the provisions of this Agreement be exempt from or be designed such that the taxes and/or penaltes under Secton 409A of the Code are not imposed, and all provisions of this Agreement shall be construed and interpreted in a manner consistent with the requirements for avoiding taxes or penaltes under Secton 409A of the Code.</w:t>
      </w:r>
    </w:p>
    <w:p>
      <w:pPr>
        <w:spacing w:after="0" w:line="164" w:lineRule="exact"/>
        <w:rPr>
          <w:rFonts w:ascii="Calibri" w:cs="Calibri" w:eastAsia="Calibri" w:hAnsi="Calibri"/>
          <w:sz w:val="19"/>
          <w:szCs w:val="19"/>
          <w:color w:val="auto"/>
        </w:rPr>
      </w:pPr>
    </w:p>
    <w:p>
      <w:pPr>
        <w:ind w:right="220" w:firstLine="1866"/>
        <w:spacing w:after="0" w:line="211" w:lineRule="auto"/>
        <w:tabs>
          <w:tab w:leader="none" w:pos="2244" w:val="left"/>
        </w:tabs>
        <w:numPr>
          <w:ilvl w:val="1"/>
          <w:numId w:val="123"/>
        </w:numPr>
        <w:rPr>
          <w:rFonts w:ascii="Calibri" w:cs="Calibri" w:eastAsia="Calibri" w:hAnsi="Calibri"/>
          <w:sz w:val="19"/>
          <w:szCs w:val="19"/>
          <w:color w:val="auto"/>
        </w:rPr>
      </w:pPr>
      <w:r>
        <w:rPr>
          <w:rFonts w:ascii="Calibri" w:cs="Calibri" w:eastAsia="Calibri" w:hAnsi="Calibri"/>
          <w:sz w:val="19"/>
          <w:szCs w:val="19"/>
          <w:u w:val="single" w:color="auto"/>
          <w:color w:val="auto"/>
        </w:rPr>
        <w:t>Governing Law</w:t>
      </w:r>
      <w:r>
        <w:rPr>
          <w:rFonts w:ascii="Calibri" w:cs="Calibri" w:eastAsia="Calibri" w:hAnsi="Calibri"/>
          <w:sz w:val="19"/>
          <w:szCs w:val="19"/>
          <w:color w:val="auto"/>
        </w:rPr>
        <w:t>. This Agreement shall be construed and interpreted in accordance with the internal laws of the State of Delaware without regard to principles of conficts of law thereof, or principles of conficts of laws of any other jurisdicton that could cause the applicaton of the laws of any jurisdicton other than the State of Delaware.</w:t>
      </w:r>
    </w:p>
    <w:p>
      <w:pPr>
        <w:spacing w:after="0" w:line="164" w:lineRule="exact"/>
        <w:rPr>
          <w:rFonts w:ascii="Calibri" w:cs="Calibri" w:eastAsia="Calibri" w:hAnsi="Calibri"/>
          <w:sz w:val="19"/>
          <w:szCs w:val="19"/>
          <w:color w:val="auto"/>
        </w:rPr>
      </w:pPr>
    </w:p>
    <w:p>
      <w:pPr>
        <w:ind w:right="260" w:firstLine="1866"/>
        <w:spacing w:after="0" w:line="217" w:lineRule="auto"/>
        <w:tabs>
          <w:tab w:leader="none" w:pos="2200" w:val="left"/>
        </w:tabs>
        <w:numPr>
          <w:ilvl w:val="1"/>
          <w:numId w:val="123"/>
        </w:numPr>
        <w:rPr>
          <w:rFonts w:ascii="Calibri" w:cs="Calibri" w:eastAsia="Calibri" w:hAnsi="Calibri"/>
          <w:sz w:val="19"/>
          <w:szCs w:val="19"/>
          <w:color w:val="auto"/>
        </w:rPr>
      </w:pPr>
      <w:r>
        <w:rPr>
          <w:rFonts w:ascii="Calibri" w:cs="Calibri" w:eastAsia="Calibri" w:hAnsi="Calibri"/>
          <w:sz w:val="19"/>
          <w:szCs w:val="19"/>
          <w:u w:val="single" w:color="auto"/>
          <w:color w:val="auto"/>
        </w:rPr>
        <w:t>Headings</w:t>
      </w:r>
      <w:r>
        <w:rPr>
          <w:rFonts w:ascii="Calibri" w:cs="Calibri" w:eastAsia="Calibri" w:hAnsi="Calibri"/>
          <w:sz w:val="19"/>
          <w:szCs w:val="19"/>
          <w:color w:val="auto"/>
        </w:rPr>
        <w:t>. The headings of the Sectons hereof are provided for convenience only and are not to serve as a basis for interpretaton or constructon, and shall not consttute a part, of this Agreement.</w:t>
      </w:r>
    </w:p>
    <w:p>
      <w:pPr>
        <w:spacing w:after="0" w:line="175" w:lineRule="exact"/>
        <w:rPr>
          <w:rFonts w:ascii="Calibri" w:cs="Calibri" w:eastAsia="Calibri" w:hAnsi="Calibri"/>
          <w:sz w:val="19"/>
          <w:szCs w:val="19"/>
          <w:color w:val="auto"/>
        </w:rPr>
      </w:pPr>
    </w:p>
    <w:p>
      <w:pPr>
        <w:ind w:firstLine="1866"/>
        <w:spacing w:after="0" w:line="210" w:lineRule="auto"/>
        <w:tabs>
          <w:tab w:leader="none" w:pos="2311" w:val="left"/>
        </w:tabs>
        <w:numPr>
          <w:ilvl w:val="1"/>
          <w:numId w:val="123"/>
        </w:numPr>
        <w:rPr>
          <w:rFonts w:ascii="Calibri" w:cs="Calibri" w:eastAsia="Calibri" w:hAnsi="Calibri"/>
          <w:sz w:val="19"/>
          <w:szCs w:val="19"/>
          <w:color w:val="auto"/>
        </w:rPr>
      </w:pPr>
      <w:r>
        <w:rPr>
          <w:rFonts w:ascii="Calibri" w:cs="Calibri" w:eastAsia="Calibri" w:hAnsi="Calibri"/>
          <w:sz w:val="19"/>
          <w:szCs w:val="19"/>
          <w:u w:val="single" w:color="auto"/>
          <w:color w:val="auto"/>
        </w:rPr>
        <w:t>Signature in Counterparts</w:t>
      </w:r>
      <w:r>
        <w:rPr>
          <w:rFonts w:ascii="Calibri" w:cs="Calibri" w:eastAsia="Calibri" w:hAnsi="Calibri"/>
          <w:sz w:val="19"/>
          <w:szCs w:val="19"/>
          <w:color w:val="auto"/>
        </w:rPr>
        <w:t>. This Agreement may be signed in counterparts, each of which shall be an original, with the same efect as if the signatures thereto and hereto were upon the same instrument.</w:t>
      </w:r>
    </w:p>
    <w:p>
      <w:pPr>
        <w:spacing w:after="0" w:line="176" w:lineRule="exact"/>
        <w:rPr>
          <w:rFonts w:ascii="Calibri" w:cs="Calibri" w:eastAsia="Calibri" w:hAnsi="Calibri"/>
          <w:sz w:val="19"/>
          <w:szCs w:val="19"/>
          <w:color w:val="auto"/>
        </w:rPr>
      </w:pPr>
    </w:p>
    <w:p>
      <w:pPr>
        <w:ind w:right="60" w:firstLine="1245"/>
        <w:spacing w:after="0" w:line="201" w:lineRule="auto"/>
        <w:tabs>
          <w:tab w:leader="none" w:pos="1663" w:val="left"/>
        </w:tabs>
        <w:numPr>
          <w:ilvl w:val="0"/>
          <w:numId w:val="124"/>
        </w:numPr>
        <w:rPr>
          <w:rFonts w:ascii="Calibri" w:cs="Calibri" w:eastAsia="Calibri" w:hAnsi="Calibri"/>
          <w:sz w:val="19"/>
          <w:szCs w:val="19"/>
          <w:color w:val="auto"/>
        </w:rPr>
      </w:pPr>
      <w:r>
        <w:rPr>
          <w:rFonts w:ascii="Calibri" w:cs="Calibri" w:eastAsia="Calibri" w:hAnsi="Calibri"/>
          <w:sz w:val="19"/>
          <w:szCs w:val="19"/>
          <w:u w:val="single" w:color="auto"/>
          <w:color w:val="auto"/>
        </w:rPr>
        <w:t>Compliance with Legal Requirements</w:t>
      </w:r>
      <w:r>
        <w:rPr>
          <w:rFonts w:ascii="Calibri" w:cs="Calibri" w:eastAsia="Calibri" w:hAnsi="Calibri"/>
          <w:sz w:val="19"/>
          <w:szCs w:val="19"/>
          <w:color w:val="auto"/>
        </w:rPr>
        <w:t>. The grant of the RSUs and the delivery of the Shares in setlement thereof, and any other obligatons of the Company under this Agreement shall be subject to all applicable federal and state laws, rules and regulatons and to such approvals by any regulatory or governmental agency as may be required. Subject to Secton 9(k) of this Agreement, the Commitee, in its sole discreton, may postpone the issuance or delivery of Shares as the Commitee may consider appropriate and may require Partcipant to make such representatons and furnish such informaton as it may consider appropriate in connecton with the issuance or delivery of the Shares in compliance with applicable laws, rules and regulatons.</w:t>
      </w:r>
    </w:p>
    <w:p>
      <w:pPr>
        <w:spacing w:after="0" w:line="174" w:lineRule="exact"/>
        <w:rPr>
          <w:sz w:val="20"/>
          <w:szCs w:val="20"/>
          <w:color w:val="auto"/>
        </w:rPr>
      </w:pPr>
    </w:p>
    <w:p>
      <w:pPr>
        <w:jc w:val="center"/>
        <w:spacing w:after="0"/>
        <w:rPr>
          <w:sz w:val="20"/>
          <w:szCs w:val="20"/>
          <w:color w:val="auto"/>
        </w:rPr>
      </w:pPr>
      <w:r>
        <w:rPr>
          <w:rFonts w:ascii="Calibri" w:cs="Calibri" w:eastAsia="Calibri" w:hAnsi="Calibri"/>
          <w:sz w:val="19"/>
          <w:szCs w:val="19"/>
          <w:i w:val="1"/>
          <w:iCs w:val="1"/>
          <w:color w:val="auto"/>
        </w:rPr>
        <w:t>[Remainder of page intentonally lef blank; signature page to follow]</w:t>
      </w:r>
    </w:p>
    <w:p>
      <w:pPr>
        <w:sectPr>
          <w:pgSz w:w="11900" w:h="16838" w:orient="portrait"/>
          <w:cols w:equalWidth="0" w:num="1">
            <w:col w:w="11240"/>
          </w:cols>
          <w:pgMar w:left="320" w:top="83" w:right="339" w:bottom="1440" w:gutter="0" w:footer="0" w:header="0"/>
        </w:sectPr>
      </w:pPr>
    </w:p>
    <w:bookmarkStart w:id="165" w:name="page166"/>
    <w:bookmarkEnd w:id="165"/>
    <w:p>
      <w:pPr>
        <w:jc w:val="right"/>
        <w:spacing w:after="0"/>
        <w:rPr>
          <w:sz w:val="20"/>
          <w:szCs w:val="20"/>
          <w:color w:val="auto"/>
        </w:rPr>
      </w:pPr>
      <w:r>
        <w:rPr>
          <w:rFonts w:ascii="Calibri" w:cs="Calibri" w:eastAsia="Calibri" w:hAnsi="Calibri"/>
          <w:sz w:val="19"/>
          <w:szCs w:val="19"/>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 WITNESS WHEREOF</w:t>
      </w:r>
      <w:r>
        <w:rPr>
          <w:rFonts w:ascii="Calibri" w:cs="Calibri" w:eastAsia="Calibri" w:hAnsi="Calibri"/>
          <w:sz w:val="19"/>
          <w:szCs w:val="19"/>
          <w:color w:val="auto"/>
        </w:rPr>
        <w:t>, the partes hereto have executed this Agreement.</w:t>
      </w:r>
    </w:p>
    <w:p>
      <w:pPr>
        <w:spacing w:after="0" w:line="200" w:lineRule="exact"/>
        <w:rPr>
          <w:sz w:val="20"/>
          <w:szCs w:val="20"/>
          <w:color w:val="auto"/>
        </w:rPr>
      </w:pPr>
    </w:p>
    <w:p>
      <w:pPr>
        <w:spacing w:after="0" w:line="202"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NMI HOLDINGS, INC.</w:t>
      </w:r>
    </w:p>
    <w:p>
      <w:pPr>
        <w:spacing w:after="0" w:line="188"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___________________________________</w:t>
      </w:r>
    </w:p>
    <w:p>
      <w:pPr>
        <w:ind w:left="3720"/>
        <w:spacing w:after="0" w:line="194" w:lineRule="auto"/>
        <w:rPr>
          <w:sz w:val="20"/>
          <w:szCs w:val="20"/>
          <w:color w:val="auto"/>
        </w:rPr>
      </w:pPr>
      <w:r>
        <w:rPr>
          <w:rFonts w:ascii="Calibri" w:cs="Calibri" w:eastAsia="Calibri" w:hAnsi="Calibri"/>
          <w:sz w:val="19"/>
          <w:szCs w:val="19"/>
          <w:color w:val="auto"/>
        </w:rPr>
        <w:t>By:</w:t>
      </w:r>
    </w:p>
    <w:p>
      <w:pPr>
        <w:ind w:left="3720"/>
        <w:spacing w:after="0" w:line="201" w:lineRule="auto"/>
        <w:rPr>
          <w:sz w:val="20"/>
          <w:szCs w:val="20"/>
          <w:color w:val="auto"/>
        </w:rPr>
      </w:pPr>
      <w:r>
        <w:rPr>
          <w:rFonts w:ascii="Calibri" w:cs="Calibri" w:eastAsia="Calibri" w:hAnsi="Calibri"/>
          <w:sz w:val="19"/>
          <w:szCs w:val="19"/>
          <w:color w:val="auto"/>
        </w:rPr>
        <w:t>Title:</w:t>
      </w:r>
    </w:p>
    <w:p>
      <w:pPr>
        <w:spacing w:after="0" w:line="200" w:lineRule="exact"/>
        <w:rPr>
          <w:sz w:val="20"/>
          <w:szCs w:val="20"/>
          <w:color w:val="auto"/>
        </w:rPr>
      </w:pPr>
    </w:p>
    <w:p>
      <w:pPr>
        <w:spacing w:after="0" w:line="228"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PARTICIPANT</w:t>
      </w:r>
    </w:p>
    <w:p>
      <w:pPr>
        <w:spacing w:after="0" w:line="182"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___________________________________</w:t>
      </w:r>
    </w:p>
    <w:p>
      <w:pPr>
        <w:sectPr>
          <w:pgSz w:w="11900" w:h="16838" w:orient="portrait"/>
          <w:cols w:equalWidth="0" w:num="1">
            <w:col w:w="11240"/>
          </w:cols>
          <w:pgMar w:left="320" w:top="83" w:right="339" w:bottom="1440" w:gutter="0" w:footer="0" w:header="0"/>
        </w:sectPr>
      </w:pPr>
    </w:p>
    <w:bookmarkStart w:id="166" w:name="page167"/>
    <w:bookmarkEnd w:id="166"/>
    <w:p>
      <w:pPr>
        <w:jc w:val="right"/>
        <w:spacing w:after="0"/>
        <w:rPr>
          <w:sz w:val="20"/>
          <w:szCs w:val="20"/>
          <w:color w:val="auto"/>
        </w:rPr>
      </w:pPr>
      <w:r>
        <w:rPr>
          <w:rFonts w:ascii="Calibri" w:cs="Calibri" w:eastAsia="Calibri" w:hAnsi="Calibri"/>
          <w:sz w:val="19"/>
          <w:szCs w:val="19"/>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80"/>
        <w:spacing w:after="0"/>
        <w:rPr>
          <w:sz w:val="20"/>
          <w:szCs w:val="20"/>
          <w:color w:val="auto"/>
        </w:rPr>
      </w:pPr>
      <w:r>
        <w:rPr>
          <w:rFonts w:ascii="Calibri" w:cs="Calibri" w:eastAsia="Calibri" w:hAnsi="Calibri"/>
          <w:sz w:val="19"/>
          <w:szCs w:val="19"/>
          <w:i w:val="1"/>
          <w:iCs w:val="1"/>
          <w:color w:val="auto"/>
        </w:rPr>
        <w:t>[Signature Page to Restricted Stock Unit Award Agreement (Employees)]</w:t>
      </w:r>
    </w:p>
    <w:p>
      <w:pPr>
        <w:sectPr>
          <w:pgSz w:w="11900" w:h="16838" w:orient="portrait"/>
          <w:cols w:equalWidth="0" w:num="1">
            <w:col w:w="10120"/>
          </w:cols>
          <w:pgMar w:left="1440" w:top="83" w:right="339" w:bottom="1440" w:gutter="0" w:footer="0" w:header="0"/>
        </w:sectPr>
      </w:pPr>
    </w:p>
    <w:bookmarkStart w:id="167" w:name="page168"/>
    <w:bookmarkEnd w:id="167"/>
    <w:p>
      <w:pPr>
        <w:jc w:val="right"/>
        <w:spacing w:after="0"/>
        <w:rPr>
          <w:sz w:val="20"/>
          <w:szCs w:val="20"/>
          <w:color w:val="auto"/>
        </w:rPr>
      </w:pPr>
      <w:r>
        <w:rPr>
          <w:rFonts w:ascii="Calibri" w:cs="Calibri" w:eastAsia="Calibri" w:hAnsi="Calibri"/>
          <w:sz w:val="19"/>
          <w:szCs w:val="19"/>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b w:val="1"/>
          <w:bCs w:val="1"/>
          <w:color w:val="auto"/>
        </w:rPr>
        <w:t>NMI HOLDINGS, INC.</w:t>
      </w:r>
    </w:p>
    <w:p>
      <w:pPr>
        <w:jc w:val="center"/>
        <w:ind w:right="40"/>
        <w:spacing w:after="0" w:line="200" w:lineRule="auto"/>
        <w:rPr>
          <w:sz w:val="20"/>
          <w:szCs w:val="20"/>
          <w:color w:val="auto"/>
        </w:rPr>
      </w:pPr>
      <w:r>
        <w:rPr>
          <w:rFonts w:ascii="Calibri" w:cs="Calibri" w:eastAsia="Calibri" w:hAnsi="Calibri"/>
          <w:sz w:val="19"/>
          <w:szCs w:val="19"/>
          <w:b w:val="1"/>
          <w:bCs w:val="1"/>
          <w:color w:val="auto"/>
        </w:rPr>
        <w:t>AMENDED AND RESTATED 2014 OMNIBUS INCENTIVE PLAN</w:t>
      </w:r>
    </w:p>
    <w:p>
      <w:pPr>
        <w:jc w:val="center"/>
        <w:spacing w:after="0" w:line="194" w:lineRule="auto"/>
        <w:rPr>
          <w:sz w:val="20"/>
          <w:szCs w:val="20"/>
          <w:color w:val="auto"/>
        </w:rPr>
      </w:pPr>
      <w:r>
        <w:rPr>
          <w:rFonts w:ascii="Calibri" w:cs="Calibri" w:eastAsia="Calibri" w:hAnsi="Calibri"/>
          <w:sz w:val="19"/>
          <w:szCs w:val="19"/>
          <w:b w:val="1"/>
          <w:bCs w:val="1"/>
          <w:color w:val="auto"/>
        </w:rPr>
        <w:t>RESTRICTED STOCK UNIT AWARD AGREEMENT</w:t>
      </w:r>
    </w:p>
    <w:p>
      <w:pPr>
        <w:jc w:val="center"/>
        <w:spacing w:after="0" w:line="194" w:lineRule="auto"/>
        <w:rPr>
          <w:sz w:val="20"/>
          <w:szCs w:val="20"/>
          <w:color w:val="auto"/>
        </w:rPr>
      </w:pPr>
      <w:r>
        <w:rPr>
          <w:rFonts w:ascii="Calibri" w:cs="Calibri" w:eastAsia="Calibri" w:hAnsi="Calibri"/>
          <w:sz w:val="19"/>
          <w:szCs w:val="19"/>
          <w:b w:val="1"/>
          <w:bCs w:val="1"/>
          <w:color w:val="auto"/>
        </w:rPr>
        <w:t>(FOR EMPLOYEES)</w:t>
      </w:r>
    </w:p>
    <w:p>
      <w:pPr>
        <w:spacing w:after="0" w:line="166" w:lineRule="exact"/>
        <w:rPr>
          <w:sz w:val="20"/>
          <w:szCs w:val="20"/>
          <w:color w:val="auto"/>
        </w:rPr>
      </w:pPr>
    </w:p>
    <w:p>
      <w:pPr>
        <w:ind w:left="1240"/>
        <w:spacing w:after="0"/>
        <w:rPr>
          <w:sz w:val="20"/>
          <w:szCs w:val="20"/>
          <w:color w:val="auto"/>
        </w:rPr>
      </w:pPr>
      <w:r>
        <w:rPr>
          <w:rFonts w:ascii="Calibri" w:cs="Calibri" w:eastAsia="Calibri" w:hAnsi="Calibri"/>
          <w:sz w:val="19"/>
          <w:szCs w:val="19"/>
          <w:b w:val="1"/>
          <w:bCs w:val="1"/>
          <w:color w:val="auto"/>
        </w:rPr>
        <w:t xml:space="preserve">THIS RESTRICTED STOCK UNIT AWARD AGREEMENT </w:t>
      </w:r>
      <w:r>
        <w:rPr>
          <w:rFonts w:ascii="Calibri" w:cs="Calibri" w:eastAsia="Calibri" w:hAnsi="Calibri"/>
          <w:sz w:val="19"/>
          <w:szCs w:val="19"/>
          <w:color w:val="auto"/>
        </w:rPr>
        <w:t>(this “</w:t>
      </w:r>
      <w:r>
        <w:rPr>
          <w:rFonts w:ascii="Calibri" w:cs="Calibri" w:eastAsia="Calibri" w:hAnsi="Calibri"/>
          <w:sz w:val="19"/>
          <w:szCs w:val="19"/>
          <w:u w:val="single" w:color="auto"/>
          <w:color w:val="auto"/>
        </w:rPr>
        <w:t>Agreement</w:t>
      </w:r>
      <w:r>
        <w:rPr>
          <w:rFonts w:ascii="Calibri" w:cs="Calibri" w:eastAsia="Calibri" w:hAnsi="Calibri"/>
          <w:sz w:val="19"/>
          <w:szCs w:val="19"/>
          <w:color w:val="auto"/>
        </w:rPr>
        <w:t>”), dated as of [</w:t>
      </w:r>
      <w:r>
        <w:rPr>
          <w:rFonts w:ascii="Arial" w:cs="Arial" w:eastAsia="Arial" w:hAnsi="Arial"/>
          <w:sz w:val="19"/>
          <w:szCs w:val="19"/>
          <w:color w:val="auto"/>
        </w:rPr>
        <w:t>●</w:t>
      </w:r>
      <w:r>
        <w:rPr>
          <w:rFonts w:ascii="Calibri" w:cs="Calibri" w:eastAsia="Calibri" w:hAnsi="Calibri"/>
          <w:sz w:val="19"/>
          <w:szCs w:val="19"/>
          <w:color w:val="auto"/>
        </w:rPr>
        <w:t>], _____ (the “</w:t>
      </w:r>
      <w:r>
        <w:rPr>
          <w:rFonts w:ascii="Calibri" w:cs="Calibri" w:eastAsia="Calibri" w:hAnsi="Calibri"/>
          <w:sz w:val="19"/>
          <w:szCs w:val="19"/>
          <w:u w:val="single" w:color="auto"/>
          <w:color w:val="auto"/>
        </w:rPr>
        <w:t>Grant Date</w:t>
      </w:r>
      <w:r>
        <w:rPr>
          <w:rFonts w:ascii="Calibri" w:cs="Calibri" w:eastAsia="Calibri" w:hAnsi="Calibri"/>
          <w:sz w:val="19"/>
          <w:szCs w:val="19"/>
          <w:color w:val="auto"/>
        </w:rPr>
        <w:t>”), is made by</w:t>
      </w:r>
    </w:p>
    <w:p>
      <w:pPr>
        <w:spacing w:after="0" w:line="204" w:lineRule="auto"/>
        <w:rPr>
          <w:sz w:val="20"/>
          <w:szCs w:val="20"/>
          <w:color w:val="auto"/>
        </w:rPr>
      </w:pPr>
      <w:r>
        <w:rPr>
          <w:rFonts w:ascii="Calibri" w:cs="Calibri" w:eastAsia="Calibri" w:hAnsi="Calibri"/>
          <w:sz w:val="19"/>
          <w:szCs w:val="19"/>
          <w:color w:val="auto"/>
        </w:rPr>
        <w:t>and between NMI Holdings, Inc., a Delaware corporaton (the “</w:t>
      </w:r>
      <w:r>
        <w:rPr>
          <w:rFonts w:ascii="Calibri" w:cs="Calibri" w:eastAsia="Calibri" w:hAnsi="Calibri"/>
          <w:sz w:val="19"/>
          <w:szCs w:val="19"/>
          <w:u w:val="single" w:color="auto"/>
          <w:color w:val="auto"/>
        </w:rPr>
        <w:t>Company</w:t>
      </w:r>
      <w:r>
        <w:rPr>
          <w:rFonts w:ascii="Calibri" w:cs="Calibri" w:eastAsia="Calibri" w:hAnsi="Calibri"/>
          <w:sz w:val="19"/>
          <w:szCs w:val="19"/>
          <w:color w:val="auto"/>
        </w:rPr>
        <w:t>”), and [NAME] (“</w:t>
      </w:r>
      <w:r>
        <w:rPr>
          <w:rFonts w:ascii="Calibri" w:cs="Calibri" w:eastAsia="Calibri" w:hAnsi="Calibri"/>
          <w:sz w:val="19"/>
          <w:szCs w:val="19"/>
          <w:u w:val="single" w:color="auto"/>
          <w:color w:val="auto"/>
        </w:rPr>
        <w:t>Partcipant</w:t>
      </w:r>
      <w:r>
        <w:rPr>
          <w:rFonts w:ascii="Calibri" w:cs="Calibri" w:eastAsia="Calibri" w:hAnsi="Calibri"/>
          <w:sz w:val="19"/>
          <w:szCs w:val="19"/>
          <w:color w:val="auto"/>
        </w:rPr>
        <w:t>”).</w:t>
      </w:r>
    </w:p>
    <w:p>
      <w:pPr>
        <w:spacing w:after="0" w:line="162" w:lineRule="exact"/>
        <w:rPr>
          <w:sz w:val="20"/>
          <w:szCs w:val="20"/>
          <w:color w:val="auto"/>
        </w:rPr>
      </w:pPr>
    </w:p>
    <w:p>
      <w:pPr>
        <w:jc w:val="both"/>
        <w:ind w:firstLine="1242"/>
        <w:spacing w:after="0" w:line="211" w:lineRule="auto"/>
        <w:rPr>
          <w:sz w:val="20"/>
          <w:szCs w:val="20"/>
          <w:color w:val="auto"/>
        </w:rPr>
      </w:pPr>
      <w:r>
        <w:rPr>
          <w:rFonts w:ascii="Calibri" w:cs="Calibri" w:eastAsia="Calibri" w:hAnsi="Calibri"/>
          <w:sz w:val="19"/>
          <w:szCs w:val="19"/>
          <w:b w:val="1"/>
          <w:bCs w:val="1"/>
          <w:color w:val="auto"/>
        </w:rPr>
        <w:t>WHEREAS</w:t>
      </w:r>
      <w:r>
        <w:rPr>
          <w:rFonts w:ascii="Calibri" w:cs="Calibri" w:eastAsia="Calibri" w:hAnsi="Calibri"/>
          <w:sz w:val="19"/>
          <w:szCs w:val="19"/>
          <w:color w:val="auto"/>
        </w:rPr>
        <w:t>, the Company has adopted the NMI Holdings, Inc. Amended and Restated 2014 Omnibus Incentve Plan (the “</w:t>
      </w:r>
      <w:r>
        <w:rPr>
          <w:rFonts w:ascii="Calibri" w:cs="Calibri" w:eastAsia="Calibri" w:hAnsi="Calibri"/>
          <w:sz w:val="19"/>
          <w:szCs w:val="19"/>
          <w:u w:val="single" w:color="auto"/>
          <w:color w:val="auto"/>
        </w:rPr>
        <w:t>Plan</w:t>
      </w:r>
      <w:r>
        <w:rPr>
          <w:rFonts w:ascii="Calibri" w:cs="Calibri" w:eastAsia="Calibri" w:hAnsi="Calibri"/>
          <w:sz w:val="19"/>
          <w:szCs w:val="19"/>
          <w:color w:val="auto"/>
        </w:rPr>
        <w: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pursuant to which restricted stock units relatng to shares of the Company’s common stock, par value $0.01 per share (“</w:t>
      </w:r>
      <w:r>
        <w:rPr>
          <w:rFonts w:ascii="Calibri" w:cs="Calibri" w:eastAsia="Calibri" w:hAnsi="Calibri"/>
          <w:sz w:val="19"/>
          <w:szCs w:val="19"/>
          <w:u w:val="single" w:color="auto"/>
          <w:color w:val="auto"/>
        </w:rPr>
        <w:t>Common Stock</w:t>
      </w:r>
      <w:r>
        <w:rPr>
          <w:rFonts w:ascii="Calibri" w:cs="Calibri" w:eastAsia="Calibri" w:hAnsi="Calibri"/>
          <w:sz w:val="19"/>
          <w:szCs w:val="19"/>
          <w:color w:val="auto"/>
        </w:rPr>
        <w:t>”), may be granted; and</w:t>
      </w:r>
    </w:p>
    <w:p>
      <w:pPr>
        <w:spacing w:after="0" w:line="164" w:lineRule="exact"/>
        <w:rPr>
          <w:sz w:val="20"/>
          <w:szCs w:val="20"/>
          <w:color w:val="auto"/>
        </w:rPr>
      </w:pPr>
    </w:p>
    <w:p>
      <w:pPr>
        <w:jc w:val="both"/>
        <w:ind w:right="100" w:firstLine="1242"/>
        <w:spacing w:after="0" w:line="211" w:lineRule="auto"/>
        <w:rPr>
          <w:sz w:val="20"/>
          <w:szCs w:val="20"/>
          <w:color w:val="auto"/>
        </w:rPr>
      </w:pPr>
      <w:r>
        <w:rPr>
          <w:rFonts w:ascii="Calibri" w:cs="Calibri" w:eastAsia="Calibri" w:hAnsi="Calibri"/>
          <w:sz w:val="19"/>
          <w:szCs w:val="19"/>
          <w:b w:val="1"/>
          <w:bCs w:val="1"/>
          <w:color w:val="auto"/>
        </w:rPr>
        <w:t>WHEREAS</w:t>
      </w:r>
      <w:r>
        <w:rPr>
          <w:rFonts w:ascii="Calibri" w:cs="Calibri" w:eastAsia="Calibri" w:hAnsi="Calibri"/>
          <w:sz w:val="19"/>
          <w:szCs w:val="19"/>
          <w:color w:val="auto"/>
        </w:rPr>
        <w:t>, the Commitee has determined that it would be in the best interests of the Company and its stockholders to grant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Partcipant restricted stock units with respect to a number of shares of the Company’s Common Stock (the “</w:t>
      </w:r>
      <w:r>
        <w:rPr>
          <w:rFonts w:ascii="Calibri" w:cs="Calibri" w:eastAsia="Calibri" w:hAnsi="Calibri"/>
          <w:sz w:val="19"/>
          <w:szCs w:val="19"/>
          <w:u w:val="single" w:color="auto"/>
          <w:color w:val="auto"/>
        </w:rPr>
        <w:t>Shares</w:t>
      </w:r>
      <w:r>
        <w:rPr>
          <w:rFonts w:ascii="Calibri" w:cs="Calibri" w:eastAsia="Calibri" w:hAnsi="Calibri"/>
          <w:sz w:val="19"/>
          <w:szCs w:val="19"/>
          <w:color w:val="auto"/>
        </w:rPr>
        <w:t>”) on the terms and subject to the conditons set forth in this Agreement and the Plan.</w:t>
      </w:r>
    </w:p>
    <w:p>
      <w:pPr>
        <w:spacing w:after="0" w:line="164" w:lineRule="exact"/>
        <w:rPr>
          <w:sz w:val="20"/>
          <w:szCs w:val="20"/>
          <w:color w:val="auto"/>
        </w:rPr>
      </w:pPr>
    </w:p>
    <w:p>
      <w:pPr>
        <w:ind w:right="100" w:firstLine="1242"/>
        <w:spacing w:after="0" w:line="211" w:lineRule="auto"/>
        <w:rPr>
          <w:sz w:val="20"/>
          <w:szCs w:val="20"/>
          <w:color w:val="auto"/>
        </w:rPr>
      </w:pPr>
      <w:r>
        <w:rPr>
          <w:rFonts w:ascii="Calibri" w:cs="Calibri" w:eastAsia="Calibri" w:hAnsi="Calibri"/>
          <w:sz w:val="19"/>
          <w:szCs w:val="19"/>
          <w:b w:val="1"/>
          <w:bCs w:val="1"/>
          <w:color w:val="auto"/>
        </w:rPr>
        <w:t>NOW THEREFORE</w:t>
      </w:r>
      <w:r>
        <w:rPr>
          <w:rFonts w:ascii="Calibri" w:cs="Calibri" w:eastAsia="Calibri" w:hAnsi="Calibri"/>
          <w:sz w:val="19"/>
          <w:szCs w:val="19"/>
          <w:color w:val="auto"/>
        </w:rPr>
        <w:t>, for and in consideraton of the premises and the covenants of the partes contained in this Agreement,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for other good and valuable consideraton, the receipt of which is hereby acknowledged, the partes hereto, for themselves, their successors and assigns, hereby agree as follows:</w:t>
      </w:r>
    </w:p>
    <w:p>
      <w:pPr>
        <w:spacing w:after="0" w:line="159" w:lineRule="exact"/>
        <w:rPr>
          <w:sz w:val="20"/>
          <w:szCs w:val="20"/>
          <w:color w:val="auto"/>
        </w:rPr>
      </w:pPr>
    </w:p>
    <w:p>
      <w:pPr>
        <w:ind w:left="1560" w:hanging="315"/>
        <w:spacing w:after="0"/>
        <w:tabs>
          <w:tab w:leader="none" w:pos="1560" w:val="left"/>
        </w:tabs>
        <w:numPr>
          <w:ilvl w:val="0"/>
          <w:numId w:val="125"/>
        </w:numPr>
        <w:rPr>
          <w:rFonts w:ascii="Calibri" w:cs="Calibri" w:eastAsia="Calibri" w:hAnsi="Calibri"/>
          <w:sz w:val="19"/>
          <w:szCs w:val="19"/>
          <w:color w:val="auto"/>
        </w:rPr>
      </w:pPr>
      <w:r>
        <w:rPr>
          <w:rFonts w:ascii="Calibri" w:cs="Calibri" w:eastAsia="Calibri" w:hAnsi="Calibri"/>
          <w:sz w:val="19"/>
          <w:szCs w:val="19"/>
          <w:u w:val="single" w:color="auto"/>
          <w:color w:val="auto"/>
        </w:rPr>
        <w:t>Grant of Restricted Stock Unit Award</w:t>
      </w:r>
      <w:r>
        <w:rPr>
          <w:rFonts w:ascii="Calibri" w:cs="Calibri" w:eastAsia="Calibri" w:hAnsi="Calibri"/>
          <w:sz w:val="19"/>
          <w:szCs w:val="19"/>
          <w:color w:val="auto"/>
        </w:rPr>
        <w:t>.</w:t>
      </w:r>
    </w:p>
    <w:p>
      <w:pPr>
        <w:spacing w:after="0" w:line="165" w:lineRule="exact"/>
        <w:rPr>
          <w:rFonts w:ascii="Calibri" w:cs="Calibri" w:eastAsia="Calibri" w:hAnsi="Calibri"/>
          <w:sz w:val="19"/>
          <w:szCs w:val="19"/>
          <w:color w:val="auto"/>
        </w:rPr>
      </w:pPr>
    </w:p>
    <w:p>
      <w:pPr>
        <w:ind w:right="40" w:firstLine="1866"/>
        <w:spacing w:after="0" w:line="222" w:lineRule="auto"/>
        <w:tabs>
          <w:tab w:leader="none" w:pos="2249" w:val="left"/>
        </w:tabs>
        <w:numPr>
          <w:ilvl w:val="1"/>
          <w:numId w:val="125"/>
        </w:numPr>
        <w:rPr>
          <w:rFonts w:ascii="Calibri" w:cs="Calibri" w:eastAsia="Calibri" w:hAnsi="Calibri"/>
          <w:sz w:val="19"/>
          <w:szCs w:val="19"/>
          <w:color w:val="auto"/>
        </w:rPr>
      </w:pPr>
      <w:r>
        <w:rPr>
          <w:rFonts w:ascii="Calibri" w:cs="Calibri" w:eastAsia="Calibri" w:hAnsi="Calibri"/>
          <w:sz w:val="19"/>
          <w:szCs w:val="19"/>
          <w:u w:val="single" w:color="auto"/>
          <w:color w:val="auto"/>
        </w:rPr>
        <w:t>Grant</w:t>
      </w:r>
      <w:r>
        <w:rPr>
          <w:rFonts w:ascii="Calibri" w:cs="Calibri" w:eastAsia="Calibri" w:hAnsi="Calibri"/>
          <w:sz w:val="19"/>
          <w:szCs w:val="19"/>
          <w:color w:val="auto"/>
        </w:rPr>
        <w:t>. The Company hereby grants to Partcipant an award of restricted stock units with respect to [</w:t>
      </w:r>
      <w:r>
        <w:rPr>
          <w:rFonts w:ascii="Arial" w:cs="Arial" w:eastAsia="Arial" w:hAnsi="Arial"/>
          <w:sz w:val="19"/>
          <w:szCs w:val="19"/>
          <w:color w:val="auto"/>
        </w:rPr>
        <w:t>●</w:t>
      </w:r>
      <w:r>
        <w:rPr>
          <w:rFonts w:ascii="Calibri" w:cs="Calibri" w:eastAsia="Calibri" w:hAnsi="Calibri"/>
          <w:sz w:val="19"/>
          <w:szCs w:val="19"/>
          <w:color w:val="auto"/>
        </w:rPr>
        <w:t>] Shares (the “</w:t>
      </w:r>
      <w:r>
        <w:rPr>
          <w:rFonts w:ascii="Calibri" w:cs="Calibri" w:eastAsia="Calibri" w:hAnsi="Calibri"/>
          <w:sz w:val="19"/>
          <w:szCs w:val="19"/>
          <w:u w:val="single" w:color="auto"/>
          <w:color w:val="auto"/>
        </w:rPr>
        <w:t>RSUs</w:t>
      </w:r>
      <w:r>
        <w:rPr>
          <w:rFonts w:ascii="Calibri" w:cs="Calibri" w:eastAsia="Calibri" w:hAnsi="Calibri"/>
          <w:sz w:val="19"/>
          <w:szCs w:val="19"/>
          <w:color w:val="auto"/>
        </w:rPr>
        <w:t>”) on the terms and conditons set forth in this Agreement and as otherwise provided in the Plan.</w:t>
      </w:r>
    </w:p>
    <w:p>
      <w:pPr>
        <w:spacing w:after="0" w:line="162" w:lineRule="exact"/>
        <w:rPr>
          <w:rFonts w:ascii="Calibri" w:cs="Calibri" w:eastAsia="Calibri" w:hAnsi="Calibri"/>
          <w:sz w:val="19"/>
          <w:szCs w:val="19"/>
          <w:color w:val="auto"/>
        </w:rPr>
      </w:pPr>
    </w:p>
    <w:p>
      <w:pPr>
        <w:jc w:val="both"/>
        <w:ind w:firstLine="1866"/>
        <w:spacing w:after="0" w:line="211" w:lineRule="auto"/>
        <w:tabs>
          <w:tab w:leader="none" w:pos="2258" w:val="left"/>
        </w:tabs>
        <w:numPr>
          <w:ilvl w:val="1"/>
          <w:numId w:val="125"/>
        </w:numPr>
        <w:rPr>
          <w:rFonts w:ascii="Calibri" w:cs="Calibri" w:eastAsia="Calibri" w:hAnsi="Calibri"/>
          <w:sz w:val="19"/>
          <w:szCs w:val="19"/>
          <w:color w:val="auto"/>
        </w:rPr>
      </w:pPr>
      <w:r>
        <w:rPr>
          <w:rFonts w:ascii="Calibri" w:cs="Calibri" w:eastAsia="Calibri" w:hAnsi="Calibri"/>
          <w:sz w:val="19"/>
          <w:szCs w:val="19"/>
          <w:u w:val="single" w:color="auto"/>
          <w:color w:val="auto"/>
        </w:rPr>
        <w:t>Incorporaton by Reference, Etc.</w:t>
      </w:r>
      <w:r>
        <w:rPr>
          <w:rFonts w:ascii="Calibri" w:cs="Calibri" w:eastAsia="Calibri" w:hAnsi="Calibri"/>
          <w:sz w:val="19"/>
          <w:szCs w:val="19"/>
          <w:color w:val="auto"/>
        </w:rPr>
        <w:t xml:space="preserve"> The provisions of the Plan are hereby incorporated herein by reference. Except as otherwise expressly set forth herein, this Agreement shall be construed in accordance with the provisions of the Plan and any capitalized terms not otherwise defned in this Agreement shall have the defnitons set forth in the Plan.</w:t>
      </w:r>
    </w:p>
    <w:p>
      <w:pPr>
        <w:spacing w:after="0" w:line="158" w:lineRule="exact"/>
        <w:rPr>
          <w:rFonts w:ascii="Calibri" w:cs="Calibri" w:eastAsia="Calibri" w:hAnsi="Calibri"/>
          <w:sz w:val="19"/>
          <w:szCs w:val="19"/>
          <w:color w:val="auto"/>
        </w:rPr>
      </w:pPr>
    </w:p>
    <w:p>
      <w:pPr>
        <w:ind w:left="1560" w:hanging="315"/>
        <w:spacing w:after="0"/>
        <w:tabs>
          <w:tab w:leader="none" w:pos="1560" w:val="left"/>
        </w:tabs>
        <w:numPr>
          <w:ilvl w:val="0"/>
          <w:numId w:val="125"/>
        </w:numPr>
        <w:rPr>
          <w:rFonts w:ascii="Calibri" w:cs="Calibri" w:eastAsia="Calibri" w:hAnsi="Calibri"/>
          <w:sz w:val="19"/>
          <w:szCs w:val="19"/>
          <w:color w:val="auto"/>
        </w:rPr>
      </w:pPr>
      <w:r>
        <w:rPr>
          <w:rFonts w:ascii="Calibri" w:cs="Calibri" w:eastAsia="Calibri" w:hAnsi="Calibri"/>
          <w:sz w:val="19"/>
          <w:szCs w:val="19"/>
          <w:u w:val="single" w:color="auto"/>
          <w:color w:val="auto"/>
        </w:rPr>
        <w:t>Vestng</w:t>
      </w:r>
      <w:r>
        <w:rPr>
          <w:rFonts w:ascii="Calibri" w:cs="Calibri" w:eastAsia="Calibri" w:hAnsi="Calibri"/>
          <w:sz w:val="19"/>
          <w:szCs w:val="19"/>
          <w:color w:val="auto"/>
        </w:rPr>
        <w:t>.</w:t>
      </w:r>
    </w:p>
    <w:p>
      <w:pPr>
        <w:spacing w:after="0" w:line="174" w:lineRule="exact"/>
        <w:rPr>
          <w:rFonts w:ascii="Calibri" w:cs="Calibri" w:eastAsia="Calibri" w:hAnsi="Calibri"/>
          <w:sz w:val="19"/>
          <w:szCs w:val="19"/>
          <w:color w:val="auto"/>
        </w:rPr>
      </w:pPr>
    </w:p>
    <w:p>
      <w:pPr>
        <w:ind w:right="40" w:firstLine="1866"/>
        <w:spacing w:after="0" w:line="202" w:lineRule="auto"/>
        <w:tabs>
          <w:tab w:leader="none" w:pos="2249" w:val="left"/>
        </w:tabs>
        <w:numPr>
          <w:ilvl w:val="1"/>
          <w:numId w:val="125"/>
        </w:numPr>
        <w:rPr>
          <w:rFonts w:ascii="Calibri" w:cs="Calibri" w:eastAsia="Calibri" w:hAnsi="Calibri"/>
          <w:sz w:val="19"/>
          <w:szCs w:val="19"/>
          <w:color w:val="auto"/>
        </w:rPr>
      </w:pPr>
      <w:r>
        <w:rPr>
          <w:rFonts w:ascii="Calibri" w:cs="Calibri" w:eastAsia="Calibri" w:hAnsi="Calibri"/>
          <w:sz w:val="19"/>
          <w:szCs w:val="19"/>
          <w:color w:val="auto"/>
        </w:rPr>
        <w:t>Except as may otherwise be provided herein, (i) one-third of the RSUs (rounded down to the nearest whole Share) shall become vested on the frst anniversary of the Grant Date, (ii) one-third of the RSUs (rounded down to the nearest whole Share) shall become vested on the second anniversary of the Grant Date and (iii) the remainder of the RSUs shall become vested on the third anniversary of the Grant Date, in the case of each of clauses (i), (ii) and (iii), subject to Partcipant not having incurred a Terminaton of Employment prior to the applicable vestng date.</w:t>
      </w:r>
    </w:p>
    <w:p>
      <w:pPr>
        <w:spacing w:after="0" w:line="175" w:lineRule="exact"/>
        <w:rPr>
          <w:rFonts w:ascii="Calibri" w:cs="Calibri" w:eastAsia="Calibri" w:hAnsi="Calibri"/>
          <w:sz w:val="19"/>
          <w:szCs w:val="19"/>
          <w:color w:val="auto"/>
        </w:rPr>
      </w:pPr>
    </w:p>
    <w:p>
      <w:pPr>
        <w:ind w:right="20" w:firstLine="1866"/>
        <w:spacing w:after="0" w:line="200" w:lineRule="auto"/>
        <w:tabs>
          <w:tab w:leader="none" w:pos="2258" w:val="left"/>
        </w:tabs>
        <w:numPr>
          <w:ilvl w:val="1"/>
          <w:numId w:val="125"/>
        </w:numPr>
        <w:rPr>
          <w:rFonts w:ascii="Calibri" w:cs="Calibri" w:eastAsia="Calibri" w:hAnsi="Calibri"/>
          <w:sz w:val="19"/>
          <w:szCs w:val="19"/>
          <w:color w:val="auto"/>
        </w:rPr>
      </w:pPr>
      <w:r>
        <w:rPr>
          <w:rFonts w:ascii="Calibri" w:cs="Calibri" w:eastAsia="Calibri" w:hAnsi="Calibri"/>
          <w:sz w:val="19"/>
          <w:szCs w:val="19"/>
          <w:color w:val="auto"/>
        </w:rPr>
        <w:t>Except as provided in the immediately following sentence, in the event that Partcipant incurs a Terminaton of Employment, any unvested RSUs shall be forfeited by Partcipant without consideraton therefor. Notwithstanding the foregoing, if Partcipant incurs a Terminaton of Employment (i) as a result of terminaton by the Company or its Afliate without Cause on or afer the frst anniversary of the Grant Date, then any unvested RSUs that are outstanding immediately prior to such Terminaton of Employment and that would have vested on the next vestng date shall vest pro-rata as of the date of Partcipant’s Terminaton of Employment, with the number of RSUs vestng to be determined by multplying the number of unvested RSUs that would have vested on the next vestng date by a fracton, the numerator of which is the number of days between the prior vestng date (or Grant Date if no vestng date occurred prior to Partcipant’s Terminaton of Employment) and the date of Partcipant’s Terminaton of Employment and the denominator of which is 365; or (ii) due to Partcipant’s death or Disability, then any unvested RSUs shall accelerate and vest in full as of the date of Terminaton of Employment and be paid out as soon as is administratvely practcable.</w:t>
      </w:r>
    </w:p>
    <w:p>
      <w:pPr>
        <w:spacing w:after="0" w:line="175" w:lineRule="exact"/>
        <w:rPr>
          <w:rFonts w:ascii="Calibri" w:cs="Calibri" w:eastAsia="Calibri" w:hAnsi="Calibri"/>
          <w:sz w:val="19"/>
          <w:szCs w:val="19"/>
          <w:color w:val="auto"/>
        </w:rPr>
      </w:pPr>
    </w:p>
    <w:p>
      <w:pPr>
        <w:ind w:right="640" w:firstLine="1245"/>
        <w:spacing w:after="0" w:line="210" w:lineRule="auto"/>
        <w:tabs>
          <w:tab w:leader="none" w:pos="1565" w:val="left"/>
        </w:tabs>
        <w:numPr>
          <w:ilvl w:val="0"/>
          <w:numId w:val="125"/>
        </w:numPr>
        <w:rPr>
          <w:rFonts w:ascii="Calibri" w:cs="Calibri" w:eastAsia="Calibri" w:hAnsi="Calibri"/>
          <w:sz w:val="19"/>
          <w:szCs w:val="19"/>
          <w:color w:val="auto"/>
        </w:rPr>
      </w:pPr>
      <w:r>
        <w:rPr>
          <w:rFonts w:ascii="Calibri" w:cs="Calibri" w:eastAsia="Calibri" w:hAnsi="Calibri"/>
          <w:sz w:val="19"/>
          <w:szCs w:val="19"/>
          <w:u w:val="single" w:color="auto"/>
          <w:color w:val="auto"/>
        </w:rPr>
        <w:t>Setlement</w:t>
      </w:r>
      <w:r>
        <w:rPr>
          <w:rFonts w:ascii="Calibri" w:cs="Calibri" w:eastAsia="Calibri" w:hAnsi="Calibri"/>
          <w:sz w:val="19"/>
          <w:szCs w:val="19"/>
          <w:color w:val="auto"/>
        </w:rPr>
        <w:t>. As soon as practcable afer any RSUs have vested (and in any event, no later than ffeen business days immediately following the date of such vestng), such RSUs</w:t>
      </w:r>
    </w:p>
    <w:p>
      <w:pPr>
        <w:sectPr>
          <w:pgSz w:w="11900" w:h="16838" w:orient="portrait"/>
          <w:cols w:equalWidth="0" w:num="1">
            <w:col w:w="11240"/>
          </w:cols>
          <w:pgMar w:left="320" w:top="83" w:right="339" w:bottom="1440" w:gutter="0" w:footer="0" w:header="0"/>
        </w:sectPr>
      </w:pPr>
    </w:p>
    <w:bookmarkStart w:id="168" w:name="page169"/>
    <w:bookmarkEnd w:id="168"/>
    <w:p>
      <w:pPr>
        <w:jc w:val="right"/>
        <w:spacing w:after="0"/>
        <w:rPr>
          <w:sz w:val="20"/>
          <w:szCs w:val="20"/>
          <w:color w:val="auto"/>
        </w:rPr>
      </w:pPr>
      <w:r>
        <w:rPr>
          <w:rFonts w:ascii="Calibri" w:cs="Calibri" w:eastAsia="Calibri" w:hAnsi="Calibri"/>
          <w:sz w:val="19"/>
          <w:szCs w:val="19"/>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20"/>
        <w:spacing w:after="0" w:line="217" w:lineRule="auto"/>
        <w:rPr>
          <w:sz w:val="20"/>
          <w:szCs w:val="20"/>
          <w:color w:val="auto"/>
        </w:rPr>
      </w:pPr>
      <w:r>
        <w:rPr>
          <w:rFonts w:ascii="Calibri" w:cs="Calibri" w:eastAsia="Calibri" w:hAnsi="Calibri"/>
          <w:sz w:val="19"/>
          <w:szCs w:val="19"/>
          <w:color w:val="auto"/>
        </w:rPr>
        <w:t>shall be setled. Subject to Secton 4 (pertaining to the withholding of taxes) and Secton 3(d) of the Plan (as applicable), for each vested RSU setled pursuant to this Secton 3, the Company shall issue to Partcipant one Share.</w:t>
      </w:r>
    </w:p>
    <w:p>
      <w:pPr>
        <w:spacing w:after="0" w:line="66" w:lineRule="exact"/>
        <w:rPr>
          <w:sz w:val="20"/>
          <w:szCs w:val="20"/>
          <w:color w:val="auto"/>
        </w:rPr>
      </w:pPr>
    </w:p>
    <w:p>
      <w:pPr>
        <w:ind w:left="1560" w:hanging="315"/>
        <w:spacing w:after="0"/>
        <w:tabs>
          <w:tab w:leader="none" w:pos="1560" w:val="left"/>
        </w:tabs>
        <w:numPr>
          <w:ilvl w:val="0"/>
          <w:numId w:val="126"/>
        </w:numPr>
        <w:rPr>
          <w:rFonts w:ascii="Calibri" w:cs="Calibri" w:eastAsia="Calibri" w:hAnsi="Calibri"/>
          <w:sz w:val="19"/>
          <w:szCs w:val="19"/>
          <w:color w:val="auto"/>
        </w:rPr>
      </w:pPr>
      <w:r>
        <w:rPr>
          <w:rFonts w:ascii="Calibri" w:cs="Calibri" w:eastAsia="Calibri" w:hAnsi="Calibri"/>
          <w:sz w:val="19"/>
          <w:szCs w:val="19"/>
          <w:u w:val="single" w:color="auto"/>
          <w:color w:val="auto"/>
        </w:rPr>
        <w:t>Tax Withholding</w:t>
      </w:r>
      <w:r>
        <w:rPr>
          <w:rFonts w:ascii="Calibri" w:cs="Calibri" w:eastAsia="Calibri" w:hAnsi="Calibri"/>
          <w:sz w:val="19"/>
          <w:szCs w:val="19"/>
          <w:color w:val="auto"/>
        </w:rPr>
        <w:t>.</w:t>
      </w:r>
    </w:p>
    <w:p>
      <w:pPr>
        <w:spacing w:after="0" w:line="58" w:lineRule="exact"/>
        <w:rPr>
          <w:rFonts w:ascii="Calibri" w:cs="Calibri" w:eastAsia="Calibri" w:hAnsi="Calibri"/>
          <w:sz w:val="19"/>
          <w:szCs w:val="19"/>
          <w:color w:val="auto"/>
        </w:rPr>
      </w:pPr>
    </w:p>
    <w:p>
      <w:pPr>
        <w:ind w:firstLine="1866"/>
        <w:spacing w:after="0" w:line="201" w:lineRule="auto"/>
        <w:tabs>
          <w:tab w:leader="none" w:pos="2249" w:val="left"/>
        </w:tabs>
        <w:numPr>
          <w:ilvl w:val="1"/>
          <w:numId w:val="126"/>
        </w:numPr>
        <w:rPr>
          <w:rFonts w:ascii="Calibri" w:cs="Calibri" w:eastAsia="Calibri" w:hAnsi="Calibri"/>
          <w:sz w:val="19"/>
          <w:szCs w:val="19"/>
          <w:color w:val="auto"/>
        </w:rPr>
      </w:pPr>
      <w:r>
        <w:rPr>
          <w:rFonts w:ascii="Calibri" w:cs="Calibri" w:eastAsia="Calibri" w:hAnsi="Calibri"/>
          <w:sz w:val="19"/>
          <w:szCs w:val="19"/>
          <w:color w:val="auto"/>
        </w:rPr>
        <w:t>As a conditon to delivery of the Shares in respect of vested RSUs, Partcipant will, pursuant to Secton 15(d) of the Plan, make provisions satsfactory to the Company for payment of, any applicable taxes of any kind and other statutory obligatons (including but not limited to Partcipant’s FICA and SDI obligatons) (collectvely, the “Tax Obligatons”) in respect of the transfer of Shares in setlement of the RSUs. The Company shall have the power and the right to deduct or withhold from all amounts payable to Partcipant pursuant to the RSUs or otherwise, or require Partcipant to remit to the Company, an amount sufcient to satsfy the Tax Obligatons which the Company, in its sole discreton, deems necessary to be withheld or remited to comply with the Code and/or any other applicable law, rule or regulaton with respect to the RSUs and, if Partcipant fails to do so, the Company may otherwise refuse to issue or transfer any Shares otherwise required to be issued pursuant to this Agreement.</w:t>
      </w:r>
    </w:p>
    <w:p>
      <w:pPr>
        <w:spacing w:after="0" w:line="179" w:lineRule="exact"/>
        <w:rPr>
          <w:rFonts w:ascii="Calibri" w:cs="Calibri" w:eastAsia="Calibri" w:hAnsi="Calibri"/>
          <w:sz w:val="19"/>
          <w:szCs w:val="19"/>
          <w:color w:val="auto"/>
        </w:rPr>
      </w:pPr>
    </w:p>
    <w:p>
      <w:pPr>
        <w:ind w:right="20" w:firstLine="1866"/>
        <w:spacing w:after="0" w:line="198" w:lineRule="auto"/>
        <w:tabs>
          <w:tab w:leader="none" w:pos="2258" w:val="left"/>
        </w:tabs>
        <w:numPr>
          <w:ilvl w:val="1"/>
          <w:numId w:val="126"/>
        </w:numPr>
        <w:rPr>
          <w:rFonts w:ascii="Calibri" w:cs="Calibri" w:eastAsia="Calibri" w:hAnsi="Calibri"/>
          <w:sz w:val="19"/>
          <w:szCs w:val="19"/>
          <w:color w:val="auto"/>
        </w:rPr>
      </w:pPr>
      <w:r>
        <w:rPr>
          <w:rFonts w:ascii="Calibri" w:cs="Calibri" w:eastAsia="Calibri" w:hAnsi="Calibri"/>
          <w:sz w:val="19"/>
          <w:szCs w:val="19"/>
          <w:color w:val="auto"/>
        </w:rPr>
        <w:t>Except as provided in Secton 10(c), any such Tax Obligatons with regard to Partcipant shall be satsfed solely by retaining and instructng a registered broker(s) of the Company’s choosing to sell such number of Shares necessary to satsfy such Tax Obligatons, afer deducton of the broker’s commission, and the broker shall remit to the Company the cash proceeds thereof. In furtherance of the foregoing, by the executon of this Agreement, Partcipant hereby irrevocably instructs the Company and a registered broker(s) of the Company’s choosing to sell on behalf of Partcipant at the “market price,” that number of Shares required to generate sufcient cash necessary in order for the Company to satsfy the Tax Obligatons with regard to Partcipant. Partcipant represents to the Company and the broker that Partcipant is entering into this Agreement in good faith. Partcipant shall have no ability to modify these instructons. Partcipant further agrees to execute any such documents as are requested by the broker or the Company in order to efectuate the sale of the Shares and payment of the Tax Obligatons to the Company as contemplated hereby. The Partcipant represents to the Company that, as of the date hereof, he or she is not aware of any material nonpublic informaton about the Company or the Shares. It is Partcipant’s intenton that this provision comply with the requirements of Rule 10b5-1 promulgated under the Exchange Act.</w:t>
      </w:r>
    </w:p>
    <w:p>
      <w:pPr>
        <w:spacing w:after="0" w:line="184" w:lineRule="exact"/>
        <w:rPr>
          <w:rFonts w:ascii="Calibri" w:cs="Calibri" w:eastAsia="Calibri" w:hAnsi="Calibri"/>
          <w:sz w:val="19"/>
          <w:szCs w:val="19"/>
          <w:color w:val="auto"/>
        </w:rPr>
      </w:pPr>
    </w:p>
    <w:p>
      <w:pPr>
        <w:jc w:val="both"/>
        <w:ind w:right="100" w:firstLine="1866"/>
        <w:spacing w:after="0"/>
        <w:tabs>
          <w:tab w:leader="none" w:pos="2238" w:val="left"/>
        </w:tabs>
        <w:numPr>
          <w:ilvl w:val="1"/>
          <w:numId w:val="126"/>
        </w:numPr>
        <w:rPr>
          <w:rFonts w:ascii="Calibri" w:cs="Calibri" w:eastAsia="Calibri" w:hAnsi="Calibri"/>
          <w:sz w:val="19"/>
          <w:szCs w:val="19"/>
          <w:color w:val="auto"/>
        </w:rPr>
      </w:pPr>
      <w:r>
        <w:rPr>
          <w:rFonts w:ascii="Calibri" w:cs="Calibri" w:eastAsia="Calibri" w:hAnsi="Calibri"/>
          <w:sz w:val="19"/>
          <w:szCs w:val="19"/>
          <w:color w:val="auto"/>
        </w:rPr>
        <w:t>Notwithstanding Secton 4(b) hereof, with respect to any Partcipant who as of the date hereof is a Secton 16 ofcer of the Company and with respect to any Partcipant who becomes a Secton 16 ofcer on or following the date hereof, any such Tax Obligatons with regard to Partcipant shall be satsfed through the withholding of Shares otherwise issuable in connecton with the vestng of such RSUs.</w:t>
      </w:r>
    </w:p>
    <w:p>
      <w:pPr>
        <w:spacing w:after="0" w:line="261" w:lineRule="exact"/>
        <w:rPr>
          <w:rFonts w:ascii="Calibri" w:cs="Calibri" w:eastAsia="Calibri" w:hAnsi="Calibri"/>
          <w:sz w:val="19"/>
          <w:szCs w:val="19"/>
          <w:color w:val="auto"/>
        </w:rPr>
      </w:pPr>
    </w:p>
    <w:p>
      <w:pPr>
        <w:ind w:right="40" w:firstLine="1245"/>
        <w:spacing w:after="0" w:line="209" w:lineRule="auto"/>
        <w:tabs>
          <w:tab w:leader="none" w:pos="1565" w:val="left"/>
        </w:tabs>
        <w:numPr>
          <w:ilvl w:val="0"/>
          <w:numId w:val="126"/>
        </w:numPr>
        <w:rPr>
          <w:rFonts w:ascii="Calibri" w:cs="Calibri" w:eastAsia="Calibri" w:hAnsi="Calibri"/>
          <w:sz w:val="19"/>
          <w:szCs w:val="19"/>
          <w:color w:val="auto"/>
        </w:rPr>
      </w:pPr>
      <w:r>
        <w:rPr>
          <w:rFonts w:ascii="Calibri" w:cs="Calibri" w:eastAsia="Calibri" w:hAnsi="Calibri"/>
          <w:sz w:val="19"/>
          <w:szCs w:val="19"/>
          <w:u w:val="single" w:color="auto"/>
          <w:color w:val="auto"/>
        </w:rPr>
        <w:t>No Rights as Stockholder</w:t>
      </w:r>
      <w:r>
        <w:rPr>
          <w:rFonts w:ascii="Calibri" w:cs="Calibri" w:eastAsia="Calibri" w:hAnsi="Calibri"/>
          <w:sz w:val="19"/>
          <w:szCs w:val="19"/>
          <w:color w:val="auto"/>
        </w:rPr>
        <w:t>. Untl such tme as the RSUs have been setled and the underlying Shares have been delivered to Partcipant and Partcipant has become the holder of record of such Shares, Partcipant shall have no rights as a stockholder, including, without limitaton, the right to dividends and the right to vote.</w:t>
      </w:r>
    </w:p>
    <w:p>
      <w:pPr>
        <w:spacing w:after="0" w:line="1" w:lineRule="exact"/>
        <w:rPr>
          <w:rFonts w:ascii="Calibri" w:cs="Calibri" w:eastAsia="Calibri" w:hAnsi="Calibri"/>
          <w:sz w:val="19"/>
          <w:szCs w:val="19"/>
          <w:color w:val="auto"/>
        </w:rPr>
      </w:pPr>
    </w:p>
    <w:p>
      <w:pPr>
        <w:ind w:right="80" w:firstLine="1245"/>
        <w:spacing w:after="0" w:line="196" w:lineRule="auto"/>
        <w:tabs>
          <w:tab w:leader="none" w:pos="1565" w:val="left"/>
        </w:tabs>
        <w:numPr>
          <w:ilvl w:val="0"/>
          <w:numId w:val="126"/>
        </w:numPr>
        <w:rPr>
          <w:rFonts w:ascii="Calibri" w:cs="Calibri" w:eastAsia="Calibri" w:hAnsi="Calibri"/>
          <w:sz w:val="19"/>
          <w:szCs w:val="19"/>
          <w:color w:val="auto"/>
        </w:rPr>
      </w:pPr>
      <w:r>
        <w:rPr>
          <w:rFonts w:ascii="Calibri" w:cs="Calibri" w:eastAsia="Calibri" w:hAnsi="Calibri"/>
          <w:sz w:val="19"/>
          <w:szCs w:val="19"/>
          <w:u w:val="single" w:color="auto"/>
          <w:color w:val="auto"/>
        </w:rPr>
        <w:t>Transferability</w:t>
      </w:r>
      <w:r>
        <w:rPr>
          <w:rFonts w:ascii="Calibri" w:cs="Calibri" w:eastAsia="Calibri" w:hAnsi="Calibri"/>
          <w:sz w:val="19"/>
          <w:szCs w:val="19"/>
          <w:color w:val="auto"/>
        </w:rPr>
        <w:t xml:space="preserve">. The RSUs may not, at any tme prior to becoming vested, be assigned, alienated, pledged, atached, sold or otherwise transferred or encumbered by Partcipant other than by will or by the laws of descent and distributon and any such purported assignment, alienaton, pledge, atachment, sale, transfer or encumbrance shall be void and unenforceable against the Company, its Subsidiaries or Afliates;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that the designaton of a benefciary shall not consttute an assignment, alienaton, pledge, atachment, sale, transfer or encumbrance.</w:t>
      </w:r>
    </w:p>
    <w:p>
      <w:pPr>
        <w:spacing w:after="0" w:line="179" w:lineRule="exact"/>
        <w:rPr>
          <w:rFonts w:ascii="Calibri" w:cs="Calibri" w:eastAsia="Calibri" w:hAnsi="Calibri"/>
          <w:sz w:val="19"/>
          <w:szCs w:val="19"/>
          <w:color w:val="auto"/>
        </w:rPr>
      </w:pPr>
    </w:p>
    <w:p>
      <w:pPr>
        <w:ind w:right="820" w:firstLine="1245"/>
        <w:spacing w:after="0" w:line="210" w:lineRule="auto"/>
        <w:tabs>
          <w:tab w:leader="none" w:pos="1565" w:val="left"/>
        </w:tabs>
        <w:numPr>
          <w:ilvl w:val="0"/>
          <w:numId w:val="126"/>
        </w:numPr>
        <w:rPr>
          <w:rFonts w:ascii="Calibri" w:cs="Calibri" w:eastAsia="Calibri" w:hAnsi="Calibri"/>
          <w:sz w:val="19"/>
          <w:szCs w:val="19"/>
          <w:color w:val="auto"/>
        </w:rPr>
      </w:pPr>
      <w:r>
        <w:rPr>
          <w:rFonts w:ascii="Calibri" w:cs="Calibri" w:eastAsia="Calibri" w:hAnsi="Calibri"/>
          <w:sz w:val="19"/>
          <w:szCs w:val="19"/>
          <w:u w:val="single" w:color="auto"/>
          <w:color w:val="auto"/>
        </w:rPr>
        <w:t>Adjustment</w:t>
      </w:r>
      <w:r>
        <w:rPr>
          <w:rFonts w:ascii="Calibri" w:cs="Calibri" w:eastAsia="Calibri" w:hAnsi="Calibri"/>
          <w:sz w:val="19"/>
          <w:szCs w:val="19"/>
          <w:color w:val="auto"/>
        </w:rPr>
        <w:t>. Upon any event described in Secton 3(d) of the Plan occurring afer the Grant Date, the adjustment provisions as provided for under Secton 3(d) of the Plan shall apply to the RSUs.</w:t>
      </w:r>
    </w:p>
    <w:p>
      <w:pPr>
        <w:spacing w:after="0" w:line="176" w:lineRule="exact"/>
        <w:rPr>
          <w:rFonts w:ascii="Calibri" w:cs="Calibri" w:eastAsia="Calibri" w:hAnsi="Calibri"/>
          <w:sz w:val="19"/>
          <w:szCs w:val="19"/>
          <w:color w:val="auto"/>
        </w:rPr>
      </w:pPr>
    </w:p>
    <w:p>
      <w:pPr>
        <w:ind w:right="160" w:firstLine="1245"/>
        <w:spacing w:after="0" w:line="207" w:lineRule="auto"/>
        <w:tabs>
          <w:tab w:leader="none" w:pos="1565" w:val="left"/>
        </w:tabs>
        <w:numPr>
          <w:ilvl w:val="0"/>
          <w:numId w:val="126"/>
        </w:numPr>
        <w:rPr>
          <w:rFonts w:ascii="Calibri" w:cs="Calibri" w:eastAsia="Calibri" w:hAnsi="Calibri"/>
          <w:sz w:val="19"/>
          <w:szCs w:val="19"/>
          <w:color w:val="auto"/>
        </w:rPr>
      </w:pPr>
      <w:r>
        <w:rPr>
          <w:rFonts w:ascii="Calibri" w:cs="Calibri" w:eastAsia="Calibri" w:hAnsi="Calibri"/>
          <w:sz w:val="19"/>
          <w:szCs w:val="19"/>
          <w:u w:val="single" w:color="auto"/>
          <w:color w:val="auto"/>
        </w:rPr>
        <w:t>Change in Control</w:t>
      </w:r>
      <w:r>
        <w:rPr>
          <w:rFonts w:ascii="Calibri" w:cs="Calibri" w:eastAsia="Calibri" w:hAnsi="Calibri"/>
          <w:sz w:val="19"/>
          <w:szCs w:val="19"/>
          <w:color w:val="auto"/>
        </w:rPr>
        <w:t>. In the event of a Change in Control of the Company occurring afer the Grant Date, all outstanding unvested RSUs shall become fully vested upon the occurrence of such Change in Control. Any RSUs that vest in connecton with this Secton 8 shall be setled in a manner consistent with Secton 3 of this Agreement.</w:t>
      </w:r>
    </w:p>
    <w:p>
      <w:pPr>
        <w:sectPr>
          <w:pgSz w:w="11900" w:h="16838" w:orient="portrait"/>
          <w:cols w:equalWidth="0" w:num="1">
            <w:col w:w="11240"/>
          </w:cols>
          <w:pgMar w:left="320" w:top="83" w:right="339" w:bottom="1440" w:gutter="0" w:footer="0" w:header="0"/>
        </w:sectPr>
      </w:pPr>
    </w:p>
    <w:bookmarkStart w:id="169" w:name="page170"/>
    <w:bookmarkEnd w:id="169"/>
    <w:p>
      <w:pPr>
        <w:jc w:val="right"/>
        <w:spacing w:after="0"/>
        <w:rPr>
          <w:sz w:val="20"/>
          <w:szCs w:val="20"/>
          <w:color w:val="auto"/>
        </w:rPr>
      </w:pPr>
      <w:r>
        <w:rPr>
          <w:rFonts w:ascii="Calibri" w:cs="Calibri" w:eastAsia="Calibri" w:hAnsi="Calibri"/>
          <w:sz w:val="19"/>
          <w:szCs w:val="19"/>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560" w:hanging="315"/>
        <w:spacing w:after="0"/>
        <w:tabs>
          <w:tab w:leader="none" w:pos="1560" w:val="left"/>
        </w:tabs>
        <w:numPr>
          <w:ilvl w:val="0"/>
          <w:numId w:val="127"/>
        </w:numPr>
        <w:rPr>
          <w:rFonts w:ascii="Calibri" w:cs="Calibri" w:eastAsia="Calibri" w:hAnsi="Calibri"/>
          <w:sz w:val="19"/>
          <w:szCs w:val="19"/>
          <w:color w:val="auto"/>
        </w:rPr>
      </w:pPr>
      <w:r>
        <w:rPr>
          <w:rFonts w:ascii="Calibri" w:cs="Calibri" w:eastAsia="Calibri" w:hAnsi="Calibri"/>
          <w:sz w:val="19"/>
          <w:szCs w:val="19"/>
          <w:u w:val="single" w:color="auto"/>
          <w:color w:val="auto"/>
        </w:rPr>
        <w:t>Miscellaneous</w:t>
      </w:r>
      <w:r>
        <w:rPr>
          <w:rFonts w:ascii="Calibri" w:cs="Calibri" w:eastAsia="Calibri" w:hAnsi="Calibri"/>
          <w:sz w:val="19"/>
          <w:szCs w:val="19"/>
          <w:color w:val="auto"/>
        </w:rPr>
        <w:t>.</w:t>
      </w:r>
    </w:p>
    <w:p>
      <w:pPr>
        <w:spacing w:after="0" w:line="174" w:lineRule="exact"/>
        <w:rPr>
          <w:rFonts w:ascii="Calibri" w:cs="Calibri" w:eastAsia="Calibri" w:hAnsi="Calibri"/>
          <w:sz w:val="19"/>
          <w:szCs w:val="19"/>
          <w:color w:val="auto"/>
        </w:rPr>
      </w:pPr>
    </w:p>
    <w:p>
      <w:pPr>
        <w:ind w:right="80" w:firstLine="1866"/>
        <w:spacing w:after="0" w:line="201" w:lineRule="auto"/>
        <w:tabs>
          <w:tab w:leader="none" w:pos="2249" w:val="left"/>
        </w:tabs>
        <w:numPr>
          <w:ilvl w:val="1"/>
          <w:numId w:val="127"/>
        </w:numPr>
        <w:rPr>
          <w:rFonts w:ascii="Calibri" w:cs="Calibri" w:eastAsia="Calibri" w:hAnsi="Calibri"/>
          <w:sz w:val="19"/>
          <w:szCs w:val="19"/>
          <w:color w:val="auto"/>
        </w:rPr>
      </w:pPr>
      <w:r>
        <w:rPr>
          <w:rFonts w:ascii="Calibri" w:cs="Calibri" w:eastAsia="Calibri" w:hAnsi="Calibri"/>
          <w:sz w:val="19"/>
          <w:szCs w:val="19"/>
          <w:u w:val="single" w:color="auto"/>
          <w:color w:val="auto"/>
        </w:rPr>
        <w:t>Waiver and Amendment</w:t>
      </w:r>
      <w:r>
        <w:rPr>
          <w:rFonts w:ascii="Calibri" w:cs="Calibri" w:eastAsia="Calibri" w:hAnsi="Calibri"/>
          <w:sz w:val="19"/>
          <w:szCs w:val="19"/>
          <w:color w:val="auto"/>
        </w:rPr>
        <w:t xml:space="preserve">. The Commitee may waive any conditons or rights under, or amend any terms of, this Agreement and the RSUs granted thereunder;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that any such waiver or amendment that would materially impair the rights of any Partcipant or any holder or benefciary of any RSUs granted hereunder shall not to that extent be efectve without the consent of Partcipant.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consttute a waiver of any other breach or a waiver of the contnuaton of the same breach.</w:t>
      </w:r>
    </w:p>
    <w:p>
      <w:pPr>
        <w:spacing w:after="0" w:line="179" w:lineRule="exact"/>
        <w:rPr>
          <w:rFonts w:ascii="Calibri" w:cs="Calibri" w:eastAsia="Calibri" w:hAnsi="Calibri"/>
          <w:sz w:val="19"/>
          <w:szCs w:val="19"/>
          <w:color w:val="auto"/>
        </w:rPr>
      </w:pPr>
    </w:p>
    <w:p>
      <w:pPr>
        <w:jc w:val="both"/>
        <w:ind w:right="100" w:firstLine="1866"/>
        <w:spacing w:after="0" w:line="205" w:lineRule="auto"/>
        <w:tabs>
          <w:tab w:leader="none" w:pos="2258" w:val="left"/>
        </w:tabs>
        <w:numPr>
          <w:ilvl w:val="1"/>
          <w:numId w:val="127"/>
        </w:numPr>
        <w:rPr>
          <w:rFonts w:ascii="Calibri" w:cs="Calibri" w:eastAsia="Calibri" w:hAnsi="Calibri"/>
          <w:sz w:val="19"/>
          <w:szCs w:val="19"/>
          <w:color w:val="auto"/>
        </w:rPr>
      </w:pPr>
      <w:r>
        <w:rPr>
          <w:rFonts w:ascii="Calibri" w:cs="Calibri" w:eastAsia="Calibri" w:hAnsi="Calibri"/>
          <w:sz w:val="19"/>
          <w:szCs w:val="19"/>
          <w:u w:val="single" w:color="auto"/>
          <w:color w:val="auto"/>
        </w:rPr>
        <w:t>Unsecured Obligaton</w:t>
      </w:r>
      <w:r>
        <w:rPr>
          <w:rFonts w:ascii="Calibri" w:cs="Calibri" w:eastAsia="Calibri" w:hAnsi="Calibri"/>
          <w:sz w:val="19"/>
          <w:szCs w:val="19"/>
          <w:color w:val="auto"/>
        </w:rPr>
        <w:t>. This Award is unfunded, and even as to any RSUs which vest, Partcipant shall be considered an unsecured creditor of the Company with respect to the Company’s obligatons, if any, to issue Shares pursuant to this Agreement. Nothing contained in this Agreement, and no acton taken pursuant to its provisions, shall create or be construed to create a trust of any kind or a fduciary relatonship between Partcipant and the Company or any other person.</w:t>
      </w:r>
    </w:p>
    <w:p>
      <w:pPr>
        <w:spacing w:after="0" w:line="177" w:lineRule="exact"/>
        <w:rPr>
          <w:rFonts w:ascii="Calibri" w:cs="Calibri" w:eastAsia="Calibri" w:hAnsi="Calibri"/>
          <w:sz w:val="19"/>
          <w:szCs w:val="19"/>
          <w:color w:val="auto"/>
        </w:rPr>
      </w:pPr>
    </w:p>
    <w:p>
      <w:pPr>
        <w:ind w:right="260" w:firstLine="1866"/>
        <w:spacing w:after="0" w:line="210" w:lineRule="auto"/>
        <w:tabs>
          <w:tab w:leader="none" w:pos="2238" w:val="left"/>
        </w:tabs>
        <w:numPr>
          <w:ilvl w:val="1"/>
          <w:numId w:val="127"/>
        </w:numPr>
        <w:rPr>
          <w:rFonts w:ascii="Calibri" w:cs="Calibri" w:eastAsia="Calibri" w:hAnsi="Calibri"/>
          <w:sz w:val="19"/>
          <w:szCs w:val="19"/>
          <w:color w:val="auto"/>
        </w:rPr>
      </w:pPr>
      <w:r>
        <w:rPr>
          <w:rFonts w:ascii="Calibri" w:cs="Calibri" w:eastAsia="Calibri" w:hAnsi="Calibri"/>
          <w:sz w:val="19"/>
          <w:szCs w:val="19"/>
          <w:u w:val="single" w:color="auto"/>
          <w:color w:val="auto"/>
        </w:rPr>
        <w:t>Notces</w:t>
      </w:r>
      <w:r>
        <w:rPr>
          <w:rFonts w:ascii="Calibri" w:cs="Calibri" w:eastAsia="Calibri" w:hAnsi="Calibri"/>
          <w:sz w:val="19"/>
          <w:szCs w:val="19"/>
          <w:color w:val="auto"/>
        </w:rPr>
        <w:t>. All notces, demands and other communicatons provided for or permited hereunder shall be made in writng and shall be by registered or certfed frst-class mail, return receipt requested, facsimile, courier service or personal delivery:</w:t>
      </w:r>
    </w:p>
    <w:p>
      <w:pPr>
        <w:spacing w:after="0" w:line="170"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if to the Company:</w:t>
      </w:r>
    </w:p>
    <w:p>
      <w:pPr>
        <w:spacing w:after="0" w:line="147"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NMI Holdings, Inc.</w:t>
      </w:r>
    </w:p>
    <w:p>
      <w:pPr>
        <w:ind w:left="1860"/>
        <w:spacing w:after="0" w:line="186" w:lineRule="auto"/>
        <w:rPr>
          <w:sz w:val="20"/>
          <w:szCs w:val="20"/>
          <w:color w:val="auto"/>
        </w:rPr>
      </w:pPr>
      <w:r>
        <w:rPr>
          <w:rFonts w:ascii="Calibri" w:cs="Calibri" w:eastAsia="Calibri" w:hAnsi="Calibri"/>
          <w:sz w:val="17"/>
          <w:szCs w:val="17"/>
          <w:color w:val="auto"/>
        </w:rPr>
        <w:t>2100 Powell Street, 12</w:t>
      </w:r>
      <w:r>
        <w:rPr>
          <w:rFonts w:ascii="Calibri" w:cs="Calibri" w:eastAsia="Calibri" w:hAnsi="Calibri"/>
          <w:sz w:val="22"/>
          <w:szCs w:val="22"/>
          <w:color w:val="auto"/>
          <w:vertAlign w:val="superscript"/>
        </w:rPr>
        <w:t>th</w:t>
      </w:r>
      <w:r>
        <w:rPr>
          <w:rFonts w:ascii="Calibri" w:cs="Calibri" w:eastAsia="Calibri" w:hAnsi="Calibri"/>
          <w:sz w:val="17"/>
          <w:szCs w:val="17"/>
          <w:color w:val="auto"/>
        </w:rPr>
        <w:t xml:space="preserve"> Floor</w:t>
      </w:r>
    </w:p>
    <w:p>
      <w:pPr>
        <w:ind w:left="1860"/>
        <w:spacing w:after="0" w:line="195" w:lineRule="auto"/>
        <w:rPr>
          <w:sz w:val="20"/>
          <w:szCs w:val="20"/>
          <w:color w:val="auto"/>
        </w:rPr>
      </w:pPr>
      <w:r>
        <w:rPr>
          <w:rFonts w:ascii="Calibri" w:cs="Calibri" w:eastAsia="Calibri" w:hAnsi="Calibri"/>
          <w:sz w:val="19"/>
          <w:szCs w:val="19"/>
          <w:color w:val="auto"/>
        </w:rPr>
        <w:t>Emeryville, CA 94608</w:t>
      </w:r>
    </w:p>
    <w:p>
      <w:pPr>
        <w:ind w:left="1860"/>
        <w:spacing w:after="0" w:line="201" w:lineRule="auto"/>
        <w:rPr>
          <w:sz w:val="20"/>
          <w:szCs w:val="20"/>
          <w:color w:val="auto"/>
        </w:rPr>
      </w:pPr>
      <w:r>
        <w:rPr>
          <w:rFonts w:ascii="Calibri" w:cs="Calibri" w:eastAsia="Calibri" w:hAnsi="Calibri"/>
          <w:sz w:val="19"/>
          <w:szCs w:val="19"/>
          <w:color w:val="auto"/>
        </w:rPr>
        <w:t>Atenton: General Counsel</w:t>
      </w:r>
    </w:p>
    <w:p>
      <w:pPr>
        <w:spacing w:after="0" w:line="182"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if to Partcipant: at the address last on the records of the Company.</w:t>
      </w:r>
    </w:p>
    <w:p>
      <w:pPr>
        <w:spacing w:after="0" w:line="175" w:lineRule="exact"/>
        <w:rPr>
          <w:sz w:val="20"/>
          <w:szCs w:val="20"/>
          <w:color w:val="auto"/>
        </w:rPr>
      </w:pPr>
    </w:p>
    <w:p>
      <w:pPr>
        <w:ind w:right="180"/>
        <w:spacing w:after="0" w:line="207" w:lineRule="auto"/>
        <w:rPr>
          <w:sz w:val="20"/>
          <w:szCs w:val="20"/>
          <w:color w:val="auto"/>
        </w:rPr>
      </w:pPr>
      <w:r>
        <w:rPr>
          <w:rFonts w:ascii="Calibri" w:cs="Calibri" w:eastAsia="Calibri" w:hAnsi="Calibri"/>
          <w:sz w:val="19"/>
          <w:szCs w:val="19"/>
          <w:color w:val="auto"/>
        </w:rPr>
        <w:t>All such notces, demands and other communicatons shall be deemed to have been duly given when delivered by hand, if personally delivered; when delivered by courier, if delivered by commercial courier service; fve business days afer being deposited in the mail, postage prepaid, if mailed; and when receipt is mechanically acknowledged, if by facsimile or e-mail.</w:t>
      </w:r>
    </w:p>
    <w:p>
      <w:pPr>
        <w:spacing w:after="0" w:line="176" w:lineRule="exact"/>
        <w:rPr>
          <w:sz w:val="20"/>
          <w:szCs w:val="20"/>
          <w:color w:val="auto"/>
        </w:rPr>
      </w:pPr>
    </w:p>
    <w:p>
      <w:pPr>
        <w:ind w:right="140" w:firstLine="1866"/>
        <w:spacing w:after="0" w:line="207" w:lineRule="auto"/>
        <w:tabs>
          <w:tab w:leader="none" w:pos="2258" w:val="left"/>
        </w:tabs>
        <w:numPr>
          <w:ilvl w:val="0"/>
          <w:numId w:val="128"/>
        </w:numPr>
        <w:rPr>
          <w:rFonts w:ascii="Calibri" w:cs="Calibri" w:eastAsia="Calibri" w:hAnsi="Calibri"/>
          <w:sz w:val="19"/>
          <w:szCs w:val="19"/>
          <w:color w:val="auto"/>
        </w:rPr>
      </w:pPr>
      <w:r>
        <w:rPr>
          <w:rFonts w:ascii="Calibri" w:cs="Calibri" w:eastAsia="Calibri" w:hAnsi="Calibri"/>
          <w:sz w:val="19"/>
          <w:szCs w:val="19"/>
          <w:u w:val="single" w:color="auto"/>
          <w:color w:val="auto"/>
        </w:rPr>
        <w:t>Severability</w:t>
      </w:r>
      <w:r>
        <w:rPr>
          <w:rFonts w:ascii="Calibri" w:cs="Calibri" w:eastAsia="Calibri" w:hAnsi="Calibri"/>
          <w:sz w:val="19"/>
          <w:szCs w:val="19"/>
          <w:color w:val="auto"/>
        </w:rPr>
        <w:t>. The invalidity or unenforceability of any provision of this Agreement shall not afect the validity or enforceability of any other provision of this Agreement, and each other provision of this Agreement shall be severable and enforceable to the extent permited by law.</w:t>
      </w:r>
    </w:p>
    <w:p>
      <w:pPr>
        <w:spacing w:after="0" w:line="175" w:lineRule="exact"/>
        <w:rPr>
          <w:rFonts w:ascii="Calibri" w:cs="Calibri" w:eastAsia="Calibri" w:hAnsi="Calibri"/>
          <w:sz w:val="19"/>
          <w:szCs w:val="19"/>
          <w:color w:val="auto"/>
        </w:rPr>
      </w:pPr>
    </w:p>
    <w:p>
      <w:pPr>
        <w:ind w:firstLine="1866"/>
        <w:spacing w:after="0" w:line="205" w:lineRule="auto"/>
        <w:tabs>
          <w:tab w:leader="none" w:pos="2252" w:val="left"/>
        </w:tabs>
        <w:numPr>
          <w:ilvl w:val="0"/>
          <w:numId w:val="128"/>
        </w:numPr>
        <w:rPr>
          <w:rFonts w:ascii="Calibri" w:cs="Calibri" w:eastAsia="Calibri" w:hAnsi="Calibri"/>
          <w:sz w:val="19"/>
          <w:szCs w:val="19"/>
          <w:color w:val="auto"/>
        </w:rPr>
      </w:pPr>
      <w:r>
        <w:rPr>
          <w:rFonts w:ascii="Calibri" w:cs="Calibri" w:eastAsia="Calibri" w:hAnsi="Calibri"/>
          <w:sz w:val="19"/>
          <w:szCs w:val="19"/>
          <w:u w:val="single" w:color="auto"/>
          <w:color w:val="auto"/>
        </w:rPr>
        <w:t>No Rights to Service</w:t>
      </w:r>
      <w:r>
        <w:rPr>
          <w:rFonts w:ascii="Calibri" w:cs="Calibri" w:eastAsia="Calibri" w:hAnsi="Calibri"/>
          <w:sz w:val="19"/>
          <w:szCs w:val="19"/>
          <w:color w:val="auto"/>
        </w:rPr>
        <w:t>. Nothing contained in this Agreement shall be construed as giving Partcipant any right to be retained, in any positon, as an employee, consultant or director of the Company or its Afliates or shall interfere with or restrict in any way the right of the Company or its Afliates, which is hereby expressly reserved, to remove, terminate or discharge Partcipant at any tme for any reason whatsoever.</w:t>
      </w:r>
    </w:p>
    <w:p>
      <w:pPr>
        <w:spacing w:after="0" w:line="164" w:lineRule="exact"/>
        <w:rPr>
          <w:rFonts w:ascii="Calibri" w:cs="Calibri" w:eastAsia="Calibri" w:hAnsi="Calibri"/>
          <w:sz w:val="19"/>
          <w:szCs w:val="19"/>
          <w:color w:val="auto"/>
        </w:rPr>
      </w:pPr>
    </w:p>
    <w:p>
      <w:pPr>
        <w:ind w:firstLine="1866"/>
        <w:spacing w:after="0" w:line="204" w:lineRule="auto"/>
        <w:tabs>
          <w:tab w:leader="none" w:pos="2218" w:val="left"/>
        </w:tabs>
        <w:numPr>
          <w:ilvl w:val="0"/>
          <w:numId w:val="128"/>
        </w:numPr>
        <w:rPr>
          <w:rFonts w:ascii="Calibri" w:cs="Calibri" w:eastAsia="Calibri" w:hAnsi="Calibri"/>
          <w:sz w:val="19"/>
          <w:szCs w:val="19"/>
          <w:color w:val="auto"/>
        </w:rPr>
      </w:pPr>
      <w:r>
        <w:rPr>
          <w:rFonts w:ascii="Calibri" w:cs="Calibri" w:eastAsia="Calibri" w:hAnsi="Calibri"/>
          <w:sz w:val="19"/>
          <w:szCs w:val="19"/>
          <w:u w:val="single" w:color="auto"/>
          <w:color w:val="auto"/>
        </w:rPr>
        <w:t>Benefciary</w:t>
      </w:r>
      <w:r>
        <w:rPr>
          <w:rFonts w:ascii="Calibri" w:cs="Calibri" w:eastAsia="Calibri" w:hAnsi="Calibri"/>
          <w:sz w:val="19"/>
          <w:szCs w:val="19"/>
          <w:color w:val="auto"/>
        </w:rPr>
        <w:t xml:space="preserve">. Partcipant may fle with the Company a writen designaton of a benefciary on such form as may be prescribed by the Commitee and may, from tme to tme, change or revoke such designaton by fling a new designaton with the Company. The last such designaton received by the Company shall be controlling;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auto"/>
        </w:rPr>
        <w:t>however</w:t>
      </w:r>
      <w:r>
        <w:rPr>
          <w:rFonts w:ascii="Calibri" w:cs="Calibri" w:eastAsia="Calibri" w:hAnsi="Calibri"/>
          <w:sz w:val="19"/>
          <w:szCs w:val="19"/>
          <w:color w:val="auto"/>
        </w:rPr>
        <w:t>, that no designaton, or change or revocaton thereof, shall be efectve unless received by the Company prior to Partcipant’s death, and in no event shall it be efectve as of a date prior to such receipt. If no benefciary designaton is fled by Partcipant, the benefciary shall be deemed to be the Partcipant’s spouse or, if Partcipant is unmarried at the tme of death, his or her estate.</w:t>
      </w:r>
    </w:p>
    <w:p>
      <w:pPr>
        <w:spacing w:after="0" w:line="162" w:lineRule="exact"/>
        <w:rPr>
          <w:rFonts w:ascii="Calibri" w:cs="Calibri" w:eastAsia="Calibri" w:hAnsi="Calibri"/>
          <w:sz w:val="19"/>
          <w:szCs w:val="19"/>
          <w:color w:val="auto"/>
        </w:rPr>
      </w:pPr>
    </w:p>
    <w:p>
      <w:pPr>
        <w:ind w:right="580" w:firstLine="1866"/>
        <w:spacing w:after="0" w:line="217" w:lineRule="auto"/>
        <w:tabs>
          <w:tab w:leader="none" w:pos="2248" w:val="left"/>
        </w:tabs>
        <w:numPr>
          <w:ilvl w:val="0"/>
          <w:numId w:val="128"/>
        </w:numPr>
        <w:rPr>
          <w:rFonts w:ascii="Calibri" w:cs="Calibri" w:eastAsia="Calibri" w:hAnsi="Calibri"/>
          <w:sz w:val="19"/>
          <w:szCs w:val="19"/>
          <w:color w:val="auto"/>
        </w:rPr>
      </w:pPr>
      <w:r>
        <w:rPr>
          <w:rFonts w:ascii="Calibri" w:cs="Calibri" w:eastAsia="Calibri" w:hAnsi="Calibri"/>
          <w:sz w:val="19"/>
          <w:szCs w:val="19"/>
          <w:u w:val="single" w:color="auto"/>
          <w:color w:val="auto"/>
        </w:rPr>
        <w:t>Successors</w:t>
      </w:r>
      <w:r>
        <w:rPr>
          <w:rFonts w:ascii="Calibri" w:cs="Calibri" w:eastAsia="Calibri" w:hAnsi="Calibri"/>
          <w:sz w:val="19"/>
          <w:szCs w:val="19"/>
          <w:color w:val="auto"/>
        </w:rPr>
        <w:t>. The terms of this Agreement shall be binding upon and inure to the beneft of the Company, its successors and assigns, and of Partcipant and the benefciaries, executors, administrators, heirs and successors of Partcipant.</w:t>
      </w:r>
    </w:p>
    <w:p>
      <w:pPr>
        <w:sectPr>
          <w:pgSz w:w="11900" w:h="16838" w:orient="portrait"/>
          <w:cols w:equalWidth="0" w:num="1">
            <w:col w:w="11240"/>
          </w:cols>
          <w:pgMar w:left="320" w:top="83" w:right="339" w:bottom="1440" w:gutter="0" w:footer="0" w:header="0"/>
        </w:sectPr>
      </w:pPr>
    </w:p>
    <w:bookmarkStart w:id="170" w:name="page171"/>
    <w:bookmarkEnd w:id="170"/>
    <w:p>
      <w:pPr>
        <w:jc w:val="right"/>
        <w:spacing w:after="0"/>
        <w:rPr>
          <w:sz w:val="20"/>
          <w:szCs w:val="20"/>
          <w:color w:val="auto"/>
        </w:rPr>
      </w:pPr>
      <w:r>
        <w:rPr>
          <w:rFonts w:ascii="Calibri" w:cs="Calibri" w:eastAsia="Calibri" w:hAnsi="Calibri"/>
          <w:sz w:val="19"/>
          <w:szCs w:val="19"/>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firstLine="1866"/>
        <w:spacing w:after="0" w:line="211" w:lineRule="auto"/>
        <w:tabs>
          <w:tab w:leader="none" w:pos="2258" w:val="left"/>
        </w:tabs>
        <w:numPr>
          <w:ilvl w:val="1"/>
          <w:numId w:val="129"/>
        </w:numPr>
        <w:rPr>
          <w:rFonts w:ascii="Calibri" w:cs="Calibri" w:eastAsia="Calibri" w:hAnsi="Calibri"/>
          <w:sz w:val="19"/>
          <w:szCs w:val="19"/>
          <w:color w:val="auto"/>
        </w:rPr>
      </w:pPr>
      <w:r>
        <w:rPr>
          <w:rFonts w:ascii="Calibri" w:cs="Calibri" w:eastAsia="Calibri" w:hAnsi="Calibri"/>
          <w:sz w:val="19"/>
          <w:szCs w:val="19"/>
          <w:u w:val="single" w:color="auto"/>
          <w:color w:val="auto"/>
        </w:rPr>
        <w:t>Entre Agreement</w:t>
      </w:r>
      <w:r>
        <w:rPr>
          <w:rFonts w:ascii="Calibri" w:cs="Calibri" w:eastAsia="Calibri" w:hAnsi="Calibri"/>
          <w:sz w:val="19"/>
          <w:szCs w:val="19"/>
          <w:color w:val="auto"/>
        </w:rPr>
        <w:t>. This Agreement and the Plan contain the entre agreement and understanding of the partes hereto with respect to the subject mater contained herein and supersede all prior communicatons, representatons and negotatons with respect thereto.</w:t>
      </w:r>
    </w:p>
    <w:p>
      <w:pPr>
        <w:spacing w:after="0" w:line="164" w:lineRule="exact"/>
        <w:rPr>
          <w:rFonts w:ascii="Calibri" w:cs="Calibri" w:eastAsia="Calibri" w:hAnsi="Calibri"/>
          <w:sz w:val="19"/>
          <w:szCs w:val="19"/>
          <w:color w:val="auto"/>
        </w:rPr>
      </w:pPr>
    </w:p>
    <w:p>
      <w:pPr>
        <w:ind w:right="140" w:firstLine="1866"/>
        <w:spacing w:after="0" w:line="217" w:lineRule="auto"/>
        <w:tabs>
          <w:tab w:leader="none" w:pos="2200" w:val="left"/>
        </w:tabs>
        <w:numPr>
          <w:ilvl w:val="1"/>
          <w:numId w:val="129"/>
        </w:numPr>
        <w:rPr>
          <w:rFonts w:ascii="Calibri" w:cs="Calibri" w:eastAsia="Calibri" w:hAnsi="Calibri"/>
          <w:sz w:val="19"/>
          <w:szCs w:val="19"/>
          <w:color w:val="auto"/>
        </w:rPr>
      </w:pPr>
      <w:r>
        <w:rPr>
          <w:rFonts w:ascii="Calibri" w:cs="Calibri" w:eastAsia="Calibri" w:hAnsi="Calibri"/>
          <w:sz w:val="19"/>
          <w:szCs w:val="19"/>
          <w:u w:val="single" w:color="auto"/>
          <w:color w:val="auto"/>
        </w:rPr>
        <w:t>Bound by the Plan</w:t>
      </w:r>
      <w:r>
        <w:rPr>
          <w:rFonts w:ascii="Calibri" w:cs="Calibri" w:eastAsia="Calibri" w:hAnsi="Calibri"/>
          <w:sz w:val="19"/>
          <w:szCs w:val="19"/>
          <w:color w:val="auto"/>
        </w:rPr>
        <w:t>. By signing this Agreement, Partcipant acknowledges that he or she has received a copy of the Plan and has had an opportunity to review the Plan and agrees to be bound by all the terms and provisions of the Plan.</w:t>
      </w:r>
    </w:p>
    <w:p>
      <w:pPr>
        <w:spacing w:after="0" w:line="175" w:lineRule="exact"/>
        <w:rPr>
          <w:rFonts w:ascii="Calibri" w:cs="Calibri" w:eastAsia="Calibri" w:hAnsi="Calibri"/>
          <w:sz w:val="19"/>
          <w:szCs w:val="19"/>
          <w:color w:val="auto"/>
        </w:rPr>
      </w:pPr>
    </w:p>
    <w:p>
      <w:pPr>
        <w:ind w:right="180" w:firstLine="1866"/>
        <w:spacing w:after="0" w:line="205" w:lineRule="auto"/>
        <w:tabs>
          <w:tab w:leader="none" w:pos="2208" w:val="left"/>
        </w:tabs>
        <w:numPr>
          <w:ilvl w:val="1"/>
          <w:numId w:val="129"/>
        </w:numPr>
        <w:rPr>
          <w:rFonts w:ascii="Calibri" w:cs="Calibri" w:eastAsia="Calibri" w:hAnsi="Calibri"/>
          <w:sz w:val="19"/>
          <w:szCs w:val="19"/>
          <w:color w:val="auto"/>
        </w:rPr>
      </w:pPr>
      <w:r>
        <w:rPr>
          <w:rFonts w:ascii="Calibri" w:cs="Calibri" w:eastAsia="Calibri" w:hAnsi="Calibri"/>
          <w:sz w:val="19"/>
          <w:szCs w:val="19"/>
          <w:u w:val="single" w:color="auto"/>
          <w:color w:val="auto"/>
        </w:rPr>
        <w:t>Secton 409A.</w:t>
      </w:r>
      <w:r>
        <w:rPr>
          <w:rFonts w:ascii="Calibri" w:cs="Calibri" w:eastAsia="Calibri" w:hAnsi="Calibri"/>
          <w:sz w:val="19"/>
          <w:szCs w:val="19"/>
          <w:color w:val="auto"/>
        </w:rPr>
        <w:t xml:space="preserve"> It is intended that the Awards granted pursuant to this Agreement and the provisions of this Agreement be exempt from or be designed such that the taxes and/or penaltes under Secton 409A of the Code are not imposed, and all provisions of this Agreement shall be construed and interpreted in a manner consistent with the requirements for avoiding taxes or penaltes under Secton 409A of the Code.</w:t>
      </w:r>
    </w:p>
    <w:p>
      <w:pPr>
        <w:spacing w:after="0" w:line="164" w:lineRule="exact"/>
        <w:rPr>
          <w:rFonts w:ascii="Calibri" w:cs="Calibri" w:eastAsia="Calibri" w:hAnsi="Calibri"/>
          <w:sz w:val="19"/>
          <w:szCs w:val="19"/>
          <w:color w:val="auto"/>
        </w:rPr>
      </w:pPr>
    </w:p>
    <w:p>
      <w:pPr>
        <w:ind w:right="220" w:firstLine="1866"/>
        <w:spacing w:after="0" w:line="211" w:lineRule="auto"/>
        <w:tabs>
          <w:tab w:leader="none" w:pos="2244" w:val="left"/>
        </w:tabs>
        <w:numPr>
          <w:ilvl w:val="1"/>
          <w:numId w:val="129"/>
        </w:numPr>
        <w:rPr>
          <w:rFonts w:ascii="Calibri" w:cs="Calibri" w:eastAsia="Calibri" w:hAnsi="Calibri"/>
          <w:sz w:val="19"/>
          <w:szCs w:val="19"/>
          <w:color w:val="auto"/>
        </w:rPr>
      </w:pPr>
      <w:r>
        <w:rPr>
          <w:rFonts w:ascii="Calibri" w:cs="Calibri" w:eastAsia="Calibri" w:hAnsi="Calibri"/>
          <w:sz w:val="19"/>
          <w:szCs w:val="19"/>
          <w:u w:val="single" w:color="auto"/>
          <w:color w:val="auto"/>
        </w:rPr>
        <w:t>Governing Law</w:t>
      </w:r>
      <w:r>
        <w:rPr>
          <w:rFonts w:ascii="Calibri" w:cs="Calibri" w:eastAsia="Calibri" w:hAnsi="Calibri"/>
          <w:sz w:val="19"/>
          <w:szCs w:val="19"/>
          <w:color w:val="auto"/>
        </w:rPr>
        <w:t>. This Agreement shall be construed and interpreted in accordance with the internal laws of the State of Delaware without regard to principles of conficts of law thereof, or principles of conficts of laws of any other jurisdicton that could cause the applicaton of the laws of any jurisdicton other than the State of Delaware.</w:t>
      </w:r>
    </w:p>
    <w:p>
      <w:pPr>
        <w:spacing w:after="0" w:line="164" w:lineRule="exact"/>
        <w:rPr>
          <w:rFonts w:ascii="Calibri" w:cs="Calibri" w:eastAsia="Calibri" w:hAnsi="Calibri"/>
          <w:sz w:val="19"/>
          <w:szCs w:val="19"/>
          <w:color w:val="auto"/>
        </w:rPr>
      </w:pPr>
    </w:p>
    <w:p>
      <w:pPr>
        <w:ind w:right="260" w:firstLine="1866"/>
        <w:spacing w:after="0" w:line="217" w:lineRule="auto"/>
        <w:tabs>
          <w:tab w:leader="none" w:pos="2200" w:val="left"/>
        </w:tabs>
        <w:numPr>
          <w:ilvl w:val="1"/>
          <w:numId w:val="129"/>
        </w:numPr>
        <w:rPr>
          <w:rFonts w:ascii="Calibri" w:cs="Calibri" w:eastAsia="Calibri" w:hAnsi="Calibri"/>
          <w:sz w:val="19"/>
          <w:szCs w:val="19"/>
          <w:color w:val="auto"/>
        </w:rPr>
      </w:pPr>
      <w:r>
        <w:rPr>
          <w:rFonts w:ascii="Calibri" w:cs="Calibri" w:eastAsia="Calibri" w:hAnsi="Calibri"/>
          <w:sz w:val="19"/>
          <w:szCs w:val="19"/>
          <w:u w:val="single" w:color="auto"/>
          <w:color w:val="auto"/>
        </w:rPr>
        <w:t>Headings</w:t>
      </w:r>
      <w:r>
        <w:rPr>
          <w:rFonts w:ascii="Calibri" w:cs="Calibri" w:eastAsia="Calibri" w:hAnsi="Calibri"/>
          <w:sz w:val="19"/>
          <w:szCs w:val="19"/>
          <w:color w:val="auto"/>
        </w:rPr>
        <w:t>. The headings of the Sectons hereof are provided for convenience only and are not to serve as a basis for interpretaton or constructon, and shall not consttute a part, of this Agreement.</w:t>
      </w:r>
    </w:p>
    <w:p>
      <w:pPr>
        <w:spacing w:after="0" w:line="175" w:lineRule="exact"/>
        <w:rPr>
          <w:rFonts w:ascii="Calibri" w:cs="Calibri" w:eastAsia="Calibri" w:hAnsi="Calibri"/>
          <w:sz w:val="19"/>
          <w:szCs w:val="19"/>
          <w:color w:val="auto"/>
        </w:rPr>
      </w:pPr>
    </w:p>
    <w:p>
      <w:pPr>
        <w:ind w:firstLine="1866"/>
        <w:spacing w:after="0" w:line="210" w:lineRule="auto"/>
        <w:tabs>
          <w:tab w:leader="none" w:pos="2311" w:val="left"/>
        </w:tabs>
        <w:numPr>
          <w:ilvl w:val="1"/>
          <w:numId w:val="129"/>
        </w:numPr>
        <w:rPr>
          <w:rFonts w:ascii="Calibri" w:cs="Calibri" w:eastAsia="Calibri" w:hAnsi="Calibri"/>
          <w:sz w:val="19"/>
          <w:szCs w:val="19"/>
          <w:color w:val="auto"/>
        </w:rPr>
      </w:pPr>
      <w:r>
        <w:rPr>
          <w:rFonts w:ascii="Calibri" w:cs="Calibri" w:eastAsia="Calibri" w:hAnsi="Calibri"/>
          <w:sz w:val="19"/>
          <w:szCs w:val="19"/>
          <w:u w:val="single" w:color="auto"/>
          <w:color w:val="auto"/>
        </w:rPr>
        <w:t>Signature in Counterparts</w:t>
      </w:r>
      <w:r>
        <w:rPr>
          <w:rFonts w:ascii="Calibri" w:cs="Calibri" w:eastAsia="Calibri" w:hAnsi="Calibri"/>
          <w:sz w:val="19"/>
          <w:szCs w:val="19"/>
          <w:color w:val="auto"/>
        </w:rPr>
        <w:t>. This Agreement may be signed in counterparts, each of which shall be an original, with the same efect as if the signatures thereto and hereto were upon the same instrument.</w:t>
      </w:r>
    </w:p>
    <w:p>
      <w:pPr>
        <w:spacing w:after="0" w:line="176" w:lineRule="exact"/>
        <w:rPr>
          <w:rFonts w:ascii="Calibri" w:cs="Calibri" w:eastAsia="Calibri" w:hAnsi="Calibri"/>
          <w:sz w:val="19"/>
          <w:szCs w:val="19"/>
          <w:color w:val="auto"/>
        </w:rPr>
      </w:pPr>
    </w:p>
    <w:p>
      <w:pPr>
        <w:ind w:right="60" w:firstLine="1245"/>
        <w:spacing w:after="0" w:line="201" w:lineRule="auto"/>
        <w:tabs>
          <w:tab w:leader="none" w:pos="1663" w:val="left"/>
        </w:tabs>
        <w:numPr>
          <w:ilvl w:val="0"/>
          <w:numId w:val="130"/>
        </w:numPr>
        <w:rPr>
          <w:rFonts w:ascii="Calibri" w:cs="Calibri" w:eastAsia="Calibri" w:hAnsi="Calibri"/>
          <w:sz w:val="19"/>
          <w:szCs w:val="19"/>
          <w:color w:val="auto"/>
        </w:rPr>
      </w:pPr>
      <w:r>
        <w:rPr>
          <w:rFonts w:ascii="Calibri" w:cs="Calibri" w:eastAsia="Calibri" w:hAnsi="Calibri"/>
          <w:sz w:val="19"/>
          <w:szCs w:val="19"/>
          <w:u w:val="single" w:color="auto"/>
          <w:color w:val="auto"/>
        </w:rPr>
        <w:t>Compliance with Legal Requirements</w:t>
      </w:r>
      <w:r>
        <w:rPr>
          <w:rFonts w:ascii="Calibri" w:cs="Calibri" w:eastAsia="Calibri" w:hAnsi="Calibri"/>
          <w:sz w:val="19"/>
          <w:szCs w:val="19"/>
          <w:color w:val="auto"/>
        </w:rPr>
        <w:t>. The grant of the RSUs and the delivery of the Shares in setlement thereof, and any other obligatons of the Company under this Agreement shall be subject to all applicable federal and state laws, rules and regulatons and to such approvals by any regulatory or governmental agency as may be required. Subject to Secton 9(k) of this Agreement, the Commitee, in its sole discreton, may postpone the issuance or delivery of Shares as the Commitee may consider appropriate and may require Partcipant to make such representatons and furnish such informaton as it may consider appropriate in connecton with the issuance or delivery of the Shares in compliance with applicable laws, rules and regulatons.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Calibri" w:cs="Calibri" w:eastAsia="Calibri" w:hAnsi="Calibri"/>
          <w:sz w:val="19"/>
          <w:szCs w:val="19"/>
          <w:i w:val="1"/>
          <w:iCs w:val="1"/>
          <w:color w:val="auto"/>
        </w:rPr>
        <w:t>[Remainder of page intentonally lef blank; signature page to follow]</w:t>
      </w:r>
    </w:p>
    <w:p>
      <w:pPr>
        <w:sectPr>
          <w:pgSz w:w="11900" w:h="16838" w:orient="portrait"/>
          <w:cols w:equalWidth="0" w:num="1">
            <w:col w:w="11240"/>
          </w:cols>
          <w:pgMar w:left="320" w:top="83" w:right="339" w:bottom="1440" w:gutter="0" w:footer="0" w:header="0"/>
        </w:sectPr>
      </w:pPr>
    </w:p>
    <w:bookmarkStart w:id="171" w:name="page172"/>
    <w:bookmarkEnd w:id="171"/>
    <w:p>
      <w:pPr>
        <w:jc w:val="right"/>
        <w:spacing w:after="0"/>
        <w:rPr>
          <w:sz w:val="20"/>
          <w:szCs w:val="20"/>
          <w:color w:val="auto"/>
        </w:rPr>
      </w:pPr>
      <w:r>
        <w:rPr>
          <w:rFonts w:ascii="Calibri" w:cs="Calibri" w:eastAsia="Calibri" w:hAnsi="Calibri"/>
          <w:sz w:val="19"/>
          <w:szCs w:val="19"/>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 WITNESS WHEREOF</w:t>
      </w:r>
      <w:r>
        <w:rPr>
          <w:rFonts w:ascii="Calibri" w:cs="Calibri" w:eastAsia="Calibri" w:hAnsi="Calibri"/>
          <w:sz w:val="19"/>
          <w:szCs w:val="19"/>
          <w:color w:val="auto"/>
        </w:rPr>
        <w:t>, the partes hereto have executed this Agreement.</w:t>
      </w:r>
    </w:p>
    <w:p>
      <w:pPr>
        <w:spacing w:after="0" w:line="169"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NMI HOLDINGS, INC.</w:t>
      </w:r>
    </w:p>
    <w:p>
      <w:pPr>
        <w:spacing w:after="0" w:line="200" w:lineRule="exact"/>
        <w:rPr>
          <w:sz w:val="20"/>
          <w:szCs w:val="20"/>
          <w:color w:val="auto"/>
        </w:rPr>
      </w:pPr>
    </w:p>
    <w:p>
      <w:pPr>
        <w:spacing w:after="0" w:line="221"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___________________________________</w:t>
      </w:r>
    </w:p>
    <w:p>
      <w:pPr>
        <w:ind w:left="3720"/>
        <w:spacing w:after="0" w:line="194" w:lineRule="auto"/>
        <w:tabs>
          <w:tab w:leader="none" w:pos="4300" w:val="left"/>
        </w:tabs>
        <w:rPr>
          <w:sz w:val="20"/>
          <w:szCs w:val="20"/>
          <w:color w:val="auto"/>
        </w:rPr>
      </w:pPr>
      <w:r>
        <w:rPr>
          <w:rFonts w:ascii="Calibri" w:cs="Calibri" w:eastAsia="Calibri" w:hAnsi="Calibri"/>
          <w:sz w:val="19"/>
          <w:szCs w:val="19"/>
          <w:color w:val="auto"/>
        </w:rPr>
        <w:t>By:</w:t>
      </w:r>
      <w:r>
        <w:rPr>
          <w:sz w:val="20"/>
          <w:szCs w:val="20"/>
          <w:color w:val="auto"/>
        </w:rPr>
        <w:tab/>
      </w:r>
      <w:r>
        <w:rPr>
          <w:rFonts w:ascii="Calibri" w:cs="Calibri" w:eastAsia="Calibri" w:hAnsi="Calibri"/>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Calibri" w:cs="Calibri" w:eastAsia="Calibri" w:hAnsi="Calibri"/>
          <w:sz w:val="19"/>
          <w:szCs w:val="19"/>
          <w:i w:val="1"/>
          <w:iCs w:val="1"/>
          <w:color w:val="auto"/>
        </w:rPr>
        <w:t>[Signature Page to Restricted Stock Unit Award Agreement (Employees)]</w:t>
      </w:r>
    </w:p>
    <w:p>
      <w:pPr>
        <w:sectPr>
          <w:pgSz w:w="11900" w:h="16838" w:orient="portrait"/>
          <w:cols w:equalWidth="0" w:num="1">
            <w:col w:w="11240"/>
          </w:cols>
          <w:pgMar w:left="320" w:top="83" w:right="339" w:bottom="1440" w:gutter="0" w:footer="0" w:header="0"/>
        </w:sectPr>
      </w:pPr>
    </w:p>
    <w:bookmarkStart w:id="172" w:name="page173"/>
    <w:bookmarkEnd w:id="172"/>
    <w:p>
      <w:pPr>
        <w:jc w:val="right"/>
        <w:spacing w:after="0"/>
        <w:rPr>
          <w:sz w:val="20"/>
          <w:szCs w:val="20"/>
          <w:color w:val="auto"/>
        </w:rPr>
      </w:pPr>
      <w:r>
        <w:rPr>
          <w:rFonts w:ascii="Calibri" w:cs="Calibri" w:eastAsia="Calibri" w:hAnsi="Calibri"/>
          <w:sz w:val="19"/>
          <w:szCs w:val="19"/>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b w:val="1"/>
          <w:bCs w:val="1"/>
          <w:color w:val="auto"/>
        </w:rPr>
        <w:t>NMI HOLDINGS, INC.</w:t>
      </w:r>
    </w:p>
    <w:p>
      <w:pPr>
        <w:jc w:val="center"/>
        <w:ind w:right="40"/>
        <w:spacing w:after="0" w:line="200" w:lineRule="auto"/>
        <w:rPr>
          <w:sz w:val="20"/>
          <w:szCs w:val="20"/>
          <w:color w:val="auto"/>
        </w:rPr>
      </w:pPr>
      <w:r>
        <w:rPr>
          <w:rFonts w:ascii="Calibri" w:cs="Calibri" w:eastAsia="Calibri" w:hAnsi="Calibri"/>
          <w:sz w:val="19"/>
          <w:szCs w:val="19"/>
          <w:b w:val="1"/>
          <w:bCs w:val="1"/>
          <w:color w:val="auto"/>
        </w:rPr>
        <w:t>AMENDED AND RESTATED 2014 OMNIBUS INCENTIVE PLAN</w:t>
      </w:r>
    </w:p>
    <w:p>
      <w:pPr>
        <w:jc w:val="center"/>
        <w:spacing w:after="0" w:line="194" w:lineRule="auto"/>
        <w:rPr>
          <w:sz w:val="20"/>
          <w:szCs w:val="20"/>
          <w:color w:val="auto"/>
        </w:rPr>
      </w:pPr>
      <w:r>
        <w:rPr>
          <w:rFonts w:ascii="Calibri" w:cs="Calibri" w:eastAsia="Calibri" w:hAnsi="Calibri"/>
          <w:sz w:val="19"/>
          <w:szCs w:val="19"/>
          <w:b w:val="1"/>
          <w:bCs w:val="1"/>
          <w:color w:val="auto"/>
        </w:rPr>
        <w:t>RESTRICTED STOCK UNIT AWARD AGREEMENT</w:t>
      </w:r>
    </w:p>
    <w:p>
      <w:pPr>
        <w:jc w:val="center"/>
        <w:spacing w:after="0" w:line="194" w:lineRule="auto"/>
        <w:rPr>
          <w:sz w:val="20"/>
          <w:szCs w:val="20"/>
          <w:color w:val="auto"/>
        </w:rPr>
      </w:pPr>
      <w:r>
        <w:rPr>
          <w:rFonts w:ascii="Calibri" w:cs="Calibri" w:eastAsia="Calibri" w:hAnsi="Calibri"/>
          <w:sz w:val="19"/>
          <w:szCs w:val="19"/>
          <w:b w:val="1"/>
          <w:bCs w:val="1"/>
          <w:color w:val="auto"/>
        </w:rPr>
        <w:t>(Performance Based)</w:t>
      </w:r>
    </w:p>
    <w:p>
      <w:pPr>
        <w:spacing w:after="0" w:line="166" w:lineRule="exact"/>
        <w:rPr>
          <w:sz w:val="20"/>
          <w:szCs w:val="20"/>
          <w:color w:val="auto"/>
        </w:rPr>
      </w:pPr>
    </w:p>
    <w:p>
      <w:pPr>
        <w:ind w:right="340" w:firstLine="1242"/>
        <w:spacing w:after="0" w:line="229" w:lineRule="auto"/>
        <w:rPr>
          <w:sz w:val="20"/>
          <w:szCs w:val="20"/>
          <w:color w:val="auto"/>
        </w:rPr>
      </w:pPr>
      <w:r>
        <w:rPr>
          <w:rFonts w:ascii="Calibri" w:cs="Calibri" w:eastAsia="Calibri" w:hAnsi="Calibri"/>
          <w:sz w:val="19"/>
          <w:szCs w:val="19"/>
          <w:b w:val="1"/>
          <w:bCs w:val="1"/>
          <w:color w:val="auto"/>
        </w:rPr>
        <w:t xml:space="preserve">THIS RESTRICTED STOCK UNIT AWARD AGREEMENT </w:t>
      </w:r>
      <w:r>
        <w:rPr>
          <w:rFonts w:ascii="Calibri" w:cs="Calibri" w:eastAsia="Calibri" w:hAnsi="Calibri"/>
          <w:sz w:val="19"/>
          <w:szCs w:val="19"/>
          <w:color w:val="auto"/>
        </w:rPr>
        <w:t>(this “</w:t>
      </w:r>
      <w:r>
        <w:rPr>
          <w:rFonts w:ascii="Calibri" w:cs="Calibri" w:eastAsia="Calibri" w:hAnsi="Calibri"/>
          <w:sz w:val="19"/>
          <w:szCs w:val="19"/>
          <w:u w:val="single" w:color="auto"/>
          <w:color w:val="auto"/>
        </w:rPr>
        <w:t>Agreement</w:t>
      </w:r>
      <w:r>
        <w:rPr>
          <w:rFonts w:ascii="Calibri" w:cs="Calibri" w:eastAsia="Calibri" w:hAnsi="Calibri"/>
          <w:sz w:val="19"/>
          <w:szCs w:val="19"/>
          <w:color w:val="auto"/>
        </w:rPr>
        <w:t>”), dated as of [</w:t>
      </w:r>
      <w:r>
        <w:rPr>
          <w:rFonts w:ascii="Arial" w:cs="Arial" w:eastAsia="Arial" w:hAnsi="Arial"/>
          <w:sz w:val="19"/>
          <w:szCs w:val="19"/>
          <w:color w:val="auto"/>
        </w:rPr>
        <w:t>●</w:t>
      </w:r>
      <w:r>
        <w:rPr>
          <w:rFonts w:ascii="Calibri" w:cs="Calibri" w:eastAsia="Calibri" w:hAnsi="Calibri"/>
          <w:sz w:val="19"/>
          <w:szCs w:val="19"/>
          <w:color w:val="auto"/>
        </w:rPr>
        <w:t>] (the “</w:t>
      </w:r>
      <w:r>
        <w:rPr>
          <w:rFonts w:ascii="Calibri" w:cs="Calibri" w:eastAsia="Calibri" w:hAnsi="Calibri"/>
          <w:sz w:val="19"/>
          <w:szCs w:val="19"/>
          <w:u w:val="single" w:color="auto"/>
          <w:color w:val="auto"/>
        </w:rPr>
        <w:t>Grant Date</w:t>
      </w:r>
      <w:r>
        <w:rPr>
          <w:rFonts w:ascii="Calibri" w:cs="Calibri" w:eastAsia="Calibri" w:hAnsi="Calibri"/>
          <w:sz w:val="19"/>
          <w:szCs w:val="19"/>
          <w:color w:val="auto"/>
        </w:rPr>
        <w:t>”), is made by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between NMI Holdings, Inc., a Delaware corporaton (the “</w:t>
      </w:r>
      <w:r>
        <w:rPr>
          <w:rFonts w:ascii="Calibri" w:cs="Calibri" w:eastAsia="Calibri" w:hAnsi="Calibri"/>
          <w:sz w:val="19"/>
          <w:szCs w:val="19"/>
          <w:u w:val="single" w:color="auto"/>
          <w:color w:val="auto"/>
        </w:rPr>
        <w:t>Company</w:t>
      </w:r>
      <w:r>
        <w:rPr>
          <w:rFonts w:ascii="Calibri" w:cs="Calibri" w:eastAsia="Calibri" w:hAnsi="Calibri"/>
          <w:sz w:val="19"/>
          <w:szCs w:val="19"/>
          <w:color w:val="auto"/>
        </w:rPr>
        <w:t>”), and [</w:t>
      </w:r>
      <w:r>
        <w:rPr>
          <w:rFonts w:ascii="Arial" w:cs="Arial" w:eastAsia="Arial" w:hAnsi="Arial"/>
          <w:sz w:val="19"/>
          <w:szCs w:val="19"/>
          <w:color w:val="auto"/>
        </w:rPr>
        <w:t>●</w:t>
      </w:r>
      <w:r>
        <w:rPr>
          <w:rFonts w:ascii="Calibri" w:cs="Calibri" w:eastAsia="Calibri" w:hAnsi="Calibri"/>
          <w:sz w:val="19"/>
          <w:szCs w:val="19"/>
          <w:color w:val="auto"/>
        </w:rPr>
        <w:t>] (“</w:t>
      </w:r>
      <w:r>
        <w:rPr>
          <w:rFonts w:ascii="Calibri" w:cs="Calibri" w:eastAsia="Calibri" w:hAnsi="Calibri"/>
          <w:sz w:val="19"/>
          <w:szCs w:val="19"/>
          <w:u w:val="single" w:color="auto"/>
          <w:color w:val="auto"/>
        </w:rPr>
        <w:t>Partcipant</w:t>
      </w:r>
      <w:r>
        <w:rPr>
          <w:rFonts w:ascii="Calibri" w:cs="Calibri" w:eastAsia="Calibri" w:hAnsi="Calibri"/>
          <w:sz w:val="19"/>
          <w:szCs w:val="19"/>
          <w:color w:val="auto"/>
        </w:rPr>
        <w:t>”).</w:t>
      </w:r>
    </w:p>
    <w:p>
      <w:pPr>
        <w:spacing w:after="0" w:line="143" w:lineRule="exact"/>
        <w:rPr>
          <w:sz w:val="20"/>
          <w:szCs w:val="20"/>
          <w:color w:val="auto"/>
        </w:rPr>
      </w:pPr>
    </w:p>
    <w:p>
      <w:pPr>
        <w:ind w:left="1240"/>
        <w:spacing w:after="0"/>
        <w:rPr>
          <w:sz w:val="20"/>
          <w:szCs w:val="20"/>
          <w:color w:val="auto"/>
        </w:rPr>
      </w:pPr>
      <w:r>
        <w:rPr>
          <w:rFonts w:ascii="Calibri" w:cs="Calibri" w:eastAsia="Calibri" w:hAnsi="Calibri"/>
          <w:sz w:val="19"/>
          <w:szCs w:val="19"/>
          <w:b w:val="1"/>
          <w:bCs w:val="1"/>
          <w:color w:val="auto"/>
        </w:rPr>
        <w:t>WHEREAS</w:t>
      </w:r>
      <w:r>
        <w:rPr>
          <w:rFonts w:ascii="Calibri" w:cs="Calibri" w:eastAsia="Calibri" w:hAnsi="Calibri"/>
          <w:sz w:val="19"/>
          <w:szCs w:val="19"/>
          <w:color w:val="auto"/>
        </w:rPr>
        <w:t>, the Company has adopted the NMI Holdings, Inc. Amended and Restated 2014 Omnibus Incentve Plan (the</w:t>
      </w:r>
    </w:p>
    <w:p>
      <w:pPr>
        <w:spacing w:after="0" w:line="200" w:lineRule="auto"/>
        <w:rPr>
          <w:sz w:val="20"/>
          <w:szCs w:val="20"/>
          <w:color w:val="auto"/>
        </w:rPr>
      </w:pPr>
      <w:r>
        <w:rPr>
          <w:rFonts w:ascii="Calibri" w:cs="Calibri" w:eastAsia="Calibri" w:hAnsi="Calibri"/>
          <w:sz w:val="19"/>
          <w:szCs w:val="19"/>
          <w:color w:val="auto"/>
        </w:rPr>
        <w:t>“</w:t>
      </w:r>
      <w:r>
        <w:rPr>
          <w:rFonts w:ascii="Calibri" w:cs="Calibri" w:eastAsia="Calibri" w:hAnsi="Calibri"/>
          <w:sz w:val="19"/>
          <w:szCs w:val="19"/>
          <w:u w:val="single" w:color="auto"/>
          <w:color w:val="auto"/>
        </w:rPr>
        <w:t>Plan</w:t>
      </w:r>
      <w:r>
        <w:rPr>
          <w:rFonts w:ascii="Calibri" w:cs="Calibri" w:eastAsia="Calibri" w:hAnsi="Calibri"/>
          <w:sz w:val="19"/>
          <w:szCs w:val="19"/>
          <w:color w:val="auto"/>
        </w:rPr>
        <w:t>”); and</w:t>
      </w:r>
    </w:p>
    <w:p>
      <w:pPr>
        <w:spacing w:after="0" w:line="176" w:lineRule="exact"/>
        <w:rPr>
          <w:sz w:val="20"/>
          <w:szCs w:val="20"/>
          <w:color w:val="auto"/>
        </w:rPr>
      </w:pPr>
    </w:p>
    <w:p>
      <w:pPr>
        <w:jc w:val="both"/>
        <w:ind w:right="100" w:firstLine="1242"/>
        <w:spacing w:after="0" w:line="207" w:lineRule="auto"/>
        <w:rPr>
          <w:sz w:val="20"/>
          <w:szCs w:val="20"/>
          <w:color w:val="auto"/>
        </w:rPr>
      </w:pPr>
      <w:r>
        <w:rPr>
          <w:rFonts w:ascii="Calibri" w:cs="Calibri" w:eastAsia="Calibri" w:hAnsi="Calibri"/>
          <w:sz w:val="19"/>
          <w:szCs w:val="19"/>
          <w:b w:val="1"/>
          <w:bCs w:val="1"/>
          <w:color w:val="auto"/>
        </w:rPr>
        <w:t>WHEREAS</w:t>
      </w:r>
      <w:r>
        <w:rPr>
          <w:rFonts w:ascii="Calibri" w:cs="Calibri" w:eastAsia="Calibri" w:hAnsi="Calibri"/>
          <w:sz w:val="19"/>
          <w:szCs w:val="19"/>
          <w:color w:val="auto"/>
        </w:rPr>
        <w:t>, the Commitee has determined that it would be in the best interests of the Company and its stockholders to grant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Partcipant restricted stock units with respect to a number of shares of the Company’s Common Stock (the “</w:t>
      </w:r>
      <w:r>
        <w:rPr>
          <w:rFonts w:ascii="Calibri" w:cs="Calibri" w:eastAsia="Calibri" w:hAnsi="Calibri"/>
          <w:sz w:val="19"/>
          <w:szCs w:val="19"/>
          <w:u w:val="single" w:color="auto"/>
          <w:color w:val="auto"/>
        </w:rPr>
        <w:t>Shares</w:t>
      </w:r>
      <w:r>
        <w:rPr>
          <w:rFonts w:ascii="Calibri" w:cs="Calibri" w:eastAsia="Calibri" w:hAnsi="Calibri"/>
          <w:sz w:val="19"/>
          <w:szCs w:val="19"/>
          <w:color w:val="auto"/>
        </w:rPr>
        <w:t>”) on the terms and subject to the conditons set forth in this Agreement and the Plan.</w:t>
      </w:r>
    </w:p>
    <w:p>
      <w:pPr>
        <w:spacing w:after="0" w:line="176" w:lineRule="exact"/>
        <w:rPr>
          <w:sz w:val="20"/>
          <w:szCs w:val="20"/>
          <w:color w:val="auto"/>
        </w:rPr>
      </w:pPr>
    </w:p>
    <w:p>
      <w:pPr>
        <w:ind w:right="100" w:firstLine="1242"/>
        <w:spacing w:after="0" w:line="207" w:lineRule="auto"/>
        <w:rPr>
          <w:sz w:val="20"/>
          <w:szCs w:val="20"/>
          <w:color w:val="auto"/>
        </w:rPr>
      </w:pPr>
      <w:r>
        <w:rPr>
          <w:rFonts w:ascii="Calibri" w:cs="Calibri" w:eastAsia="Calibri" w:hAnsi="Calibri"/>
          <w:sz w:val="19"/>
          <w:szCs w:val="19"/>
          <w:b w:val="1"/>
          <w:bCs w:val="1"/>
          <w:color w:val="auto"/>
        </w:rPr>
        <w:t>NOW THEREFORE</w:t>
      </w:r>
      <w:r>
        <w:rPr>
          <w:rFonts w:ascii="Calibri" w:cs="Calibri" w:eastAsia="Calibri" w:hAnsi="Calibri"/>
          <w:sz w:val="19"/>
          <w:szCs w:val="19"/>
          <w:color w:val="auto"/>
        </w:rPr>
        <w:t>, for and in consideraton of the premises and the covenants of the partes contained in this Agreement,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for other good and valuable consideraton, the receipt of which is hereby acknowledged, the partes hereto, for themselves, their successors and assigns, hereby agree as follows:</w:t>
      </w:r>
    </w:p>
    <w:p>
      <w:pPr>
        <w:spacing w:after="0" w:line="172" w:lineRule="exact"/>
        <w:rPr>
          <w:sz w:val="20"/>
          <w:szCs w:val="20"/>
          <w:color w:val="auto"/>
        </w:rPr>
      </w:pPr>
    </w:p>
    <w:p>
      <w:pPr>
        <w:ind w:left="1860" w:hanging="615"/>
        <w:spacing w:after="0"/>
        <w:tabs>
          <w:tab w:leader="none" w:pos="1860" w:val="left"/>
        </w:tabs>
        <w:numPr>
          <w:ilvl w:val="1"/>
          <w:numId w:val="131"/>
        </w:numPr>
        <w:rPr>
          <w:rFonts w:ascii="Calibri" w:cs="Calibri" w:eastAsia="Calibri" w:hAnsi="Calibri"/>
          <w:sz w:val="21"/>
          <w:szCs w:val="21"/>
          <w:color w:val="auto"/>
        </w:rPr>
      </w:pPr>
      <w:r>
        <w:rPr>
          <w:rFonts w:ascii="Calibri" w:cs="Calibri" w:eastAsia="Calibri" w:hAnsi="Calibri"/>
          <w:sz w:val="19"/>
          <w:szCs w:val="19"/>
          <w:u w:val="single" w:color="auto"/>
          <w:color w:val="auto"/>
        </w:rPr>
        <w:t>Grant of Restricted Stock Unit Award</w:t>
      </w:r>
      <w:r>
        <w:rPr>
          <w:rFonts w:ascii="Calibri" w:cs="Calibri" w:eastAsia="Calibri" w:hAnsi="Calibri"/>
          <w:sz w:val="19"/>
          <w:szCs w:val="19"/>
          <w:color w:val="auto"/>
        </w:rPr>
        <w:t>.</w:t>
      </w:r>
    </w:p>
    <w:p>
      <w:pPr>
        <w:spacing w:after="0" w:line="152" w:lineRule="exact"/>
        <w:rPr>
          <w:rFonts w:ascii="Calibri" w:cs="Calibri" w:eastAsia="Calibri" w:hAnsi="Calibri"/>
          <w:sz w:val="21"/>
          <w:szCs w:val="21"/>
          <w:color w:val="auto"/>
        </w:rPr>
      </w:pPr>
    </w:p>
    <w:p>
      <w:pPr>
        <w:ind w:right="20" w:firstLine="1866"/>
        <w:spacing w:after="0" w:line="222" w:lineRule="auto"/>
        <w:tabs>
          <w:tab w:leader="none" w:pos="2487" w:val="left"/>
        </w:tabs>
        <w:numPr>
          <w:ilvl w:val="2"/>
          <w:numId w:val="131"/>
        </w:numPr>
        <w:rPr>
          <w:rFonts w:ascii="Calibri" w:cs="Calibri" w:eastAsia="Calibri" w:hAnsi="Calibri"/>
          <w:sz w:val="19"/>
          <w:szCs w:val="19"/>
          <w:color w:val="auto"/>
        </w:rPr>
      </w:pPr>
      <w:r>
        <w:rPr>
          <w:rFonts w:ascii="Calibri" w:cs="Calibri" w:eastAsia="Calibri" w:hAnsi="Calibri"/>
          <w:sz w:val="19"/>
          <w:szCs w:val="19"/>
          <w:u w:val="single" w:color="auto"/>
          <w:color w:val="auto"/>
        </w:rPr>
        <w:t>Grant</w:t>
      </w:r>
      <w:r>
        <w:rPr>
          <w:rFonts w:ascii="Calibri" w:cs="Calibri" w:eastAsia="Calibri" w:hAnsi="Calibri"/>
          <w:sz w:val="19"/>
          <w:szCs w:val="19"/>
          <w:color w:val="auto"/>
        </w:rPr>
        <w:t>. The Company hereby grants to Partcipant an award of restricted stock units (“</w:t>
      </w:r>
      <w:r>
        <w:rPr>
          <w:rFonts w:ascii="Calibri" w:cs="Calibri" w:eastAsia="Calibri" w:hAnsi="Calibri"/>
          <w:sz w:val="19"/>
          <w:szCs w:val="19"/>
          <w:u w:val="single" w:color="auto"/>
          <w:color w:val="auto"/>
        </w:rPr>
        <w:t>RSUs</w:t>
      </w:r>
      <w:r>
        <w:rPr>
          <w:rFonts w:ascii="Calibri" w:cs="Calibri" w:eastAsia="Calibri" w:hAnsi="Calibri"/>
          <w:sz w:val="19"/>
          <w:szCs w:val="19"/>
          <w:color w:val="auto"/>
        </w:rPr>
        <w:t>”) with respect to [</w:t>
      </w:r>
      <w:r>
        <w:rPr>
          <w:rFonts w:ascii="Arial" w:cs="Arial" w:eastAsia="Arial" w:hAnsi="Arial"/>
          <w:sz w:val="19"/>
          <w:szCs w:val="19"/>
          <w:color w:val="auto"/>
        </w:rPr>
        <w:t>●</w:t>
      </w:r>
      <w:r>
        <w:rPr>
          <w:rFonts w:ascii="Calibri" w:cs="Calibri" w:eastAsia="Calibri" w:hAnsi="Calibri"/>
          <w:sz w:val="19"/>
          <w:szCs w:val="19"/>
          <w:color w:val="auto"/>
        </w:rPr>
        <w:t>] Shares (the “</w:t>
      </w:r>
      <w:r>
        <w:rPr>
          <w:rFonts w:ascii="Calibri" w:cs="Calibri" w:eastAsia="Calibri" w:hAnsi="Calibri"/>
          <w:sz w:val="19"/>
          <w:szCs w:val="19"/>
          <w:u w:val="single" w:color="auto"/>
          <w:color w:val="auto"/>
        </w:rPr>
        <w:t>Target RSUs</w:t>
      </w:r>
      <w:r>
        <w:rPr>
          <w:rFonts w:ascii="Calibri" w:cs="Calibri" w:eastAsia="Calibri" w:hAnsi="Calibri"/>
          <w:sz w:val="19"/>
          <w:szCs w:val="19"/>
          <w:color w:val="auto"/>
        </w:rPr>
        <w:t>”) on the terms and conditons set forth in this Agreement and as otherwise provided in the Plan.</w:t>
      </w:r>
    </w:p>
    <w:p>
      <w:pPr>
        <w:spacing w:after="0" w:line="175" w:lineRule="exact"/>
        <w:rPr>
          <w:rFonts w:ascii="Calibri" w:cs="Calibri" w:eastAsia="Calibri" w:hAnsi="Calibri"/>
          <w:sz w:val="19"/>
          <w:szCs w:val="19"/>
          <w:color w:val="auto"/>
        </w:rPr>
      </w:pPr>
    </w:p>
    <w:p>
      <w:pPr>
        <w:ind w:right="20" w:firstLine="1866"/>
        <w:spacing w:after="0" w:line="207" w:lineRule="auto"/>
        <w:tabs>
          <w:tab w:leader="none" w:pos="2483" w:val="left"/>
        </w:tabs>
        <w:numPr>
          <w:ilvl w:val="2"/>
          <w:numId w:val="131"/>
        </w:numPr>
        <w:rPr>
          <w:rFonts w:ascii="Calibri" w:cs="Calibri" w:eastAsia="Calibri" w:hAnsi="Calibri"/>
          <w:sz w:val="19"/>
          <w:szCs w:val="19"/>
          <w:color w:val="auto"/>
        </w:rPr>
      </w:pPr>
      <w:r>
        <w:rPr>
          <w:rFonts w:ascii="Calibri" w:cs="Calibri" w:eastAsia="Calibri" w:hAnsi="Calibri"/>
          <w:sz w:val="19"/>
          <w:szCs w:val="19"/>
          <w:u w:val="single" w:color="auto"/>
          <w:color w:val="auto"/>
        </w:rPr>
        <w:t>Incorporaton by Reference, Etc.</w:t>
      </w:r>
      <w:r>
        <w:rPr>
          <w:rFonts w:ascii="Calibri" w:cs="Calibri" w:eastAsia="Calibri" w:hAnsi="Calibri"/>
          <w:sz w:val="19"/>
          <w:szCs w:val="19"/>
          <w:color w:val="auto"/>
        </w:rPr>
        <w:t xml:space="preserve"> The provisions of the Plan are hereby incorporated herein by reference. Except as otherwise expressly set forth herein, this Agreement shall be construed in accordance with the provisions of the Plan and any capitalized terms not otherwise defned in this Agreement shall have the defnitons set forth in </w:t>
      </w:r>
      <w:r>
        <w:rPr>
          <w:rFonts w:ascii="Calibri" w:cs="Calibri" w:eastAsia="Calibri" w:hAnsi="Calibri"/>
          <w:sz w:val="19"/>
          <w:szCs w:val="19"/>
          <w:u w:val="single" w:color="auto"/>
          <w:color w:val="auto"/>
        </w:rPr>
        <w:t>Exhibit A</w:t>
      </w:r>
      <w:r>
        <w:rPr>
          <w:rFonts w:ascii="Calibri" w:cs="Calibri" w:eastAsia="Calibri" w:hAnsi="Calibri"/>
          <w:sz w:val="19"/>
          <w:szCs w:val="19"/>
          <w:color w:val="auto"/>
        </w:rPr>
        <w:t xml:space="preserve"> hereof or in the Plan.</w:t>
      </w:r>
    </w:p>
    <w:p>
      <w:pPr>
        <w:spacing w:after="0" w:line="171" w:lineRule="exact"/>
        <w:rPr>
          <w:rFonts w:ascii="Calibri" w:cs="Calibri" w:eastAsia="Calibri" w:hAnsi="Calibri"/>
          <w:sz w:val="19"/>
          <w:szCs w:val="19"/>
          <w:color w:val="auto"/>
        </w:rPr>
      </w:pPr>
    </w:p>
    <w:p>
      <w:pPr>
        <w:ind w:left="1860" w:hanging="615"/>
        <w:spacing w:after="0"/>
        <w:tabs>
          <w:tab w:leader="none" w:pos="1860" w:val="left"/>
        </w:tabs>
        <w:numPr>
          <w:ilvl w:val="1"/>
          <w:numId w:val="131"/>
        </w:numPr>
        <w:rPr>
          <w:rFonts w:ascii="Calibri" w:cs="Calibri" w:eastAsia="Calibri" w:hAnsi="Calibri"/>
          <w:sz w:val="21"/>
          <w:szCs w:val="21"/>
          <w:color w:val="auto"/>
        </w:rPr>
      </w:pPr>
      <w:r>
        <w:rPr>
          <w:rFonts w:ascii="Calibri" w:cs="Calibri" w:eastAsia="Calibri" w:hAnsi="Calibri"/>
          <w:sz w:val="19"/>
          <w:szCs w:val="19"/>
          <w:u w:val="single" w:color="auto"/>
          <w:color w:val="auto"/>
        </w:rPr>
        <w:t>Vestng</w:t>
      </w:r>
      <w:r>
        <w:rPr>
          <w:rFonts w:ascii="Calibri" w:cs="Calibri" w:eastAsia="Calibri" w:hAnsi="Calibri"/>
          <w:sz w:val="19"/>
          <w:szCs w:val="19"/>
          <w:color w:val="auto"/>
        </w:rPr>
        <w:t>.</w:t>
      </w:r>
    </w:p>
    <w:p>
      <w:pPr>
        <w:spacing w:after="0" w:line="161" w:lineRule="exact"/>
        <w:rPr>
          <w:rFonts w:ascii="Calibri" w:cs="Calibri" w:eastAsia="Calibri" w:hAnsi="Calibri"/>
          <w:sz w:val="21"/>
          <w:szCs w:val="21"/>
          <w:color w:val="auto"/>
        </w:rPr>
      </w:pPr>
    </w:p>
    <w:p>
      <w:pPr>
        <w:ind w:right="100" w:firstLine="1866"/>
        <w:spacing w:after="0" w:line="201" w:lineRule="auto"/>
        <w:tabs>
          <w:tab w:leader="none" w:pos="2487" w:val="left"/>
        </w:tabs>
        <w:numPr>
          <w:ilvl w:val="2"/>
          <w:numId w:val="131"/>
        </w:numPr>
        <w:rPr>
          <w:rFonts w:ascii="Calibri" w:cs="Calibri" w:eastAsia="Calibri" w:hAnsi="Calibri"/>
          <w:sz w:val="19"/>
          <w:szCs w:val="19"/>
          <w:color w:val="auto"/>
        </w:rPr>
      </w:pPr>
      <w:r>
        <w:rPr>
          <w:rFonts w:ascii="Calibri" w:cs="Calibri" w:eastAsia="Calibri" w:hAnsi="Calibri"/>
          <w:sz w:val="19"/>
          <w:szCs w:val="19"/>
          <w:color w:val="auto"/>
        </w:rPr>
        <w:t>Following the completon of the Performance Period, the Commitee (i) shall determine the Company’s BVPS Growth Percentage, (ii) will certfy the level of achievement with respect to the BVPS Vestng Percentage and (iii) will determine the porton of Target RSUs granted herein that have vested and become Earned Shares. Upon the Commitee’s determinaton, Partcipant shall immediately forfeit for no consideraton any and all Target RSUs which do not become Earned Shares (the “Unvested Target RSUs”), and Partcipant’s rights in any such Unvested Target RSUs shall immediately lapse and expire. The date of the Commitee’s determinaton of Earned Shares shall be made in writng no later than the 60th day following the completon of the Performance Period (the date of the Commitee’s determinaton, the “Determinaton Date”).</w:t>
      </w:r>
    </w:p>
    <w:p>
      <w:pPr>
        <w:spacing w:after="0" w:line="218" w:lineRule="exact"/>
        <w:rPr>
          <w:rFonts w:ascii="Calibri" w:cs="Calibri" w:eastAsia="Calibri" w:hAnsi="Calibri"/>
          <w:sz w:val="19"/>
          <w:szCs w:val="19"/>
          <w:color w:val="auto"/>
        </w:rPr>
      </w:pPr>
    </w:p>
    <w:p>
      <w:pPr>
        <w:ind w:right="120" w:firstLine="1866"/>
        <w:spacing w:after="0" w:line="207" w:lineRule="auto"/>
        <w:tabs>
          <w:tab w:leader="none" w:pos="2483" w:val="left"/>
        </w:tabs>
        <w:numPr>
          <w:ilvl w:val="2"/>
          <w:numId w:val="131"/>
        </w:numPr>
        <w:rPr>
          <w:rFonts w:ascii="Calibri" w:cs="Calibri" w:eastAsia="Calibri" w:hAnsi="Calibri"/>
          <w:sz w:val="19"/>
          <w:szCs w:val="19"/>
          <w:color w:val="auto"/>
        </w:rPr>
      </w:pPr>
      <w:r>
        <w:rPr>
          <w:rFonts w:ascii="Calibri" w:cs="Calibri" w:eastAsia="Calibri" w:hAnsi="Calibri"/>
          <w:sz w:val="19"/>
          <w:szCs w:val="19"/>
          <w:u w:val="single" w:color="auto"/>
          <w:color w:val="auto"/>
        </w:rPr>
        <w:t>Terminaton of Employment.</w:t>
      </w:r>
      <w:r>
        <w:rPr>
          <w:rFonts w:ascii="Calibri" w:cs="Calibri" w:eastAsia="Calibri" w:hAnsi="Calibri"/>
          <w:sz w:val="19"/>
          <w:szCs w:val="19"/>
          <w:color w:val="auto"/>
        </w:rPr>
        <w:t xml:space="preserve"> Except as provided in this Secton 2(b), if Partcipant incurs a Terminaton of Employment, all unvested RSUs shall be forfeited by Partcipant without consideraton therefor. If Partcipant incurs a Terminaton of Employment as a result of a terminaton by the Company or its Afliate without Cause on or afer the frst anniversary of the Grant Date, then</w:t>
      </w:r>
    </w:p>
    <w:p>
      <w:pPr>
        <w:spacing w:after="0" w:line="1" w:lineRule="exact"/>
        <w:rPr>
          <w:rFonts w:ascii="Calibri" w:cs="Calibri" w:eastAsia="Calibri" w:hAnsi="Calibri"/>
          <w:sz w:val="19"/>
          <w:szCs w:val="19"/>
          <w:color w:val="auto"/>
        </w:rPr>
      </w:pPr>
    </w:p>
    <w:p>
      <w:pPr>
        <w:ind w:firstLine="3"/>
        <w:spacing w:after="0" w:line="223" w:lineRule="auto"/>
        <w:tabs>
          <w:tab w:leader="none" w:pos="206" w:val="left"/>
        </w:tabs>
        <w:numPr>
          <w:ilvl w:val="0"/>
          <w:numId w:val="132"/>
        </w:numPr>
        <w:rPr>
          <w:rFonts w:ascii="Calibri" w:cs="Calibri" w:eastAsia="Calibri" w:hAnsi="Calibri"/>
          <w:sz w:val="19"/>
          <w:szCs w:val="19"/>
          <w:color w:val="auto"/>
        </w:rPr>
      </w:pPr>
      <w:r>
        <w:rPr>
          <w:rFonts w:ascii="Calibri" w:cs="Calibri" w:eastAsia="Calibri" w:hAnsi="Calibri"/>
          <w:sz w:val="19"/>
          <w:szCs w:val="19"/>
          <w:color w:val="auto"/>
        </w:rPr>
        <w:t>if such Terminaton of Employment occurs on or following the completon of the Performance Period, the then outstanding RSUs shall vest in accordance with paragraph (a) above, or (ii) if such Terminaton occurs prior to the expiraton of the Performance Period, (A) the RSUs shall remain outstanding through the last day of the Performance Period, without regard to the Terminaton of Employment, (B) the number of Target RSUs which become Earned Shares, if any, shall be determined based on the Commitee’s computaton and certfcaton of the BVPS Vestng Percentage as if no Terminaton of Employment had occurred, and (C) the number of Earned Shares that become vested shall be determined by multplying (x) the number of Earned Shares by (y) a fracton, the numerator of which is the number of days which elapsed from the commencement of the Performance Period through the date of the Terminaton of Employment and the denominator of which is 1,095 (the “Vested</w:t>
      </w:r>
    </w:p>
    <w:p>
      <w:pPr>
        <w:sectPr>
          <w:pgSz w:w="11900" w:h="16838" w:orient="portrait"/>
          <w:cols w:equalWidth="0" w:num="1">
            <w:col w:w="11240"/>
          </w:cols>
          <w:pgMar w:left="320" w:top="83" w:right="339" w:bottom="1440" w:gutter="0" w:footer="0" w:header="0"/>
        </w:sectPr>
      </w:pPr>
    </w:p>
    <w:bookmarkStart w:id="173" w:name="page174"/>
    <w:bookmarkEnd w:id="173"/>
    <w:p>
      <w:pPr>
        <w:jc w:val="right"/>
        <w:spacing w:after="0"/>
        <w:rPr>
          <w:sz w:val="20"/>
          <w:szCs w:val="20"/>
          <w:color w:val="auto"/>
        </w:rPr>
      </w:pPr>
      <w:r>
        <w:rPr>
          <w:rFonts w:ascii="Calibri" w:cs="Calibri" w:eastAsia="Calibri" w:hAnsi="Calibri"/>
          <w:sz w:val="19"/>
          <w:szCs w:val="19"/>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00"/>
        <w:spacing w:after="0" w:line="204" w:lineRule="auto"/>
        <w:rPr>
          <w:sz w:val="20"/>
          <w:szCs w:val="20"/>
          <w:color w:val="auto"/>
        </w:rPr>
      </w:pPr>
      <w:r>
        <w:rPr>
          <w:rFonts w:ascii="Calibri" w:cs="Calibri" w:eastAsia="Calibri" w:hAnsi="Calibri"/>
          <w:sz w:val="19"/>
          <w:szCs w:val="19"/>
          <w:color w:val="auto"/>
        </w:rPr>
        <w:t>Earned Shares”, with the diference between the Earned Shares and the Vested Earned Shares, the “Unvested Earned Shares”), and any then Unvested Target RSUs and Unvested Earned Shares as of such date shall immediately be forfeited for no consideraton, and Partcipant’s rights in any such Unvested Target RSUs or Unvested Earned Shares shall immediately lapse and expire. If Partcipant incurs a Terminaton of Employment due to the Partcipant’s death or Disability, unvested RSUs shall vest immediately and the number of RSUs which become Earned Shares will be equal to the number of Target RSUs.</w:t>
      </w:r>
    </w:p>
    <w:p>
      <w:pPr>
        <w:spacing w:after="0" w:line="178" w:lineRule="exact"/>
        <w:rPr>
          <w:sz w:val="20"/>
          <w:szCs w:val="20"/>
          <w:color w:val="auto"/>
        </w:rPr>
      </w:pPr>
    </w:p>
    <w:p>
      <w:pPr>
        <w:ind w:right="60" w:firstLine="1866"/>
        <w:spacing w:after="0" w:line="200" w:lineRule="auto"/>
        <w:tabs>
          <w:tab w:leader="none" w:pos="2476" w:val="left"/>
        </w:tabs>
        <w:numPr>
          <w:ilvl w:val="1"/>
          <w:numId w:val="133"/>
        </w:numPr>
        <w:rPr>
          <w:rFonts w:ascii="Calibri" w:cs="Calibri" w:eastAsia="Calibri" w:hAnsi="Calibri"/>
          <w:sz w:val="19"/>
          <w:szCs w:val="19"/>
          <w:color w:val="auto"/>
        </w:rPr>
      </w:pPr>
      <w:r>
        <w:rPr>
          <w:rFonts w:ascii="Calibri" w:cs="Calibri" w:eastAsia="Calibri" w:hAnsi="Calibri"/>
          <w:sz w:val="19"/>
          <w:szCs w:val="19"/>
          <w:u w:val="single" w:color="auto"/>
          <w:color w:val="auto"/>
        </w:rPr>
        <w:t>Change in Control</w:t>
      </w:r>
      <w:r>
        <w:rPr>
          <w:rFonts w:ascii="Calibri" w:cs="Calibri" w:eastAsia="Calibri" w:hAnsi="Calibri"/>
          <w:sz w:val="19"/>
          <w:szCs w:val="19"/>
          <w:color w:val="auto"/>
        </w:rPr>
        <w:t>. Notwithstanding any of the foregoing, if a Change in Control occurs (i) on or following the completon of the Performance Period, one hundred percent (100%) of the then-unvested Target RSUs shall vest and become Earned Shares in accordance with the provisions of paragraph (a) above, or (ii) prior to the expiraton of the Performance Period, then (A) the last day of the calendar quarter prior to date of the Change in Control shall be deemed to be the last day of the Performance Period for purposes of paragraph (a) above, (B) the Commitee shall determine that the number of Target RSUs which become Earned Shares shall be equal to the greater of (x) the number of Earned Shares that would result by determining the BVPS Vestng Percentage through such date and (y) the number of Target RSUs, and (C) all Earned Shares shall immediately vest and any other Unvested Target RSUs as of such date shall immediately be forfeited for no consideraton, and Partcipant’s rights in any such Unvested Target RSUs shall lapse and expire. All Earned Shares that become vested pursuant to this paragraph (c) shall be deemed to be vested immediately prior to the Change in Control, such that the Earned Shares will receive the same consideraton and treatment in the Change in Control as all other outstanding Shares held by the public.</w:t>
      </w:r>
    </w:p>
    <w:p>
      <w:pPr>
        <w:spacing w:after="0" w:line="188" w:lineRule="exact"/>
        <w:rPr>
          <w:rFonts w:ascii="Calibri" w:cs="Calibri" w:eastAsia="Calibri" w:hAnsi="Calibri"/>
          <w:sz w:val="19"/>
          <w:szCs w:val="19"/>
          <w:color w:val="auto"/>
        </w:rPr>
      </w:pPr>
    </w:p>
    <w:p>
      <w:pPr>
        <w:ind w:right="20" w:firstLine="1245"/>
        <w:spacing w:after="0"/>
        <w:tabs>
          <w:tab w:leader="none" w:pos="1852" w:val="left"/>
        </w:tabs>
        <w:numPr>
          <w:ilvl w:val="0"/>
          <w:numId w:val="134"/>
        </w:numPr>
        <w:rPr>
          <w:rFonts w:ascii="Calibri" w:cs="Calibri" w:eastAsia="Calibri" w:hAnsi="Calibri"/>
          <w:sz w:val="21"/>
          <w:szCs w:val="21"/>
          <w:color w:val="auto"/>
        </w:rPr>
      </w:pPr>
      <w:r>
        <w:rPr>
          <w:rFonts w:ascii="Calibri" w:cs="Calibri" w:eastAsia="Calibri" w:hAnsi="Calibri"/>
          <w:sz w:val="19"/>
          <w:szCs w:val="19"/>
          <w:u w:val="single" w:color="auto"/>
          <w:color w:val="auto"/>
        </w:rPr>
        <w:t>Setlement</w:t>
      </w:r>
      <w:r>
        <w:rPr>
          <w:rFonts w:ascii="Calibri" w:cs="Calibri" w:eastAsia="Calibri" w:hAnsi="Calibri"/>
          <w:sz w:val="19"/>
          <w:szCs w:val="19"/>
          <w:color w:val="auto"/>
        </w:rPr>
        <w:t>. As soon as practcable afer the date that the Commitee determines the number of Earned Shares to which Partcipant becomes enttled under Secton 2 above (and in any event, no later than 15 business days immediately following such date), the Earned Shares shall be delivered to Partcipant. Subject to Secton 4 (pertaining to the withholding of taxes) and Secton 3(d) of the Plan (as applicable), for each RSU setled pursuant to this Secton 3, the Company shall issue to Partcipant the number of Shares that are issuable pursuant to Secton 2.</w:t>
      </w:r>
    </w:p>
    <w:p>
      <w:pPr>
        <w:spacing w:after="0" w:line="263" w:lineRule="exact"/>
        <w:rPr>
          <w:rFonts w:ascii="Calibri" w:cs="Calibri" w:eastAsia="Calibri" w:hAnsi="Calibri"/>
          <w:sz w:val="21"/>
          <w:szCs w:val="21"/>
          <w:color w:val="auto"/>
        </w:rPr>
      </w:pPr>
    </w:p>
    <w:p>
      <w:pPr>
        <w:ind w:right="60" w:firstLine="1245"/>
        <w:spacing w:after="0" w:line="197" w:lineRule="auto"/>
        <w:tabs>
          <w:tab w:leader="none" w:pos="1852" w:val="left"/>
        </w:tabs>
        <w:numPr>
          <w:ilvl w:val="0"/>
          <w:numId w:val="134"/>
        </w:numPr>
        <w:rPr>
          <w:rFonts w:ascii="Calibri" w:cs="Calibri" w:eastAsia="Calibri" w:hAnsi="Calibri"/>
          <w:sz w:val="21"/>
          <w:szCs w:val="21"/>
          <w:color w:val="auto"/>
        </w:rPr>
      </w:pPr>
      <w:r>
        <w:rPr>
          <w:rFonts w:ascii="Calibri" w:cs="Calibri" w:eastAsia="Calibri" w:hAnsi="Calibri"/>
          <w:sz w:val="19"/>
          <w:szCs w:val="19"/>
          <w:u w:val="single" w:color="auto"/>
          <w:color w:val="auto"/>
        </w:rPr>
        <w:t>Tax Withholding</w:t>
      </w:r>
      <w:r>
        <w:rPr>
          <w:rFonts w:ascii="Calibri" w:cs="Calibri" w:eastAsia="Calibri" w:hAnsi="Calibri"/>
          <w:sz w:val="19"/>
          <w:szCs w:val="19"/>
          <w:color w:val="auto"/>
        </w:rPr>
        <w:t>. As a conditon to delivery of the Shares in respect of vested RSUs, Secton 15(d) of the Plan requires Partcipant to make provisions satsfactory to the Company for payment of, any federal, state or local taxes and other statutory obligatons (including, but not limited to, Partcipant’s FICA and SDI obligatons) in respect of the transfer of Shares in setlement of the RSUs. The Company shall have the power and the right to (i) deduct or withhold from all amounts payable or Shares issuable to Partcipant pursuant to the RSUs or otherwise, or (ii) require Partcipant to remit to the Company, an amount sufcient to satsfy any applicable taxes of any kind or other statutory obligatons (including, but not limited to, Partcipant’s FICA and SDI obligatons) which the Company, in its sole discreton, deems necessary to be withheld or remited to comply with the Code and/or any other applicable law, rule or regulaton with respect to the RSUs and, if Partcipant fails to do so, the Company may otherwise refuse to issue or transfer any Shares otherwise required to be issued pursuant to this Agreement. The Company may permit or require any such statutorily required minimum withholding obligaton with regard to Partcipant to be satsfed by reducing the number of Shares otherwise deliverable to Partcipant hereunder, subject in all instances to the exempton requirements of Secton 16(b).</w:t>
      </w:r>
    </w:p>
    <w:p>
      <w:pPr>
        <w:spacing w:after="0" w:line="201" w:lineRule="exact"/>
        <w:rPr>
          <w:rFonts w:ascii="Calibri" w:cs="Calibri" w:eastAsia="Calibri" w:hAnsi="Calibri"/>
          <w:sz w:val="21"/>
          <w:szCs w:val="21"/>
          <w:color w:val="auto"/>
        </w:rPr>
      </w:pPr>
    </w:p>
    <w:p>
      <w:pPr>
        <w:jc w:val="both"/>
        <w:ind w:right="40" w:firstLine="1245"/>
        <w:spacing w:after="0" w:line="200" w:lineRule="auto"/>
        <w:tabs>
          <w:tab w:leader="none" w:pos="1852" w:val="left"/>
        </w:tabs>
        <w:numPr>
          <w:ilvl w:val="0"/>
          <w:numId w:val="134"/>
        </w:numPr>
        <w:rPr>
          <w:rFonts w:ascii="Calibri" w:cs="Calibri" w:eastAsia="Calibri" w:hAnsi="Calibri"/>
          <w:sz w:val="21"/>
          <w:szCs w:val="21"/>
          <w:color w:val="auto"/>
        </w:rPr>
      </w:pPr>
      <w:r>
        <w:rPr>
          <w:rFonts w:ascii="Calibri" w:cs="Calibri" w:eastAsia="Calibri" w:hAnsi="Calibri"/>
          <w:sz w:val="19"/>
          <w:szCs w:val="19"/>
          <w:u w:val="single" w:color="auto"/>
          <w:color w:val="auto"/>
        </w:rPr>
        <w:t>No Rights as Stockholder</w:t>
      </w:r>
      <w:r>
        <w:rPr>
          <w:rFonts w:ascii="Calibri" w:cs="Calibri" w:eastAsia="Calibri" w:hAnsi="Calibri"/>
          <w:sz w:val="19"/>
          <w:szCs w:val="19"/>
          <w:color w:val="auto"/>
        </w:rPr>
        <w:t>. Subject to 2(c), untl such tme as the RSUs have been setled and the underlying Shares have been delivered to Partcipant and Partcipant has become the holder of record of such Shares, Partcipant shall have no rights as a stockholder, including, without limitaton, the right to dividends and the right to vote.</w:t>
      </w:r>
    </w:p>
    <w:p>
      <w:pPr>
        <w:spacing w:after="0" w:line="1" w:lineRule="exact"/>
        <w:rPr>
          <w:rFonts w:ascii="Calibri" w:cs="Calibri" w:eastAsia="Calibri" w:hAnsi="Calibri"/>
          <w:sz w:val="21"/>
          <w:szCs w:val="21"/>
          <w:color w:val="auto"/>
        </w:rPr>
      </w:pPr>
    </w:p>
    <w:p>
      <w:pPr>
        <w:ind w:firstLine="1245"/>
        <w:spacing w:after="0" w:line="196" w:lineRule="auto"/>
        <w:tabs>
          <w:tab w:leader="none" w:pos="1852" w:val="left"/>
        </w:tabs>
        <w:numPr>
          <w:ilvl w:val="0"/>
          <w:numId w:val="134"/>
        </w:numPr>
        <w:rPr>
          <w:rFonts w:ascii="Calibri" w:cs="Calibri" w:eastAsia="Calibri" w:hAnsi="Calibri"/>
          <w:sz w:val="21"/>
          <w:szCs w:val="21"/>
          <w:color w:val="auto"/>
        </w:rPr>
      </w:pPr>
      <w:r>
        <w:rPr>
          <w:rFonts w:ascii="Calibri" w:cs="Calibri" w:eastAsia="Calibri" w:hAnsi="Calibri"/>
          <w:sz w:val="19"/>
          <w:szCs w:val="19"/>
          <w:u w:val="single" w:color="auto"/>
          <w:color w:val="auto"/>
        </w:rPr>
        <w:t>Transferability</w:t>
      </w:r>
      <w:r>
        <w:rPr>
          <w:rFonts w:ascii="Calibri" w:cs="Calibri" w:eastAsia="Calibri" w:hAnsi="Calibri"/>
          <w:sz w:val="19"/>
          <w:szCs w:val="19"/>
          <w:color w:val="auto"/>
        </w:rPr>
        <w:t xml:space="preserve">. The RSUs may not, at any tme prior to becoming vested, be assigned, alienated, pledged, atached, sold or otherwise transferred or encumbered by Partcipant other than by will or by the laws of descent and distributon and any such purported assignment, alienaton, pledge, atachment, sale, transfer or encumbrance shall be void and unenforceable against the Company, its Subsidiary or Afliate;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that the designaton of a benefciary shall not consttute an assignment, alienaton, pledge, atachment, sale, transfer or encumbrance.</w:t>
      </w:r>
    </w:p>
    <w:p>
      <w:pPr>
        <w:sectPr>
          <w:pgSz w:w="11900" w:h="16838" w:orient="portrait"/>
          <w:cols w:equalWidth="0" w:num="1">
            <w:col w:w="11240"/>
          </w:cols>
          <w:pgMar w:left="320" w:top="83" w:right="339" w:bottom="1440" w:gutter="0" w:footer="0" w:header="0"/>
        </w:sectPr>
      </w:pPr>
    </w:p>
    <w:bookmarkStart w:id="174" w:name="page175"/>
    <w:bookmarkEnd w:id="174"/>
    <w:p>
      <w:pPr>
        <w:jc w:val="right"/>
        <w:spacing w:after="0"/>
        <w:rPr>
          <w:sz w:val="20"/>
          <w:szCs w:val="20"/>
          <w:color w:val="auto"/>
        </w:rPr>
      </w:pPr>
      <w:r>
        <w:rPr>
          <w:rFonts w:ascii="Calibri" w:cs="Calibri" w:eastAsia="Calibri" w:hAnsi="Calibri"/>
          <w:sz w:val="19"/>
          <w:szCs w:val="19"/>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540" w:firstLine="1245"/>
        <w:spacing w:after="0" w:line="206" w:lineRule="auto"/>
        <w:tabs>
          <w:tab w:leader="none" w:pos="1852" w:val="left"/>
        </w:tabs>
        <w:numPr>
          <w:ilvl w:val="0"/>
          <w:numId w:val="135"/>
        </w:numPr>
        <w:rPr>
          <w:rFonts w:ascii="Calibri" w:cs="Calibri" w:eastAsia="Calibri" w:hAnsi="Calibri"/>
          <w:sz w:val="21"/>
          <w:szCs w:val="21"/>
          <w:color w:val="auto"/>
        </w:rPr>
      </w:pPr>
      <w:r>
        <w:rPr>
          <w:rFonts w:ascii="Calibri" w:cs="Calibri" w:eastAsia="Calibri" w:hAnsi="Calibri"/>
          <w:sz w:val="19"/>
          <w:szCs w:val="19"/>
          <w:u w:val="single" w:color="auto"/>
          <w:color w:val="auto"/>
        </w:rPr>
        <w:t>Adjustment</w:t>
      </w:r>
      <w:r>
        <w:rPr>
          <w:rFonts w:ascii="Calibri" w:cs="Calibri" w:eastAsia="Calibri" w:hAnsi="Calibri"/>
          <w:sz w:val="19"/>
          <w:szCs w:val="19"/>
          <w:color w:val="auto"/>
        </w:rPr>
        <w:t>. Upon any event described in Secton 3(d) of the Plan occurring afer the Grant Date, the adjustment provisions as provided for under Secton 3(d) of the Plan shall apply to the RSUs, to the extent applicable thereunder.</w:t>
      </w:r>
    </w:p>
    <w:p>
      <w:pPr>
        <w:spacing w:after="0" w:line="171" w:lineRule="exact"/>
        <w:rPr>
          <w:rFonts w:ascii="Calibri" w:cs="Calibri" w:eastAsia="Calibri" w:hAnsi="Calibri"/>
          <w:sz w:val="21"/>
          <w:szCs w:val="21"/>
          <w:color w:val="auto"/>
        </w:rPr>
      </w:pPr>
    </w:p>
    <w:p>
      <w:pPr>
        <w:ind w:left="1860" w:hanging="615"/>
        <w:spacing w:after="0"/>
        <w:tabs>
          <w:tab w:leader="none" w:pos="1860" w:val="left"/>
        </w:tabs>
        <w:numPr>
          <w:ilvl w:val="0"/>
          <w:numId w:val="135"/>
        </w:numPr>
        <w:rPr>
          <w:rFonts w:ascii="Calibri" w:cs="Calibri" w:eastAsia="Calibri" w:hAnsi="Calibri"/>
          <w:sz w:val="21"/>
          <w:szCs w:val="21"/>
          <w:color w:val="auto"/>
        </w:rPr>
      </w:pPr>
      <w:r>
        <w:rPr>
          <w:rFonts w:ascii="Calibri" w:cs="Calibri" w:eastAsia="Calibri" w:hAnsi="Calibri"/>
          <w:sz w:val="19"/>
          <w:szCs w:val="19"/>
          <w:u w:val="single" w:color="auto"/>
          <w:color w:val="auto"/>
        </w:rPr>
        <w:t>Miscellaneous</w:t>
      </w:r>
      <w:r>
        <w:rPr>
          <w:rFonts w:ascii="Calibri" w:cs="Calibri" w:eastAsia="Calibri" w:hAnsi="Calibri"/>
          <w:sz w:val="19"/>
          <w:szCs w:val="19"/>
          <w:color w:val="auto"/>
        </w:rPr>
        <w:t>.</w:t>
      </w:r>
    </w:p>
    <w:p>
      <w:pPr>
        <w:spacing w:after="0" w:line="156" w:lineRule="exact"/>
        <w:rPr>
          <w:sz w:val="20"/>
          <w:szCs w:val="20"/>
          <w:color w:val="auto"/>
        </w:rPr>
      </w:pPr>
    </w:p>
    <w:p>
      <w:pPr>
        <w:ind w:left="2500" w:hanging="634"/>
        <w:spacing w:after="0"/>
        <w:tabs>
          <w:tab w:leader="none" w:pos="2500" w:val="left"/>
        </w:tabs>
        <w:numPr>
          <w:ilvl w:val="0"/>
          <w:numId w:val="136"/>
        </w:numPr>
        <w:rPr>
          <w:rFonts w:ascii="Calibri" w:cs="Calibri" w:eastAsia="Calibri" w:hAnsi="Calibri"/>
          <w:sz w:val="19"/>
          <w:szCs w:val="19"/>
          <w:color w:val="auto"/>
        </w:rPr>
      </w:pPr>
      <w:r>
        <w:rPr>
          <w:rFonts w:ascii="Calibri" w:cs="Calibri" w:eastAsia="Calibri" w:hAnsi="Calibri"/>
          <w:sz w:val="19"/>
          <w:szCs w:val="19"/>
          <w:u w:val="single" w:color="auto"/>
          <w:color w:val="auto"/>
        </w:rPr>
        <w:t>Confdentality of this Agreement</w:t>
      </w:r>
      <w:r>
        <w:rPr>
          <w:rFonts w:ascii="Calibri" w:cs="Calibri" w:eastAsia="Calibri" w:hAnsi="Calibri"/>
          <w:sz w:val="19"/>
          <w:szCs w:val="19"/>
          <w:color w:val="auto"/>
        </w:rPr>
        <w:t>. Partcipant agrees to keep</w:t>
      </w:r>
    </w:p>
    <w:p>
      <w:pPr>
        <w:spacing w:after="0"/>
        <w:rPr>
          <w:sz w:val="20"/>
          <w:szCs w:val="20"/>
          <w:color w:val="auto"/>
        </w:rPr>
      </w:pPr>
      <w:r>
        <w:rPr>
          <w:rFonts w:ascii="Calibri" w:cs="Calibri" w:eastAsia="Calibri" w:hAnsi="Calibri"/>
          <w:sz w:val="19"/>
          <w:szCs w:val="19"/>
          <w:color w:val="auto"/>
        </w:rPr>
        <w:t>confdental the terms of this Agreement, unless and untl such terms have been disclosed publicly other than through a breach by Partcipant of this covenant. This provision does not prohibit Partcipant from providing this informaton on a confdental and privileged basis to Partcipant’s spouse or domestc partner, atorneys or accountants for purposes of obtaining legal or tax advice or as otherwise required by law to be disclosed.</w:t>
      </w:r>
    </w:p>
    <w:p>
      <w:pPr>
        <w:spacing w:after="0" w:line="242" w:lineRule="exact"/>
        <w:rPr>
          <w:sz w:val="20"/>
          <w:szCs w:val="20"/>
          <w:color w:val="auto"/>
        </w:rPr>
      </w:pPr>
    </w:p>
    <w:p>
      <w:pPr>
        <w:ind w:right="20" w:firstLine="1866"/>
        <w:spacing w:after="0" w:line="201" w:lineRule="auto"/>
        <w:tabs>
          <w:tab w:leader="none" w:pos="2483" w:val="left"/>
        </w:tabs>
        <w:numPr>
          <w:ilvl w:val="0"/>
          <w:numId w:val="137"/>
        </w:numPr>
        <w:rPr>
          <w:rFonts w:ascii="Calibri" w:cs="Calibri" w:eastAsia="Calibri" w:hAnsi="Calibri"/>
          <w:sz w:val="19"/>
          <w:szCs w:val="19"/>
          <w:color w:val="auto"/>
        </w:rPr>
      </w:pPr>
      <w:r>
        <w:rPr>
          <w:rFonts w:ascii="Calibri" w:cs="Calibri" w:eastAsia="Calibri" w:hAnsi="Calibri"/>
          <w:sz w:val="19"/>
          <w:szCs w:val="19"/>
          <w:u w:val="single" w:color="auto"/>
          <w:color w:val="auto"/>
        </w:rPr>
        <w:t>Waiver and Amendment</w:t>
      </w:r>
      <w:r>
        <w:rPr>
          <w:rFonts w:ascii="Calibri" w:cs="Calibri" w:eastAsia="Calibri" w:hAnsi="Calibri"/>
          <w:sz w:val="19"/>
          <w:szCs w:val="19"/>
          <w:color w:val="auto"/>
        </w:rPr>
        <w:t xml:space="preserve">. The Commitee may waive any conditons or rights under, or amend any terms of, this Agreement and the RSUs granted thereunder;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that any such waiver or amendment that would materially impair the rights of any Partcipant or any holder or benefciary of any RSUs or Earned Shares granted hereunder shall not to that extent be efectve without the consent of Partcipant.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consttute a waiver of any other breach or a waiver of the contnuaton of the same breach.</w:t>
      </w:r>
    </w:p>
    <w:p>
      <w:pPr>
        <w:spacing w:after="0" w:line="179" w:lineRule="exact"/>
        <w:rPr>
          <w:rFonts w:ascii="Calibri" w:cs="Calibri" w:eastAsia="Calibri" w:hAnsi="Calibri"/>
          <w:sz w:val="19"/>
          <w:szCs w:val="19"/>
          <w:color w:val="auto"/>
        </w:rPr>
      </w:pPr>
    </w:p>
    <w:p>
      <w:pPr>
        <w:ind w:right="100" w:firstLine="1866"/>
        <w:spacing w:after="0" w:line="205" w:lineRule="auto"/>
        <w:tabs>
          <w:tab w:leader="none" w:pos="2476" w:val="left"/>
        </w:tabs>
        <w:numPr>
          <w:ilvl w:val="0"/>
          <w:numId w:val="137"/>
        </w:numPr>
        <w:rPr>
          <w:rFonts w:ascii="Calibri" w:cs="Calibri" w:eastAsia="Calibri" w:hAnsi="Calibri"/>
          <w:sz w:val="19"/>
          <w:szCs w:val="19"/>
          <w:color w:val="auto"/>
        </w:rPr>
      </w:pPr>
      <w:r>
        <w:rPr>
          <w:rFonts w:ascii="Calibri" w:cs="Calibri" w:eastAsia="Calibri" w:hAnsi="Calibri"/>
          <w:sz w:val="19"/>
          <w:szCs w:val="19"/>
          <w:u w:val="single" w:color="auto"/>
          <w:color w:val="auto"/>
        </w:rPr>
        <w:t>Unsecured Obligaton</w:t>
      </w:r>
      <w:r>
        <w:rPr>
          <w:rFonts w:ascii="Calibri" w:cs="Calibri" w:eastAsia="Calibri" w:hAnsi="Calibri"/>
          <w:sz w:val="19"/>
          <w:szCs w:val="19"/>
          <w:color w:val="auto"/>
        </w:rPr>
        <w:t>. This Award is unfunded, and even as to any RSUs which vest, Partcipant shall be considered an unsecured creditor of the Company with respect to the Company’s obligatons, if any, to issue Shares pursuant to this Agreement. Nothing contained in this Agreement, and no acton taken pursuant to its provisions, shall create or be construed to create a trust of any kind or a fduciary relatonship between Partcipant and the Company or any other person.</w:t>
      </w:r>
    </w:p>
    <w:p>
      <w:pPr>
        <w:spacing w:after="0" w:line="164" w:lineRule="exact"/>
        <w:rPr>
          <w:rFonts w:ascii="Calibri" w:cs="Calibri" w:eastAsia="Calibri" w:hAnsi="Calibri"/>
          <w:sz w:val="19"/>
          <w:szCs w:val="19"/>
          <w:color w:val="auto"/>
        </w:rPr>
      </w:pPr>
    </w:p>
    <w:p>
      <w:pPr>
        <w:ind w:right="20" w:firstLine="1866"/>
        <w:spacing w:after="0" w:line="217" w:lineRule="auto"/>
        <w:tabs>
          <w:tab w:leader="none" w:pos="2483" w:val="left"/>
        </w:tabs>
        <w:numPr>
          <w:ilvl w:val="0"/>
          <w:numId w:val="137"/>
        </w:numPr>
        <w:rPr>
          <w:rFonts w:ascii="Calibri" w:cs="Calibri" w:eastAsia="Calibri" w:hAnsi="Calibri"/>
          <w:sz w:val="19"/>
          <w:szCs w:val="19"/>
          <w:color w:val="auto"/>
        </w:rPr>
      </w:pPr>
      <w:r>
        <w:rPr>
          <w:rFonts w:ascii="Calibri" w:cs="Calibri" w:eastAsia="Calibri" w:hAnsi="Calibri"/>
          <w:sz w:val="19"/>
          <w:szCs w:val="19"/>
          <w:u w:val="single" w:color="auto"/>
          <w:color w:val="auto"/>
        </w:rPr>
        <w:t>Notces</w:t>
      </w:r>
      <w:r>
        <w:rPr>
          <w:rFonts w:ascii="Calibri" w:cs="Calibri" w:eastAsia="Calibri" w:hAnsi="Calibri"/>
          <w:sz w:val="19"/>
          <w:szCs w:val="19"/>
          <w:color w:val="auto"/>
        </w:rPr>
        <w:t>. All notces, demands and other communicatons provided for or permited hereunder shall be made in writng and shall be by registered or certfed frst-class mail, return receipt requested, facsimile, courier service or personal delivery:</w:t>
      </w:r>
    </w:p>
    <w:p>
      <w:pPr>
        <w:spacing w:after="0" w:line="170"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if to the Company:</w:t>
      </w:r>
    </w:p>
    <w:p>
      <w:pPr>
        <w:spacing w:after="0" w:line="147"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NMI Holdings, Inc.</w:t>
      </w:r>
    </w:p>
    <w:p>
      <w:pPr>
        <w:ind w:left="1860"/>
        <w:spacing w:after="0" w:line="183" w:lineRule="auto"/>
        <w:rPr>
          <w:sz w:val="20"/>
          <w:szCs w:val="20"/>
          <w:color w:val="auto"/>
        </w:rPr>
      </w:pPr>
      <w:r>
        <w:rPr>
          <w:rFonts w:ascii="Calibri" w:cs="Calibri" w:eastAsia="Calibri" w:hAnsi="Calibri"/>
          <w:sz w:val="17"/>
          <w:szCs w:val="17"/>
          <w:color w:val="auto"/>
        </w:rPr>
        <w:t>2100 Powell Street, 12</w:t>
      </w:r>
      <w:r>
        <w:rPr>
          <w:rFonts w:ascii="Calibri" w:cs="Calibri" w:eastAsia="Calibri" w:hAnsi="Calibri"/>
          <w:sz w:val="21"/>
          <w:szCs w:val="21"/>
          <w:color w:val="auto"/>
          <w:vertAlign w:val="superscript"/>
        </w:rPr>
        <w:t>th</w:t>
      </w:r>
      <w:r>
        <w:rPr>
          <w:rFonts w:ascii="Calibri" w:cs="Calibri" w:eastAsia="Calibri" w:hAnsi="Calibri"/>
          <w:sz w:val="17"/>
          <w:szCs w:val="17"/>
          <w:color w:val="auto"/>
        </w:rPr>
        <w:t xml:space="preserve"> Floor</w:t>
      </w:r>
    </w:p>
    <w:p>
      <w:pPr>
        <w:ind w:left="1860"/>
        <w:spacing w:after="0" w:line="195" w:lineRule="auto"/>
        <w:rPr>
          <w:sz w:val="20"/>
          <w:szCs w:val="20"/>
          <w:color w:val="auto"/>
        </w:rPr>
      </w:pPr>
      <w:r>
        <w:rPr>
          <w:rFonts w:ascii="Calibri" w:cs="Calibri" w:eastAsia="Calibri" w:hAnsi="Calibri"/>
          <w:sz w:val="19"/>
          <w:szCs w:val="19"/>
          <w:color w:val="auto"/>
        </w:rPr>
        <w:t>Emeryville, CA 94608</w:t>
      </w:r>
    </w:p>
    <w:p>
      <w:pPr>
        <w:ind w:left="1860"/>
        <w:spacing w:after="0" w:line="201" w:lineRule="auto"/>
        <w:rPr>
          <w:sz w:val="20"/>
          <w:szCs w:val="20"/>
          <w:color w:val="auto"/>
        </w:rPr>
      </w:pPr>
      <w:r>
        <w:rPr>
          <w:rFonts w:ascii="Calibri" w:cs="Calibri" w:eastAsia="Calibri" w:hAnsi="Calibri"/>
          <w:sz w:val="19"/>
          <w:szCs w:val="19"/>
          <w:color w:val="auto"/>
        </w:rPr>
        <w:t>Atenton: General Counsel</w:t>
      </w:r>
    </w:p>
    <w:p>
      <w:pPr>
        <w:spacing w:after="0" w:line="195"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if to Partcipant: at the address last on the records of the Company.</w:t>
      </w:r>
    </w:p>
    <w:p>
      <w:pPr>
        <w:spacing w:after="0" w:line="162" w:lineRule="exact"/>
        <w:rPr>
          <w:sz w:val="20"/>
          <w:szCs w:val="20"/>
          <w:color w:val="auto"/>
        </w:rPr>
      </w:pPr>
    </w:p>
    <w:p>
      <w:pPr>
        <w:ind w:right="180"/>
        <w:spacing w:after="0" w:line="211" w:lineRule="auto"/>
        <w:rPr>
          <w:sz w:val="20"/>
          <w:szCs w:val="20"/>
          <w:color w:val="auto"/>
        </w:rPr>
      </w:pPr>
      <w:r>
        <w:rPr>
          <w:rFonts w:ascii="Calibri" w:cs="Calibri" w:eastAsia="Calibri" w:hAnsi="Calibri"/>
          <w:sz w:val="19"/>
          <w:szCs w:val="19"/>
          <w:color w:val="auto"/>
        </w:rPr>
        <w:t>All such notces, demands and other communicatons shall be deemed to have been duly given when delivered by hand, if personally delivered; when delivered by courier, if delivered by commercial courier service; fve business days afer being deposited in the mail, postage prepaid, if mailed; and when receipt is mechanically acknowledged, if by facsimile or e-mail.</w:t>
      </w:r>
    </w:p>
    <w:p>
      <w:pPr>
        <w:spacing w:after="0" w:line="164" w:lineRule="exact"/>
        <w:rPr>
          <w:sz w:val="20"/>
          <w:szCs w:val="20"/>
          <w:color w:val="auto"/>
        </w:rPr>
      </w:pPr>
    </w:p>
    <w:p>
      <w:pPr>
        <w:jc w:val="both"/>
        <w:ind w:right="80" w:firstLine="1866"/>
        <w:spacing w:after="0" w:line="211" w:lineRule="auto"/>
        <w:tabs>
          <w:tab w:leader="none" w:pos="2478" w:val="left"/>
        </w:tabs>
        <w:numPr>
          <w:ilvl w:val="0"/>
          <w:numId w:val="138"/>
        </w:numPr>
        <w:rPr>
          <w:rFonts w:ascii="Calibri" w:cs="Calibri" w:eastAsia="Calibri" w:hAnsi="Calibri"/>
          <w:sz w:val="19"/>
          <w:szCs w:val="19"/>
          <w:color w:val="auto"/>
        </w:rPr>
      </w:pPr>
      <w:r>
        <w:rPr>
          <w:rFonts w:ascii="Calibri" w:cs="Calibri" w:eastAsia="Calibri" w:hAnsi="Calibri"/>
          <w:sz w:val="19"/>
          <w:szCs w:val="19"/>
          <w:u w:val="single" w:color="auto"/>
          <w:color w:val="auto"/>
        </w:rPr>
        <w:t>Severability</w:t>
      </w:r>
      <w:r>
        <w:rPr>
          <w:rFonts w:ascii="Calibri" w:cs="Calibri" w:eastAsia="Calibri" w:hAnsi="Calibri"/>
          <w:sz w:val="19"/>
          <w:szCs w:val="19"/>
          <w:color w:val="auto"/>
        </w:rPr>
        <w:t>. The invalidity or unenforceability of any provision of this Agreement shall not afect the validity or enforceability of any other provision of this Agreement, and each other provision of this Agreement shall be severable and enforceable to the extent permited by law.</w:t>
      </w:r>
    </w:p>
    <w:p>
      <w:pPr>
        <w:spacing w:after="0" w:line="164" w:lineRule="exact"/>
        <w:rPr>
          <w:rFonts w:ascii="Calibri" w:cs="Calibri" w:eastAsia="Calibri" w:hAnsi="Calibri"/>
          <w:sz w:val="19"/>
          <w:szCs w:val="19"/>
          <w:color w:val="auto"/>
        </w:rPr>
      </w:pPr>
    </w:p>
    <w:p>
      <w:pPr>
        <w:ind w:right="80" w:firstLine="1866"/>
        <w:spacing w:after="0" w:line="205" w:lineRule="auto"/>
        <w:tabs>
          <w:tab w:leader="none" w:pos="2482" w:val="left"/>
        </w:tabs>
        <w:numPr>
          <w:ilvl w:val="0"/>
          <w:numId w:val="138"/>
        </w:numPr>
        <w:rPr>
          <w:rFonts w:ascii="Calibri" w:cs="Calibri" w:eastAsia="Calibri" w:hAnsi="Calibri"/>
          <w:sz w:val="19"/>
          <w:szCs w:val="19"/>
          <w:color w:val="auto"/>
        </w:rPr>
      </w:pPr>
      <w:r>
        <w:rPr>
          <w:rFonts w:ascii="Calibri" w:cs="Calibri" w:eastAsia="Calibri" w:hAnsi="Calibri"/>
          <w:sz w:val="19"/>
          <w:szCs w:val="19"/>
          <w:u w:val="single" w:color="auto"/>
          <w:color w:val="auto"/>
        </w:rPr>
        <w:t>No Rights to Service</w:t>
      </w:r>
      <w:r>
        <w:rPr>
          <w:rFonts w:ascii="Calibri" w:cs="Calibri" w:eastAsia="Calibri" w:hAnsi="Calibri"/>
          <w:sz w:val="19"/>
          <w:szCs w:val="19"/>
          <w:color w:val="auto"/>
        </w:rPr>
        <w:t>. Nothing contained in this Agreement shall be construed as giving Partcipant any right to be retained, in any positon, as an employee, consultant or director of the Company or its Afliates or shall interfere with or restrict in any way the right of the Company or its Afliates, which is hereby expressly reserved, to remove, terminate or discharge Partcipant at any tme for any reason whatsoever.</w:t>
      </w:r>
    </w:p>
    <w:p>
      <w:pPr>
        <w:sectPr>
          <w:pgSz w:w="11900" w:h="16838" w:orient="portrait"/>
          <w:cols w:equalWidth="0" w:num="1">
            <w:col w:w="11240"/>
          </w:cols>
          <w:pgMar w:left="320" w:top="83" w:right="339" w:bottom="1440" w:gutter="0" w:footer="0" w:header="0"/>
        </w:sectPr>
      </w:pPr>
    </w:p>
    <w:bookmarkStart w:id="175" w:name="page176"/>
    <w:bookmarkEnd w:id="175"/>
    <w:p>
      <w:pPr>
        <w:jc w:val="right"/>
        <w:spacing w:after="0"/>
        <w:rPr>
          <w:sz w:val="20"/>
          <w:szCs w:val="20"/>
          <w:color w:val="auto"/>
        </w:rPr>
      </w:pPr>
      <w:r>
        <w:rPr>
          <w:rFonts w:ascii="Calibri" w:cs="Calibri" w:eastAsia="Calibri" w:hAnsi="Calibri"/>
          <w:sz w:val="19"/>
          <w:szCs w:val="19"/>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1866"/>
        <w:spacing w:after="0" w:line="204" w:lineRule="auto"/>
        <w:tabs>
          <w:tab w:leader="none" w:pos="2487" w:val="left"/>
        </w:tabs>
        <w:numPr>
          <w:ilvl w:val="1"/>
          <w:numId w:val="139"/>
        </w:numPr>
        <w:rPr>
          <w:rFonts w:ascii="Calibri" w:cs="Calibri" w:eastAsia="Calibri" w:hAnsi="Calibri"/>
          <w:sz w:val="19"/>
          <w:szCs w:val="19"/>
          <w:color w:val="auto"/>
        </w:rPr>
      </w:pPr>
      <w:r>
        <w:rPr>
          <w:rFonts w:ascii="Calibri" w:cs="Calibri" w:eastAsia="Calibri" w:hAnsi="Calibri"/>
          <w:sz w:val="19"/>
          <w:szCs w:val="19"/>
          <w:u w:val="single" w:color="auto"/>
          <w:color w:val="auto"/>
        </w:rPr>
        <w:t>Benefciary</w:t>
      </w:r>
      <w:r>
        <w:rPr>
          <w:rFonts w:ascii="Calibri" w:cs="Calibri" w:eastAsia="Calibri" w:hAnsi="Calibri"/>
          <w:sz w:val="19"/>
          <w:szCs w:val="19"/>
          <w:color w:val="auto"/>
        </w:rPr>
        <w:t xml:space="preserve">. Partcipant may fle with the Company a writen designaton of a benefciary on such form as may be prescribed by the Commitee and may, from tme to tme, change or revoke such designaton by fling a new designaton with the Company. The last such designaton received by the Company shall be controlling;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auto"/>
        </w:rPr>
        <w:t>however</w:t>
      </w:r>
      <w:r>
        <w:rPr>
          <w:rFonts w:ascii="Calibri" w:cs="Calibri" w:eastAsia="Calibri" w:hAnsi="Calibri"/>
          <w:sz w:val="19"/>
          <w:szCs w:val="19"/>
          <w:color w:val="auto"/>
        </w:rPr>
        <w:t>, that no designaton, or change or revocaton thereof, shall be efectve unless received by the Company prior to Partcipant’s death, and in no event shall it be efectve as of a date prior to such receipt. If no benefciary designaton is fled by Partcipant, the benefciary shall be deemed to be his spouse or, if Partcipant is unmarried at the tme of death, his estate.</w:t>
      </w:r>
    </w:p>
    <w:p>
      <w:pPr>
        <w:spacing w:after="0" w:line="162" w:lineRule="exact"/>
        <w:rPr>
          <w:rFonts w:ascii="Calibri" w:cs="Calibri" w:eastAsia="Calibri" w:hAnsi="Calibri"/>
          <w:sz w:val="19"/>
          <w:szCs w:val="19"/>
          <w:color w:val="auto"/>
        </w:rPr>
      </w:pPr>
    </w:p>
    <w:p>
      <w:pPr>
        <w:ind w:right="360" w:firstLine="1866"/>
        <w:spacing w:after="0" w:line="217" w:lineRule="auto"/>
        <w:tabs>
          <w:tab w:leader="none" w:pos="2483" w:val="left"/>
        </w:tabs>
        <w:numPr>
          <w:ilvl w:val="1"/>
          <w:numId w:val="139"/>
        </w:numPr>
        <w:rPr>
          <w:rFonts w:ascii="Calibri" w:cs="Calibri" w:eastAsia="Calibri" w:hAnsi="Calibri"/>
          <w:sz w:val="19"/>
          <w:szCs w:val="19"/>
          <w:color w:val="auto"/>
        </w:rPr>
      </w:pPr>
      <w:r>
        <w:rPr>
          <w:rFonts w:ascii="Calibri" w:cs="Calibri" w:eastAsia="Calibri" w:hAnsi="Calibri"/>
          <w:sz w:val="19"/>
          <w:szCs w:val="19"/>
          <w:u w:val="single" w:color="auto"/>
          <w:color w:val="auto"/>
        </w:rPr>
        <w:t>Successors</w:t>
      </w:r>
      <w:r>
        <w:rPr>
          <w:rFonts w:ascii="Calibri" w:cs="Calibri" w:eastAsia="Calibri" w:hAnsi="Calibri"/>
          <w:sz w:val="19"/>
          <w:szCs w:val="19"/>
          <w:color w:val="auto"/>
        </w:rPr>
        <w:t>. The terms of this Agreement shall be binding upon and inure to the beneft of the Company, its successors and assigns, and of Partcipant and the benefciaries, executors, administrators, heirs and successors of Partcipant.</w:t>
      </w:r>
    </w:p>
    <w:p>
      <w:pPr>
        <w:spacing w:after="0" w:line="175" w:lineRule="exact"/>
        <w:rPr>
          <w:rFonts w:ascii="Calibri" w:cs="Calibri" w:eastAsia="Calibri" w:hAnsi="Calibri"/>
          <w:sz w:val="19"/>
          <w:szCs w:val="19"/>
          <w:color w:val="auto"/>
        </w:rPr>
      </w:pPr>
    </w:p>
    <w:p>
      <w:pPr>
        <w:ind w:right="40" w:firstLine="1866"/>
        <w:spacing w:after="0" w:line="207" w:lineRule="auto"/>
        <w:tabs>
          <w:tab w:leader="none" w:pos="2478" w:val="left"/>
        </w:tabs>
        <w:numPr>
          <w:ilvl w:val="1"/>
          <w:numId w:val="139"/>
        </w:numPr>
        <w:rPr>
          <w:rFonts w:ascii="Calibri" w:cs="Calibri" w:eastAsia="Calibri" w:hAnsi="Calibri"/>
          <w:sz w:val="19"/>
          <w:szCs w:val="19"/>
          <w:color w:val="auto"/>
        </w:rPr>
      </w:pPr>
      <w:r>
        <w:rPr>
          <w:rFonts w:ascii="Calibri" w:cs="Calibri" w:eastAsia="Calibri" w:hAnsi="Calibri"/>
          <w:sz w:val="19"/>
          <w:szCs w:val="19"/>
          <w:u w:val="single" w:color="auto"/>
          <w:color w:val="auto"/>
        </w:rPr>
        <w:t>Entre Agreement</w:t>
      </w:r>
      <w:r>
        <w:rPr>
          <w:rFonts w:ascii="Calibri" w:cs="Calibri" w:eastAsia="Calibri" w:hAnsi="Calibri"/>
          <w:sz w:val="19"/>
          <w:szCs w:val="19"/>
          <w:color w:val="auto"/>
        </w:rPr>
        <w:t>. This Agreement and the Plan contain the entre agreement and understanding of the partes hereto with respect to the subject mater contained herein and supersede all prior communicatons, representatons and negotatons with respect thereto.</w:t>
      </w:r>
    </w:p>
    <w:p>
      <w:pPr>
        <w:spacing w:after="0" w:line="175" w:lineRule="exact"/>
        <w:rPr>
          <w:rFonts w:ascii="Calibri" w:cs="Calibri" w:eastAsia="Calibri" w:hAnsi="Calibri"/>
          <w:sz w:val="19"/>
          <w:szCs w:val="19"/>
          <w:color w:val="auto"/>
        </w:rPr>
      </w:pPr>
    </w:p>
    <w:p>
      <w:pPr>
        <w:ind w:right="180" w:firstLine="1866"/>
        <w:spacing w:after="0" w:line="210" w:lineRule="auto"/>
        <w:tabs>
          <w:tab w:leader="none" w:pos="2485" w:val="left"/>
        </w:tabs>
        <w:numPr>
          <w:ilvl w:val="1"/>
          <w:numId w:val="139"/>
        </w:numPr>
        <w:rPr>
          <w:rFonts w:ascii="Calibri" w:cs="Calibri" w:eastAsia="Calibri" w:hAnsi="Calibri"/>
          <w:sz w:val="19"/>
          <w:szCs w:val="19"/>
          <w:color w:val="auto"/>
        </w:rPr>
      </w:pPr>
      <w:r>
        <w:rPr>
          <w:rFonts w:ascii="Calibri" w:cs="Calibri" w:eastAsia="Calibri" w:hAnsi="Calibri"/>
          <w:sz w:val="19"/>
          <w:szCs w:val="19"/>
          <w:u w:val="single" w:color="auto"/>
          <w:color w:val="auto"/>
        </w:rPr>
        <w:t>Bound by the Plan</w:t>
      </w:r>
      <w:r>
        <w:rPr>
          <w:rFonts w:ascii="Calibri" w:cs="Calibri" w:eastAsia="Calibri" w:hAnsi="Calibri"/>
          <w:sz w:val="19"/>
          <w:szCs w:val="19"/>
          <w:color w:val="auto"/>
        </w:rPr>
        <w:t>. By signing this Agreement, Partcipant acknowledges receipt of a copy of the Plan and has had an opportunity to review the Plan and agrees to be bound by all the terms and provisions of the Plan.</w:t>
      </w:r>
    </w:p>
    <w:p>
      <w:pPr>
        <w:spacing w:after="0" w:line="176" w:lineRule="exact"/>
        <w:rPr>
          <w:rFonts w:ascii="Calibri" w:cs="Calibri" w:eastAsia="Calibri" w:hAnsi="Calibri"/>
          <w:sz w:val="19"/>
          <w:szCs w:val="19"/>
          <w:color w:val="auto"/>
        </w:rPr>
      </w:pPr>
    </w:p>
    <w:p>
      <w:pPr>
        <w:ind w:right="180" w:firstLine="1866"/>
        <w:spacing w:after="0" w:line="205" w:lineRule="auto"/>
        <w:tabs>
          <w:tab w:leader="none" w:pos="2483" w:val="left"/>
        </w:tabs>
        <w:numPr>
          <w:ilvl w:val="1"/>
          <w:numId w:val="139"/>
        </w:numPr>
        <w:rPr>
          <w:rFonts w:ascii="Calibri" w:cs="Calibri" w:eastAsia="Calibri" w:hAnsi="Calibri"/>
          <w:sz w:val="19"/>
          <w:szCs w:val="19"/>
          <w:color w:val="auto"/>
        </w:rPr>
      </w:pPr>
      <w:r>
        <w:rPr>
          <w:rFonts w:ascii="Calibri" w:cs="Calibri" w:eastAsia="Calibri" w:hAnsi="Calibri"/>
          <w:sz w:val="19"/>
          <w:szCs w:val="19"/>
          <w:u w:val="single" w:color="auto"/>
          <w:color w:val="auto"/>
        </w:rPr>
        <w:t>Secton 409A.</w:t>
      </w:r>
      <w:r>
        <w:rPr>
          <w:rFonts w:ascii="Calibri" w:cs="Calibri" w:eastAsia="Calibri" w:hAnsi="Calibri"/>
          <w:sz w:val="19"/>
          <w:szCs w:val="19"/>
          <w:color w:val="auto"/>
        </w:rPr>
        <w:t xml:space="preserve"> It is intended that the Awards granted pursuant to this Agreement and the provisions of this Agreement be exempt from or be designed such that the taxes and/or penaltes under Secton 409A of the Code are not imposed, and all provisions of this Agreement shall be construed and interpreted in a manner consistent with the requirements for avoiding taxes or penaltes under Secton 409A of the Code.</w:t>
      </w:r>
    </w:p>
    <w:p>
      <w:pPr>
        <w:spacing w:after="0" w:line="177" w:lineRule="exact"/>
        <w:rPr>
          <w:rFonts w:ascii="Calibri" w:cs="Calibri" w:eastAsia="Calibri" w:hAnsi="Calibri"/>
          <w:sz w:val="19"/>
          <w:szCs w:val="19"/>
          <w:color w:val="auto"/>
        </w:rPr>
      </w:pPr>
    </w:p>
    <w:p>
      <w:pPr>
        <w:ind w:right="100" w:firstLine="1866"/>
        <w:spacing w:after="0" w:line="207" w:lineRule="auto"/>
        <w:tabs>
          <w:tab w:leader="none" w:pos="2478" w:val="left"/>
        </w:tabs>
        <w:numPr>
          <w:ilvl w:val="1"/>
          <w:numId w:val="139"/>
        </w:numPr>
        <w:rPr>
          <w:rFonts w:ascii="Calibri" w:cs="Calibri" w:eastAsia="Calibri" w:hAnsi="Calibri"/>
          <w:sz w:val="19"/>
          <w:szCs w:val="19"/>
          <w:color w:val="auto"/>
        </w:rPr>
      </w:pPr>
      <w:r>
        <w:rPr>
          <w:rFonts w:ascii="Calibri" w:cs="Calibri" w:eastAsia="Calibri" w:hAnsi="Calibri"/>
          <w:sz w:val="19"/>
          <w:szCs w:val="19"/>
          <w:u w:val="single" w:color="auto"/>
          <w:color w:val="auto"/>
        </w:rPr>
        <w:t>Governing Law</w:t>
      </w:r>
      <w:r>
        <w:rPr>
          <w:rFonts w:ascii="Calibri" w:cs="Calibri" w:eastAsia="Calibri" w:hAnsi="Calibri"/>
          <w:sz w:val="19"/>
          <w:szCs w:val="19"/>
          <w:color w:val="auto"/>
        </w:rPr>
        <w:t>. This Agreement shall be construed and interpreted in accordance with the internal laws of the State of Delaware without regard to principles of conficts of law thereof, or principles of conficts of laws of any other jurisdicton that could cause the applicaton of the laws of any jurisdicton other than the State of Delaware.</w:t>
      </w:r>
    </w:p>
    <w:p>
      <w:pPr>
        <w:spacing w:after="0" w:line="175" w:lineRule="exact"/>
        <w:rPr>
          <w:rFonts w:ascii="Calibri" w:cs="Calibri" w:eastAsia="Calibri" w:hAnsi="Calibri"/>
          <w:sz w:val="19"/>
          <w:szCs w:val="19"/>
          <w:color w:val="auto"/>
        </w:rPr>
      </w:pPr>
    </w:p>
    <w:p>
      <w:pPr>
        <w:ind w:right="400" w:firstLine="1866"/>
        <w:spacing w:after="0" w:line="210" w:lineRule="auto"/>
        <w:tabs>
          <w:tab w:leader="none" w:pos="2485" w:val="left"/>
        </w:tabs>
        <w:numPr>
          <w:ilvl w:val="1"/>
          <w:numId w:val="139"/>
        </w:numPr>
        <w:rPr>
          <w:rFonts w:ascii="Calibri" w:cs="Calibri" w:eastAsia="Calibri" w:hAnsi="Calibri"/>
          <w:sz w:val="19"/>
          <w:szCs w:val="19"/>
          <w:color w:val="auto"/>
        </w:rPr>
      </w:pPr>
      <w:r>
        <w:rPr>
          <w:rFonts w:ascii="Calibri" w:cs="Calibri" w:eastAsia="Calibri" w:hAnsi="Calibri"/>
          <w:sz w:val="19"/>
          <w:szCs w:val="19"/>
          <w:u w:val="single" w:color="auto"/>
          <w:color w:val="auto"/>
        </w:rPr>
        <w:t>Headings</w:t>
      </w:r>
      <w:r>
        <w:rPr>
          <w:rFonts w:ascii="Calibri" w:cs="Calibri" w:eastAsia="Calibri" w:hAnsi="Calibri"/>
          <w:sz w:val="19"/>
          <w:szCs w:val="19"/>
          <w:color w:val="auto"/>
        </w:rPr>
        <w:t>. The headings of the Sectons hereof are provided for convenience only and are not to serve as a basis for interpretaton or constructon, and shall not consttute a part, of this Agreement.</w:t>
      </w:r>
    </w:p>
    <w:p>
      <w:pPr>
        <w:spacing w:after="0" w:line="176" w:lineRule="exact"/>
        <w:rPr>
          <w:rFonts w:ascii="Calibri" w:cs="Calibri" w:eastAsia="Calibri" w:hAnsi="Calibri"/>
          <w:sz w:val="19"/>
          <w:szCs w:val="19"/>
          <w:color w:val="auto"/>
        </w:rPr>
      </w:pPr>
    </w:p>
    <w:p>
      <w:pPr>
        <w:ind w:right="220" w:firstLine="1866"/>
        <w:spacing w:after="0" w:line="210" w:lineRule="auto"/>
        <w:tabs>
          <w:tab w:leader="none" w:pos="2483" w:val="left"/>
        </w:tabs>
        <w:numPr>
          <w:ilvl w:val="1"/>
          <w:numId w:val="139"/>
        </w:numPr>
        <w:rPr>
          <w:rFonts w:ascii="Calibri" w:cs="Calibri" w:eastAsia="Calibri" w:hAnsi="Calibri"/>
          <w:sz w:val="19"/>
          <w:szCs w:val="19"/>
          <w:color w:val="auto"/>
        </w:rPr>
      </w:pPr>
      <w:r>
        <w:rPr>
          <w:rFonts w:ascii="Calibri" w:cs="Calibri" w:eastAsia="Calibri" w:hAnsi="Calibri"/>
          <w:sz w:val="19"/>
          <w:szCs w:val="19"/>
          <w:u w:val="single" w:color="auto"/>
          <w:color w:val="auto"/>
        </w:rPr>
        <w:t>Signature in Counterparts</w:t>
      </w:r>
      <w:r>
        <w:rPr>
          <w:rFonts w:ascii="Calibri" w:cs="Calibri" w:eastAsia="Calibri" w:hAnsi="Calibri"/>
          <w:sz w:val="19"/>
          <w:szCs w:val="19"/>
          <w:color w:val="auto"/>
        </w:rPr>
        <w:t>. This Agreement may be signed in counterparts, each of which shall be an original, with the same efect as if the signatures thereto and hereto were upon the same instrument.</w:t>
      </w:r>
    </w:p>
    <w:p>
      <w:pPr>
        <w:spacing w:after="0" w:line="202" w:lineRule="exact"/>
        <w:rPr>
          <w:rFonts w:ascii="Calibri" w:cs="Calibri" w:eastAsia="Calibri" w:hAnsi="Calibri"/>
          <w:sz w:val="19"/>
          <w:szCs w:val="19"/>
          <w:color w:val="auto"/>
        </w:rPr>
      </w:pPr>
    </w:p>
    <w:p>
      <w:pPr>
        <w:ind w:right="100" w:firstLine="1245"/>
        <w:spacing w:after="0" w:line="198" w:lineRule="auto"/>
        <w:tabs>
          <w:tab w:leader="none" w:pos="1852" w:val="left"/>
        </w:tabs>
        <w:numPr>
          <w:ilvl w:val="0"/>
          <w:numId w:val="140"/>
        </w:numPr>
        <w:rPr>
          <w:rFonts w:ascii="Calibri" w:cs="Calibri" w:eastAsia="Calibri" w:hAnsi="Calibri"/>
          <w:sz w:val="21"/>
          <w:szCs w:val="21"/>
          <w:color w:val="auto"/>
        </w:rPr>
      </w:pPr>
      <w:r>
        <w:rPr>
          <w:rFonts w:ascii="Calibri" w:cs="Calibri" w:eastAsia="Calibri" w:hAnsi="Calibri"/>
          <w:sz w:val="19"/>
          <w:szCs w:val="19"/>
          <w:u w:val="single" w:color="auto"/>
          <w:color w:val="auto"/>
        </w:rPr>
        <w:t>Compliance with Legal Requirements</w:t>
      </w:r>
      <w:r>
        <w:rPr>
          <w:rFonts w:ascii="Calibri" w:cs="Calibri" w:eastAsia="Calibri" w:hAnsi="Calibri"/>
          <w:sz w:val="19"/>
          <w:szCs w:val="19"/>
          <w:color w:val="auto"/>
        </w:rPr>
        <w:t>. The grant of the RSUs and the delivery of Shares in respect thereof, and any other obligatons of the Company under this Agreement shall be subject to all applicable federal and state laws, rules and regulatons and to such approvals by any regulatory or governmental agency as may be required. Subject to Secton 8(k) of this Agreement, the Commitee, in its sole discreton, may postpone the issuance or delivery of Shares as the Commitee may consider appropriate and may require Partcipant to make such representatons and furnish such informaton as it may consider appropriate in connecton with the issuance or delivery of the Shares in compliance with applicable laws, rules and regulatons.</w:t>
      </w:r>
    </w:p>
    <w:p>
      <w:pPr>
        <w:spacing w:after="0" w:line="172" w:lineRule="exact"/>
        <w:rPr>
          <w:rFonts w:ascii="Calibri" w:cs="Calibri" w:eastAsia="Calibri" w:hAnsi="Calibri"/>
          <w:sz w:val="21"/>
          <w:szCs w:val="21"/>
          <w:color w:val="auto"/>
        </w:rPr>
      </w:pPr>
    </w:p>
    <w:p>
      <w:pPr>
        <w:ind w:left="1860" w:hanging="615"/>
        <w:spacing w:after="0"/>
        <w:tabs>
          <w:tab w:leader="none" w:pos="1860" w:val="left"/>
        </w:tabs>
        <w:numPr>
          <w:ilvl w:val="0"/>
          <w:numId w:val="140"/>
        </w:numPr>
        <w:rPr>
          <w:rFonts w:ascii="Calibri" w:cs="Calibri" w:eastAsia="Calibri" w:hAnsi="Calibri"/>
          <w:sz w:val="21"/>
          <w:szCs w:val="21"/>
          <w:color w:val="auto"/>
        </w:rPr>
      </w:pPr>
      <w:r>
        <w:rPr>
          <w:rFonts w:ascii="Calibri" w:cs="Calibri" w:eastAsia="Calibri" w:hAnsi="Calibri"/>
          <w:sz w:val="19"/>
          <w:szCs w:val="19"/>
          <w:u w:val="single" w:color="auto"/>
          <w:color w:val="auto"/>
        </w:rPr>
        <w:t>Clawback</w:t>
      </w:r>
      <w:r>
        <w:rPr>
          <w:rFonts w:ascii="Calibri" w:cs="Calibri" w:eastAsia="Calibri" w:hAnsi="Calibri"/>
          <w:sz w:val="19"/>
          <w:szCs w:val="19"/>
          <w:color w:val="auto"/>
        </w:rPr>
        <w:t>. The grant of RSUs is subject to any incentve compensaton recoupment policy established from tme to tme</w:t>
      </w:r>
    </w:p>
    <w:p>
      <w:pPr>
        <w:spacing w:after="0" w:line="4" w:lineRule="exact"/>
        <w:rPr>
          <w:rFonts w:ascii="Calibri" w:cs="Calibri" w:eastAsia="Calibri" w:hAnsi="Calibri"/>
          <w:sz w:val="21"/>
          <w:szCs w:val="21"/>
          <w:color w:val="auto"/>
        </w:rPr>
      </w:pPr>
    </w:p>
    <w:p>
      <w:pPr>
        <w:spacing w:after="0" w:line="196" w:lineRule="auto"/>
        <w:rPr>
          <w:rFonts w:ascii="Calibri" w:cs="Calibri" w:eastAsia="Calibri" w:hAnsi="Calibri"/>
          <w:sz w:val="21"/>
          <w:szCs w:val="21"/>
          <w:color w:val="auto"/>
        </w:rPr>
      </w:pPr>
      <w:r>
        <w:rPr>
          <w:rFonts w:ascii="Calibri" w:cs="Calibri" w:eastAsia="Calibri" w:hAnsi="Calibri"/>
          <w:sz w:val="19"/>
          <w:szCs w:val="19"/>
          <w:color w:val="auto"/>
        </w:rPr>
        <w:t>by the Company.</w:t>
      </w:r>
    </w:p>
    <w:p>
      <w:pPr>
        <w:spacing w:after="0" w:line="157" w:lineRule="exact"/>
        <w:rPr>
          <w:sz w:val="20"/>
          <w:szCs w:val="20"/>
          <w:color w:val="auto"/>
        </w:rPr>
      </w:pPr>
    </w:p>
    <w:p>
      <w:pPr>
        <w:jc w:val="center"/>
        <w:spacing w:after="0"/>
        <w:rPr>
          <w:sz w:val="20"/>
          <w:szCs w:val="20"/>
          <w:color w:val="auto"/>
        </w:rPr>
      </w:pPr>
      <w:r>
        <w:rPr>
          <w:rFonts w:ascii="Calibri" w:cs="Calibri" w:eastAsia="Calibri" w:hAnsi="Calibri"/>
          <w:sz w:val="19"/>
          <w:szCs w:val="19"/>
          <w:i w:val="1"/>
          <w:iCs w:val="1"/>
          <w:color w:val="auto"/>
        </w:rPr>
        <w:t>[Remainder of page intentonally lef blank; signature page to follow]</w:t>
      </w:r>
    </w:p>
    <w:p>
      <w:pPr>
        <w:sectPr>
          <w:pgSz w:w="11900" w:h="16838" w:orient="portrait"/>
          <w:cols w:equalWidth="0" w:num="1">
            <w:col w:w="11240"/>
          </w:cols>
          <w:pgMar w:left="320" w:top="83" w:right="339" w:bottom="1440" w:gutter="0" w:footer="0" w:header="0"/>
        </w:sectPr>
      </w:pPr>
    </w:p>
    <w:bookmarkStart w:id="176" w:name="page177"/>
    <w:bookmarkEnd w:id="176"/>
    <w:p>
      <w:pPr>
        <w:jc w:val="right"/>
        <w:spacing w:after="0"/>
        <w:rPr>
          <w:sz w:val="20"/>
          <w:szCs w:val="20"/>
          <w:color w:val="auto"/>
        </w:rPr>
      </w:pPr>
      <w:r>
        <w:rPr>
          <w:rFonts w:ascii="Calibri" w:cs="Calibri" w:eastAsia="Calibri" w:hAnsi="Calibri"/>
          <w:sz w:val="19"/>
          <w:szCs w:val="19"/>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firstLine="1242"/>
        <w:spacing w:after="0" w:line="211" w:lineRule="auto"/>
        <w:rPr>
          <w:sz w:val="20"/>
          <w:szCs w:val="20"/>
          <w:color w:val="auto"/>
        </w:rPr>
      </w:pPr>
      <w:r>
        <w:rPr>
          <w:rFonts w:ascii="Calibri" w:cs="Calibri" w:eastAsia="Calibri" w:hAnsi="Calibri"/>
          <w:sz w:val="19"/>
          <w:szCs w:val="19"/>
          <w:b w:val="1"/>
          <w:bCs w:val="1"/>
          <w:color w:val="auto"/>
        </w:rPr>
        <w:t>By electronically acknowledging and acceptng this award of Restricted Stock Units following the date of the Company’s electronic notfcaton to the Partcipant, the Partcipant accepts the award of the Restricted Stock Units described in this Agreement and agrees that all decisions and determinatons of the Commitee with respect to the Restricted Stock Units shall be fnal and binding.</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 WITNESS WHEREOF</w:t>
      </w:r>
      <w:r>
        <w:rPr>
          <w:rFonts w:ascii="Calibri" w:cs="Calibri" w:eastAsia="Calibri" w:hAnsi="Calibri"/>
          <w:sz w:val="19"/>
          <w:szCs w:val="19"/>
          <w:color w:val="auto"/>
        </w:rPr>
        <w:t>, the partes hereto have executed this Agreement.</w:t>
      </w:r>
    </w:p>
    <w:p>
      <w:pPr>
        <w:spacing w:after="0" w:line="169"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NMI HOLDINGS, INC.</w:t>
      </w:r>
    </w:p>
    <w:p>
      <w:pPr>
        <w:spacing w:after="0" w:line="188"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___________________________________</w:t>
      </w:r>
    </w:p>
    <w:p>
      <w:pPr>
        <w:ind w:left="3720"/>
        <w:spacing w:after="0" w:line="194" w:lineRule="auto"/>
        <w:rPr>
          <w:sz w:val="20"/>
          <w:szCs w:val="20"/>
          <w:color w:val="auto"/>
        </w:rPr>
      </w:pPr>
      <w:r>
        <w:rPr>
          <w:rFonts w:ascii="Calibri" w:cs="Calibri" w:eastAsia="Calibri" w:hAnsi="Calibri"/>
          <w:sz w:val="19"/>
          <w:szCs w:val="19"/>
          <w:color w:val="auto"/>
        </w:rPr>
        <w:t>By:</w:t>
      </w:r>
    </w:p>
    <w:p>
      <w:pPr>
        <w:ind w:left="3720"/>
        <w:spacing w:after="0" w:line="201" w:lineRule="auto"/>
        <w:rPr>
          <w:sz w:val="20"/>
          <w:szCs w:val="20"/>
          <w:color w:val="auto"/>
        </w:rPr>
      </w:pPr>
      <w:r>
        <w:rPr>
          <w:rFonts w:ascii="Calibri" w:cs="Calibri" w:eastAsia="Calibri" w:hAnsi="Calibri"/>
          <w:sz w:val="19"/>
          <w:szCs w:val="19"/>
          <w:color w:val="auto"/>
        </w:rPr>
        <w:t>Title:</w:t>
      </w:r>
    </w:p>
    <w:p>
      <w:pPr>
        <w:spacing w:after="0" w:line="188"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PARTICIPANT</w:t>
      </w:r>
    </w:p>
    <w:p>
      <w:pPr>
        <w:ind w:left="3720"/>
        <w:spacing w:after="0" w:line="194" w:lineRule="auto"/>
        <w:rPr>
          <w:sz w:val="20"/>
          <w:szCs w:val="20"/>
          <w:color w:val="auto"/>
        </w:rPr>
      </w:pPr>
      <w:r>
        <w:rPr>
          <w:rFonts w:ascii="Calibri" w:cs="Calibri" w:eastAsia="Calibri" w:hAnsi="Calibri"/>
          <w:sz w:val="19"/>
          <w:szCs w:val="19"/>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Calibri" w:cs="Calibri" w:eastAsia="Calibri" w:hAnsi="Calibri"/>
          <w:sz w:val="19"/>
          <w:szCs w:val="19"/>
          <w:i w:val="1"/>
          <w:iCs w:val="1"/>
          <w:color w:val="auto"/>
        </w:rPr>
        <w:t>[Signature Page to Restricted Stock Unit Award Agreement (Performance Based)]</w:t>
      </w:r>
    </w:p>
    <w:p>
      <w:pPr>
        <w:sectPr>
          <w:pgSz w:w="11900" w:h="16838" w:orient="portrait"/>
          <w:cols w:equalWidth="0" w:num="1">
            <w:col w:w="11240"/>
          </w:cols>
          <w:pgMar w:left="320" w:top="83" w:right="339" w:bottom="1440" w:gutter="0" w:footer="0" w:header="0"/>
        </w:sectPr>
      </w:pPr>
    </w:p>
    <w:bookmarkStart w:id="177" w:name="page178"/>
    <w:bookmarkEnd w:id="177"/>
    <w:p>
      <w:pPr>
        <w:jc w:val="right"/>
        <w:spacing w:after="0"/>
        <w:rPr>
          <w:sz w:val="20"/>
          <w:szCs w:val="20"/>
          <w:color w:val="auto"/>
        </w:rPr>
      </w:pPr>
      <w:r>
        <w:rPr>
          <w:rFonts w:ascii="Calibri" w:cs="Calibri" w:eastAsia="Calibri" w:hAnsi="Calibri"/>
          <w:sz w:val="19"/>
          <w:szCs w:val="19"/>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EXHIBIT A</w:t>
      </w:r>
    </w:p>
    <w:p>
      <w:pPr>
        <w:jc w:val="center"/>
        <w:spacing w:after="0" w:line="200" w:lineRule="auto"/>
        <w:rPr>
          <w:sz w:val="20"/>
          <w:szCs w:val="20"/>
          <w:color w:val="auto"/>
        </w:rPr>
      </w:pPr>
      <w:r>
        <w:rPr>
          <w:rFonts w:ascii="Calibri" w:cs="Calibri" w:eastAsia="Calibri" w:hAnsi="Calibri"/>
          <w:sz w:val="19"/>
          <w:szCs w:val="19"/>
          <w:b w:val="1"/>
          <w:bCs w:val="1"/>
          <w:color w:val="auto"/>
        </w:rPr>
        <w:t>CERTAIN DEFINED TERMS</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color w:val="auto"/>
        </w:rPr>
        <w:t>For purposes of the Agreement, the following terms have the following meanings:</w:t>
      </w:r>
    </w:p>
    <w:p>
      <w:pPr>
        <w:spacing w:after="0" w:line="162" w:lineRule="exact"/>
        <w:rPr>
          <w:sz w:val="20"/>
          <w:szCs w:val="20"/>
          <w:color w:val="auto"/>
        </w:rPr>
      </w:pPr>
    </w:p>
    <w:p>
      <w:pPr>
        <w:ind w:right="40" w:firstLine="624"/>
        <w:spacing w:after="0" w:line="201" w:lineRule="auto"/>
        <w:tabs>
          <w:tab w:leader="none" w:pos="1246" w:val="left"/>
        </w:tabs>
        <w:numPr>
          <w:ilvl w:val="0"/>
          <w:numId w:val="141"/>
        </w:numPr>
        <w:rPr>
          <w:rFonts w:ascii="Calibri" w:cs="Calibri" w:eastAsia="Calibri" w:hAnsi="Calibri"/>
          <w:sz w:val="19"/>
          <w:szCs w:val="19"/>
          <w:color w:val="auto"/>
        </w:rPr>
      </w:pPr>
      <w:r>
        <w:rPr>
          <w:rFonts w:ascii="Calibri" w:cs="Calibri" w:eastAsia="Calibri" w:hAnsi="Calibri"/>
          <w:sz w:val="19"/>
          <w:szCs w:val="19"/>
          <w:color w:val="auto"/>
        </w:rPr>
        <w:t>“Adjusted Book Value” means, for any year, (i) the consolidated stockholder’s equity of the Company computed in accordance with GAAP, as refected in the Company’s fnancial statements, adjusted to exclude the impact of (i) accumulated other comprehensive income (loss); (ii) the cumulatve efect of cash dividends paid on the Company’s Common Stock during the Performance Period, (iii) the cumulatve efect of the issuance or repurchase of the Company’s Common Stock during the performance period, (iv) the cumulatve efect of changes in accountng principles under GAAP during the performance period, and (v) the cumulatve efect of changes in tax law and/or tax rates during the performance period.</w:t>
      </w:r>
    </w:p>
    <w:p>
      <w:pPr>
        <w:spacing w:after="0" w:line="174" w:lineRule="exact"/>
        <w:rPr>
          <w:rFonts w:ascii="Calibri" w:cs="Calibri" w:eastAsia="Calibri" w:hAnsi="Calibri"/>
          <w:sz w:val="19"/>
          <w:szCs w:val="19"/>
          <w:color w:val="auto"/>
        </w:rPr>
      </w:pPr>
    </w:p>
    <w:p>
      <w:pPr>
        <w:ind w:left="1240" w:hanging="616"/>
        <w:spacing w:after="0"/>
        <w:tabs>
          <w:tab w:leader="none" w:pos="1240" w:val="left"/>
        </w:tabs>
        <w:numPr>
          <w:ilvl w:val="0"/>
          <w:numId w:val="141"/>
        </w:numPr>
        <w:rPr>
          <w:rFonts w:ascii="Calibri" w:cs="Calibri" w:eastAsia="Calibri" w:hAnsi="Calibri"/>
          <w:sz w:val="19"/>
          <w:szCs w:val="19"/>
          <w:color w:val="auto"/>
        </w:rPr>
      </w:pPr>
      <w:r>
        <w:rPr>
          <w:rFonts w:ascii="Calibri" w:cs="Calibri" w:eastAsia="Calibri" w:hAnsi="Calibri"/>
          <w:sz w:val="19"/>
          <w:szCs w:val="19"/>
          <w:color w:val="auto"/>
        </w:rPr>
        <w:t>“BVPS” means, for any year, Adjusted Book Value divided by Common Shares Outstanding.</w:t>
      </w:r>
    </w:p>
    <w:p>
      <w:pPr>
        <w:spacing w:after="0" w:line="161" w:lineRule="exact"/>
        <w:rPr>
          <w:rFonts w:ascii="Calibri" w:cs="Calibri" w:eastAsia="Calibri" w:hAnsi="Calibri"/>
          <w:sz w:val="19"/>
          <w:szCs w:val="19"/>
          <w:color w:val="auto"/>
        </w:rPr>
      </w:pPr>
    </w:p>
    <w:p>
      <w:pPr>
        <w:ind w:right="100" w:firstLine="624"/>
        <w:spacing w:after="0" w:line="211" w:lineRule="auto"/>
        <w:tabs>
          <w:tab w:leader="none" w:pos="1235" w:val="left"/>
        </w:tabs>
        <w:numPr>
          <w:ilvl w:val="0"/>
          <w:numId w:val="141"/>
        </w:numPr>
        <w:rPr>
          <w:rFonts w:ascii="Calibri" w:cs="Calibri" w:eastAsia="Calibri" w:hAnsi="Calibri"/>
          <w:sz w:val="19"/>
          <w:szCs w:val="19"/>
          <w:color w:val="auto"/>
        </w:rPr>
      </w:pPr>
      <w:r>
        <w:rPr>
          <w:rFonts w:ascii="Calibri" w:cs="Calibri" w:eastAsia="Calibri" w:hAnsi="Calibri"/>
          <w:sz w:val="19"/>
          <w:szCs w:val="19"/>
          <w:color w:val="auto"/>
        </w:rPr>
        <w:t>“BVPS Growth Percentage” means, for the Performance Period, the compounded annual growth rate in BVPS measured at the end of the Performance Period over the BVPS measured as of December 31 of the year immediately preceding the beginning of the Performance Period.</w:t>
      </w:r>
    </w:p>
    <w:p>
      <w:pPr>
        <w:spacing w:after="0" w:line="164" w:lineRule="exact"/>
        <w:rPr>
          <w:rFonts w:ascii="Calibri" w:cs="Calibri" w:eastAsia="Calibri" w:hAnsi="Calibri"/>
          <w:sz w:val="19"/>
          <w:szCs w:val="19"/>
          <w:color w:val="auto"/>
        </w:rPr>
      </w:pPr>
    </w:p>
    <w:p>
      <w:pPr>
        <w:ind w:right="1040" w:firstLine="624"/>
        <w:spacing w:after="0" w:line="217" w:lineRule="auto"/>
        <w:tabs>
          <w:tab w:leader="none" w:pos="1241" w:val="left"/>
        </w:tabs>
        <w:numPr>
          <w:ilvl w:val="0"/>
          <w:numId w:val="141"/>
        </w:numPr>
        <w:rPr>
          <w:rFonts w:ascii="Calibri" w:cs="Calibri" w:eastAsia="Calibri" w:hAnsi="Calibri"/>
          <w:sz w:val="19"/>
          <w:szCs w:val="19"/>
          <w:color w:val="auto"/>
        </w:rPr>
      </w:pPr>
      <w:r>
        <w:rPr>
          <w:rFonts w:ascii="Calibri" w:cs="Calibri" w:eastAsia="Calibri" w:hAnsi="Calibri"/>
          <w:sz w:val="19"/>
          <w:szCs w:val="19"/>
          <w:color w:val="auto"/>
        </w:rPr>
        <w:t>“BVPS Vestng Percentage” means a functon of the BVPS Growth Percentage achieved by the Company during the Performance Period, rounded to the nearest tenth of a percent (0.1%), and shall be determined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0" w:type="dxa"/>
            <w:vAlign w:val="bottom"/>
          </w:tcPr>
          <w:p>
            <w:pPr>
              <w:spacing w:after="0"/>
              <w:rPr>
                <w:sz w:val="20"/>
                <w:szCs w:val="20"/>
                <w:color w:val="auto"/>
              </w:rPr>
            </w:pPr>
          </w:p>
        </w:tc>
        <w:tc>
          <w:tcPr>
            <w:tcW w:w="7920" w:type="dxa"/>
            <w:vAlign w:val="bottom"/>
            <w:gridSpan w:val="2"/>
          </w:tcPr>
          <w:p>
            <w:pPr>
              <w:jc w:val="center"/>
              <w:ind w:right="120"/>
              <w:spacing w:after="0"/>
              <w:rPr>
                <w:sz w:val="20"/>
                <w:szCs w:val="20"/>
                <w:color w:val="auto"/>
              </w:rPr>
            </w:pPr>
            <w:r>
              <w:rPr>
                <w:rFonts w:ascii="Calibri" w:cs="Calibri" w:eastAsia="Calibri" w:hAnsi="Calibri"/>
                <w:sz w:val="19"/>
                <w:szCs w:val="19"/>
                <w:b w:val="1"/>
                <w:bCs w:val="1"/>
                <w:color w:val="auto"/>
              </w:rPr>
              <w:t>BVPS Growth Percentage</w:t>
            </w:r>
          </w:p>
        </w:tc>
        <w:tc>
          <w:tcPr>
            <w:tcW w:w="3080" w:type="dxa"/>
            <w:vAlign w:val="bottom"/>
          </w:tcPr>
          <w:p>
            <w:pPr>
              <w:spacing w:after="0"/>
              <w:rPr>
                <w:sz w:val="20"/>
                <w:szCs w:val="20"/>
                <w:color w:val="auto"/>
              </w:rPr>
            </w:pPr>
          </w:p>
        </w:tc>
      </w:tr>
      <w:tr>
        <w:trPr>
          <w:trHeight w:val="194"/>
        </w:trPr>
        <w:tc>
          <w:tcPr>
            <w:tcW w:w="240" w:type="dxa"/>
            <w:vAlign w:val="bottom"/>
          </w:tcPr>
          <w:p>
            <w:pPr>
              <w:spacing w:after="0"/>
              <w:rPr>
                <w:sz w:val="16"/>
                <w:szCs w:val="16"/>
                <w:color w:val="auto"/>
              </w:rPr>
            </w:pPr>
          </w:p>
        </w:tc>
        <w:tc>
          <w:tcPr>
            <w:tcW w:w="7920" w:type="dxa"/>
            <w:vAlign w:val="bottom"/>
            <w:gridSpan w:val="2"/>
          </w:tcPr>
          <w:p>
            <w:pPr>
              <w:jc w:val="center"/>
              <w:ind w:right="120"/>
              <w:spacing w:after="0" w:line="194" w:lineRule="exact"/>
              <w:rPr>
                <w:sz w:val="20"/>
                <w:szCs w:val="20"/>
                <w:color w:val="auto"/>
              </w:rPr>
            </w:pPr>
            <w:r>
              <w:rPr>
                <w:rFonts w:ascii="Calibri" w:cs="Calibri" w:eastAsia="Calibri" w:hAnsi="Calibri"/>
                <w:sz w:val="19"/>
                <w:szCs w:val="19"/>
                <w:b w:val="1"/>
                <w:bCs w:val="1"/>
                <w:color w:val="auto"/>
              </w:rPr>
              <w:t>(rounded to the nearest</w:t>
            </w:r>
          </w:p>
        </w:tc>
        <w:tc>
          <w:tcPr>
            <w:tcW w:w="3080" w:type="dxa"/>
            <w:vAlign w:val="bottom"/>
          </w:tcPr>
          <w:p>
            <w:pPr>
              <w:spacing w:after="0"/>
              <w:rPr>
                <w:sz w:val="16"/>
                <w:szCs w:val="16"/>
                <w:color w:val="auto"/>
              </w:rPr>
            </w:pPr>
          </w:p>
        </w:tc>
      </w:tr>
      <w:tr>
        <w:trPr>
          <w:trHeight w:val="226"/>
        </w:trPr>
        <w:tc>
          <w:tcPr>
            <w:tcW w:w="240" w:type="dxa"/>
            <w:vAlign w:val="bottom"/>
          </w:tcPr>
          <w:p>
            <w:pPr>
              <w:spacing w:after="0"/>
              <w:rPr>
                <w:sz w:val="19"/>
                <w:szCs w:val="19"/>
                <w:color w:val="auto"/>
              </w:rPr>
            </w:pPr>
          </w:p>
        </w:tc>
        <w:tc>
          <w:tcPr>
            <w:tcW w:w="7920" w:type="dxa"/>
            <w:vAlign w:val="bottom"/>
            <w:gridSpan w:val="2"/>
          </w:tcPr>
          <w:p>
            <w:pPr>
              <w:jc w:val="center"/>
              <w:ind w:right="120"/>
              <w:spacing w:after="0" w:line="227" w:lineRule="exact"/>
              <w:rPr>
                <w:sz w:val="20"/>
                <w:szCs w:val="20"/>
                <w:color w:val="auto"/>
              </w:rPr>
            </w:pPr>
            <w:r>
              <w:rPr>
                <w:rFonts w:ascii="Calibri" w:cs="Calibri" w:eastAsia="Calibri" w:hAnsi="Calibri"/>
                <w:sz w:val="19"/>
                <w:szCs w:val="19"/>
                <w:b w:val="1"/>
                <w:bCs w:val="1"/>
                <w:color w:val="auto"/>
              </w:rPr>
              <w:t>tenth of a percent)</w:t>
            </w:r>
          </w:p>
        </w:tc>
        <w:tc>
          <w:tcPr>
            <w:tcW w:w="3080" w:type="dxa"/>
            <w:vAlign w:val="bottom"/>
          </w:tcPr>
          <w:p>
            <w:pPr>
              <w:ind w:left="500"/>
              <w:spacing w:after="0" w:line="227" w:lineRule="exact"/>
              <w:rPr>
                <w:sz w:val="20"/>
                <w:szCs w:val="20"/>
                <w:color w:val="auto"/>
              </w:rPr>
            </w:pPr>
            <w:r>
              <w:rPr>
                <w:rFonts w:ascii="Calibri" w:cs="Calibri" w:eastAsia="Calibri" w:hAnsi="Calibri"/>
                <w:sz w:val="19"/>
                <w:szCs w:val="19"/>
                <w:b w:val="1"/>
                <w:bCs w:val="1"/>
                <w:color w:val="auto"/>
              </w:rPr>
              <w:t>BVPS Vestng Percentage*</w:t>
            </w:r>
          </w:p>
        </w:tc>
      </w:tr>
      <w:tr>
        <w:trPr>
          <w:trHeight w:val="45"/>
        </w:trPr>
        <w:tc>
          <w:tcPr>
            <w:tcW w:w="240" w:type="dxa"/>
            <w:vAlign w:val="bottom"/>
            <w:tcBorders>
              <w:bottom w:val="single" w:sz="8" w:color="CCEEFF"/>
            </w:tcBorders>
          </w:tcPr>
          <w:p>
            <w:pPr>
              <w:spacing w:after="0"/>
              <w:rPr>
                <w:sz w:val="3"/>
                <w:szCs w:val="3"/>
                <w:color w:val="auto"/>
              </w:rPr>
            </w:pPr>
          </w:p>
        </w:tc>
        <w:tc>
          <w:tcPr>
            <w:tcW w:w="7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239"/>
        </w:trPr>
        <w:tc>
          <w:tcPr>
            <w:tcW w:w="240" w:type="dxa"/>
            <w:vAlign w:val="bottom"/>
            <w:shd w:val="clear" w:color="auto" w:fill="CCEEFF"/>
          </w:tcPr>
          <w:p>
            <w:pPr>
              <w:spacing w:after="0"/>
              <w:rPr>
                <w:sz w:val="20"/>
                <w:szCs w:val="20"/>
                <w:color w:val="auto"/>
              </w:rPr>
            </w:pPr>
          </w:p>
        </w:tc>
        <w:tc>
          <w:tcPr>
            <w:tcW w:w="7800" w:type="dxa"/>
            <w:vAlign w:val="bottom"/>
            <w:shd w:val="clear" w:color="auto" w:fill="CCEEFF"/>
          </w:tcPr>
          <w:p>
            <w:pPr>
              <w:jc w:val="center"/>
              <w:spacing w:after="0" w:line="227" w:lineRule="exact"/>
              <w:rPr>
                <w:sz w:val="20"/>
                <w:szCs w:val="20"/>
                <w:color w:val="auto"/>
              </w:rPr>
            </w:pPr>
            <w:r>
              <w:rPr>
                <w:rFonts w:ascii="Calibri" w:cs="Calibri" w:eastAsia="Calibri" w:hAnsi="Calibri"/>
                <w:sz w:val="19"/>
                <w:szCs w:val="19"/>
                <w:b w:val="1"/>
                <w:bCs w:val="1"/>
                <w:color w:val="auto"/>
              </w:rPr>
              <w:t>[XX%]</w:t>
            </w:r>
          </w:p>
        </w:tc>
        <w:tc>
          <w:tcPr>
            <w:tcW w:w="120" w:type="dxa"/>
            <w:vAlign w:val="bottom"/>
            <w:shd w:val="clear" w:color="auto" w:fill="CCEEFF"/>
          </w:tcPr>
          <w:p>
            <w:pPr>
              <w:spacing w:after="0"/>
              <w:rPr>
                <w:sz w:val="20"/>
                <w:szCs w:val="20"/>
                <w:color w:val="auto"/>
              </w:rPr>
            </w:pPr>
          </w:p>
        </w:tc>
        <w:tc>
          <w:tcPr>
            <w:tcW w:w="3080" w:type="dxa"/>
            <w:vAlign w:val="bottom"/>
            <w:shd w:val="clear" w:color="auto" w:fill="CCEEFF"/>
          </w:tcPr>
          <w:p>
            <w:pPr>
              <w:ind w:left="1280"/>
              <w:spacing w:after="0" w:line="227" w:lineRule="exact"/>
              <w:rPr>
                <w:sz w:val="20"/>
                <w:szCs w:val="20"/>
                <w:color w:val="auto"/>
              </w:rPr>
            </w:pPr>
            <w:r>
              <w:rPr>
                <w:rFonts w:ascii="Calibri" w:cs="Calibri" w:eastAsia="Calibri" w:hAnsi="Calibri"/>
                <w:sz w:val="19"/>
                <w:szCs w:val="19"/>
                <w:b w:val="1"/>
                <w:bCs w:val="1"/>
                <w:color w:val="auto"/>
              </w:rPr>
              <w:t>[XX%]</w:t>
            </w:r>
          </w:p>
        </w:tc>
      </w:tr>
      <w:tr>
        <w:trPr>
          <w:trHeight w:val="236"/>
        </w:trPr>
        <w:tc>
          <w:tcPr>
            <w:tcW w:w="240" w:type="dxa"/>
            <w:vAlign w:val="bottom"/>
          </w:tcPr>
          <w:p>
            <w:pPr>
              <w:spacing w:after="0"/>
              <w:rPr>
                <w:sz w:val="20"/>
                <w:szCs w:val="20"/>
                <w:color w:val="auto"/>
              </w:rPr>
            </w:pPr>
          </w:p>
        </w:tc>
        <w:tc>
          <w:tcPr>
            <w:tcW w:w="7920" w:type="dxa"/>
            <w:vAlign w:val="bottom"/>
            <w:gridSpan w:val="2"/>
          </w:tcPr>
          <w:p>
            <w:pPr>
              <w:ind w:left="3620"/>
              <w:spacing w:after="0" w:line="227" w:lineRule="exact"/>
              <w:rPr>
                <w:sz w:val="20"/>
                <w:szCs w:val="20"/>
                <w:color w:val="auto"/>
              </w:rPr>
            </w:pPr>
            <w:r>
              <w:rPr>
                <w:rFonts w:ascii="Calibri" w:cs="Calibri" w:eastAsia="Calibri" w:hAnsi="Calibri"/>
                <w:sz w:val="19"/>
                <w:szCs w:val="19"/>
                <w:b w:val="1"/>
                <w:bCs w:val="1"/>
                <w:color w:val="auto"/>
              </w:rPr>
              <w:t>[XX%]</w:t>
            </w:r>
          </w:p>
        </w:tc>
        <w:tc>
          <w:tcPr>
            <w:tcW w:w="3080" w:type="dxa"/>
            <w:vAlign w:val="bottom"/>
          </w:tcPr>
          <w:p>
            <w:pPr>
              <w:ind w:left="1260"/>
              <w:spacing w:after="0" w:line="227" w:lineRule="exact"/>
              <w:rPr>
                <w:sz w:val="20"/>
                <w:szCs w:val="20"/>
                <w:color w:val="auto"/>
              </w:rPr>
            </w:pPr>
            <w:r>
              <w:rPr>
                <w:rFonts w:ascii="Calibri" w:cs="Calibri" w:eastAsia="Calibri" w:hAnsi="Calibri"/>
                <w:sz w:val="19"/>
                <w:szCs w:val="19"/>
                <w:b w:val="1"/>
                <w:bCs w:val="1"/>
                <w:color w:val="auto"/>
              </w:rPr>
              <w:t>[XX%]</w:t>
            </w:r>
          </w:p>
        </w:tc>
      </w:tr>
      <w:tr>
        <w:trPr>
          <w:trHeight w:val="256"/>
        </w:trPr>
        <w:tc>
          <w:tcPr>
            <w:tcW w:w="240" w:type="dxa"/>
            <w:vAlign w:val="bottom"/>
            <w:shd w:val="clear" w:color="auto" w:fill="CCEEFF"/>
          </w:tcPr>
          <w:p>
            <w:pPr>
              <w:spacing w:after="0"/>
              <w:rPr>
                <w:sz w:val="22"/>
                <w:szCs w:val="22"/>
                <w:color w:val="auto"/>
              </w:rPr>
            </w:pPr>
          </w:p>
        </w:tc>
        <w:tc>
          <w:tcPr>
            <w:tcW w:w="7920" w:type="dxa"/>
            <w:vAlign w:val="bottom"/>
            <w:gridSpan w:val="2"/>
            <w:shd w:val="clear" w:color="auto" w:fill="CCEEFF"/>
          </w:tcPr>
          <w:p>
            <w:pPr>
              <w:jc w:val="center"/>
              <w:ind w:right="160"/>
              <w:spacing w:after="0"/>
              <w:rPr>
                <w:sz w:val="20"/>
                <w:szCs w:val="20"/>
                <w:color w:val="auto"/>
              </w:rPr>
            </w:pPr>
            <w:r>
              <w:rPr>
                <w:rFonts w:ascii="Calibri" w:cs="Calibri" w:eastAsia="Calibri" w:hAnsi="Calibri"/>
                <w:sz w:val="19"/>
                <w:szCs w:val="19"/>
                <w:b w:val="1"/>
                <w:bCs w:val="1"/>
                <w:color w:val="auto"/>
              </w:rPr>
              <w:t>[XX%]</w:t>
            </w:r>
          </w:p>
        </w:tc>
        <w:tc>
          <w:tcPr>
            <w:tcW w:w="3080" w:type="dxa"/>
            <w:vAlign w:val="bottom"/>
            <w:shd w:val="clear" w:color="auto" w:fill="CCEEFF"/>
          </w:tcPr>
          <w:p>
            <w:pPr>
              <w:ind w:left="1280"/>
              <w:spacing w:after="0"/>
              <w:rPr>
                <w:sz w:val="20"/>
                <w:szCs w:val="20"/>
                <w:color w:val="auto"/>
              </w:rPr>
            </w:pPr>
            <w:r>
              <w:rPr>
                <w:rFonts w:ascii="Calibri" w:cs="Calibri" w:eastAsia="Calibri" w:hAnsi="Calibri"/>
                <w:sz w:val="19"/>
                <w:szCs w:val="19"/>
                <w:b w:val="1"/>
                <w:bCs w:val="1"/>
                <w:color w:val="auto"/>
              </w:rPr>
              <w:t>[XX%]</w:t>
            </w:r>
          </w:p>
        </w:tc>
      </w:tr>
      <w:tr>
        <w:trPr>
          <w:trHeight w:val="226"/>
        </w:trPr>
        <w:tc>
          <w:tcPr>
            <w:tcW w:w="240" w:type="dxa"/>
            <w:vAlign w:val="bottom"/>
          </w:tcPr>
          <w:p>
            <w:pPr>
              <w:spacing w:after="0"/>
              <w:rPr>
                <w:sz w:val="19"/>
                <w:szCs w:val="19"/>
                <w:color w:val="auto"/>
              </w:rPr>
            </w:pPr>
          </w:p>
        </w:tc>
        <w:tc>
          <w:tcPr>
            <w:tcW w:w="7920" w:type="dxa"/>
            <w:vAlign w:val="bottom"/>
            <w:gridSpan w:val="2"/>
          </w:tcPr>
          <w:p>
            <w:pPr>
              <w:jc w:val="center"/>
              <w:ind w:right="160"/>
              <w:spacing w:after="0" w:line="227" w:lineRule="exact"/>
              <w:rPr>
                <w:sz w:val="20"/>
                <w:szCs w:val="20"/>
                <w:color w:val="auto"/>
              </w:rPr>
            </w:pPr>
            <w:r>
              <w:rPr>
                <w:rFonts w:ascii="Calibri" w:cs="Calibri" w:eastAsia="Calibri" w:hAnsi="Calibri"/>
                <w:sz w:val="19"/>
                <w:szCs w:val="19"/>
                <w:b w:val="1"/>
                <w:bCs w:val="1"/>
                <w:color w:val="auto"/>
              </w:rPr>
              <w:t>[XX%]</w:t>
            </w:r>
          </w:p>
        </w:tc>
        <w:tc>
          <w:tcPr>
            <w:tcW w:w="3080" w:type="dxa"/>
            <w:vAlign w:val="bottom"/>
          </w:tcPr>
          <w:p>
            <w:pPr>
              <w:ind w:left="1260"/>
              <w:spacing w:after="0" w:line="227" w:lineRule="exact"/>
              <w:rPr>
                <w:sz w:val="20"/>
                <w:szCs w:val="20"/>
                <w:color w:val="auto"/>
              </w:rPr>
            </w:pPr>
            <w:r>
              <w:rPr>
                <w:rFonts w:ascii="Calibri" w:cs="Calibri" w:eastAsia="Calibri" w:hAnsi="Calibri"/>
                <w:sz w:val="19"/>
                <w:szCs w:val="19"/>
                <w:b w:val="1"/>
                <w:bCs w:val="1"/>
                <w:color w:val="auto"/>
              </w:rPr>
              <w:t>[XX%]</w:t>
            </w:r>
          </w:p>
        </w:tc>
      </w:tr>
    </w:tbl>
    <w:p>
      <w:pPr>
        <w:spacing w:after="0" w:line="240" w:lineRule="exact"/>
        <w:rPr>
          <w:sz w:val="20"/>
          <w:szCs w:val="20"/>
          <w:color w:val="auto"/>
        </w:rPr>
      </w:pPr>
    </w:p>
    <w:p>
      <w:pPr>
        <w:ind w:left="320" w:right="120" w:hanging="310"/>
        <w:spacing w:after="0" w:line="217" w:lineRule="auto"/>
        <w:rPr>
          <w:sz w:val="20"/>
          <w:szCs w:val="20"/>
          <w:color w:val="auto"/>
        </w:rPr>
      </w:pPr>
      <w:r>
        <w:rPr>
          <w:rFonts w:ascii="Calibri" w:cs="Calibri" w:eastAsia="Calibri" w:hAnsi="Calibri"/>
          <w:sz w:val="19"/>
          <w:szCs w:val="19"/>
          <w:color w:val="auto"/>
        </w:rPr>
        <w:t>*If the BVPS Growth Percentage falls between the performance levels shown above, the BVPS Vestng Percentage shall be determined using a straight-line linear interpolaton between the respectve levels shown.</w:t>
      </w:r>
    </w:p>
    <w:p>
      <w:pPr>
        <w:spacing w:after="0" w:line="150" w:lineRule="exact"/>
        <w:rPr>
          <w:sz w:val="20"/>
          <w:szCs w:val="20"/>
          <w:color w:val="auto"/>
        </w:rPr>
      </w:pPr>
    </w:p>
    <w:p>
      <w:pPr>
        <w:ind w:right="360" w:firstLine="624"/>
        <w:spacing w:after="0" w:line="205" w:lineRule="auto"/>
        <w:tabs>
          <w:tab w:leader="none" w:pos="1236" w:val="left"/>
        </w:tabs>
        <w:numPr>
          <w:ilvl w:val="0"/>
          <w:numId w:val="142"/>
        </w:numPr>
        <w:rPr>
          <w:rFonts w:ascii="Calibri" w:cs="Calibri" w:eastAsia="Calibri" w:hAnsi="Calibri"/>
          <w:sz w:val="19"/>
          <w:szCs w:val="19"/>
          <w:color w:val="auto"/>
        </w:rPr>
      </w:pPr>
      <w:r>
        <w:rPr>
          <w:rFonts w:ascii="Calibri" w:cs="Calibri" w:eastAsia="Calibri" w:hAnsi="Calibri"/>
          <w:sz w:val="19"/>
          <w:szCs w:val="19"/>
          <w:color w:val="auto"/>
        </w:rPr>
        <w:t>“Common Shares Outstanding” means, the total number of basic shares of Company Common Stock outstanding, as of December 31 of the year for which BVPS is being calculated, excluding any shares of Company Common Stock issued in excess of target in connecton with the vestng of performance-based RSUs during the Performance Period, and further adjusted to exclude the impact of any issuance, repurchase or stock split actvity on Company Common Stock during the Performance Period.</w:t>
      </w:r>
    </w:p>
    <w:p>
      <w:pPr>
        <w:spacing w:after="0" w:line="159" w:lineRule="exact"/>
        <w:rPr>
          <w:rFonts w:ascii="Calibri" w:cs="Calibri" w:eastAsia="Calibri" w:hAnsi="Calibri"/>
          <w:sz w:val="19"/>
          <w:szCs w:val="19"/>
          <w:color w:val="auto"/>
        </w:rPr>
      </w:pPr>
    </w:p>
    <w:p>
      <w:pPr>
        <w:ind w:left="1240" w:hanging="616"/>
        <w:spacing w:after="0"/>
        <w:tabs>
          <w:tab w:leader="none" w:pos="1240" w:val="left"/>
        </w:tabs>
        <w:numPr>
          <w:ilvl w:val="0"/>
          <w:numId w:val="142"/>
        </w:numPr>
        <w:rPr>
          <w:rFonts w:ascii="Calibri" w:cs="Calibri" w:eastAsia="Calibri" w:hAnsi="Calibri"/>
          <w:sz w:val="19"/>
          <w:szCs w:val="19"/>
          <w:color w:val="auto"/>
        </w:rPr>
      </w:pPr>
      <w:r>
        <w:rPr>
          <w:rFonts w:ascii="Calibri" w:cs="Calibri" w:eastAsia="Calibri" w:hAnsi="Calibri"/>
          <w:sz w:val="19"/>
          <w:szCs w:val="19"/>
          <w:color w:val="auto"/>
        </w:rPr>
        <w:t>“Earned Shares” means (i) the number of Target RSUs granted herein, multplied by (ii) the BVPS Vestng Percentage.</w:t>
      </w:r>
    </w:p>
    <w:p>
      <w:pPr>
        <w:spacing w:after="0" w:line="165" w:lineRule="exact"/>
        <w:rPr>
          <w:rFonts w:ascii="Calibri" w:cs="Calibri" w:eastAsia="Calibri" w:hAnsi="Calibri"/>
          <w:sz w:val="19"/>
          <w:szCs w:val="19"/>
          <w:color w:val="auto"/>
        </w:rPr>
      </w:pPr>
    </w:p>
    <w:p>
      <w:pPr>
        <w:ind w:left="1240" w:hanging="616"/>
        <w:spacing w:after="0"/>
        <w:tabs>
          <w:tab w:leader="none" w:pos="1240" w:val="left"/>
        </w:tabs>
        <w:numPr>
          <w:ilvl w:val="0"/>
          <w:numId w:val="142"/>
        </w:numPr>
        <w:rPr>
          <w:rFonts w:ascii="Calibri" w:cs="Calibri" w:eastAsia="Calibri" w:hAnsi="Calibri"/>
          <w:sz w:val="19"/>
          <w:szCs w:val="19"/>
          <w:color w:val="auto"/>
        </w:rPr>
      </w:pPr>
      <w:r>
        <w:rPr>
          <w:rFonts w:ascii="Calibri" w:cs="Calibri" w:eastAsia="Calibri" w:hAnsi="Calibri"/>
          <w:sz w:val="19"/>
          <w:szCs w:val="19"/>
          <w:color w:val="auto"/>
        </w:rPr>
        <w:t>“Performance Period” means the period commencing on [</w:t>
      </w:r>
      <w:r>
        <w:rPr>
          <w:rFonts w:ascii="Arial" w:cs="Arial" w:eastAsia="Arial" w:hAnsi="Arial"/>
          <w:sz w:val="19"/>
          <w:szCs w:val="19"/>
          <w:color w:val="auto"/>
        </w:rPr>
        <w:t>●</w:t>
      </w:r>
      <w:r>
        <w:rPr>
          <w:rFonts w:ascii="Calibri" w:cs="Calibri" w:eastAsia="Calibri" w:hAnsi="Calibri"/>
          <w:sz w:val="19"/>
          <w:szCs w:val="19"/>
          <w:color w:val="auto"/>
        </w:rPr>
        <w:t>] and ending on [</w:t>
      </w:r>
      <w:r>
        <w:rPr>
          <w:rFonts w:ascii="Arial" w:cs="Arial" w:eastAsia="Arial" w:hAnsi="Arial"/>
          <w:sz w:val="19"/>
          <w:szCs w:val="19"/>
          <w:color w:val="auto"/>
        </w:rPr>
        <w:t>●</w:t>
      </w:r>
      <w:r>
        <w:rPr>
          <w:rFonts w:ascii="Calibri" w:cs="Calibri" w:eastAsia="Calibri" w:hAnsi="Calibri"/>
          <w:sz w:val="19"/>
          <w:szCs w:val="19"/>
          <w:color w:val="auto"/>
        </w:rPr>
        <w:t>].</w:t>
      </w:r>
    </w:p>
    <w:p>
      <w:pPr>
        <w:sectPr>
          <w:pgSz w:w="11900" w:h="16838" w:orient="portrait"/>
          <w:cols w:equalWidth="0" w:num="1">
            <w:col w:w="11240"/>
          </w:cols>
          <w:pgMar w:left="320" w:top="83"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Guaranteed Securities by Subsidiary Guarantor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list of securities issued by the Company and guaranteed by NMI Services, Inc., a wholly-owned subsidiary of the Company (Subsidiary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7129780" cy="6242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7129780" cy="6242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7.375% senior secured notes due June 19, 2025.</w:t>
      </w:r>
    </w:p>
    <w:p>
      <w:pPr>
        <w:spacing w:after="0" w:line="63" w:lineRule="exact"/>
        <w:rPr>
          <w:sz w:val="20"/>
          <w:szCs w:val="20"/>
          <w:color w:val="auto"/>
        </w:rPr>
      </w:pPr>
    </w:p>
    <w:p>
      <w:pPr>
        <w:ind w:left="40" w:right="40"/>
        <w:spacing w:after="0" w:line="275" w:lineRule="auto"/>
        <w:rPr>
          <w:sz w:val="20"/>
          <w:szCs w:val="20"/>
          <w:color w:val="auto"/>
        </w:rPr>
      </w:pPr>
      <w:r>
        <w:rPr>
          <w:rFonts w:ascii="Times New Roman" w:cs="Times New Roman" w:eastAsia="Times New Roman" w:hAnsi="Times New Roman"/>
          <w:sz w:val="17"/>
          <w:szCs w:val="17"/>
          <w:color w:val="auto"/>
        </w:rPr>
        <w:t>Variable interest senior secured revolving credit facility due earlier of (x) November 29, 2025 or (y) if any existing senior secured notes remaining outstanding on such date, February 28, 2025.</w:t>
      </w:r>
    </w:p>
    <w:p>
      <w:pPr>
        <w:sectPr>
          <w:pgSz w:w="11900" w:h="16838" w:orient="portrait"/>
          <w:cols w:equalWidth="0" w:num="1">
            <w:col w:w="11240"/>
          </w:cols>
          <w:pgMar w:left="320" w:top="1038" w:right="339" w:bottom="1440" w:gutter="0" w:footer="0" w:header="0"/>
        </w:sectPr>
      </w:pPr>
    </w:p>
    <w:bookmarkStart w:id="179" w:name="page180"/>
    <w:bookmarkEnd w:id="179"/>
    <w:p>
      <w:pPr>
        <w:ind w:left="684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S-8 (No. 333-264951,333-192540, 333-218050 and 333-198835) of NMI Holdings, Inc. (the Company) of our reports dated February 14, 2024, relating to the consolidated financial statements and financial statement schedules appearing under Part IV, Item 15 - Exhibits and Financial Statement Schedules, and the effectiveness of the Company’s internal control over financial reporting, which appear in this Annual Report on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P.C.</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2024</w:t>
      </w:r>
    </w:p>
    <w:p>
      <w:pPr>
        <w:sectPr>
          <w:pgSz w:w="11900" w:h="16838" w:orient="portrait"/>
          <w:cols w:equalWidth="0" w:num="1">
            <w:col w:w="11240"/>
          </w:cols>
          <w:pgMar w:left="320" w:top="352"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EXECUTIVE OFFICER’S 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Adam S. Pollitzer, certify that:</w:t>
      </w:r>
    </w:p>
    <w:p>
      <w:pPr>
        <w:spacing w:after="0" w:line="218" w:lineRule="exact"/>
        <w:rPr>
          <w:sz w:val="20"/>
          <w:szCs w:val="20"/>
          <w:color w:val="auto"/>
        </w:rPr>
      </w:pPr>
    </w:p>
    <w:p>
      <w:pPr>
        <w:ind w:left="180" w:hanging="177"/>
        <w:spacing w:after="0"/>
        <w:tabs>
          <w:tab w:leader="none" w:pos="18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NMI Holdings, Inc.;</w:t>
      </w:r>
    </w:p>
    <w:p>
      <w:pPr>
        <w:spacing w:after="0" w:line="218" w:lineRule="exact"/>
        <w:rPr>
          <w:rFonts w:ascii="Times New Roman" w:cs="Times New Roman" w:eastAsia="Times New Roman" w:hAnsi="Times New Roman"/>
          <w:sz w:val="17"/>
          <w:szCs w:val="17"/>
          <w:color w:val="auto"/>
        </w:rPr>
      </w:pPr>
    </w:p>
    <w:p>
      <w:pPr>
        <w:ind w:right="260" w:firstLine="3"/>
        <w:spacing w:after="0" w:line="259" w:lineRule="auto"/>
        <w:tabs>
          <w:tab w:leader="none" w:pos="172"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Times New Roman" w:cs="Times New Roman" w:eastAsia="Times New Roman" w:hAnsi="Times New Roman"/>
          <w:sz w:val="17"/>
          <w:szCs w:val="17"/>
          <w:color w:val="auto"/>
        </w:rPr>
      </w:pPr>
    </w:p>
    <w:p>
      <w:pPr>
        <w:ind w:right="360" w:firstLine="3"/>
        <w:spacing w:after="0" w:line="259" w:lineRule="auto"/>
        <w:tabs>
          <w:tab w:leader="none" w:pos="172"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ind w:right="20" w:firstLine="3"/>
        <w:spacing w:after="0" w:line="251" w:lineRule="auto"/>
        <w:tabs>
          <w:tab w:leader="none" w:pos="172"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0" w:lineRule="exact"/>
        <w:rPr>
          <w:sz w:val="20"/>
          <w:szCs w:val="20"/>
          <w:color w:val="auto"/>
        </w:rPr>
      </w:pPr>
    </w:p>
    <w:p>
      <w:pPr>
        <w:jc w:val="both"/>
        <w:ind w:left="620" w:right="3280" w:firstLine="4"/>
        <w:spacing w:after="0" w:line="239" w:lineRule="auto"/>
        <w:tabs>
          <w:tab w:leader="none" w:pos="797"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820" w:hanging="196"/>
        <w:spacing w:after="0"/>
        <w:tabs>
          <w:tab w:leader="none" w:pos="82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w:t>
      </w:r>
    </w:p>
    <w:p>
      <w:pPr>
        <w:spacing w:after="0" w:line="5" w:lineRule="exact"/>
        <w:rPr>
          <w:rFonts w:ascii="Times New Roman" w:cs="Times New Roman" w:eastAsia="Times New Roman" w:hAnsi="Times New Roman"/>
          <w:sz w:val="17"/>
          <w:szCs w:val="17"/>
          <w:color w:val="auto"/>
        </w:rPr>
      </w:pPr>
    </w:p>
    <w:p>
      <w:pPr>
        <w:ind w:left="620" w:right="3260"/>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left="620" w:right="3180" w:firstLine="4"/>
        <w:spacing w:after="0" w:line="248" w:lineRule="auto"/>
        <w:tabs>
          <w:tab w:leader="none" w:pos="797"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Times New Roman" w:cs="Times New Roman" w:eastAsia="Times New Roman" w:hAnsi="Times New Roman"/>
          <w:sz w:val="17"/>
          <w:szCs w:val="17"/>
          <w:color w:val="auto"/>
        </w:rPr>
      </w:pPr>
    </w:p>
    <w:p>
      <w:pPr>
        <w:ind w:left="620" w:right="3260" w:firstLine="4"/>
        <w:spacing w:after="0" w:line="239" w:lineRule="auto"/>
        <w:tabs>
          <w:tab w:leader="none" w:pos="807"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right="740" w:firstLine="3"/>
        <w:spacing w:after="0" w:line="259" w:lineRule="auto"/>
        <w:tabs>
          <w:tab w:leader="none" w:pos="172"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800" w:hanging="176"/>
        <w:spacing w:after="0"/>
        <w:tabs>
          <w:tab w:leader="none" w:pos="80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w:t>
      </w:r>
    </w:p>
    <w:p>
      <w:pPr>
        <w:spacing w:after="0" w:line="19" w:lineRule="exact"/>
        <w:rPr>
          <w:sz w:val="20"/>
          <w:szCs w:val="20"/>
          <w:color w:val="auto"/>
        </w:rPr>
      </w:pPr>
    </w:p>
    <w:p>
      <w:pPr>
        <w:ind w:left="620" w:right="3220"/>
        <w:spacing w:after="0" w:line="237" w:lineRule="auto"/>
        <w:rPr>
          <w:sz w:val="20"/>
          <w:szCs w:val="20"/>
          <w:color w:val="auto"/>
        </w:rPr>
      </w:pPr>
      <w:r>
        <w:rPr>
          <w:rFonts w:ascii="Times New Roman" w:cs="Times New Roman" w:eastAsia="Times New Roman" w:hAnsi="Times New Roman"/>
          <w:sz w:val="17"/>
          <w:szCs w:val="17"/>
          <w:color w:val="auto"/>
        </w:rPr>
        <w:t>financial reporting which are reasonably likely to adversely affect the registrant’s ability to record, process, summarize and report financial information; and</w:t>
      </w:r>
    </w:p>
    <w:p>
      <w:pPr>
        <w:spacing w:after="0" w:line="189" w:lineRule="exact"/>
        <w:rPr>
          <w:sz w:val="20"/>
          <w:szCs w:val="20"/>
          <w:color w:val="auto"/>
        </w:rPr>
      </w:pPr>
    </w:p>
    <w:p>
      <w:pPr>
        <w:ind w:left="620" w:right="3160" w:firstLine="4"/>
        <w:spacing w:after="0" w:line="275" w:lineRule="auto"/>
        <w:tabs>
          <w:tab w:leader="none" w:pos="807"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ind w:left="640"/>
        <w:spacing w:after="0"/>
        <w:tabs>
          <w:tab w:leader="none" w:pos="5260" w:val="left"/>
        </w:tabs>
        <w:rPr>
          <w:sz w:val="20"/>
          <w:szCs w:val="20"/>
          <w:color w:val="auto"/>
        </w:rPr>
      </w:pPr>
      <w:r>
        <w:rPr>
          <w:rFonts w:ascii="Times New Roman" w:cs="Times New Roman" w:eastAsia="Times New Roman" w:hAnsi="Times New Roman"/>
          <w:sz w:val="17"/>
          <w:szCs w:val="17"/>
          <w:color w:val="auto"/>
        </w:rPr>
        <w:t>February 14, 2024</w:t>
      </w:r>
      <w:r>
        <w:rPr>
          <w:sz w:val="20"/>
          <w:szCs w:val="20"/>
          <w:color w:val="auto"/>
        </w:rPr>
        <w:tab/>
      </w:r>
      <w:r>
        <w:rPr>
          <w:rFonts w:ascii="Times New Roman" w:cs="Times New Roman" w:eastAsia="Times New Roman" w:hAnsi="Times New Roman"/>
          <w:sz w:val="17"/>
          <w:szCs w:val="17"/>
          <w:u w:val="single" w:color="auto"/>
          <w:color w:val="auto"/>
        </w:rPr>
        <w:t>/s/ Adam S. Pollitzer</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Adam S. Pollitzer</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352"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FINANCIAL OFFICER’S 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Ravi Mallela, certify that:</w:t>
      </w:r>
    </w:p>
    <w:p>
      <w:pPr>
        <w:spacing w:after="0" w:line="218" w:lineRule="exact"/>
        <w:rPr>
          <w:sz w:val="20"/>
          <w:szCs w:val="20"/>
          <w:color w:val="auto"/>
        </w:rPr>
      </w:pPr>
    </w:p>
    <w:p>
      <w:pPr>
        <w:ind w:left="180" w:hanging="177"/>
        <w:spacing w:after="0"/>
        <w:tabs>
          <w:tab w:leader="none" w:pos="18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NMI Holdings, Inc.;</w:t>
      </w:r>
    </w:p>
    <w:p>
      <w:pPr>
        <w:spacing w:after="0" w:line="218" w:lineRule="exact"/>
        <w:rPr>
          <w:rFonts w:ascii="Times New Roman" w:cs="Times New Roman" w:eastAsia="Times New Roman" w:hAnsi="Times New Roman"/>
          <w:sz w:val="17"/>
          <w:szCs w:val="17"/>
          <w:color w:val="auto"/>
        </w:rPr>
      </w:pPr>
    </w:p>
    <w:p>
      <w:pPr>
        <w:ind w:right="260" w:firstLine="3"/>
        <w:spacing w:after="0" w:line="259" w:lineRule="auto"/>
        <w:tabs>
          <w:tab w:leader="none" w:pos="172"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Times New Roman" w:cs="Times New Roman" w:eastAsia="Times New Roman" w:hAnsi="Times New Roman"/>
          <w:sz w:val="17"/>
          <w:szCs w:val="17"/>
          <w:color w:val="auto"/>
        </w:rPr>
      </w:pPr>
    </w:p>
    <w:p>
      <w:pPr>
        <w:ind w:right="360" w:firstLine="3"/>
        <w:spacing w:after="0" w:line="259" w:lineRule="auto"/>
        <w:tabs>
          <w:tab w:leader="none" w:pos="172"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ind w:right="20" w:firstLine="3"/>
        <w:spacing w:after="0" w:line="259" w:lineRule="auto"/>
        <w:tabs>
          <w:tab w:leader="none" w:pos="172"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86" w:lineRule="exact"/>
        <w:rPr>
          <w:sz w:val="20"/>
          <w:szCs w:val="20"/>
          <w:color w:val="auto"/>
        </w:rPr>
      </w:pPr>
    </w:p>
    <w:p>
      <w:pPr>
        <w:jc w:val="both"/>
        <w:ind w:left="620" w:right="3280" w:firstLine="4"/>
        <w:spacing w:after="0" w:line="236" w:lineRule="auto"/>
        <w:tabs>
          <w:tab w:leader="none" w:pos="797"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17"/>
          <w:szCs w:val="17"/>
          <w:color w:val="auto"/>
        </w:rPr>
      </w:pPr>
    </w:p>
    <w:p>
      <w:pPr>
        <w:ind w:left="820" w:hanging="196"/>
        <w:spacing w:after="0"/>
        <w:tabs>
          <w:tab w:leader="none" w:pos="82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w:t>
      </w:r>
    </w:p>
    <w:p>
      <w:pPr>
        <w:spacing w:after="0" w:line="5" w:lineRule="exact"/>
        <w:rPr>
          <w:rFonts w:ascii="Times New Roman" w:cs="Times New Roman" w:eastAsia="Times New Roman" w:hAnsi="Times New Roman"/>
          <w:sz w:val="17"/>
          <w:szCs w:val="17"/>
          <w:color w:val="auto"/>
        </w:rPr>
      </w:pPr>
    </w:p>
    <w:p>
      <w:pPr>
        <w:ind w:left="620" w:right="3260"/>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left="620" w:right="3180" w:firstLine="4"/>
        <w:spacing w:after="0"/>
        <w:tabs>
          <w:tab w:leader="none" w:pos="797"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7"/>
          <w:szCs w:val="17"/>
          <w:color w:val="auto"/>
        </w:rPr>
      </w:pPr>
    </w:p>
    <w:p>
      <w:pPr>
        <w:ind w:left="620" w:right="3260" w:firstLine="4"/>
        <w:spacing w:after="0" w:line="236" w:lineRule="auto"/>
        <w:tabs>
          <w:tab w:leader="none" w:pos="807"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Times New Roman" w:cs="Times New Roman" w:eastAsia="Times New Roman" w:hAnsi="Times New Roman"/>
          <w:sz w:val="17"/>
          <w:szCs w:val="17"/>
          <w:color w:val="auto"/>
        </w:rPr>
      </w:pPr>
    </w:p>
    <w:p>
      <w:pPr>
        <w:ind w:right="740" w:firstLine="3"/>
        <w:spacing w:after="0" w:line="259" w:lineRule="auto"/>
        <w:tabs>
          <w:tab w:leader="none" w:pos="172"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800" w:hanging="176"/>
        <w:spacing w:after="0"/>
        <w:tabs>
          <w:tab w:leader="none" w:pos="800"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w:t>
      </w:r>
    </w:p>
    <w:p>
      <w:pPr>
        <w:spacing w:after="0" w:line="6" w:lineRule="exact"/>
        <w:rPr>
          <w:sz w:val="20"/>
          <w:szCs w:val="20"/>
          <w:color w:val="auto"/>
        </w:rPr>
      </w:pPr>
    </w:p>
    <w:p>
      <w:pPr>
        <w:ind w:left="620" w:right="3220"/>
        <w:spacing w:after="0" w:line="250" w:lineRule="auto"/>
        <w:rPr>
          <w:sz w:val="20"/>
          <w:szCs w:val="20"/>
          <w:color w:val="auto"/>
        </w:rPr>
      </w:pPr>
      <w:r>
        <w:rPr>
          <w:rFonts w:ascii="Times New Roman" w:cs="Times New Roman" w:eastAsia="Times New Roman" w:hAnsi="Times New Roman"/>
          <w:sz w:val="17"/>
          <w:szCs w:val="17"/>
          <w:color w:val="auto"/>
        </w:rPr>
        <w:t>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ind w:left="620" w:right="3160" w:firstLine="4"/>
        <w:spacing w:after="0" w:line="259" w:lineRule="auto"/>
        <w:tabs>
          <w:tab w:leader="none" w:pos="807"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4" w:lineRule="exact"/>
        <w:rPr>
          <w:sz w:val="20"/>
          <w:szCs w:val="20"/>
          <w:color w:val="auto"/>
        </w:rPr>
      </w:pPr>
    </w:p>
    <w:p>
      <w:pPr>
        <w:ind w:left="5280" w:right="4860" w:hanging="4630"/>
        <w:spacing w:after="0" w:line="301" w:lineRule="auto"/>
        <w:tabs>
          <w:tab w:leader="none" w:pos="5260" w:val="left"/>
        </w:tabs>
        <w:rPr>
          <w:sz w:val="20"/>
          <w:szCs w:val="20"/>
          <w:color w:val="auto"/>
        </w:rPr>
      </w:pPr>
      <w:r>
        <w:rPr>
          <w:rFonts w:ascii="Times New Roman" w:cs="Times New Roman" w:eastAsia="Times New Roman" w:hAnsi="Times New Roman"/>
          <w:sz w:val="17"/>
          <w:szCs w:val="17"/>
          <w:color w:val="auto"/>
        </w:rPr>
        <w:t>February 14, 2024</w:t>
      </w:r>
      <w:r>
        <w:rPr>
          <w:sz w:val="20"/>
          <w:szCs w:val="20"/>
          <w:color w:val="auto"/>
        </w:rPr>
        <w:tab/>
      </w:r>
      <w:r>
        <w:rPr>
          <w:rFonts w:ascii="Times New Roman" w:cs="Times New Roman" w:eastAsia="Times New Roman" w:hAnsi="Times New Roman"/>
          <w:sz w:val="17"/>
          <w:szCs w:val="17"/>
          <w:u w:val="single" w:color="auto"/>
          <w:color w:val="auto"/>
        </w:rPr>
        <w:t xml:space="preserve">/s/ Ravi Mallela </w:t>
      </w:r>
      <w:r>
        <w:rPr>
          <w:rFonts w:ascii="Times New Roman" w:cs="Times New Roman" w:eastAsia="Times New Roman" w:hAnsi="Times New Roman"/>
          <w:sz w:val="17"/>
          <w:szCs w:val="17"/>
          <w:color w:val="auto"/>
        </w:rPr>
        <w:t>Ravi Mallela</w:t>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352"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AND CFO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jc w:val="center"/>
        <w:spacing w:after="0" w:line="222" w:lineRule="auto"/>
        <w:rPr>
          <w:sz w:val="20"/>
          <w:szCs w:val="20"/>
          <w:color w:val="auto"/>
        </w:rPr>
      </w:pPr>
      <w:r>
        <w:rPr>
          <w:rFonts w:ascii="Times New Roman" w:cs="Times New Roman" w:eastAsia="Times New Roman" w:hAnsi="Times New Roman"/>
          <w:sz w:val="17"/>
          <w:szCs w:val="17"/>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37"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7"/>
          <w:szCs w:val="17"/>
          <w:color w:val="auto"/>
        </w:rPr>
        <w:t>In connection with the Annual Report of NMI Holdings, Inc. (the “Company”) on Form 10-K for the year ended December 31, 2023,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83" w:lineRule="exact"/>
        <w:rPr>
          <w:sz w:val="20"/>
          <w:szCs w:val="20"/>
          <w:color w:val="auto"/>
        </w:rPr>
      </w:pPr>
    </w:p>
    <w:p>
      <w:pPr>
        <w:ind w:left="620" w:right="3360" w:firstLine="4"/>
        <w:spacing w:after="0" w:line="259" w:lineRule="auto"/>
        <w:tabs>
          <w:tab w:leader="none" w:pos="864"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73" w:lineRule="exact"/>
        <w:rPr>
          <w:rFonts w:ascii="Times New Roman" w:cs="Times New Roman" w:eastAsia="Times New Roman" w:hAnsi="Times New Roman"/>
          <w:sz w:val="17"/>
          <w:szCs w:val="17"/>
          <w:color w:val="auto"/>
        </w:rPr>
      </w:pPr>
    </w:p>
    <w:p>
      <w:pPr>
        <w:ind w:left="620" w:right="3280" w:firstLine="4"/>
        <w:spacing w:after="0" w:line="275" w:lineRule="auto"/>
        <w:tabs>
          <w:tab w:leader="none" w:pos="864"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4640" w:val="left"/>
        </w:tabs>
        <w:rPr>
          <w:sz w:val="20"/>
          <w:szCs w:val="20"/>
          <w:color w:val="auto"/>
        </w:rPr>
      </w:pPr>
      <w:r>
        <w:rPr>
          <w:rFonts w:ascii="Times New Roman" w:cs="Times New Roman" w:eastAsia="Times New Roman" w:hAnsi="Times New Roman"/>
          <w:sz w:val="17"/>
          <w:szCs w:val="17"/>
          <w:color w:val="auto"/>
        </w:rPr>
        <w:t>February 14, 2024</w:t>
      </w:r>
      <w:r>
        <w:rPr>
          <w:sz w:val="20"/>
          <w:szCs w:val="20"/>
          <w:color w:val="auto"/>
        </w:rPr>
        <w:tab/>
      </w:r>
      <w:r>
        <w:rPr>
          <w:rFonts w:ascii="Times New Roman" w:cs="Times New Roman" w:eastAsia="Times New Roman" w:hAnsi="Times New Roman"/>
          <w:sz w:val="17"/>
          <w:szCs w:val="17"/>
          <w:u w:val="single" w:color="auto"/>
          <w:color w:val="auto"/>
        </w:rPr>
        <w:t>/s/ Adam S. Pollitzer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Adam S. Pollitzer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60" w:right="5480" w:hanging="4630"/>
        <w:spacing w:after="0" w:line="301" w:lineRule="auto"/>
        <w:tabs>
          <w:tab w:leader="none" w:pos="4640" w:val="left"/>
        </w:tabs>
        <w:rPr>
          <w:sz w:val="20"/>
          <w:szCs w:val="20"/>
          <w:color w:val="auto"/>
        </w:rPr>
      </w:pPr>
      <w:r>
        <w:rPr>
          <w:rFonts w:ascii="Times New Roman" w:cs="Times New Roman" w:eastAsia="Times New Roman" w:hAnsi="Times New Roman"/>
          <w:sz w:val="17"/>
          <w:szCs w:val="17"/>
          <w:color w:val="auto"/>
        </w:rPr>
        <w:t>February 14, 2024</w:t>
      </w:r>
      <w:r>
        <w:rPr>
          <w:sz w:val="20"/>
          <w:szCs w:val="20"/>
          <w:color w:val="auto"/>
        </w:rPr>
        <w:tab/>
      </w:r>
      <w:r>
        <w:rPr>
          <w:rFonts w:ascii="Times New Roman" w:cs="Times New Roman" w:eastAsia="Times New Roman" w:hAnsi="Times New Roman"/>
          <w:sz w:val="17"/>
          <w:szCs w:val="17"/>
          <w:u w:val="single" w:color="auto"/>
          <w:color w:val="auto"/>
        </w:rPr>
        <w:t xml:space="preserve">/s/ Ravi Mallela </w:t>
      </w:r>
      <w:r>
        <w:rPr>
          <w:rFonts w:ascii="Times New Roman" w:cs="Times New Roman" w:eastAsia="Times New Roman" w:hAnsi="Times New Roman"/>
          <w:sz w:val="17"/>
          <w:szCs w:val="17"/>
          <w:color w:val="auto"/>
        </w:rPr>
        <w:t>Ravi Mallela</w:t>
      </w:r>
    </w:p>
    <w:p>
      <w:pPr>
        <w:spacing w:after="0" w:line="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35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sectPr>
          <w:pgSz w:w="11900" w:h="16838" w:orient="portrait"/>
          <w:cols w:equalWidth="0" w:num="1">
            <w:col w:w="11240"/>
          </w:cols>
          <w:pgMar w:left="320" w:top="352" w:right="339" w:bottom="1440" w:gutter="0" w:footer="0" w:header="0"/>
        </w:sectPr>
      </w:pPr>
    </w:p>
    <w:bookmarkStart w:id="183" w:name="page184"/>
    <w:bookmarkEnd w:id="183"/>
    <w:p>
      <w:pPr>
        <w:ind w:left="10220"/>
        <w:spacing w:after="0"/>
        <w:rPr>
          <w:sz w:val="20"/>
          <w:szCs w:val="20"/>
          <w:color w:val="auto"/>
        </w:rPr>
      </w:pPr>
      <w:r>
        <w:rPr>
          <w:rFonts w:ascii="Calibri" w:cs="Calibri" w:eastAsia="Calibri" w:hAnsi="Calibri"/>
          <w:sz w:val="19"/>
          <w:szCs w:val="19"/>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NMI HOLDINGS, INC.</w:t>
      </w:r>
    </w:p>
    <w:p>
      <w:pPr>
        <w:jc w:val="center"/>
        <w:spacing w:after="0" w:line="200" w:lineRule="auto"/>
        <w:rPr>
          <w:sz w:val="20"/>
          <w:szCs w:val="20"/>
          <w:color w:val="auto"/>
        </w:rPr>
      </w:pPr>
      <w:r>
        <w:rPr>
          <w:rFonts w:ascii="Calibri" w:cs="Calibri" w:eastAsia="Calibri" w:hAnsi="Calibri"/>
          <w:sz w:val="19"/>
          <w:szCs w:val="19"/>
          <w:b w:val="1"/>
          <w:bCs w:val="1"/>
          <w:color w:val="auto"/>
        </w:rPr>
        <w:t>COMPENSATION RECOVERY POLICY</w:t>
      </w:r>
    </w:p>
    <w:p>
      <w:pPr>
        <w:spacing w:after="0" w:line="183"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Efectve September 13, 2023</w:t>
      </w:r>
    </w:p>
    <w:p>
      <w:pPr>
        <w:spacing w:after="0" w:line="200" w:lineRule="exact"/>
        <w:rPr>
          <w:sz w:val="20"/>
          <w:szCs w:val="20"/>
          <w:color w:val="auto"/>
        </w:rPr>
      </w:pPr>
    </w:p>
    <w:p>
      <w:pPr>
        <w:spacing w:after="0" w:line="233" w:lineRule="exact"/>
        <w:rPr>
          <w:sz w:val="20"/>
          <w:szCs w:val="20"/>
          <w:color w:val="auto"/>
        </w:rPr>
      </w:pPr>
    </w:p>
    <w:p>
      <w:pPr>
        <w:ind w:left="620" w:right="60" w:hanging="617"/>
        <w:spacing w:after="0" w:line="207" w:lineRule="auto"/>
        <w:tabs>
          <w:tab w:leader="none" w:pos="325" w:val="left"/>
        </w:tabs>
        <w:numPr>
          <w:ilvl w:val="0"/>
          <w:numId w:val="152"/>
        </w:numPr>
        <w:rPr>
          <w:rFonts w:ascii="Calibri" w:cs="Calibri" w:eastAsia="Calibri" w:hAnsi="Calibri"/>
          <w:sz w:val="19"/>
          <w:szCs w:val="19"/>
          <w:b w:val="1"/>
          <w:bCs w:val="1"/>
          <w:color w:val="auto"/>
        </w:rPr>
      </w:pPr>
      <w:r>
        <w:rPr>
          <w:rFonts w:ascii="Calibri" w:cs="Calibri" w:eastAsia="Calibri" w:hAnsi="Calibri"/>
          <w:sz w:val="19"/>
          <w:szCs w:val="19"/>
          <w:b w:val="1"/>
          <w:bCs w:val="1"/>
          <w:u w:val="single" w:color="auto"/>
          <w:color w:val="auto"/>
        </w:rPr>
        <w:t>Purpose</w:t>
      </w:r>
      <w:r>
        <w:rPr>
          <w:rFonts w:ascii="Calibri" w:cs="Calibri" w:eastAsia="Calibri" w:hAnsi="Calibri"/>
          <w:sz w:val="19"/>
          <w:szCs w:val="19"/>
          <w:color w:val="auto"/>
        </w:rPr>
        <w:t>. This Policy sets forth the terms on which NMI Holdings, Inc (the “</w:t>
      </w:r>
      <w:r>
        <w:rPr>
          <w:rFonts w:ascii="Calibri" w:cs="Calibri" w:eastAsia="Calibri" w:hAnsi="Calibri"/>
          <w:sz w:val="19"/>
          <w:szCs w:val="19"/>
          <w:b w:val="1"/>
          <w:bCs w:val="1"/>
          <w:color w:val="auto"/>
        </w:rPr>
        <w:t>Company</w:t>
      </w:r>
      <w:r>
        <w:rPr>
          <w:rFonts w:ascii="Calibri" w:cs="Calibri" w:eastAsia="Calibri" w:hAnsi="Calibri"/>
          <w:sz w:val="19"/>
          <w:szCs w:val="19"/>
          <w:color w:val="auto"/>
        </w:rPr>
        <w:t>”) may recover erroneously awarded compensaton to</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its executve ofcers and shall replace in its entrety the Company’s Clawback Policy, dated February 9, 2017. This Policy is intended to comply with Secton 10D of the Exchange Act and Nasdaq Listng Rule 5608.</w:t>
      </w:r>
    </w:p>
    <w:p>
      <w:pPr>
        <w:spacing w:after="0" w:line="170" w:lineRule="exact"/>
        <w:rPr>
          <w:rFonts w:ascii="Calibri" w:cs="Calibri" w:eastAsia="Calibri" w:hAnsi="Calibri"/>
          <w:sz w:val="19"/>
          <w:szCs w:val="19"/>
          <w:b w:val="1"/>
          <w:bCs w:val="1"/>
          <w:color w:val="auto"/>
        </w:rPr>
      </w:pPr>
    </w:p>
    <w:p>
      <w:pPr>
        <w:ind w:left="320" w:hanging="317"/>
        <w:spacing w:after="0"/>
        <w:tabs>
          <w:tab w:leader="none" w:pos="320" w:val="left"/>
        </w:tabs>
        <w:numPr>
          <w:ilvl w:val="0"/>
          <w:numId w:val="152"/>
        </w:numPr>
        <w:rPr>
          <w:rFonts w:ascii="Calibri" w:cs="Calibri" w:eastAsia="Calibri" w:hAnsi="Calibri"/>
          <w:sz w:val="19"/>
          <w:szCs w:val="19"/>
          <w:b w:val="1"/>
          <w:bCs w:val="1"/>
          <w:color w:val="auto"/>
        </w:rPr>
      </w:pPr>
      <w:r>
        <w:rPr>
          <w:rFonts w:ascii="Calibri" w:cs="Calibri" w:eastAsia="Calibri" w:hAnsi="Calibri"/>
          <w:sz w:val="19"/>
          <w:szCs w:val="19"/>
          <w:b w:val="1"/>
          <w:bCs w:val="1"/>
          <w:u w:val="single" w:color="auto"/>
          <w:color w:val="auto"/>
        </w:rPr>
        <w:t>Defnitons</w:t>
      </w:r>
      <w:r>
        <w:rPr>
          <w:rFonts w:ascii="Calibri" w:cs="Calibri" w:eastAsia="Calibri" w:hAnsi="Calibri"/>
          <w:sz w:val="19"/>
          <w:szCs w:val="19"/>
          <w:color w:val="auto"/>
        </w:rPr>
        <w:t>. Unless the context otherwise requires, the following terms used in this Policy shall have the following meanings:</w:t>
      </w:r>
    </w:p>
    <w:p>
      <w:pPr>
        <w:spacing w:after="0" w:line="169" w:lineRule="exact"/>
        <w:rPr>
          <w:rFonts w:ascii="Calibri" w:cs="Calibri" w:eastAsia="Calibri" w:hAnsi="Calibri"/>
          <w:sz w:val="19"/>
          <w:szCs w:val="19"/>
          <w:b w:val="1"/>
          <w:bCs w:val="1"/>
          <w:color w:val="auto"/>
        </w:rPr>
      </w:pPr>
    </w:p>
    <w:p>
      <w:pPr>
        <w:ind w:left="1020" w:hanging="396"/>
        <w:spacing w:after="0"/>
        <w:tabs>
          <w:tab w:leader="none" w:pos="1020" w:val="left"/>
        </w:tabs>
        <w:numPr>
          <w:ilvl w:val="1"/>
          <w:numId w:val="152"/>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Board</w:t>
      </w:r>
      <w:r>
        <w:rPr>
          <w:rFonts w:ascii="Calibri" w:cs="Calibri" w:eastAsia="Calibri" w:hAnsi="Calibri"/>
          <w:sz w:val="19"/>
          <w:szCs w:val="19"/>
          <w:color w:val="auto"/>
        </w:rPr>
        <w:t>” means the Board of Directors of the Company.</w:t>
      </w:r>
    </w:p>
    <w:p>
      <w:pPr>
        <w:spacing w:after="0" w:line="156" w:lineRule="exact"/>
        <w:rPr>
          <w:rFonts w:ascii="Calibri" w:cs="Calibri" w:eastAsia="Calibri" w:hAnsi="Calibri"/>
          <w:sz w:val="19"/>
          <w:szCs w:val="19"/>
          <w:color w:val="auto"/>
        </w:rPr>
      </w:pPr>
    </w:p>
    <w:p>
      <w:pPr>
        <w:ind w:left="1020" w:hanging="396"/>
        <w:spacing w:after="0"/>
        <w:tabs>
          <w:tab w:leader="none" w:pos="1020" w:val="left"/>
        </w:tabs>
        <w:numPr>
          <w:ilvl w:val="1"/>
          <w:numId w:val="152"/>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Commitee</w:t>
      </w:r>
      <w:r>
        <w:rPr>
          <w:rFonts w:ascii="Calibri" w:cs="Calibri" w:eastAsia="Calibri" w:hAnsi="Calibri"/>
          <w:sz w:val="19"/>
          <w:szCs w:val="19"/>
          <w:color w:val="auto"/>
        </w:rPr>
        <w:t>” means the Compensaton Commitee of the Board.</w:t>
      </w:r>
    </w:p>
    <w:p>
      <w:pPr>
        <w:spacing w:after="0" w:line="169" w:lineRule="exact"/>
        <w:rPr>
          <w:rFonts w:ascii="Calibri" w:cs="Calibri" w:eastAsia="Calibri" w:hAnsi="Calibri"/>
          <w:sz w:val="19"/>
          <w:szCs w:val="19"/>
          <w:color w:val="auto"/>
        </w:rPr>
      </w:pPr>
    </w:p>
    <w:p>
      <w:pPr>
        <w:ind w:left="1000" w:hanging="376"/>
        <w:spacing w:after="0"/>
        <w:tabs>
          <w:tab w:leader="none" w:pos="1000" w:val="left"/>
        </w:tabs>
        <w:numPr>
          <w:ilvl w:val="1"/>
          <w:numId w:val="152"/>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Exchange</w:t>
      </w:r>
      <w:r>
        <w:rPr>
          <w:rFonts w:ascii="Calibri" w:cs="Calibri" w:eastAsia="Calibri" w:hAnsi="Calibri"/>
          <w:sz w:val="19"/>
          <w:szCs w:val="19"/>
          <w:color w:val="auto"/>
        </w:rPr>
        <w:t>” means the Nasdaq Stock Market.</w:t>
      </w:r>
    </w:p>
    <w:p>
      <w:pPr>
        <w:spacing w:after="0" w:line="169" w:lineRule="exact"/>
        <w:rPr>
          <w:rFonts w:ascii="Calibri" w:cs="Calibri" w:eastAsia="Calibri" w:hAnsi="Calibri"/>
          <w:sz w:val="19"/>
          <w:szCs w:val="19"/>
          <w:color w:val="auto"/>
        </w:rPr>
      </w:pPr>
    </w:p>
    <w:p>
      <w:pPr>
        <w:ind w:left="1020" w:hanging="396"/>
        <w:spacing w:after="0"/>
        <w:tabs>
          <w:tab w:leader="none" w:pos="1020" w:val="left"/>
        </w:tabs>
        <w:numPr>
          <w:ilvl w:val="1"/>
          <w:numId w:val="152"/>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Exchange Act</w:t>
      </w:r>
      <w:r>
        <w:rPr>
          <w:rFonts w:ascii="Calibri" w:cs="Calibri" w:eastAsia="Calibri" w:hAnsi="Calibri"/>
          <w:sz w:val="19"/>
          <w:szCs w:val="19"/>
          <w:color w:val="auto"/>
        </w:rPr>
        <w:t>” means the Securites Exchange Act of 1934, as amended from tme to tme, and any successor thereto.</w:t>
      </w:r>
    </w:p>
    <w:p>
      <w:pPr>
        <w:spacing w:after="0" w:line="156" w:lineRule="exact"/>
        <w:rPr>
          <w:rFonts w:ascii="Calibri" w:cs="Calibri" w:eastAsia="Calibri" w:hAnsi="Calibri"/>
          <w:sz w:val="19"/>
          <w:szCs w:val="19"/>
          <w:color w:val="auto"/>
        </w:rPr>
      </w:pPr>
    </w:p>
    <w:p>
      <w:pPr>
        <w:ind w:left="1020" w:hanging="396"/>
        <w:spacing w:after="0"/>
        <w:tabs>
          <w:tab w:leader="none" w:pos="1020" w:val="left"/>
        </w:tabs>
        <w:numPr>
          <w:ilvl w:val="1"/>
          <w:numId w:val="152"/>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erroneously awarded compensaton</w:t>
      </w:r>
      <w:r>
        <w:rPr>
          <w:rFonts w:ascii="Calibri" w:cs="Calibri" w:eastAsia="Calibri" w:hAnsi="Calibri"/>
          <w:sz w:val="19"/>
          <w:szCs w:val="19"/>
          <w:color w:val="auto"/>
        </w:rPr>
        <w:t>” has the meaning set forth in Secton 3(c).</w:t>
      </w:r>
    </w:p>
    <w:p>
      <w:pPr>
        <w:spacing w:after="0" w:line="174" w:lineRule="exact"/>
        <w:rPr>
          <w:rFonts w:ascii="Calibri" w:cs="Calibri" w:eastAsia="Calibri" w:hAnsi="Calibri"/>
          <w:sz w:val="19"/>
          <w:szCs w:val="19"/>
          <w:color w:val="auto"/>
        </w:rPr>
      </w:pPr>
    </w:p>
    <w:p>
      <w:pPr>
        <w:ind w:left="1240" w:right="20" w:hanging="616"/>
        <w:spacing w:after="0" w:line="204" w:lineRule="auto"/>
        <w:tabs>
          <w:tab w:leader="none" w:pos="974" w:val="left"/>
        </w:tabs>
        <w:numPr>
          <w:ilvl w:val="1"/>
          <w:numId w:val="152"/>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executve ofcer</w:t>
      </w:r>
      <w:r>
        <w:rPr>
          <w:rFonts w:ascii="Calibri" w:cs="Calibri" w:eastAsia="Calibri" w:hAnsi="Calibri"/>
          <w:sz w:val="19"/>
          <w:szCs w:val="19"/>
          <w:color w:val="auto"/>
        </w:rPr>
        <w:t>” means the Company’s president, principal executve ofcer, principal fnancial ofcer, principal accountng ofcer (or if there is no such accountng ofcer, the controller), any vice-president of the Company in charge of a principal business unit, division or functon, any other ofcer who performs a policy-making functon, or any other person who performs similar policy-making functons for the Company. An “executve ofcer” for purposes of this Policy includes at a minimum executve ofcers identfed pursuant to Item 401(b) of SEC Regulaton S-K.</w:t>
      </w:r>
    </w:p>
    <w:p>
      <w:pPr>
        <w:spacing w:after="0" w:line="165" w:lineRule="exact"/>
        <w:rPr>
          <w:rFonts w:ascii="Calibri" w:cs="Calibri" w:eastAsia="Calibri" w:hAnsi="Calibri"/>
          <w:sz w:val="19"/>
          <w:szCs w:val="19"/>
          <w:color w:val="auto"/>
        </w:rPr>
      </w:pPr>
    </w:p>
    <w:p>
      <w:pPr>
        <w:ind w:left="1240" w:right="40" w:hanging="616"/>
        <w:spacing w:after="0" w:line="211" w:lineRule="auto"/>
        <w:tabs>
          <w:tab w:leader="none" w:pos="1004" w:val="left"/>
        </w:tabs>
        <w:numPr>
          <w:ilvl w:val="1"/>
          <w:numId w:val="152"/>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fnancial reportng measures</w:t>
      </w:r>
      <w:r>
        <w:rPr>
          <w:rFonts w:ascii="Calibri" w:cs="Calibri" w:eastAsia="Calibri" w:hAnsi="Calibri"/>
          <w:sz w:val="19"/>
          <w:szCs w:val="19"/>
          <w:color w:val="auto"/>
        </w:rPr>
        <w:t>” means measures that are determined and presented in accordance with the accountng principles used in preparing the Company’s fnancial statements, and any measures that are derived wholly or in part from such measures. Stock price and total shareholder return are also fnancial reportng measures.</w:t>
      </w:r>
    </w:p>
    <w:p>
      <w:pPr>
        <w:spacing w:after="0" w:line="164" w:lineRule="exact"/>
        <w:rPr>
          <w:rFonts w:ascii="Calibri" w:cs="Calibri" w:eastAsia="Calibri" w:hAnsi="Calibri"/>
          <w:sz w:val="19"/>
          <w:szCs w:val="19"/>
          <w:color w:val="auto"/>
        </w:rPr>
      </w:pPr>
    </w:p>
    <w:p>
      <w:pPr>
        <w:ind w:left="1240" w:right="320" w:hanging="616"/>
        <w:spacing w:after="0" w:line="217" w:lineRule="auto"/>
        <w:tabs>
          <w:tab w:leader="none" w:pos="1014" w:val="left"/>
        </w:tabs>
        <w:numPr>
          <w:ilvl w:val="1"/>
          <w:numId w:val="152"/>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incentve-based compensaton</w:t>
      </w:r>
      <w:r>
        <w:rPr>
          <w:rFonts w:ascii="Calibri" w:cs="Calibri" w:eastAsia="Calibri" w:hAnsi="Calibri"/>
          <w:sz w:val="19"/>
          <w:szCs w:val="19"/>
          <w:color w:val="auto"/>
        </w:rPr>
        <w:t>” means any compensaton that is granted, earned or vested based wholly or in part upon the atainment of a fnancial reportng measure.</w:t>
      </w:r>
    </w:p>
    <w:p>
      <w:pPr>
        <w:spacing w:after="0" w:line="175" w:lineRule="exact"/>
        <w:rPr>
          <w:rFonts w:ascii="Calibri" w:cs="Calibri" w:eastAsia="Calibri" w:hAnsi="Calibri"/>
          <w:sz w:val="19"/>
          <w:szCs w:val="19"/>
          <w:color w:val="auto"/>
        </w:rPr>
      </w:pPr>
    </w:p>
    <w:p>
      <w:pPr>
        <w:ind w:left="1240" w:right="40" w:hanging="616"/>
        <w:spacing w:after="0" w:line="207" w:lineRule="auto"/>
        <w:tabs>
          <w:tab w:leader="none" w:pos="957" w:val="left"/>
        </w:tabs>
        <w:numPr>
          <w:ilvl w:val="1"/>
          <w:numId w:val="152"/>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received</w:t>
      </w:r>
      <w:r>
        <w:rPr>
          <w:rFonts w:ascii="Calibri" w:cs="Calibri" w:eastAsia="Calibri" w:hAnsi="Calibri"/>
          <w:sz w:val="19"/>
          <w:szCs w:val="19"/>
          <w:color w:val="auto"/>
        </w:rPr>
        <w:t>” has the following meaning: incentve-based compensaton is deemed received in the Company’s fscal period during which the fnancial reportng measure specifed in the incentve-based compensaton award is atained, even if the payment or grant of the incentve-based compensaton occurs afer the end of that period.</w:t>
      </w:r>
    </w:p>
    <w:p>
      <w:pPr>
        <w:spacing w:after="0" w:line="170" w:lineRule="exact"/>
        <w:rPr>
          <w:rFonts w:ascii="Calibri" w:cs="Calibri" w:eastAsia="Calibri" w:hAnsi="Calibri"/>
          <w:sz w:val="19"/>
          <w:szCs w:val="19"/>
          <w:color w:val="auto"/>
        </w:rPr>
      </w:pPr>
    </w:p>
    <w:p>
      <w:pPr>
        <w:ind w:left="960" w:hanging="336"/>
        <w:spacing w:after="0"/>
        <w:tabs>
          <w:tab w:leader="none" w:pos="960" w:val="left"/>
        </w:tabs>
        <w:numPr>
          <w:ilvl w:val="1"/>
          <w:numId w:val="152"/>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SEC</w:t>
      </w:r>
      <w:r>
        <w:rPr>
          <w:rFonts w:ascii="Calibri" w:cs="Calibri" w:eastAsia="Calibri" w:hAnsi="Calibri"/>
          <w:sz w:val="19"/>
          <w:szCs w:val="19"/>
          <w:color w:val="auto"/>
        </w:rPr>
        <w:t>” means the U.S. Securites and Exchange Commission.</w:t>
      </w:r>
    </w:p>
    <w:p>
      <w:pPr>
        <w:spacing w:after="0" w:line="161" w:lineRule="exact"/>
        <w:rPr>
          <w:rFonts w:ascii="Calibri" w:cs="Calibri" w:eastAsia="Calibri" w:hAnsi="Calibri"/>
          <w:sz w:val="19"/>
          <w:szCs w:val="19"/>
          <w:color w:val="auto"/>
        </w:rPr>
      </w:pPr>
    </w:p>
    <w:p>
      <w:pPr>
        <w:ind w:left="620" w:hanging="617"/>
        <w:spacing w:after="0" w:line="204" w:lineRule="auto"/>
        <w:tabs>
          <w:tab w:leader="none" w:pos="325" w:val="left"/>
        </w:tabs>
        <w:numPr>
          <w:ilvl w:val="0"/>
          <w:numId w:val="152"/>
        </w:numPr>
        <w:rPr>
          <w:rFonts w:ascii="Calibri" w:cs="Calibri" w:eastAsia="Calibri" w:hAnsi="Calibri"/>
          <w:sz w:val="19"/>
          <w:szCs w:val="19"/>
          <w:b w:val="1"/>
          <w:bCs w:val="1"/>
          <w:color w:val="auto"/>
        </w:rPr>
      </w:pPr>
      <w:r>
        <w:rPr>
          <w:rFonts w:ascii="Calibri" w:cs="Calibri" w:eastAsia="Calibri" w:hAnsi="Calibri"/>
          <w:sz w:val="19"/>
          <w:szCs w:val="19"/>
          <w:b w:val="1"/>
          <w:bCs w:val="1"/>
          <w:u w:val="single" w:color="auto"/>
          <w:color w:val="auto"/>
        </w:rPr>
        <w:t>Recovery of Erroneously Awarded Compensaton</w:t>
      </w:r>
      <w:r>
        <w:rPr>
          <w:rFonts w:ascii="Calibri" w:cs="Calibri" w:eastAsia="Calibri" w:hAnsi="Calibri"/>
          <w:sz w:val="19"/>
          <w:szCs w:val="19"/>
          <w:color w:val="auto"/>
        </w:rPr>
        <w:t>. The Company shall recover reasonably promptly the amount of erroneously awarded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compensaton if the Company is required to prepare an accountng restatement due to the material noncompliance of the Company with any fnancial reportng requirement under the securites laws, including any required accountng restatement to correct an error in previously issued fnancial statements that is material to the previously issued fnancial statements, or that would result in a material misstatement if the error were corrected in the current period or lef uncorrected in the current period.</w:t>
      </w:r>
    </w:p>
    <w:p>
      <w:pPr>
        <w:spacing w:after="0" w:line="172" w:lineRule="exact"/>
        <w:rPr>
          <w:rFonts w:ascii="Calibri" w:cs="Calibri" w:eastAsia="Calibri" w:hAnsi="Calibri"/>
          <w:sz w:val="19"/>
          <w:szCs w:val="19"/>
          <w:b w:val="1"/>
          <w:bCs w:val="1"/>
          <w:color w:val="auto"/>
        </w:rPr>
      </w:pPr>
    </w:p>
    <w:p>
      <w:pPr>
        <w:ind w:left="1020" w:hanging="396"/>
        <w:spacing w:after="0"/>
        <w:tabs>
          <w:tab w:leader="none" w:pos="1020" w:val="left"/>
        </w:tabs>
        <w:numPr>
          <w:ilvl w:val="1"/>
          <w:numId w:val="15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Scope of Policy</w:t>
      </w:r>
      <w:r>
        <w:rPr>
          <w:rFonts w:ascii="Calibri" w:cs="Calibri" w:eastAsia="Calibri" w:hAnsi="Calibri"/>
          <w:sz w:val="19"/>
          <w:szCs w:val="19"/>
          <w:color w:val="auto"/>
        </w:rPr>
        <w:t>. This Policy shall apply to all incentve-based compensaton received by a person:</w:t>
      </w:r>
    </w:p>
    <w:p>
      <w:pPr>
        <w:spacing w:after="0" w:line="156" w:lineRule="exact"/>
        <w:rPr>
          <w:rFonts w:ascii="Calibri" w:cs="Calibri" w:eastAsia="Calibri" w:hAnsi="Calibri"/>
          <w:sz w:val="19"/>
          <w:szCs w:val="19"/>
          <w:color w:val="auto"/>
        </w:rPr>
      </w:pPr>
    </w:p>
    <w:p>
      <w:pPr>
        <w:ind w:left="1580" w:hanging="335"/>
        <w:spacing w:after="0"/>
        <w:tabs>
          <w:tab w:leader="none" w:pos="1580" w:val="left"/>
        </w:tabs>
        <w:numPr>
          <w:ilvl w:val="2"/>
          <w:numId w:val="152"/>
        </w:numPr>
        <w:rPr>
          <w:rFonts w:ascii="Calibri" w:cs="Calibri" w:eastAsia="Calibri" w:hAnsi="Calibri"/>
          <w:sz w:val="19"/>
          <w:szCs w:val="19"/>
          <w:color w:val="auto"/>
        </w:rPr>
      </w:pPr>
      <w:r>
        <w:rPr>
          <w:rFonts w:ascii="Calibri" w:cs="Calibri" w:eastAsia="Calibri" w:hAnsi="Calibri"/>
          <w:sz w:val="19"/>
          <w:szCs w:val="19"/>
          <w:color w:val="auto"/>
        </w:rPr>
        <w:t>Afer beginning service as an executve ofcer;</w:t>
      </w:r>
    </w:p>
    <w:p>
      <w:pPr>
        <w:sectPr>
          <w:pgSz w:w="11900" w:h="16838" w:orient="portrait"/>
          <w:cols w:equalWidth="0" w:num="1">
            <w:col w:w="11240"/>
          </w:cols>
          <w:pgMar w:left="320" w:top="83" w:right="339" w:bottom="1440" w:gutter="0" w:footer="0" w:header="0"/>
        </w:sectPr>
      </w:pPr>
    </w:p>
    <w:bookmarkStart w:id="184" w:name="page185"/>
    <w:bookmarkEnd w:id="184"/>
    <w:p>
      <w:pPr>
        <w:jc w:val="right"/>
        <w:spacing w:after="0"/>
        <w:rPr>
          <w:sz w:val="20"/>
          <w:szCs w:val="20"/>
          <w:color w:val="auto"/>
        </w:rPr>
      </w:pPr>
      <w:r>
        <w:rPr>
          <w:rFonts w:ascii="Calibri" w:cs="Calibri" w:eastAsia="Calibri" w:hAnsi="Calibri"/>
          <w:sz w:val="19"/>
          <w:szCs w:val="19"/>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00" w:hanging="375"/>
        <w:spacing w:after="0"/>
        <w:tabs>
          <w:tab w:leader="none" w:pos="1000" w:val="left"/>
        </w:tabs>
        <w:numPr>
          <w:ilvl w:val="1"/>
          <w:numId w:val="153"/>
        </w:numPr>
        <w:rPr>
          <w:rFonts w:ascii="Calibri" w:cs="Calibri" w:eastAsia="Calibri" w:hAnsi="Calibri"/>
          <w:sz w:val="19"/>
          <w:szCs w:val="19"/>
          <w:color w:val="auto"/>
        </w:rPr>
      </w:pPr>
      <w:r>
        <w:rPr>
          <w:rFonts w:ascii="Calibri" w:cs="Calibri" w:eastAsia="Calibri" w:hAnsi="Calibri"/>
          <w:sz w:val="19"/>
          <w:szCs w:val="19"/>
          <w:color w:val="auto"/>
        </w:rPr>
        <w:t>Who served as an executve ofcer at any tme during the performance period for that incentve-based compensaton;</w:t>
      </w:r>
    </w:p>
    <w:p>
      <w:pPr>
        <w:spacing w:after="0" w:line="174" w:lineRule="exact"/>
        <w:rPr>
          <w:rFonts w:ascii="Calibri" w:cs="Calibri" w:eastAsia="Calibri" w:hAnsi="Calibri"/>
          <w:sz w:val="19"/>
          <w:szCs w:val="19"/>
          <w:color w:val="auto"/>
        </w:rPr>
      </w:pPr>
    </w:p>
    <w:p>
      <w:pPr>
        <w:ind w:left="1240" w:right="240" w:hanging="615"/>
        <w:spacing w:after="0"/>
        <w:tabs>
          <w:tab w:leader="none" w:pos="1046" w:val="left"/>
        </w:tabs>
        <w:numPr>
          <w:ilvl w:val="1"/>
          <w:numId w:val="153"/>
        </w:numPr>
        <w:rPr>
          <w:rFonts w:ascii="Calibri" w:cs="Calibri" w:eastAsia="Calibri" w:hAnsi="Calibri"/>
          <w:sz w:val="19"/>
          <w:szCs w:val="19"/>
          <w:color w:val="auto"/>
        </w:rPr>
      </w:pPr>
      <w:r>
        <w:rPr>
          <w:rFonts w:ascii="Calibri" w:cs="Calibri" w:eastAsia="Calibri" w:hAnsi="Calibri"/>
          <w:sz w:val="19"/>
          <w:szCs w:val="19"/>
          <w:color w:val="auto"/>
        </w:rPr>
        <w:t>While the Company has a class of securites listed on a natonal securites exchange or a natonal securites associaton; and</w:t>
      </w:r>
    </w:p>
    <w:p>
      <w:pPr>
        <w:spacing w:after="0" w:line="350" w:lineRule="exact"/>
        <w:rPr>
          <w:rFonts w:ascii="Calibri" w:cs="Calibri" w:eastAsia="Calibri" w:hAnsi="Calibri"/>
          <w:sz w:val="19"/>
          <w:szCs w:val="19"/>
          <w:color w:val="auto"/>
        </w:rPr>
      </w:pPr>
    </w:p>
    <w:p>
      <w:pPr>
        <w:ind w:left="1240" w:right="120" w:hanging="615"/>
        <w:spacing w:after="0" w:line="201" w:lineRule="auto"/>
        <w:tabs>
          <w:tab w:leader="none" w:pos="1044" w:val="left"/>
        </w:tabs>
        <w:numPr>
          <w:ilvl w:val="1"/>
          <w:numId w:val="153"/>
        </w:numPr>
        <w:rPr>
          <w:rFonts w:ascii="Calibri" w:cs="Calibri" w:eastAsia="Calibri" w:hAnsi="Calibri"/>
          <w:sz w:val="19"/>
          <w:szCs w:val="19"/>
          <w:color w:val="auto"/>
        </w:rPr>
      </w:pPr>
      <w:r>
        <w:rPr>
          <w:rFonts w:ascii="Calibri" w:cs="Calibri" w:eastAsia="Calibri" w:hAnsi="Calibri"/>
          <w:sz w:val="19"/>
          <w:szCs w:val="19"/>
          <w:color w:val="auto"/>
        </w:rPr>
        <w:t>During the three completed fscal years immediately preceding the date that the Company is required to prepare an accountng restatement as described in the frst paragraph of this Secton 3. In additon to these last three completed fscal years, this Policy shall apply to any transiton period (that results from a change in the Company’s fscal year) within or immediately following those three completed fscal years. However, a transiton period between the last day of the Company’s previous fscal year end and the frst day of its new fscal year that comprises a period of nine to 12 months would be deemed a completed fscal year. The Company’s obligaton to recover erroneously awarded compensaton is not dependent on if or when the restated fnancial statements are fled.</w:t>
      </w:r>
    </w:p>
    <w:p>
      <w:pPr>
        <w:spacing w:after="0" w:line="179" w:lineRule="exact"/>
        <w:rPr>
          <w:rFonts w:ascii="Calibri" w:cs="Calibri" w:eastAsia="Calibri" w:hAnsi="Calibri"/>
          <w:sz w:val="19"/>
          <w:szCs w:val="19"/>
          <w:color w:val="auto"/>
        </w:rPr>
      </w:pPr>
    </w:p>
    <w:p>
      <w:pPr>
        <w:ind w:left="620" w:right="260" w:hanging="616"/>
        <w:spacing w:after="0" w:line="210" w:lineRule="auto"/>
        <w:tabs>
          <w:tab w:leader="none" w:pos="394" w:val="left"/>
        </w:tabs>
        <w:numPr>
          <w:ilvl w:val="0"/>
          <w:numId w:val="154"/>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Date of Accountng Restatement</w:t>
      </w:r>
      <w:r>
        <w:rPr>
          <w:rFonts w:ascii="Calibri" w:cs="Calibri" w:eastAsia="Calibri" w:hAnsi="Calibri"/>
          <w:sz w:val="19"/>
          <w:szCs w:val="19"/>
          <w:color w:val="auto"/>
        </w:rPr>
        <w:t>. The date that the Company is required to prepare an accountng restatement as described in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the frst paragraph of this Secton 3 is the earlier to occur of:</w:t>
      </w:r>
    </w:p>
    <w:p>
      <w:pPr>
        <w:spacing w:after="0" w:line="176" w:lineRule="exact"/>
        <w:rPr>
          <w:rFonts w:ascii="Calibri" w:cs="Calibri" w:eastAsia="Calibri" w:hAnsi="Calibri"/>
          <w:sz w:val="19"/>
          <w:szCs w:val="19"/>
          <w:color w:val="auto"/>
        </w:rPr>
      </w:pPr>
    </w:p>
    <w:p>
      <w:pPr>
        <w:ind w:left="1240" w:right="300" w:hanging="615"/>
        <w:spacing w:after="0" w:line="207" w:lineRule="auto"/>
        <w:tabs>
          <w:tab w:leader="none" w:pos="957" w:val="left"/>
        </w:tabs>
        <w:numPr>
          <w:ilvl w:val="1"/>
          <w:numId w:val="154"/>
        </w:numPr>
        <w:rPr>
          <w:rFonts w:ascii="Calibri" w:cs="Calibri" w:eastAsia="Calibri" w:hAnsi="Calibri"/>
          <w:sz w:val="19"/>
          <w:szCs w:val="19"/>
          <w:color w:val="auto"/>
        </w:rPr>
      </w:pPr>
      <w:r>
        <w:rPr>
          <w:rFonts w:ascii="Calibri" w:cs="Calibri" w:eastAsia="Calibri" w:hAnsi="Calibri"/>
          <w:sz w:val="19"/>
          <w:szCs w:val="19"/>
          <w:color w:val="auto"/>
        </w:rPr>
        <w:t>the date on which the Board, a commitee thereof or the Company’s ofcer(s) authorized to take such acton if Board acton is not required, concludes, or reasonably should have concluded, that the Company is required to prepare an accountng restatement as described in the frst paragraph of this Secton 3; and</w:t>
      </w:r>
    </w:p>
    <w:p>
      <w:pPr>
        <w:spacing w:after="0" w:line="175" w:lineRule="exact"/>
        <w:rPr>
          <w:rFonts w:ascii="Calibri" w:cs="Calibri" w:eastAsia="Calibri" w:hAnsi="Calibri"/>
          <w:sz w:val="19"/>
          <w:szCs w:val="19"/>
          <w:color w:val="auto"/>
        </w:rPr>
      </w:pPr>
    </w:p>
    <w:p>
      <w:pPr>
        <w:ind w:left="1240" w:right="60" w:hanging="615"/>
        <w:spacing w:after="0" w:line="217" w:lineRule="auto"/>
        <w:tabs>
          <w:tab w:leader="none" w:pos="1001" w:val="left"/>
        </w:tabs>
        <w:numPr>
          <w:ilvl w:val="1"/>
          <w:numId w:val="154"/>
        </w:numPr>
        <w:rPr>
          <w:rFonts w:ascii="Calibri" w:cs="Calibri" w:eastAsia="Calibri" w:hAnsi="Calibri"/>
          <w:sz w:val="19"/>
          <w:szCs w:val="19"/>
          <w:color w:val="auto"/>
        </w:rPr>
      </w:pPr>
      <w:r>
        <w:rPr>
          <w:rFonts w:ascii="Calibri" w:cs="Calibri" w:eastAsia="Calibri" w:hAnsi="Calibri"/>
          <w:sz w:val="19"/>
          <w:szCs w:val="19"/>
          <w:color w:val="auto"/>
        </w:rPr>
        <w:t>the date a court, regulator or other legally authorized body directs the Company to prepare an accountng restatement as described in the frst paragraph of this Secton 3.</w:t>
      </w:r>
    </w:p>
    <w:p>
      <w:pPr>
        <w:spacing w:after="0" w:line="162" w:lineRule="exact"/>
        <w:rPr>
          <w:rFonts w:ascii="Calibri" w:cs="Calibri" w:eastAsia="Calibri" w:hAnsi="Calibri"/>
          <w:sz w:val="19"/>
          <w:szCs w:val="19"/>
          <w:color w:val="auto"/>
        </w:rPr>
      </w:pPr>
    </w:p>
    <w:p>
      <w:pPr>
        <w:ind w:left="620" w:right="20" w:hanging="616"/>
        <w:spacing w:after="0" w:line="201" w:lineRule="auto"/>
        <w:tabs>
          <w:tab w:leader="none" w:pos="374" w:val="left"/>
        </w:tabs>
        <w:numPr>
          <w:ilvl w:val="0"/>
          <w:numId w:val="154"/>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Amount Subject to Recovery</w:t>
      </w:r>
      <w:r>
        <w:rPr>
          <w:rFonts w:ascii="Calibri" w:cs="Calibri" w:eastAsia="Calibri" w:hAnsi="Calibri"/>
          <w:sz w:val="19"/>
          <w:szCs w:val="19"/>
          <w:color w:val="auto"/>
        </w:rPr>
        <w:t>. The amount of incentve-based compensaton subject to this Policy (“</w:t>
      </w:r>
      <w:r>
        <w:rPr>
          <w:rFonts w:ascii="Calibri" w:cs="Calibri" w:eastAsia="Calibri" w:hAnsi="Calibri"/>
          <w:sz w:val="19"/>
          <w:szCs w:val="19"/>
          <w:b w:val="1"/>
          <w:bCs w:val="1"/>
          <w:color w:val="auto"/>
        </w:rPr>
        <w:t>erroneously awarded compensaton</w:t>
      </w:r>
      <w:r>
        <w:rPr>
          <w:rFonts w:ascii="Calibri" w:cs="Calibri" w:eastAsia="Calibri" w:hAnsi="Calibri"/>
          <w:sz w:val="19"/>
          <w:szCs w:val="19"/>
          <w:color w:val="auto"/>
        </w:rPr>
        <w:t>”) is the amount of incentve-based compensaton received that exceeds the amount of incentve-based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compensaton that otherwise would have been received had it been determined based on the restated amounts, and shall be computed without regard to any taxes paid. For incentve-based compensaton based on stock price or total shareholder return, where the amount of erroneously awarded compensaton is not subject to mathematcal recalculaton directly from the informaton in an accountng restatement: (i) the amount shall be based on a reasonable estmate of the efect of the accountng restatement on the stock price or total shareholder return upon which the incentve-based compensaton was received; and (ii) the Company shall maintain documentaton of the determinaton of that reasonable estmate and comply with any requirements of the Exchange regarding such documentaton.</w:t>
      </w:r>
    </w:p>
    <w:p>
      <w:pPr>
        <w:spacing w:after="0" w:line="166" w:lineRule="exact"/>
        <w:rPr>
          <w:rFonts w:ascii="Calibri" w:cs="Calibri" w:eastAsia="Calibri" w:hAnsi="Calibri"/>
          <w:sz w:val="19"/>
          <w:szCs w:val="19"/>
          <w:color w:val="auto"/>
        </w:rPr>
      </w:pPr>
    </w:p>
    <w:p>
      <w:pPr>
        <w:ind w:left="620" w:right="20" w:hanging="616"/>
        <w:spacing w:after="0" w:line="211" w:lineRule="auto"/>
        <w:tabs>
          <w:tab w:leader="none" w:pos="394" w:val="left"/>
        </w:tabs>
        <w:numPr>
          <w:ilvl w:val="0"/>
          <w:numId w:val="154"/>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Impractcability of Recovery</w:t>
      </w:r>
      <w:r>
        <w:rPr>
          <w:rFonts w:ascii="Calibri" w:cs="Calibri" w:eastAsia="Calibri" w:hAnsi="Calibri"/>
          <w:sz w:val="19"/>
          <w:szCs w:val="19"/>
          <w:color w:val="auto"/>
        </w:rPr>
        <w:t>. The Company shall recover erroneously awarded compensaton in compliance with this Policy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except to the extent that the conditons of clauses (i), (ii) or (iii) below are met, and the Commitee (or in the absence thereof, a majority of the independent directors serving on the Board) has made a determinaton that recovery would be impractcable.</w:t>
      </w:r>
    </w:p>
    <w:p>
      <w:pPr>
        <w:spacing w:after="0" w:line="164" w:lineRule="exact"/>
        <w:rPr>
          <w:rFonts w:ascii="Calibri" w:cs="Calibri" w:eastAsia="Calibri" w:hAnsi="Calibri"/>
          <w:sz w:val="19"/>
          <w:szCs w:val="19"/>
          <w:color w:val="auto"/>
        </w:rPr>
      </w:pPr>
    </w:p>
    <w:p>
      <w:pPr>
        <w:ind w:left="1240" w:right="80" w:hanging="615"/>
        <w:spacing w:after="0" w:line="204" w:lineRule="auto"/>
        <w:tabs>
          <w:tab w:leader="none" w:pos="957" w:val="left"/>
        </w:tabs>
        <w:numPr>
          <w:ilvl w:val="1"/>
          <w:numId w:val="154"/>
        </w:numPr>
        <w:rPr>
          <w:rFonts w:ascii="Calibri" w:cs="Calibri" w:eastAsia="Calibri" w:hAnsi="Calibri"/>
          <w:sz w:val="19"/>
          <w:szCs w:val="19"/>
          <w:color w:val="auto"/>
        </w:rPr>
      </w:pPr>
      <w:r>
        <w:rPr>
          <w:rFonts w:ascii="Calibri" w:cs="Calibri" w:eastAsia="Calibri" w:hAnsi="Calibri"/>
          <w:sz w:val="19"/>
          <w:szCs w:val="19"/>
          <w:color w:val="auto"/>
        </w:rPr>
        <w:t>The direct expense paid to a third party to assist in enforcing this Policy would exceed the amount to be recovered. Before concluding that it would be impractcable to recover any amount of erroneously awarded compensaton based on expense of enforcement, the Company shall make a reasonable atempt to recover such erroneously awarded compensaton, document such reasonable atempt(s) to recover, and comply with any requirements of the Exchange regarding such documentaton.</w:t>
      </w:r>
    </w:p>
    <w:p>
      <w:pPr>
        <w:spacing w:after="0" w:line="165" w:lineRule="exact"/>
        <w:rPr>
          <w:rFonts w:ascii="Calibri" w:cs="Calibri" w:eastAsia="Calibri" w:hAnsi="Calibri"/>
          <w:sz w:val="19"/>
          <w:szCs w:val="19"/>
          <w:color w:val="auto"/>
        </w:rPr>
      </w:pPr>
    </w:p>
    <w:p>
      <w:pPr>
        <w:ind w:left="1240" w:right="300" w:hanging="615"/>
        <w:spacing w:after="0" w:line="211" w:lineRule="auto"/>
        <w:tabs>
          <w:tab w:leader="none" w:pos="1001" w:val="left"/>
        </w:tabs>
        <w:numPr>
          <w:ilvl w:val="1"/>
          <w:numId w:val="154"/>
        </w:numPr>
        <w:rPr>
          <w:rFonts w:ascii="Calibri" w:cs="Calibri" w:eastAsia="Calibri" w:hAnsi="Calibri"/>
          <w:sz w:val="19"/>
          <w:szCs w:val="19"/>
          <w:color w:val="auto"/>
        </w:rPr>
      </w:pPr>
      <w:r>
        <w:rPr>
          <w:rFonts w:ascii="Calibri" w:cs="Calibri" w:eastAsia="Calibri" w:hAnsi="Calibri"/>
          <w:sz w:val="19"/>
          <w:szCs w:val="19"/>
          <w:color w:val="auto"/>
        </w:rPr>
        <w:t>Recovery would violate home country law where that law was adopted prior to November 28, 2022. Before concluding that it would be impractcable to recover any amount of erroneously awarded compensaton based on violaton of home country law, the Company shall obtain an opinion of home country counsel,</w:t>
      </w:r>
    </w:p>
    <w:p>
      <w:pPr>
        <w:sectPr>
          <w:pgSz w:w="11900" w:h="16838" w:orient="portrait"/>
          <w:cols w:equalWidth="0" w:num="1">
            <w:col w:w="10620"/>
          </w:cols>
          <w:pgMar w:left="940" w:top="83" w:right="339" w:bottom="1440" w:gutter="0" w:footer="0" w:header="0"/>
        </w:sectPr>
      </w:pPr>
    </w:p>
    <w:bookmarkStart w:id="185" w:name="page186"/>
    <w:bookmarkEnd w:id="185"/>
    <w:p>
      <w:pPr>
        <w:jc w:val="right"/>
        <w:spacing w:after="0"/>
        <w:rPr>
          <w:sz w:val="20"/>
          <w:szCs w:val="20"/>
          <w:color w:val="auto"/>
        </w:rPr>
      </w:pPr>
      <w:r>
        <w:rPr>
          <w:rFonts w:ascii="Calibri" w:cs="Calibri" w:eastAsia="Calibri" w:hAnsi="Calibri"/>
          <w:sz w:val="19"/>
          <w:szCs w:val="19"/>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60" w:right="600"/>
        <w:spacing w:after="0" w:line="217" w:lineRule="auto"/>
        <w:rPr>
          <w:sz w:val="20"/>
          <w:szCs w:val="20"/>
          <w:color w:val="auto"/>
        </w:rPr>
      </w:pPr>
      <w:r>
        <w:rPr>
          <w:rFonts w:ascii="Calibri" w:cs="Calibri" w:eastAsia="Calibri" w:hAnsi="Calibri"/>
          <w:sz w:val="19"/>
          <w:szCs w:val="19"/>
          <w:color w:val="auto"/>
        </w:rPr>
        <w:t>acceptable to the Exchange, that recovery would result in such a violaton, and shall provide such opinion to the Exchange.</w:t>
      </w:r>
    </w:p>
    <w:p>
      <w:pPr>
        <w:spacing w:after="0" w:line="163" w:lineRule="exact"/>
        <w:rPr>
          <w:sz w:val="20"/>
          <w:szCs w:val="20"/>
          <w:color w:val="auto"/>
        </w:rPr>
      </w:pPr>
    </w:p>
    <w:p>
      <w:pPr>
        <w:ind w:left="1860" w:right="40" w:hanging="615"/>
        <w:spacing w:after="0" w:line="211" w:lineRule="auto"/>
        <w:tabs>
          <w:tab w:leader="none" w:pos="1666" w:val="left"/>
        </w:tabs>
        <w:numPr>
          <w:ilvl w:val="2"/>
          <w:numId w:val="155"/>
        </w:numPr>
        <w:rPr>
          <w:rFonts w:ascii="Calibri" w:cs="Calibri" w:eastAsia="Calibri" w:hAnsi="Calibri"/>
          <w:sz w:val="19"/>
          <w:szCs w:val="19"/>
          <w:color w:val="auto"/>
        </w:rPr>
      </w:pPr>
      <w:r>
        <w:rPr>
          <w:rFonts w:ascii="Calibri" w:cs="Calibri" w:eastAsia="Calibri" w:hAnsi="Calibri"/>
          <w:sz w:val="19"/>
          <w:szCs w:val="19"/>
          <w:color w:val="auto"/>
        </w:rPr>
        <w:t>Recovery would likely cause an otherwise tax-qualifed retrement plan, under which benefts are broadly available to employees of the Company, to fail to meet the requirements of 26 U.S.C. 401(a)(13) or 26 U.S.C. 411(a) and regulatons thereunder.</w:t>
      </w:r>
    </w:p>
    <w:p>
      <w:pPr>
        <w:spacing w:after="0" w:line="164" w:lineRule="exact"/>
        <w:rPr>
          <w:rFonts w:ascii="Calibri" w:cs="Calibri" w:eastAsia="Calibri" w:hAnsi="Calibri"/>
          <w:sz w:val="19"/>
          <w:szCs w:val="19"/>
          <w:color w:val="auto"/>
        </w:rPr>
      </w:pPr>
    </w:p>
    <w:p>
      <w:pPr>
        <w:ind w:left="1240" w:right="500" w:hanging="616"/>
        <w:spacing w:after="0" w:line="217" w:lineRule="auto"/>
        <w:tabs>
          <w:tab w:leader="none" w:pos="1008" w:val="left"/>
        </w:tabs>
        <w:numPr>
          <w:ilvl w:val="1"/>
          <w:numId w:val="156"/>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Prohibiton on Indemnifcaton</w:t>
      </w:r>
      <w:r>
        <w:rPr>
          <w:rFonts w:ascii="Calibri" w:cs="Calibri" w:eastAsia="Calibri" w:hAnsi="Calibri"/>
          <w:sz w:val="19"/>
          <w:szCs w:val="19"/>
          <w:color w:val="auto"/>
        </w:rPr>
        <w:t>. The Company shall not indemnify any current or former executve ofcer against the loss of</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erroneously awarded compensaton.</w:t>
      </w:r>
    </w:p>
    <w:p>
      <w:pPr>
        <w:spacing w:after="0" w:line="175" w:lineRule="exact"/>
        <w:rPr>
          <w:rFonts w:ascii="Calibri" w:cs="Calibri" w:eastAsia="Calibri" w:hAnsi="Calibri"/>
          <w:sz w:val="19"/>
          <w:szCs w:val="19"/>
          <w:color w:val="auto"/>
        </w:rPr>
      </w:pPr>
    </w:p>
    <w:p>
      <w:pPr>
        <w:ind w:left="1240" w:right="80" w:hanging="616"/>
        <w:spacing w:after="0" w:line="205" w:lineRule="auto"/>
        <w:tabs>
          <w:tab w:leader="none" w:pos="974" w:val="left"/>
        </w:tabs>
        <w:numPr>
          <w:ilvl w:val="1"/>
          <w:numId w:val="156"/>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Method of Recovery</w:t>
      </w:r>
      <w:r>
        <w:rPr>
          <w:rFonts w:ascii="Calibri" w:cs="Calibri" w:eastAsia="Calibri" w:hAnsi="Calibri"/>
          <w:sz w:val="19"/>
          <w:szCs w:val="19"/>
          <w:color w:val="auto"/>
        </w:rPr>
        <w:t>. The Commitee shall determine, in its sole and exclusive discreton, the method or methods for recovering</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any erroneously awarded compensaton, which methods need not be the same, or applied in the same manner, to each executve ofcer,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that any such method shall provide for reasonably prompt recovery and otherwise comply with any requirements of the Exchange.</w:t>
      </w:r>
    </w:p>
    <w:p>
      <w:pPr>
        <w:spacing w:after="0" w:line="164" w:lineRule="exact"/>
        <w:rPr>
          <w:rFonts w:ascii="Calibri" w:cs="Calibri" w:eastAsia="Calibri" w:hAnsi="Calibri"/>
          <w:sz w:val="19"/>
          <w:szCs w:val="19"/>
          <w:color w:val="auto"/>
        </w:rPr>
      </w:pPr>
    </w:p>
    <w:p>
      <w:pPr>
        <w:ind w:left="620" w:right="140" w:hanging="617"/>
        <w:spacing w:after="0" w:line="217" w:lineRule="auto"/>
        <w:tabs>
          <w:tab w:leader="none" w:pos="325" w:val="left"/>
        </w:tabs>
        <w:numPr>
          <w:ilvl w:val="0"/>
          <w:numId w:val="157"/>
        </w:numPr>
        <w:rPr>
          <w:rFonts w:ascii="Calibri" w:cs="Calibri" w:eastAsia="Calibri" w:hAnsi="Calibri"/>
          <w:sz w:val="19"/>
          <w:szCs w:val="19"/>
          <w:b w:val="1"/>
          <w:bCs w:val="1"/>
          <w:color w:val="auto"/>
        </w:rPr>
      </w:pPr>
      <w:r>
        <w:rPr>
          <w:rFonts w:ascii="Calibri" w:cs="Calibri" w:eastAsia="Calibri" w:hAnsi="Calibri"/>
          <w:sz w:val="19"/>
          <w:szCs w:val="19"/>
          <w:b w:val="1"/>
          <w:bCs w:val="1"/>
          <w:u w:val="single" w:color="auto"/>
          <w:color w:val="auto"/>
        </w:rPr>
        <w:t>Disclosure</w:t>
      </w:r>
      <w:r>
        <w:rPr>
          <w:rFonts w:ascii="Calibri" w:cs="Calibri" w:eastAsia="Calibri" w:hAnsi="Calibri"/>
          <w:sz w:val="19"/>
          <w:szCs w:val="19"/>
          <w:color w:val="auto"/>
        </w:rPr>
        <w:t>. The Company shall fle all disclosures with respect to this Policy in accordance with the requirements of the Federal securites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laws, including the disclosure required by the applicable rules of the SEC.</w:t>
      </w:r>
    </w:p>
    <w:p>
      <w:pPr>
        <w:spacing w:after="0" w:line="169" w:lineRule="exact"/>
        <w:rPr>
          <w:rFonts w:ascii="Calibri" w:cs="Calibri" w:eastAsia="Calibri" w:hAnsi="Calibri"/>
          <w:sz w:val="19"/>
          <w:szCs w:val="19"/>
          <w:b w:val="1"/>
          <w:bCs w:val="1"/>
          <w:color w:val="auto"/>
        </w:rPr>
      </w:pPr>
    </w:p>
    <w:p>
      <w:pPr>
        <w:ind w:left="320" w:hanging="317"/>
        <w:spacing w:after="0"/>
        <w:tabs>
          <w:tab w:leader="none" w:pos="320" w:val="left"/>
        </w:tabs>
        <w:numPr>
          <w:ilvl w:val="0"/>
          <w:numId w:val="157"/>
        </w:numPr>
        <w:rPr>
          <w:rFonts w:ascii="Calibri" w:cs="Calibri" w:eastAsia="Calibri" w:hAnsi="Calibri"/>
          <w:sz w:val="19"/>
          <w:szCs w:val="19"/>
          <w:b w:val="1"/>
          <w:bCs w:val="1"/>
          <w:color w:val="auto"/>
        </w:rPr>
      </w:pPr>
      <w:r>
        <w:rPr>
          <w:rFonts w:ascii="Calibri" w:cs="Calibri" w:eastAsia="Calibri" w:hAnsi="Calibri"/>
          <w:sz w:val="19"/>
          <w:szCs w:val="19"/>
          <w:b w:val="1"/>
          <w:bCs w:val="1"/>
          <w:u w:val="single" w:color="auto"/>
          <w:color w:val="auto"/>
        </w:rPr>
        <w:t>Administraton</w:t>
      </w:r>
      <w:r>
        <w:rPr>
          <w:rFonts w:ascii="Calibri" w:cs="Calibri" w:eastAsia="Calibri" w:hAnsi="Calibri"/>
          <w:sz w:val="19"/>
          <w:szCs w:val="19"/>
          <w:color w:val="auto"/>
        </w:rPr>
        <w:t>.</w:t>
      </w:r>
    </w:p>
    <w:p>
      <w:pPr>
        <w:spacing w:after="0" w:line="161" w:lineRule="exact"/>
        <w:rPr>
          <w:rFonts w:ascii="Calibri" w:cs="Calibri" w:eastAsia="Calibri" w:hAnsi="Calibri"/>
          <w:sz w:val="19"/>
          <w:szCs w:val="19"/>
          <w:b w:val="1"/>
          <w:bCs w:val="1"/>
          <w:color w:val="auto"/>
        </w:rPr>
      </w:pPr>
    </w:p>
    <w:p>
      <w:pPr>
        <w:ind w:left="1240" w:right="20" w:hanging="616"/>
        <w:spacing w:after="0" w:line="201" w:lineRule="auto"/>
        <w:tabs>
          <w:tab w:leader="none" w:pos="1005" w:val="left"/>
        </w:tabs>
        <w:numPr>
          <w:ilvl w:val="1"/>
          <w:numId w:val="157"/>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Authority of Commitee</w:t>
      </w:r>
      <w:r>
        <w:rPr>
          <w:rFonts w:ascii="Calibri" w:cs="Calibri" w:eastAsia="Calibri" w:hAnsi="Calibri"/>
          <w:sz w:val="19"/>
          <w:szCs w:val="19"/>
          <w:color w:val="auto"/>
        </w:rPr>
        <w:t>. This Policy shall be administered and interpreted by the Commitee in accordance with Nasdaq Listng</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Rule 5608, Secton 10D of the Exchange Act and other applicable Federal securites laws and regulatons. Except as limited by applicable law, and subject to the provisions of this Policy, the Commitee shall have full power, authority and sole and exclusive discreton to construe, interpret and administer this Policy, and to delegate its authority pursuant to this Policy. In additon, the Commitee shall have full and exclusive power to adopt such rules, regulatons and guidelines for carrying out this Policy and to amend this Policy, in each case, as it may deem necessary or proper. Subject to Secton 3(d), this Policy also may be administered by the Board, and references in this Policy to the “Commitee” shall be understood to refer to the full Board.</w:t>
      </w:r>
    </w:p>
    <w:p>
      <w:pPr>
        <w:spacing w:after="0" w:line="179" w:lineRule="exact"/>
        <w:rPr>
          <w:rFonts w:ascii="Calibri" w:cs="Calibri" w:eastAsia="Calibri" w:hAnsi="Calibri"/>
          <w:sz w:val="19"/>
          <w:szCs w:val="19"/>
          <w:color w:val="auto"/>
        </w:rPr>
      </w:pPr>
    </w:p>
    <w:p>
      <w:pPr>
        <w:ind w:left="1240" w:right="80" w:hanging="616"/>
        <w:spacing w:after="0" w:line="204" w:lineRule="auto"/>
        <w:tabs>
          <w:tab w:leader="none" w:pos="1014" w:val="left"/>
        </w:tabs>
        <w:numPr>
          <w:ilvl w:val="1"/>
          <w:numId w:val="157"/>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Decisions Binding</w:t>
      </w:r>
      <w:r>
        <w:rPr>
          <w:rFonts w:ascii="Calibri" w:cs="Calibri" w:eastAsia="Calibri" w:hAnsi="Calibri"/>
          <w:sz w:val="19"/>
          <w:szCs w:val="19"/>
          <w:color w:val="auto"/>
        </w:rPr>
        <w:t>. In making any determinaton or in taking or not taking any acton under this Policy, the Commitee may obtain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and rely on the advice of experts, including employees of, and professional advisors to, the Company. Any acton taken by, or inacton of, the Commitee or its delegates relatng to or pursuant to this Policy shall be within the absolute discreton of the Commitee or its delegates. Such acton or inacton of the Commitee or its delegates shall be conclusive and binding on the Company and any current or former executve ofcer afected by such acton or inacton.</w:t>
      </w:r>
    </w:p>
    <w:p>
      <w:pPr>
        <w:spacing w:after="0" w:line="165" w:lineRule="exact"/>
        <w:rPr>
          <w:rFonts w:ascii="Calibri" w:cs="Calibri" w:eastAsia="Calibri" w:hAnsi="Calibri"/>
          <w:sz w:val="19"/>
          <w:szCs w:val="19"/>
          <w:color w:val="auto"/>
        </w:rPr>
      </w:pPr>
    </w:p>
    <w:p>
      <w:pPr>
        <w:ind w:left="1240" w:right="80" w:hanging="616"/>
        <w:spacing w:after="0" w:line="205" w:lineRule="auto"/>
        <w:tabs>
          <w:tab w:leader="none" w:pos="994" w:val="left"/>
        </w:tabs>
        <w:numPr>
          <w:ilvl w:val="1"/>
          <w:numId w:val="157"/>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Policy Not Exclusive</w:t>
      </w:r>
      <w:r>
        <w:rPr>
          <w:rFonts w:ascii="Calibri" w:cs="Calibri" w:eastAsia="Calibri" w:hAnsi="Calibri"/>
          <w:sz w:val="19"/>
          <w:szCs w:val="19"/>
          <w:color w:val="auto"/>
        </w:rPr>
        <w:t>. Any right of recovery under this Policy is in additon to, and not in lieu of, any other remedies or rights of</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recovery, recoupment, forfeiture or ofset that may be available to the Company pursuant to the terms of any other applicable Company policy, compensaton or beneft plan, agreement or arrangement or other agreement or applicable law;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auto"/>
        </w:rPr>
        <w:t>however</w:t>
      </w:r>
      <w:r>
        <w:rPr>
          <w:rFonts w:ascii="Calibri" w:cs="Calibri" w:eastAsia="Calibri" w:hAnsi="Calibri"/>
          <w:sz w:val="19"/>
          <w:szCs w:val="19"/>
          <w:color w:val="auto"/>
        </w:rPr>
        <w:t>, that there shall be no duplicaton of recovery of the same compensaton.</w:t>
      </w:r>
    </w:p>
    <w:p>
      <w:pPr>
        <w:spacing w:after="0" w:line="171" w:lineRule="exact"/>
        <w:rPr>
          <w:rFonts w:ascii="Calibri" w:cs="Calibri" w:eastAsia="Calibri" w:hAnsi="Calibri"/>
          <w:sz w:val="19"/>
          <w:szCs w:val="19"/>
          <w:color w:val="auto"/>
        </w:rPr>
      </w:pPr>
    </w:p>
    <w:p>
      <w:pPr>
        <w:ind w:left="5040"/>
        <w:spacing w:after="0"/>
        <w:rPr>
          <w:rFonts w:ascii="Calibri" w:cs="Calibri" w:eastAsia="Calibri" w:hAnsi="Calibri"/>
          <w:sz w:val="19"/>
          <w:szCs w:val="19"/>
          <w:color w:val="auto"/>
        </w:rPr>
      </w:pPr>
      <w:r>
        <w:rPr>
          <w:rFonts w:ascii="Calibri" w:cs="Calibri" w:eastAsia="Calibri" w:hAnsi="Calibri"/>
          <w:sz w:val="19"/>
          <w:szCs w:val="19"/>
          <w:color w:val="auto"/>
        </w:rPr>
        <w:t>*  *  *  *  *</w:t>
      </w:r>
    </w:p>
    <w:p>
      <w:pPr>
        <w:sectPr>
          <w:pgSz w:w="11900" w:h="16838" w:orient="portrait"/>
          <w:cols w:equalWidth="0" w:num="1">
            <w:col w:w="11240"/>
          </w:cols>
          <w:pgMar w:left="320" w:top="83" w:right="339" w:bottom="1440" w:gutter="0" w:footer="0" w:header="0"/>
        </w:sectPr>
      </w:pPr>
    </w:p>
    <w:bookmarkStart w:id="186" w:name="page187"/>
    <w:bookmarkEnd w:id="186"/>
    <w:p>
      <w:pPr>
        <w:jc w:val="right"/>
        <w:spacing w:after="0"/>
        <w:rPr>
          <w:sz w:val="20"/>
          <w:szCs w:val="20"/>
          <w:color w:val="auto"/>
        </w:rPr>
      </w:pPr>
      <w:r>
        <w:rPr>
          <w:rFonts w:ascii="Calibri" w:cs="Calibri" w:eastAsia="Calibri" w:hAnsi="Calibri"/>
          <w:sz w:val="19"/>
          <w:szCs w:val="19"/>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NMI HOLDINGS, INC.</w:t>
      </w:r>
    </w:p>
    <w:p>
      <w:pPr>
        <w:spacing w:after="0" w:line="16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COMPENSATION RECOVERY POLICY</w:t>
      </w:r>
    </w:p>
    <w:p>
      <w:pPr>
        <w:spacing w:after="0" w:line="182"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ACKNOWLEDGEMENT FORM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alibri" w:cs="Calibri" w:eastAsia="Calibri" w:hAnsi="Calibri"/>
          <w:sz w:val="19"/>
          <w:szCs w:val="19"/>
          <w:color w:val="auto"/>
        </w:rPr>
        <w:t>By signing below, I, the undersigned, acknowledge and agree as follows:</w:t>
      </w:r>
    </w:p>
    <w:p>
      <w:pPr>
        <w:spacing w:after="0" w:line="175" w:lineRule="exact"/>
        <w:rPr>
          <w:sz w:val="20"/>
          <w:szCs w:val="20"/>
          <w:color w:val="auto"/>
        </w:rPr>
      </w:pPr>
    </w:p>
    <w:p>
      <w:pPr>
        <w:ind w:left="720" w:right="100" w:hanging="304"/>
        <w:spacing w:after="0" w:line="210" w:lineRule="auto"/>
        <w:tabs>
          <w:tab w:leader="none" w:pos="814" w:val="left"/>
        </w:tabs>
        <w:numPr>
          <w:ilvl w:val="0"/>
          <w:numId w:val="158"/>
        </w:numPr>
        <w:rPr>
          <w:rFonts w:ascii="Calibri" w:cs="Calibri" w:eastAsia="Calibri" w:hAnsi="Calibri"/>
          <w:sz w:val="19"/>
          <w:szCs w:val="19"/>
          <w:color w:val="auto"/>
        </w:rPr>
      </w:pPr>
      <w:r>
        <w:rPr>
          <w:rFonts w:ascii="Calibri" w:cs="Calibri" w:eastAsia="Calibri" w:hAnsi="Calibri"/>
          <w:sz w:val="19"/>
          <w:szCs w:val="19"/>
          <w:color w:val="auto"/>
        </w:rPr>
        <w:t>I have received and reviewed a copy of the NMI Holdings, Inc. Compensaton Recovery Policy (as it may be amended, restated, supplemented or otherwise modifed from tme to tme, the “</w:t>
      </w:r>
      <w:r>
        <w:rPr>
          <w:rFonts w:ascii="Calibri" w:cs="Calibri" w:eastAsia="Calibri" w:hAnsi="Calibri"/>
          <w:sz w:val="19"/>
          <w:szCs w:val="19"/>
          <w:b w:val="1"/>
          <w:bCs w:val="1"/>
          <w:color w:val="auto"/>
        </w:rPr>
        <w:t>Policy</w:t>
      </w:r>
      <w:r>
        <w:rPr>
          <w:rFonts w:ascii="Calibri" w:cs="Calibri" w:eastAsia="Calibri" w:hAnsi="Calibri"/>
          <w:sz w:val="19"/>
          <w:szCs w:val="19"/>
          <w:color w:val="auto"/>
        </w:rPr>
        <w:t>”);</w:t>
      </w:r>
    </w:p>
    <w:p>
      <w:pPr>
        <w:spacing w:after="0" w:line="176" w:lineRule="exact"/>
        <w:rPr>
          <w:rFonts w:ascii="Calibri" w:cs="Calibri" w:eastAsia="Calibri" w:hAnsi="Calibri"/>
          <w:sz w:val="19"/>
          <w:szCs w:val="19"/>
          <w:color w:val="auto"/>
        </w:rPr>
      </w:pPr>
    </w:p>
    <w:p>
      <w:pPr>
        <w:ind w:left="720" w:right="100" w:hanging="304"/>
        <w:spacing w:after="0" w:line="217" w:lineRule="auto"/>
        <w:tabs>
          <w:tab w:leader="none" w:pos="853" w:val="left"/>
        </w:tabs>
        <w:numPr>
          <w:ilvl w:val="0"/>
          <w:numId w:val="158"/>
        </w:numPr>
        <w:rPr>
          <w:rFonts w:ascii="Calibri" w:cs="Calibri" w:eastAsia="Calibri" w:hAnsi="Calibri"/>
          <w:sz w:val="19"/>
          <w:szCs w:val="19"/>
          <w:color w:val="auto"/>
        </w:rPr>
      </w:pPr>
      <w:r>
        <w:rPr>
          <w:rFonts w:ascii="Calibri" w:cs="Calibri" w:eastAsia="Calibri" w:hAnsi="Calibri"/>
          <w:sz w:val="19"/>
          <w:szCs w:val="19"/>
          <w:color w:val="auto"/>
        </w:rPr>
        <w:t>I am bound by, subject to, and shall comply with, all terms and conditons of the Policy, both during and afer my period of employment or service with the Company and its afliates;</w:t>
      </w:r>
    </w:p>
    <w:p>
      <w:pPr>
        <w:spacing w:after="0" w:line="162" w:lineRule="exact"/>
        <w:rPr>
          <w:rFonts w:ascii="Calibri" w:cs="Calibri" w:eastAsia="Calibri" w:hAnsi="Calibri"/>
          <w:sz w:val="19"/>
          <w:szCs w:val="19"/>
          <w:color w:val="auto"/>
        </w:rPr>
      </w:pPr>
    </w:p>
    <w:p>
      <w:pPr>
        <w:ind w:left="720" w:right="100" w:hanging="304"/>
        <w:spacing w:after="0" w:line="217" w:lineRule="auto"/>
        <w:tabs>
          <w:tab w:leader="none" w:pos="742" w:val="left"/>
        </w:tabs>
        <w:numPr>
          <w:ilvl w:val="0"/>
          <w:numId w:val="158"/>
        </w:numPr>
        <w:rPr>
          <w:rFonts w:ascii="Calibri" w:cs="Calibri" w:eastAsia="Calibri" w:hAnsi="Calibri"/>
          <w:sz w:val="19"/>
          <w:szCs w:val="19"/>
          <w:color w:val="auto"/>
        </w:rPr>
      </w:pPr>
      <w:r>
        <w:rPr>
          <w:rFonts w:ascii="Calibri" w:cs="Calibri" w:eastAsia="Calibri" w:hAnsi="Calibri"/>
          <w:sz w:val="19"/>
          <w:szCs w:val="19"/>
          <w:color w:val="auto"/>
        </w:rPr>
        <w:t>The terms of the Policy shall govern any confict between the Policy and the terms of any employment or other agreement to which I am a party, or any compensaton or beneft plan, program or arrangement in which I partcipate; and</w:t>
      </w:r>
    </w:p>
    <w:p>
      <w:pPr>
        <w:spacing w:after="0" w:line="175" w:lineRule="exact"/>
        <w:rPr>
          <w:rFonts w:ascii="Calibri" w:cs="Calibri" w:eastAsia="Calibri" w:hAnsi="Calibri"/>
          <w:sz w:val="19"/>
          <w:szCs w:val="19"/>
          <w:color w:val="auto"/>
        </w:rPr>
      </w:pPr>
    </w:p>
    <w:p>
      <w:pPr>
        <w:jc w:val="both"/>
        <w:ind w:left="720" w:right="100" w:hanging="304"/>
        <w:spacing w:after="0" w:line="207" w:lineRule="auto"/>
        <w:tabs>
          <w:tab w:leader="none" w:pos="732" w:val="left"/>
        </w:tabs>
        <w:numPr>
          <w:ilvl w:val="0"/>
          <w:numId w:val="158"/>
        </w:numPr>
        <w:rPr>
          <w:rFonts w:ascii="Calibri" w:cs="Calibri" w:eastAsia="Calibri" w:hAnsi="Calibri"/>
          <w:sz w:val="19"/>
          <w:szCs w:val="19"/>
          <w:color w:val="auto"/>
        </w:rPr>
      </w:pPr>
      <w:r>
        <w:rPr>
          <w:rFonts w:ascii="Calibri" w:cs="Calibri" w:eastAsia="Calibri" w:hAnsi="Calibri"/>
          <w:sz w:val="19"/>
          <w:szCs w:val="19"/>
          <w:color w:val="auto"/>
        </w:rPr>
        <w:t>If it is determined by the Commitee (as defned in the Policy) that any amounts granted, awarded, paid or provided to me should be forfeited or reimbursed to the Company or its afliates, I shall promptly take any acton necessary to efectuate such forfeiture and/or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-135255</wp:posOffset>
            </wp:positionV>
            <wp:extent cx="5568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2367915</wp:posOffset>
            </wp:positionH>
            <wp:positionV relativeFrom="paragraph">
              <wp:posOffset>398145</wp:posOffset>
            </wp:positionV>
            <wp:extent cx="5568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389890</wp:posOffset>
            </wp:positionV>
            <wp:extent cx="5568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Date</w:t>
      </w:r>
    </w:p>
    <w:sectPr>
      <w:pgSz w:w="11900" w:h="16838" w:orient="portrait"/>
      <w:cols w:equalWidth="0" w:num="1">
        <w:col w:w="11240"/>
      </w:cols>
      <w:pgMar w:left="320" w:top="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1)"/>
      <w:numFmt w:val="decimal"/>
      <w:start w:val="1"/>
    </w:lvl>
  </w:abstractNum>
  <w:abstractNum w:abstractNumId="6">
    <w:nsid w:val="7FFFCA11"/>
    <w:multiLevelType w:val="hybridMultilevel"/>
    <w:lvl w:ilvl="0">
      <w:lvlJc w:val="left"/>
      <w:lvlText w:val="(%1)"/>
      <w:numFmt w:val="decimal"/>
      <w:start w:val="1"/>
    </w:lvl>
  </w:abstractNum>
  <w:abstractNum w:abstractNumId="7">
    <w:nsid w:val="1A27709E"/>
    <w:multiLevelType w:val="hybridMultilevel"/>
    <w:lvl w:ilvl="0">
      <w:lvlJc w:val="left"/>
      <w:lvlText w:val="•"/>
      <w:numFmt w:val="bullet"/>
      <w:start w:val="1"/>
    </w:lvl>
  </w:abstractNum>
  <w:abstractNum w:abstractNumId="8">
    <w:nsid w:val="71EA1109"/>
    <w:multiLevelType w:val="hybridMultilevel"/>
    <w:lvl w:ilvl="0">
      <w:lvlJc w:val="left"/>
      <w:lvlText w:val="•"/>
      <w:numFmt w:val="bullet"/>
      <w:start w:val="1"/>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
      <w:numFmt w:val="bullet"/>
      <w:start w:val="1"/>
    </w:lvl>
  </w:abstractNum>
  <w:abstractNum w:abstractNumId="11">
    <w:nsid w:val="6EB5BD4"/>
    <w:multiLevelType w:val="hybridMultilevel"/>
    <w:lvl w:ilvl="0">
      <w:lvlJc w:val="left"/>
      <w:lvlText w:val="•"/>
      <w:numFmt w:val="bullet"/>
      <w:start w:val="1"/>
    </w:lvl>
  </w:abstractNum>
  <w:abstractNum w:abstractNumId="12">
    <w:nsid w:val="6F6DD9AC"/>
    <w:multiLevelType w:val="hybridMultilevel"/>
    <w:lvl w:ilvl="0">
      <w:lvlJc w:val="left"/>
      <w:lvlText w:val="%1."/>
      <w:numFmt w:val="lowerLetter"/>
      <w:start w:val="1"/>
    </w:lvl>
  </w:abstractNum>
  <w:abstractNum w:abstractNumId="13">
    <w:nsid w:val="94211F2"/>
    <w:multiLevelType w:val="hybridMultilevel"/>
    <w:lvl w:ilvl="0">
      <w:lvlJc w:val="left"/>
      <w:lvlText w:val="(%1)"/>
      <w:numFmt w:val="upperLetter"/>
      <w:start w:val="5"/>
    </w:lvl>
  </w:abstractNum>
  <w:abstractNum w:abstractNumId="14">
    <w:nsid w:val="885E1B"/>
    <w:multiLevelType w:val="hybridMultilevel"/>
    <w:lvl w:ilvl="0">
      <w:lvlJc w:val="left"/>
      <w:lvlText w:val="•"/>
      <w:numFmt w:val="bullet"/>
      <w:start w:val="1"/>
    </w:lvl>
  </w:abstractNum>
  <w:abstractNum w:abstractNumId="15">
    <w:nsid w:val="76272110"/>
    <w:multiLevelType w:val="hybridMultilevel"/>
    <w:lvl w:ilvl="0">
      <w:lvlJc w:val="left"/>
      <w:lvlText w:val="•"/>
      <w:numFmt w:val="bullet"/>
      <w:start w:val="1"/>
    </w:lvl>
  </w:abstractNum>
  <w:abstractNum w:abstractNumId="16">
    <w:nsid w:val="4C04A8AF"/>
    <w:multiLevelType w:val="hybridMultilevel"/>
    <w:lvl w:ilvl="0">
      <w:lvlJc w:val="left"/>
      <w:lvlText w:val="•"/>
      <w:numFmt w:val="bullet"/>
      <w:start w:val="1"/>
    </w:lvl>
  </w:abstractNum>
  <w:abstractNum w:abstractNumId="17">
    <w:nsid w:val="1716703B"/>
    <w:multiLevelType w:val="hybridMultilevel"/>
    <w:lvl w:ilvl="0">
      <w:lvlJc w:val="left"/>
      <w:lvlText w:val="•"/>
      <w:numFmt w:val="bullet"/>
      <w:start w:val="1"/>
    </w:lvl>
  </w:abstractNum>
  <w:abstractNum w:abstractNumId="18">
    <w:nsid w:val="14E17E33"/>
    <w:multiLevelType w:val="hybridMultilevel"/>
    <w:lvl w:ilvl="0">
      <w:lvlJc w:val="left"/>
      <w:lvlText w:val="•"/>
      <w:numFmt w:val="bullet"/>
      <w:start w:val="1"/>
    </w:lvl>
  </w:abstractNum>
  <w:abstractNum w:abstractNumId="19">
    <w:nsid w:val="3222E7CD"/>
    <w:multiLevelType w:val="hybridMultilevel"/>
    <w:lvl w:ilvl="0">
      <w:lvlJc w:val="left"/>
      <w:lvlText w:val="(%1)"/>
      <w:numFmt w:val="lowerRoman"/>
      <w:start w:val="3"/>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
      <w:numFmt w:val="bullet"/>
      <w:start w:val="1"/>
    </w:lvl>
  </w:abstractNum>
  <w:abstractNum w:abstractNumId="23">
    <w:nsid w:val="46B7D447"/>
    <w:multiLevelType w:val="hybridMultilevel"/>
    <w:lvl w:ilvl="0">
      <w:lvlJc w:val="left"/>
      <w:lvlText w:val="•"/>
      <w:numFmt w:val="bullet"/>
      <w:start w:val="1"/>
    </w:lvl>
  </w:abstractNum>
  <w:abstractNum w:abstractNumId="24">
    <w:nsid w:val="4A2AC315"/>
    <w:multiLevelType w:val="hybridMultilevel"/>
    <w:lvl w:ilvl="0">
      <w:lvlJc w:val="left"/>
      <w:lvlText w:val="•"/>
      <w:numFmt w:val="bullet"/>
      <w:start w:val="1"/>
    </w:lvl>
  </w:abstractNum>
  <w:abstractNum w:abstractNumId="25">
    <w:nsid w:val="39EE015C"/>
    <w:multiLevelType w:val="hybridMultilevel"/>
    <w:lvl w:ilvl="0">
      <w:lvlJc w:val="left"/>
      <w:lvlText w:val="•"/>
      <w:numFmt w:val="bullet"/>
      <w:start w:val="1"/>
    </w:lvl>
  </w:abstractNum>
  <w:abstractNum w:abstractNumId="26">
    <w:nsid w:val="57FC4FBB"/>
    <w:multiLevelType w:val="hybridMultilevel"/>
    <w:lvl w:ilvl="0">
      <w:lvlJc w:val="left"/>
      <w:lvlText w:val="•"/>
      <w:numFmt w:val="bullet"/>
      <w:start w:val="1"/>
    </w:lvl>
  </w:abstractNum>
  <w:abstractNum w:abstractNumId="27">
    <w:nsid w:val="CC1016F"/>
    <w:multiLevelType w:val="hybridMultilevel"/>
    <w:lvl w:ilvl="0">
      <w:lvlJc w:val="left"/>
      <w:lvlText w:val="•"/>
      <w:numFmt w:val="bullet"/>
      <w:start w:val="1"/>
    </w:lvl>
  </w:abstractNum>
  <w:abstractNum w:abstractNumId="28">
    <w:nsid w:val="43F18422"/>
    <w:multiLevelType w:val="hybridMultilevel"/>
    <w:lvl w:ilvl="0">
      <w:lvlJc w:val="left"/>
      <w:lvlText w:val="•"/>
      <w:numFmt w:val="bullet"/>
      <w:start w:val="1"/>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1)"/>
      <w:numFmt w:val="lowerRoman"/>
      <w:start w:val="2"/>
    </w:lvl>
  </w:abstractNum>
  <w:abstractNum w:abstractNumId="31">
    <w:nsid w:val="7F01579B"/>
    <w:multiLevelType w:val="hybridMultilevel"/>
    <w:lvl w:ilvl="0">
      <w:lvlJc w:val="left"/>
      <w:lvlText w:val="(%1)"/>
      <w:numFmt w:val="decimal"/>
      <w:start w:val="1"/>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
      <w:numFmt w:val="bullet"/>
      <w:start w:val="1"/>
    </w:lvl>
  </w:abstractNum>
  <w:abstractNum w:abstractNumId="34">
    <w:nsid w:val="5FB8370B"/>
    <w:multiLevelType w:val="hybridMultilevel"/>
    <w:lvl w:ilvl="0">
      <w:lvlJc w:val="left"/>
      <w:lvlText w:val="(%1)"/>
      <w:numFmt w:val="decimal"/>
      <w:start w:val="1"/>
    </w:lvl>
  </w:abstractNum>
  <w:abstractNum w:abstractNumId="35">
    <w:nsid w:val="50801EE1"/>
    <w:multiLevelType w:val="hybridMultilevel"/>
    <w:lvl w:ilvl="0">
      <w:lvlJc w:val="left"/>
      <w:lvlText w:val="(%1)"/>
      <w:numFmt w:val="decimal"/>
      <w:start w:val="1"/>
    </w:lvl>
  </w:abstractNum>
  <w:abstractNum w:abstractNumId="36">
    <w:nsid w:val="488AC1A"/>
    <w:multiLevelType w:val="hybridMultilevel"/>
    <w:lvl w:ilvl="0">
      <w:lvlJc w:val="left"/>
      <w:lvlText w:val="(%1)"/>
      <w:numFmt w:val="decimal"/>
      <w:start w:val="1"/>
    </w:lvl>
  </w:abstractNum>
  <w:abstractNum w:abstractNumId="37">
    <w:nsid w:val="5FB8011C"/>
    <w:multiLevelType w:val="hybridMultilevel"/>
    <w:lvl w:ilvl="0">
      <w:lvlJc w:val="left"/>
      <w:lvlText w:val="(%1)"/>
      <w:numFmt w:val="decimal"/>
      <w:start w:val="1"/>
    </w:lvl>
  </w:abstractNum>
  <w:abstractNum w:abstractNumId="38">
    <w:nsid w:val="6AA78F7F"/>
    <w:multiLevelType w:val="hybridMultilevel"/>
    <w:lvl w:ilvl="0">
      <w:lvlJc w:val="left"/>
      <w:lvlText w:val="•"/>
      <w:numFmt w:val="bullet"/>
      <w:start w:val="1"/>
    </w:lvl>
  </w:abstractNum>
  <w:abstractNum w:abstractNumId="39">
    <w:nsid w:val="7672BD23"/>
    <w:multiLevelType w:val="hybridMultilevel"/>
    <w:lvl w:ilvl="0">
      <w:lvlJc w:val="left"/>
      <w:lvlText w:val="(%1)"/>
      <w:numFmt w:val="decimal"/>
      <w:start w:val="1"/>
    </w:lvl>
  </w:abstractNum>
  <w:abstractNum w:abstractNumId="40">
    <w:nsid w:val="6FC75AF8"/>
    <w:multiLevelType w:val="hybridMultilevel"/>
    <w:lvl w:ilvl="0">
      <w:lvlJc w:val="left"/>
      <w:lvlText w:val="(%1)"/>
      <w:numFmt w:val="decimal"/>
      <w:start w:val="1"/>
    </w:lvl>
  </w:abstractNum>
  <w:abstractNum w:abstractNumId="41">
    <w:nsid w:val="6A5F7029"/>
    <w:multiLevelType w:val="hybridMultilevel"/>
    <w:lvl w:ilvl="0">
      <w:lvlJc w:val="left"/>
      <w:lvlText w:val="(%1)"/>
      <w:numFmt w:val="decimal"/>
      <w:start w:val="1"/>
    </w:lvl>
  </w:abstractNum>
  <w:abstractNum w:abstractNumId="42">
    <w:nsid w:val="7D5E18F8"/>
    <w:multiLevelType w:val="hybridMultilevel"/>
    <w:lvl w:ilvl="0">
      <w:lvlJc w:val="left"/>
      <w:lvlText w:val="(%1)"/>
      <w:numFmt w:val="decimal"/>
      <w:start w:val="1"/>
    </w:lvl>
  </w:abstractNum>
  <w:abstractNum w:abstractNumId="43">
    <w:nsid w:val="5F3534A4"/>
    <w:multiLevelType w:val="hybridMultilevel"/>
    <w:lvl w:ilvl="0">
      <w:lvlJc w:val="left"/>
      <w:lvlText w:val="(%1)"/>
      <w:numFmt w:val="decimal"/>
      <w:start w:val="1"/>
    </w:lvl>
  </w:abstractNum>
  <w:abstractNum w:abstractNumId="44">
    <w:nsid w:val="73A1821B"/>
    <w:multiLevelType w:val="hybridMultilevel"/>
    <w:lvl w:ilvl="0">
      <w:lvlJc w:val="left"/>
      <w:lvlText w:val="•"/>
      <w:numFmt w:val="bullet"/>
      <w:start w:val="1"/>
    </w:lvl>
  </w:abstractNum>
  <w:abstractNum w:abstractNumId="45">
    <w:nsid w:val="7DE67713"/>
    <w:multiLevelType w:val="hybridMultilevel"/>
    <w:lvl w:ilvl="0">
      <w:lvlJc w:val="left"/>
      <w:lvlText w:val="(%1)"/>
      <w:numFmt w:val="lowerRoman"/>
      <w:start w:val="1"/>
    </w:lvl>
  </w:abstractNum>
  <w:abstractNum w:abstractNumId="46">
    <w:nsid w:val="555C55B5"/>
    <w:multiLevelType w:val="hybridMultilevel"/>
    <w:lvl w:ilvl="0">
      <w:lvlJc w:val="left"/>
      <w:lvlText w:val="(%1)"/>
      <w:numFmt w:val="decimal"/>
      <w:start w:val="1"/>
    </w:lvl>
  </w:abstractNum>
  <w:abstractNum w:abstractNumId="47">
    <w:nsid w:val="3FA62ACA"/>
    <w:multiLevelType w:val="hybridMultilevel"/>
    <w:lvl w:ilvl="0">
      <w:lvlJc w:val="left"/>
      <w:lvlText w:val="•"/>
      <w:numFmt w:val="bullet"/>
      <w:start w:val="1"/>
    </w:lvl>
  </w:abstractNum>
  <w:abstractNum w:abstractNumId="48">
    <w:nsid w:val="14FCE74E"/>
    <w:multiLevelType w:val="hybridMultilevel"/>
    <w:lvl w:ilvl="0">
      <w:lvlJc w:val="left"/>
      <w:lvlText w:val="•"/>
      <w:numFmt w:val="bullet"/>
      <w:start w:val="1"/>
    </w:lvl>
  </w:abstractNum>
  <w:abstractNum w:abstractNumId="49">
    <w:nsid w:val="6A3DD3E8"/>
    <w:multiLevelType w:val="hybridMultilevel"/>
    <w:lvl w:ilvl="0">
      <w:lvlJc w:val="left"/>
      <w:lvlText w:val="-"/>
      <w:numFmt w:val="bullet"/>
      <w:start w:val="1"/>
    </w:lvl>
  </w:abstractNum>
  <w:abstractNum w:abstractNumId="50">
    <w:nsid w:val="71C91298"/>
    <w:multiLevelType w:val="hybridMultilevel"/>
    <w:lvl w:ilvl="0">
      <w:lvlJc w:val="left"/>
      <w:lvlText w:val="(%1)"/>
      <w:numFmt w:val="decimal"/>
      <w:start w:val="2"/>
    </w:lvl>
  </w:abstractNum>
  <w:abstractNum w:abstractNumId="51">
    <w:nsid w:val="9DAF632"/>
    <w:multiLevelType w:val="hybridMultilevel"/>
    <w:lvl w:ilvl="0">
      <w:lvlJc w:val="left"/>
      <w:lvlText w:val="•"/>
      <w:numFmt w:val="bullet"/>
      <w:start w:val="1"/>
    </w:lvl>
  </w:abstractNum>
  <w:abstractNum w:abstractNumId="52">
    <w:nsid w:val="53299938"/>
    <w:multiLevelType w:val="hybridMultilevel"/>
    <w:lvl w:ilvl="0">
      <w:lvlJc w:val="left"/>
      <w:lvlText w:val="%1."/>
      <w:numFmt w:val="decimal"/>
      <w:start w:val="2"/>
    </w:lvl>
  </w:abstractNum>
  <w:abstractNum w:abstractNumId="53">
    <w:nsid w:val="1FBFE8E0"/>
    <w:multiLevelType w:val="hybridMultilevel"/>
    <w:lvl w:ilvl="0">
      <w:lvlJc w:val="left"/>
      <w:lvlText w:val="•"/>
      <w:numFmt w:val="bullet"/>
      <w:start w:val="1"/>
    </w:lvl>
  </w:abstractNum>
  <w:abstractNum w:abstractNumId="54">
    <w:nsid w:val="5092CA79"/>
    <w:multiLevelType w:val="hybridMultilevel"/>
    <w:lvl w:ilvl="0">
      <w:lvlJc w:val="left"/>
      <w:lvlText w:val="(%1)"/>
      <w:numFmt w:val="decimal"/>
      <w:start w:val="1"/>
    </w:lvl>
  </w:abstractNum>
  <w:abstractNum w:abstractNumId="55">
    <w:nsid w:val="1D545C4D"/>
    <w:multiLevelType w:val="hybridMultilevel"/>
    <w:lvl w:ilvl="0">
      <w:lvlJc w:val="left"/>
      <w:lvlText w:val="(%1)"/>
      <w:numFmt w:val="decimal"/>
      <w:start w:val="1"/>
    </w:lvl>
  </w:abstractNum>
  <w:abstractNum w:abstractNumId="56">
    <w:nsid w:val="59ADEA3D"/>
    <w:multiLevelType w:val="hybridMultilevel"/>
    <w:lvl w:ilvl="0">
      <w:lvlJc w:val="left"/>
      <w:lvlText w:val="(%1)"/>
      <w:numFmt w:val="decimal"/>
      <w:start w:val="1"/>
    </w:lvl>
  </w:abstractNum>
  <w:abstractNum w:abstractNumId="57">
    <w:nsid w:val="288F1A34"/>
    <w:multiLevelType w:val="hybridMultilevel"/>
    <w:lvl w:ilvl="0">
      <w:lvlJc w:val="left"/>
      <w:lvlText w:val="(%1)"/>
      <w:numFmt w:val="decimal"/>
      <w:start w:val="1"/>
    </w:lvl>
  </w:abstractNum>
  <w:abstractNum w:abstractNumId="58">
    <w:nsid w:val="2A155DBC"/>
    <w:multiLevelType w:val="hybridMultilevel"/>
    <w:lvl w:ilvl="0">
      <w:lvlJc w:val="left"/>
      <w:lvlText w:val="(%1)"/>
      <w:numFmt w:val="decimal"/>
      <w:start w:val="1"/>
    </w:lvl>
  </w:abstractNum>
  <w:abstractNum w:abstractNumId="59">
    <w:nsid w:val="1D9F6E5F"/>
    <w:multiLevelType w:val="hybridMultilevel"/>
    <w:lvl w:ilvl="0">
      <w:lvlJc w:val="left"/>
      <w:lvlText w:val="(%1)"/>
      <w:numFmt w:val="decimal"/>
      <w:start w:val="1"/>
    </w:lvl>
  </w:abstractNum>
  <w:abstractNum w:abstractNumId="60">
    <w:nsid w:val="97E1B4E"/>
    <w:multiLevelType w:val="hybridMultilevel"/>
    <w:lvl w:ilvl="0">
      <w:lvlJc w:val="left"/>
      <w:lvlText w:val="(%1)"/>
      <w:numFmt w:val="decimal"/>
      <w:start w:val="1"/>
    </w:lvl>
  </w:abstractNum>
  <w:abstractNum w:abstractNumId="61">
    <w:nsid w:val="51088277"/>
    <w:multiLevelType w:val="hybridMultilevel"/>
    <w:lvl w:ilvl="0">
      <w:lvlJc w:val="left"/>
      <w:lvlText w:val="%1."/>
      <w:numFmt w:val="decimal"/>
      <w:start w:val="14"/>
    </w:lvl>
  </w:abstractNum>
  <w:abstractNum w:abstractNumId="62">
    <w:nsid w:val="1CA0C5FA"/>
    <w:multiLevelType w:val="hybridMultilevel"/>
    <w:lvl w:ilvl="0">
      <w:lvlJc w:val="left"/>
      <w:lvlText w:val="%1."/>
      <w:numFmt w:val="decimal"/>
      <w:start w:val="1"/>
    </w:lvl>
  </w:abstractNum>
  <w:abstractNum w:abstractNumId="63">
    <w:nsid w:val="53584BCB"/>
    <w:multiLevelType w:val="hybridMultilevel"/>
    <w:lvl w:ilvl="0">
      <w:lvlJc w:val="left"/>
      <w:lvlText w:val="%1."/>
      <w:numFmt w:val="decimal"/>
      <w:start w:val="3"/>
    </w:lvl>
  </w:abstractNum>
  <w:abstractNum w:abstractNumId="64">
    <w:nsid w:val="415E286C"/>
    <w:multiLevelType w:val="hybridMultilevel"/>
    <w:lvl w:ilvl="0">
      <w:lvlJc w:val="left"/>
      <w:lvlText w:val="*"/>
      <w:numFmt w:val="bullet"/>
      <w:start w:val="1"/>
    </w:lvl>
    <w:lvl w:ilvl="1">
      <w:lvlJc w:val="left"/>
      <w:lvlText w:val="%2"/>
      <w:numFmt w:val="decimal"/>
      <w:start w:val="101"/>
    </w:lvl>
    <w:lvl w:ilvl="2">
      <w:lvlJc w:val="left"/>
      <w:lvlText w:val="(%3)"/>
      <w:numFmt w:val="lowerRoman"/>
      <w:start w:val="1"/>
    </w:lvl>
  </w:abstractNum>
  <w:abstractNum w:abstractNumId="65">
    <w:nsid w:val="7C58FD05"/>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abstractNum>
  <w:abstractNum w:abstractNumId="66">
    <w:nsid w:val="23D86AAC"/>
    <w:multiLevelType w:val="hybridMultilevel"/>
    <w:lvl w:ilvl="0">
      <w:lvlJc w:val="left"/>
      <w:lvlText w:val="~"/>
      <w:numFmt w:val="bullet"/>
      <w:start w:val="1"/>
    </w:lvl>
  </w:abstractNum>
  <w:abstractNum w:abstractNumId="67">
    <w:nsid w:val="45E6D486"/>
    <w:multiLevelType w:val="hybridMultilevel"/>
    <w:lvl w:ilvl="0">
      <w:lvlJc w:val="left"/>
      <w:lvlText w:val="+"/>
      <w:numFmt w:val="bullet"/>
      <w:start w:val="1"/>
    </w:lvl>
  </w:abstractNum>
  <w:abstractNum w:abstractNumId="68">
    <w:nsid w:val="5C10FE21"/>
    <w:multiLevelType w:val="hybridMultilevel"/>
    <w:lvl w:ilvl="0">
      <w:lvlJc w:val="left"/>
      <w:lvlText w:val="#"/>
      <w:numFmt w:val="bullet"/>
      <w:start w:val="1"/>
    </w:lvl>
  </w:abstractNum>
  <w:abstractNum w:abstractNumId="69">
    <w:nsid w:val="E7FFA2B"/>
    <w:multiLevelType w:val="hybridMultilevel"/>
    <w:lvl w:ilvl="0">
      <w:lvlJc w:val="left"/>
      <w:lvlText w:val="(%1)"/>
      <w:numFmt w:val="lowerLetter"/>
      <w:start w:val="1"/>
    </w:lvl>
  </w:abstractNum>
  <w:abstractNum w:abstractNumId="70">
    <w:nsid w:val="3C5991AA"/>
    <w:multiLevelType w:val="hybridMultilevel"/>
    <w:lvl w:ilvl="0">
      <w:lvlJc w:val="left"/>
      <w:lvlText w:val="(%1)"/>
      <w:numFmt w:val="lowerLetter"/>
      <w:start w:val="10"/>
    </w:lvl>
  </w:abstractNum>
  <w:abstractNum w:abstractNumId="71">
    <w:nsid w:val="4BD8591A"/>
    <w:multiLevelType w:val="hybridMultilevel"/>
    <w:lvl w:ilvl="0">
      <w:lvlJc w:val="left"/>
      <w:lvlText w:val="(%1)"/>
      <w:numFmt w:val="lowerLetter"/>
      <w:start w:val="13"/>
    </w:lvl>
  </w:abstractNum>
  <w:abstractNum w:abstractNumId="72">
    <w:nsid w:val="78DF6A55"/>
    <w:multiLevelType w:val="hybridMultilevel"/>
    <w:lvl w:ilvl="0">
      <w:lvlJc w:val="left"/>
      <w:lvlText w:val="(%1)"/>
      <w:numFmt w:val="lowerLetter"/>
      <w:start w:val="22"/>
    </w:lvl>
  </w:abstractNum>
  <w:abstractNum w:abstractNumId="73">
    <w:nsid w:val="39B7AAA2"/>
    <w:multiLevelType w:val="hybridMultilevel"/>
    <w:lvl w:ilvl="0">
      <w:lvlJc w:val="left"/>
      <w:lvlText w:val="(%1)"/>
      <w:numFmt w:val="lowerLetter"/>
      <w:start w:val="25"/>
    </w:lvl>
  </w:abstractNum>
  <w:abstractNum w:abstractNumId="74">
    <w:nsid w:val="2B0D8DBE"/>
    <w:multiLevelType w:val="hybridMultilevel"/>
    <w:lvl w:ilvl="0">
      <w:lvlJc w:val="left"/>
      <w:lvlText w:val="(%1)"/>
      <w:numFmt w:val="lowerLetter"/>
      <w:start w:val="26"/>
    </w:lvl>
  </w:abstractNum>
  <w:abstractNum w:abstractNumId="75">
    <w:nsid w:val="6C80EC70"/>
    <w:multiLevelType w:val="hybridMultilevel"/>
    <w:lvl w:ilvl="0">
      <w:lvlJc w:val="left"/>
      <w:lvlText w:val="(%1)"/>
      <w:numFmt w:val="lowerLetter"/>
      <w:start w:val="27"/>
    </w:lvl>
  </w:abstractNum>
  <w:abstractNum w:abstractNumId="76">
    <w:nsid w:val="379E21B5"/>
    <w:multiLevelType w:val="hybridMultilevel"/>
    <w:lvl w:ilvl="0">
      <w:lvlJc w:val="left"/>
      <w:lvlText w:val="(%1)"/>
      <w:numFmt w:val="lowerLetter"/>
      <w:start w:val="29"/>
    </w:lvl>
  </w:abstractNum>
  <w:abstractNum w:abstractNumId="77">
    <w:nsid w:val="69E373"/>
    <w:multiLevelType w:val="hybridMultilevel"/>
    <w:lvl w:ilvl="0">
      <w:lvlJc w:val="left"/>
      <w:lvlText w:val="(%1)"/>
      <w:numFmt w:val="lowerLetter"/>
      <w:start w:val="39"/>
    </w:lvl>
  </w:abstractNum>
  <w:abstractNum w:abstractNumId="78">
    <w:nsid w:val="2C27173B"/>
    <w:multiLevelType w:val="hybridMultilevel"/>
    <w:lvl w:ilvl="0">
      <w:lvlJc w:val="left"/>
      <w:lvlText w:val="(%1)"/>
      <w:numFmt w:val="lowerLetter"/>
      <w:start w:val="50"/>
    </w:lvl>
  </w:abstractNum>
  <w:abstractNum w:abstractNumId="79">
    <w:nsid w:val="4C9B0904"/>
    <w:multiLevelType w:val="hybridMultilevel"/>
    <w:lvl w:ilvl="0">
      <w:lvlJc w:val="left"/>
      <w:lvlText w:val="(%1)"/>
      <w:numFmt w:val="lowerLetter"/>
      <w:start w:val="1"/>
    </w:lvl>
  </w:abstractNum>
  <w:abstractNum w:abstractNumId="80">
    <w:nsid w:val="6AA7B75C"/>
    <w:multiLevelType w:val="hybridMultilevel"/>
    <w:lvl w:ilvl="0">
      <w:lvlJc w:val="left"/>
      <w:lvlText w:val="%1"/>
      <w:numFmt w:val="lowerLetter"/>
      <w:start w:val="1"/>
    </w:lvl>
    <w:lvl w:ilvl="1">
      <w:lvlJc w:val="left"/>
      <w:lvlText w:val="(%2)"/>
      <w:numFmt w:val="lowerRoman"/>
      <w:start w:val="1"/>
    </w:lvl>
  </w:abstractNum>
  <w:abstractNum w:abstractNumId="81">
    <w:nsid w:val="1DF029D3"/>
    <w:multiLevelType w:val="hybridMultilevel"/>
    <w:lvl w:ilvl="0">
      <w:lvlJc w:val="left"/>
      <w:lvlText w:val="(%1)"/>
      <w:numFmt w:val="lowerLetter"/>
      <w:start w:val="2"/>
    </w:lvl>
    <w:lvl w:ilvl="1">
      <w:lvlJc w:val="left"/>
      <w:lvlText w:val="(%2)"/>
      <w:numFmt w:val="lowerRoman"/>
      <w:start w:val="1"/>
    </w:lvl>
  </w:abstractNum>
  <w:abstractNum w:abstractNumId="82">
    <w:nsid w:val="5675FF36"/>
    <w:multiLevelType w:val="hybridMultilevel"/>
    <w:lvl w:ilvl="0">
      <w:lvlJc w:val="left"/>
      <w:lvlText w:val="%1"/>
      <w:numFmt w:val="lowerLetter"/>
      <w:start w:val="1"/>
    </w:lvl>
    <w:lvl w:ilvl="1">
      <w:lvlJc w:val="left"/>
      <w:lvlText w:val="(%2)"/>
      <w:numFmt w:val="lowerLetter"/>
      <w:start w:val="35"/>
    </w:lvl>
  </w:abstractNum>
  <w:abstractNum w:abstractNumId="83">
    <w:nsid w:val="3DD15094"/>
    <w:multiLevelType w:val="hybridMultilevel"/>
    <w:lvl w:ilvl="0">
      <w:lvlJc w:val="left"/>
      <w:lvlText w:val="(%1)"/>
      <w:numFmt w:val="lowerLetter"/>
      <w:start w:val="3"/>
    </w:lvl>
    <w:lvl w:ilvl="1">
      <w:lvlJc w:val="left"/>
      <w:lvlText w:val="%2"/>
      <w:numFmt w:val="lowerLetter"/>
      <w:start w:val="1"/>
    </w:lvl>
  </w:abstractNum>
  <w:abstractNum w:abstractNumId="84">
    <w:nsid w:val="3DB012B3"/>
    <w:multiLevelType w:val="hybridMultilevel"/>
    <w:lvl w:ilvl="0">
      <w:lvlJc w:val="left"/>
      <w:lvlText w:val="(%1)"/>
      <w:numFmt w:val="lowerLetter"/>
      <w:start w:val="5"/>
    </w:lvl>
  </w:abstractNum>
  <w:abstractNum w:abstractNumId="85">
    <w:nsid w:val="2708C9AF"/>
    <w:multiLevelType w:val="hybridMultilevel"/>
    <w:lvl w:ilvl="0">
      <w:lvlJc w:val="left"/>
      <w:lvlText w:val="(%1)"/>
      <w:numFmt w:val="lowerLetter"/>
      <w:start w:val="1"/>
    </w:lvl>
    <w:lvl w:ilvl="1">
      <w:lvlJc w:val="left"/>
      <w:lvlText w:val="(%2)"/>
      <w:numFmt w:val="lowerRoman"/>
      <w:start w:val="1"/>
    </w:lvl>
  </w:abstractNum>
  <w:abstractNum w:abstractNumId="86">
    <w:nsid w:val="5B25ACE2"/>
    <w:multiLevelType w:val="hybridMultilevel"/>
    <w:lvl w:ilvl="0">
      <w:lvlJc w:val="left"/>
      <w:lvlText w:val="(%1)"/>
      <w:numFmt w:val="lowerLetter"/>
      <w:start w:val="4"/>
    </w:lvl>
    <w:lvl w:ilvl="1">
      <w:lvlJc w:val="left"/>
      <w:lvlText w:val="(%2)"/>
      <w:numFmt w:val="lowerRoman"/>
      <w:start w:val="1"/>
    </w:lvl>
  </w:abstractNum>
  <w:abstractNum w:abstractNumId="87">
    <w:nsid w:val="175DFCF0"/>
    <w:multiLevelType w:val="hybridMultilevel"/>
    <w:lvl w:ilvl="0">
      <w:lvlJc w:val="left"/>
      <w:lvlText w:val="(%1)"/>
      <w:numFmt w:val="lowerRoman"/>
      <w:start w:val="4"/>
    </w:lvl>
  </w:abstractNum>
  <w:abstractNum w:abstractNumId="88">
    <w:nsid w:val="4F97E3E4"/>
    <w:multiLevelType w:val="hybridMultilevel"/>
    <w:lvl w:ilvl="0">
      <w:lvlJc w:val="left"/>
      <w:lvlText w:val="(%1)"/>
      <w:numFmt w:val="lowerLetter"/>
      <w:start w:val="1"/>
    </w:lvl>
  </w:abstractNum>
  <w:abstractNum w:abstractNumId="89">
    <w:nsid w:val="53B0A9E"/>
    <w:multiLevelType w:val="hybridMultilevel"/>
    <w:lvl w:ilvl="0">
      <w:lvlJc w:val="left"/>
      <w:lvlText w:val="(%1)"/>
      <w:numFmt w:val="lowerLetter"/>
      <w:start w:val="2"/>
    </w:lvl>
  </w:abstractNum>
  <w:abstractNum w:abstractNumId="90">
    <w:nsid w:val="34FD6B4F"/>
    <w:multiLevelType w:val="hybridMultilevel"/>
    <w:lvl w:ilvl="0">
      <w:lvlJc w:val="left"/>
      <w:lvlText w:val="(%1)"/>
      <w:numFmt w:val="lowerLetter"/>
      <w:start w:val="3"/>
    </w:lvl>
  </w:abstractNum>
  <w:abstractNum w:abstractNumId="91">
    <w:nsid w:val="5915FF32"/>
    <w:multiLevelType w:val="hybridMultilevel"/>
    <w:lvl w:ilvl="0">
      <w:lvlJc w:val="left"/>
      <w:lvlText w:val="(%1)"/>
      <w:numFmt w:val="lowerLetter"/>
      <w:start w:val="1"/>
    </w:lvl>
  </w:abstractNum>
  <w:abstractNum w:abstractNumId="92">
    <w:nsid w:val="56438D15"/>
    <w:multiLevelType w:val="hybridMultilevel"/>
    <w:lvl w:ilvl="0">
      <w:lvlJc w:val="left"/>
      <w:lvlText w:val="(%1)"/>
      <w:numFmt w:val="lowerLetter"/>
      <w:start w:val="3"/>
    </w:lvl>
  </w:abstractNum>
  <w:abstractNum w:abstractNumId="93">
    <w:nsid w:val="519E3149"/>
    <w:multiLevelType w:val="hybridMultilevel"/>
    <w:lvl w:ilvl="0">
      <w:lvlJc w:val="left"/>
      <w:lvlText w:val="(%1)"/>
      <w:numFmt w:val="lowerRoman"/>
      <w:start w:val="1"/>
    </w:lvl>
  </w:abstractNum>
  <w:abstractNum w:abstractNumId="94">
    <w:nsid w:val="2C6E4AFD"/>
    <w:multiLevelType w:val="hybridMultilevel"/>
    <w:lvl w:ilvl="0">
      <w:lvlJc w:val="left"/>
      <w:lvlText w:val="(%1)"/>
      <w:numFmt w:val="lowerLetter"/>
      <w:start w:val="8"/>
    </w:lvl>
  </w:abstractNum>
  <w:abstractNum w:abstractNumId="95">
    <w:nsid w:val="17A1B582"/>
    <w:multiLevelType w:val="hybridMultilevel"/>
    <w:lvl w:ilvl="0">
      <w:lvlJc w:val="left"/>
      <w:lvlText w:val="(%1)"/>
      <w:numFmt w:val="lowerLetter"/>
      <w:start w:val="9"/>
    </w:lvl>
    <w:lvl w:ilvl="1">
      <w:lvlJc w:val="left"/>
      <w:lvlText w:val="(%2)"/>
      <w:numFmt w:val="lowerRoman"/>
      <w:start w:val="1"/>
    </w:lvl>
  </w:abstractNum>
  <w:abstractNum w:abstractNumId="96">
    <w:nsid w:val="4DF72E4E"/>
    <w:multiLevelType w:val="hybridMultilevel"/>
    <w:lvl w:ilvl="0">
      <w:lvlJc w:val="left"/>
      <w:lvlText w:val="(%1)"/>
      <w:numFmt w:val="lowerLetter"/>
      <w:start w:val="11"/>
    </w:lvl>
  </w:abstractNum>
  <w:abstractNum w:abstractNumId="97">
    <w:nsid w:val="5046B5A9"/>
    <w:multiLevelType w:val="hybridMultilevel"/>
    <w:lvl w:ilvl="0">
      <w:lvlJc w:val="left"/>
      <w:lvlText w:val="(%1)"/>
      <w:numFmt w:val="lowerLetter"/>
      <w:start w:val="1"/>
    </w:lvl>
  </w:abstractNum>
  <w:abstractNum w:abstractNumId="98">
    <w:nsid w:val="5D888A08"/>
    <w:multiLevelType w:val="hybridMultilevel"/>
    <w:lvl w:ilvl="0">
      <w:lvlJc w:val="left"/>
      <w:lvlText w:val="(%1)"/>
      <w:numFmt w:val="lowerLetter"/>
      <w:start w:val="3"/>
    </w:lvl>
    <w:lvl w:ilvl="1">
      <w:lvlJc w:val="left"/>
      <w:lvlText w:val="(%2)"/>
      <w:numFmt w:val="lowerLetter"/>
      <w:start w:val="9"/>
    </w:lvl>
  </w:abstractNum>
  <w:abstractNum w:abstractNumId="99">
    <w:nsid w:val="2A082C70"/>
    <w:multiLevelType w:val="hybridMultilevel"/>
    <w:lvl w:ilvl="0">
      <w:lvlJc w:val="left"/>
      <w:lvlText w:val="%1"/>
      <w:numFmt w:val="lowerLetter"/>
      <w:start w:val="1"/>
    </w:lvl>
    <w:lvl w:ilvl="1">
      <w:lvlJc w:val="left"/>
      <w:lvlText w:val="(%2)"/>
      <w:numFmt w:val="lowerLetter"/>
      <w:start w:val="35"/>
    </w:lvl>
  </w:abstractNum>
  <w:abstractNum w:abstractNumId="100">
    <w:nsid w:val="5EC6AFD4"/>
    <w:multiLevelType w:val="hybridMultilevel"/>
    <w:lvl w:ilvl="0">
      <w:lvlJc w:val="left"/>
      <w:lvlText w:val="(%1)"/>
      <w:numFmt w:val="lowerLetter"/>
      <w:start w:val="4"/>
    </w:lvl>
    <w:lvl w:ilvl="1">
      <w:lvlJc w:val="left"/>
      <w:lvlText w:val="(%2)"/>
      <w:numFmt w:val="lowerLetter"/>
      <w:start w:val="9"/>
    </w:lvl>
  </w:abstractNum>
  <w:abstractNum w:abstractNumId="101">
    <w:nsid w:val="19E21BB2"/>
    <w:multiLevelType w:val="hybridMultilevel"/>
    <w:lvl w:ilvl="0">
      <w:lvlJc w:val="left"/>
      <w:lvlText w:val="(%1)"/>
      <w:numFmt w:val="lowerRoman"/>
      <w:start w:val="2"/>
    </w:lvl>
  </w:abstractNum>
  <w:abstractNum w:abstractNumId="102">
    <w:nsid w:val="75E0858A"/>
    <w:multiLevelType w:val="hybridMultilevel"/>
    <w:lvl w:ilvl="0">
      <w:lvlJc w:val="left"/>
      <w:lvlText w:val="(%1)"/>
      <w:numFmt w:val="lowerLetter"/>
      <w:start w:val="1"/>
    </w:lvl>
    <w:lvl w:ilvl="1">
      <w:lvlJc w:val="left"/>
      <w:lvlText w:val="(%2)"/>
      <w:numFmt w:val="lowerLetter"/>
      <w:start w:val="9"/>
    </w:lvl>
  </w:abstractNum>
  <w:abstractNum w:abstractNumId="103">
    <w:nsid w:val="57A61A29"/>
    <w:multiLevelType w:val="hybridMultilevel"/>
    <w:lvl w:ilvl="0">
      <w:lvlJc w:val="left"/>
      <w:lvlText w:val="%1"/>
      <w:numFmt w:val="lowerLetter"/>
      <w:start w:val="1"/>
    </w:lvl>
    <w:lvl w:ilvl="1">
      <w:lvlJc w:val="left"/>
      <w:lvlText w:val="(%2)"/>
      <w:numFmt w:val="lowerRoman"/>
      <w:start w:val="2"/>
    </w:lvl>
  </w:abstractNum>
  <w:abstractNum w:abstractNumId="104">
    <w:nsid w:val="5399C654"/>
    <w:multiLevelType w:val="hybridMultilevel"/>
    <w:lvl w:ilvl="0">
      <w:lvlJc w:val="left"/>
      <w:lvlText w:val="(%1)"/>
      <w:numFmt w:val="lowerLetter"/>
      <w:start w:val="3"/>
    </w:lvl>
    <w:lvl w:ilvl="1">
      <w:lvlJc w:val="left"/>
      <w:lvlText w:val="(%2)"/>
      <w:numFmt w:val="lowerRoman"/>
      <w:start w:val="1"/>
    </w:lvl>
  </w:abstractNum>
  <w:abstractNum w:abstractNumId="105">
    <w:nsid w:val="20EE1348"/>
    <w:multiLevelType w:val="hybridMultilevel"/>
    <w:lvl w:ilvl="0">
      <w:lvlJc w:val="left"/>
      <w:lvlText w:val="%1"/>
      <w:numFmt w:val="lowerLetter"/>
      <w:start w:val="1"/>
    </w:lvl>
    <w:lvl w:ilvl="1">
      <w:lvlJc w:val="left"/>
      <w:lvlText w:val="(%2)"/>
      <w:numFmt w:val="lowerLetter"/>
      <w:start w:val="1"/>
    </w:lvl>
  </w:abstractNum>
  <w:abstractNum w:abstractNumId="106">
    <w:nsid w:val="4427069A"/>
    <w:multiLevelType w:val="hybridMultilevel"/>
    <w:lvl w:ilvl="0">
      <w:lvlJc w:val="left"/>
      <w:lvlText w:val="(%1)"/>
      <w:numFmt w:val="lowerLetter"/>
      <w:start w:val="35"/>
    </w:lvl>
    <w:lvl w:ilvl="1">
      <w:lvlJc w:val="left"/>
      <w:lvlText w:val="(%2)"/>
      <w:numFmt w:val="lowerLetter"/>
      <w:start w:val="3"/>
    </w:lvl>
  </w:abstractNum>
  <w:abstractNum w:abstractNumId="107">
    <w:nsid w:val="B37E80A"/>
    <w:multiLevelType w:val="hybridMultilevel"/>
    <w:lvl w:ilvl="0">
      <w:lvlJc w:val="left"/>
      <w:lvlText w:val="(%1)"/>
      <w:numFmt w:val="lowerLetter"/>
      <w:start w:val="5"/>
    </w:lvl>
  </w:abstractNum>
  <w:abstractNum w:abstractNumId="108">
    <w:nsid w:val="2157F6BC"/>
    <w:multiLevelType w:val="hybridMultilevel"/>
    <w:lvl w:ilvl="0">
      <w:lvlJc w:val="left"/>
      <w:lvlText w:val="(%1)"/>
      <w:numFmt w:val="lowerRoman"/>
      <w:start w:val="1"/>
    </w:lvl>
  </w:abstractNum>
  <w:abstractNum w:abstractNumId="109">
    <w:nsid w:val="704E1DD5"/>
    <w:multiLevelType w:val="hybridMultilevel"/>
    <w:lvl w:ilvl="0">
      <w:lvlJc w:val="left"/>
      <w:lvlText w:val="(%1)"/>
      <w:numFmt w:val="lowerLetter"/>
      <w:start w:val="1"/>
    </w:lvl>
  </w:abstractNum>
  <w:abstractNum w:abstractNumId="110">
    <w:nsid w:val="57D2F10E"/>
    <w:multiLevelType w:val="hybridMultilevel"/>
    <w:lvl w:ilvl="0">
      <w:lvlJc w:val="left"/>
      <w:lvlText w:val="(%1)"/>
      <w:numFmt w:val="lowerLetter"/>
      <w:start w:val="1"/>
    </w:lvl>
  </w:abstractNum>
  <w:abstractNum w:abstractNumId="111">
    <w:nsid w:val="BFFAE18"/>
    <w:multiLevelType w:val="hybridMultilevel"/>
    <w:lvl w:ilvl="0">
      <w:lvlJc w:val="left"/>
      <w:lvlText w:val="(%1)"/>
      <w:numFmt w:val="lowerLetter"/>
      <w:start w:val="1"/>
    </w:lvl>
  </w:abstractNum>
  <w:abstractNum w:abstractNumId="112">
    <w:nsid w:val="E3E47A8"/>
    <w:multiLevelType w:val="hybridMultilevel"/>
    <w:lvl w:ilvl="0">
      <w:lvlJc w:val="left"/>
      <w:lvlText w:val="(%1)"/>
      <w:numFmt w:val="lowerLetter"/>
      <w:start w:val="6"/>
    </w:lvl>
  </w:abstractNum>
  <w:abstractNum w:abstractNumId="113">
    <w:nsid w:val="2E48F044"/>
    <w:multiLevelType w:val="hybridMultilevel"/>
    <w:lvl w:ilvl="0">
      <w:lvlJc w:val="left"/>
      <w:lvlText w:val="%1."/>
      <w:numFmt w:val="decimal"/>
      <w:start w:val="1"/>
    </w:lvl>
    <w:lvl w:ilvl="1">
      <w:lvlJc w:val="left"/>
      <w:lvlText w:val="(%2)"/>
      <w:numFmt w:val="lowerLetter"/>
      <w:start w:val="1"/>
    </w:lvl>
  </w:abstractNum>
  <w:abstractNum w:abstractNumId="114">
    <w:nsid w:val="49D0FEAC"/>
    <w:multiLevelType w:val="hybridMultilevel"/>
    <w:lvl w:ilvl="0">
      <w:lvlJc w:val="left"/>
      <w:lvlText w:val="%1."/>
      <w:numFmt w:val="decimal"/>
      <w:start w:val="5"/>
    </w:lvl>
    <w:lvl w:ilvl="1">
      <w:lvlJc w:val="left"/>
      <w:lvlText w:val="(%2)"/>
      <w:numFmt w:val="lowerLetter"/>
      <w:start w:val="1"/>
    </w:lvl>
  </w:abstractNum>
  <w:abstractNum w:abstractNumId="115">
    <w:nsid w:val="4BEE5A5B"/>
    <w:multiLevelType w:val="hybridMultilevel"/>
    <w:lvl w:ilvl="0">
      <w:lvlJc w:val="left"/>
      <w:lvlText w:val="(%1)"/>
      <w:numFmt w:val="lowerLetter"/>
      <w:start w:val="4"/>
    </w:lvl>
  </w:abstractNum>
  <w:abstractNum w:abstractNumId="116">
    <w:nsid w:val="5551B9F3"/>
    <w:multiLevelType w:val="hybridMultilevel"/>
    <w:lvl w:ilvl="0">
      <w:lvlJc w:val="left"/>
      <w:lvlText w:val="%1"/>
      <w:numFmt w:val="decimal"/>
      <w:start w:val="1"/>
    </w:lvl>
    <w:lvl w:ilvl="1">
      <w:lvlJc w:val="left"/>
      <w:lvlText w:val="(%2)"/>
      <w:numFmt w:val="lowerLetter"/>
      <w:start w:val="5"/>
    </w:lvl>
  </w:abstractNum>
  <w:abstractNum w:abstractNumId="117">
    <w:nsid w:val="24F6AB8E"/>
    <w:multiLevelType w:val="hybridMultilevel"/>
    <w:lvl w:ilvl="0">
      <w:lvlJc w:val="left"/>
      <w:lvlText w:val="%1."/>
      <w:numFmt w:val="decimal"/>
      <w:start w:val="10"/>
    </w:lvl>
    <w:lvl w:ilvl="1">
      <w:lvlJc w:val="left"/>
      <w:lvlText w:val="%2"/>
      <w:numFmt w:val="lowerLetter"/>
      <w:start w:val="1"/>
    </w:lvl>
  </w:abstractNum>
  <w:abstractNum w:abstractNumId="118">
    <w:nsid w:val="634C574C"/>
    <w:multiLevelType w:val="hybridMultilevel"/>
    <w:lvl w:ilvl="0">
      <w:lvlJc w:val="left"/>
      <w:lvlText w:val="%1."/>
      <w:numFmt w:val="decimal"/>
      <w:start w:val="1"/>
    </w:lvl>
    <w:lvl w:ilvl="1">
      <w:lvlJc w:val="left"/>
      <w:lvlText w:val="(%2)"/>
      <w:numFmt w:val="lowerLetter"/>
      <w:start w:val="1"/>
    </w:lvl>
  </w:abstractNum>
  <w:abstractNum w:abstractNumId="119">
    <w:nsid w:val="24E99DD7"/>
    <w:multiLevelType w:val="hybridMultilevel"/>
    <w:lvl w:ilvl="0">
      <w:lvlJc w:val="left"/>
      <w:lvlText w:val="%1."/>
      <w:numFmt w:val="decimal"/>
      <w:start w:val="4"/>
    </w:lvl>
    <w:lvl w:ilvl="1">
      <w:lvlJc w:val="left"/>
      <w:lvlText w:val="(%2)"/>
      <w:numFmt w:val="lowerLetter"/>
      <w:start w:val="1"/>
    </w:lvl>
  </w:abstractNum>
  <w:abstractNum w:abstractNumId="120">
    <w:nsid w:val="2A31B62D"/>
    <w:multiLevelType w:val="hybridMultilevel"/>
    <w:lvl w:ilvl="0">
      <w:lvlJc w:val="left"/>
      <w:lvlText w:val="%1."/>
      <w:numFmt w:val="decimal"/>
      <w:start w:val="9"/>
    </w:lvl>
    <w:lvl w:ilvl="1">
      <w:lvlJc w:val="left"/>
      <w:lvlText w:val="(%2)"/>
      <w:numFmt w:val="lowerLetter"/>
      <w:start w:val="1"/>
    </w:lvl>
  </w:abstractNum>
  <w:abstractNum w:abstractNumId="121">
    <w:nsid w:val="1849C29B"/>
    <w:multiLevelType w:val="hybridMultilevel"/>
    <w:lvl w:ilvl="0">
      <w:lvlJc w:val="left"/>
      <w:lvlText w:val="(%1)"/>
      <w:numFmt w:val="lowerLetter"/>
      <w:start w:val="4"/>
    </w:lvl>
  </w:abstractNum>
  <w:abstractNum w:abstractNumId="122">
    <w:nsid w:val="7DFF9D09"/>
    <w:multiLevelType w:val="hybridMultilevel"/>
    <w:lvl w:ilvl="0">
      <w:lvlJc w:val="left"/>
      <w:lvlText w:val="%1"/>
      <w:numFmt w:val="decimal"/>
      <w:start w:val="1"/>
    </w:lvl>
    <w:lvl w:ilvl="1">
      <w:lvlJc w:val="left"/>
      <w:lvlText w:val="(%2)"/>
      <w:numFmt w:val="lowerLetter"/>
      <w:start w:val="8"/>
    </w:lvl>
  </w:abstractNum>
  <w:abstractNum w:abstractNumId="123">
    <w:nsid w:val="754342"/>
    <w:multiLevelType w:val="hybridMultilevel"/>
    <w:lvl w:ilvl="0">
      <w:lvlJc w:val="left"/>
      <w:lvlText w:val="%1."/>
      <w:numFmt w:val="decimal"/>
      <w:start w:val="10"/>
    </w:lvl>
    <w:lvl w:ilvl="1">
      <w:lvlJc w:val="left"/>
      <w:lvlText w:val="%2"/>
      <w:numFmt w:val="lowerLetter"/>
      <w:start w:val="1"/>
    </w:lvl>
  </w:abstractNum>
  <w:abstractNum w:abstractNumId="124">
    <w:nsid w:val="69E7F3E5"/>
    <w:multiLevelType w:val="hybridMultilevel"/>
    <w:lvl w:ilvl="0">
      <w:lvlJc w:val="left"/>
      <w:lvlText w:val="%1."/>
      <w:numFmt w:val="decimal"/>
      <w:start w:val="1"/>
    </w:lvl>
    <w:lvl w:ilvl="1">
      <w:lvlJc w:val="left"/>
      <w:lvlText w:val="(%2)"/>
      <w:numFmt w:val="lowerLetter"/>
      <w:start w:val="1"/>
    </w:lvl>
  </w:abstractNum>
  <w:abstractNum w:abstractNumId="125">
    <w:nsid w:val="2A6DE806"/>
    <w:multiLevelType w:val="hybridMultilevel"/>
    <w:lvl w:ilvl="0">
      <w:lvlJc w:val="left"/>
      <w:lvlText w:val="%1."/>
      <w:numFmt w:val="decimal"/>
      <w:start w:val="4"/>
    </w:lvl>
    <w:lvl w:ilvl="1">
      <w:lvlJc w:val="left"/>
      <w:lvlText w:val="(%2)"/>
      <w:numFmt w:val="lowerLetter"/>
      <w:start w:val="1"/>
    </w:lvl>
  </w:abstractNum>
  <w:abstractNum w:abstractNumId="126">
    <w:nsid w:val="1816F8C4"/>
    <w:multiLevelType w:val="hybridMultilevel"/>
    <w:lvl w:ilvl="0">
      <w:lvlJc w:val="left"/>
      <w:lvlText w:val="%1."/>
      <w:numFmt w:val="decimal"/>
      <w:start w:val="9"/>
    </w:lvl>
    <w:lvl w:ilvl="1">
      <w:lvlJc w:val="left"/>
      <w:lvlText w:val="(%2)"/>
      <w:numFmt w:val="lowerLetter"/>
      <w:start w:val="1"/>
    </w:lvl>
  </w:abstractNum>
  <w:abstractNum w:abstractNumId="127">
    <w:nsid w:val="37DF2233"/>
    <w:multiLevelType w:val="hybridMultilevel"/>
    <w:lvl w:ilvl="0">
      <w:lvlJc w:val="left"/>
      <w:lvlText w:val="(%1)"/>
      <w:numFmt w:val="lowerLetter"/>
      <w:start w:val="4"/>
    </w:lvl>
  </w:abstractNum>
  <w:abstractNum w:abstractNumId="128">
    <w:nsid w:val="7AB49DAF"/>
    <w:multiLevelType w:val="hybridMultilevel"/>
    <w:lvl w:ilvl="0">
      <w:lvlJc w:val="left"/>
      <w:lvlText w:val="%1"/>
      <w:numFmt w:val="decimal"/>
      <w:start w:val="1"/>
    </w:lvl>
    <w:lvl w:ilvl="1">
      <w:lvlJc w:val="left"/>
      <w:lvlText w:val="(%2)"/>
      <w:numFmt w:val="lowerLetter"/>
      <w:start w:val="8"/>
    </w:lvl>
  </w:abstractNum>
  <w:abstractNum w:abstractNumId="129">
    <w:nsid w:val="759F82CD"/>
    <w:multiLevelType w:val="hybridMultilevel"/>
    <w:lvl w:ilvl="0">
      <w:lvlJc w:val="left"/>
      <w:lvlText w:val="%1."/>
      <w:numFmt w:val="decimal"/>
      <w:start w:val="10"/>
    </w:lvl>
    <w:lvl w:ilvl="1">
      <w:lvlJc w:val="left"/>
      <w:lvlText w:val="%2"/>
      <w:numFmt w:val="lowerLetter"/>
      <w:start w:val="1"/>
    </w:lvl>
  </w:abstractNum>
  <w:abstractNum w:abstractNumId="130">
    <w:nsid w:val="61E74EA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1">
    <w:nsid w:val="597B4D8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32">
    <w:nsid w:val="F819E7F"/>
    <w:multiLevelType w:val="hybridMultilevel"/>
    <w:lvl w:ilvl="0">
      <w:lvlJc w:val="left"/>
      <w:lvlText w:val="%1"/>
      <w:numFmt w:val="decimal"/>
      <w:start w:val="1"/>
    </w:lvl>
    <w:lvl w:ilvl="1">
      <w:lvlJc w:val="left"/>
      <w:lvlText w:val="(%2)"/>
      <w:numFmt w:val="lowerLetter"/>
      <w:start w:val="3"/>
    </w:lvl>
  </w:abstractNum>
  <w:abstractNum w:abstractNumId="133">
    <w:nsid w:val="57C7D42D"/>
    <w:multiLevelType w:val="hybridMultilevel"/>
    <w:lvl w:ilvl="0">
      <w:lvlJc w:val="left"/>
      <w:lvlText w:val="%1."/>
      <w:numFmt w:val="decimal"/>
      <w:start w:val="3"/>
    </w:lvl>
    <w:lvl w:ilvl="1">
      <w:lvlJc w:val="left"/>
      <w:lvlText w:val="%2"/>
      <w:numFmt w:val="lowerLetter"/>
      <w:start w:val="1"/>
    </w:lvl>
  </w:abstractNum>
  <w:abstractNum w:abstractNumId="134">
    <w:nsid w:val="312167AD"/>
    <w:multiLevelType w:val="hybridMultilevel"/>
    <w:lvl w:ilvl="0">
      <w:lvlJc w:val="left"/>
      <w:lvlText w:val="%1."/>
      <w:numFmt w:val="decimal"/>
      <w:start w:val="7"/>
    </w:lvl>
  </w:abstractNum>
  <w:abstractNum w:abstractNumId="135">
    <w:nsid w:val="631B64D4"/>
    <w:multiLevelType w:val="hybridMultilevel"/>
    <w:lvl w:ilvl="0">
      <w:lvlJc w:val="left"/>
      <w:lvlText w:val="(%1)"/>
      <w:numFmt w:val="lowerLetter"/>
      <w:start w:val="1"/>
    </w:lvl>
  </w:abstractNum>
  <w:abstractNum w:abstractNumId="136">
    <w:nsid w:val="78B5E776"/>
    <w:multiLevelType w:val="hybridMultilevel"/>
    <w:lvl w:ilvl="0">
      <w:lvlJc w:val="left"/>
      <w:lvlText w:val="(%1)"/>
      <w:numFmt w:val="lowerLetter"/>
      <w:start w:val="2"/>
    </w:lvl>
  </w:abstractNum>
  <w:abstractNum w:abstractNumId="137">
    <w:nsid w:val="75486E47"/>
    <w:multiLevelType w:val="hybridMultilevel"/>
    <w:lvl w:ilvl="0">
      <w:lvlJc w:val="left"/>
      <w:lvlText w:val="(%1)"/>
      <w:numFmt w:val="lowerLetter"/>
      <w:start w:val="5"/>
    </w:lvl>
  </w:abstractNum>
  <w:abstractNum w:abstractNumId="138">
    <w:nsid w:val="6E534CDE"/>
    <w:multiLevelType w:val="hybridMultilevel"/>
    <w:lvl w:ilvl="0">
      <w:lvlJc w:val="left"/>
      <w:lvlText w:val="%1"/>
      <w:numFmt w:val="decimal"/>
      <w:start w:val="1"/>
    </w:lvl>
    <w:lvl w:ilvl="1">
      <w:lvlJc w:val="left"/>
      <w:lvlText w:val="(%2)"/>
      <w:numFmt w:val="lowerLetter"/>
      <w:start w:val="7"/>
    </w:lvl>
  </w:abstractNum>
  <w:abstractNum w:abstractNumId="139">
    <w:nsid w:val="1A0DDE32"/>
    <w:multiLevelType w:val="hybridMultilevel"/>
    <w:lvl w:ilvl="0">
      <w:lvlJc w:val="left"/>
      <w:lvlText w:val="%1."/>
      <w:numFmt w:val="decimal"/>
      <w:start w:val="9"/>
    </w:lvl>
    <w:lvl w:ilvl="1">
      <w:lvlJc w:val="left"/>
      <w:lvlText w:val="%2"/>
      <w:numFmt w:val="lowerLetter"/>
      <w:start w:val="1"/>
    </w:lvl>
  </w:abstractNum>
  <w:abstractNum w:abstractNumId="140">
    <w:nsid w:val="65968C1C"/>
    <w:multiLevelType w:val="hybridMultilevel"/>
    <w:lvl w:ilvl="0">
      <w:lvlJc w:val="left"/>
      <w:lvlText w:val="(%1)"/>
      <w:numFmt w:val="lowerLetter"/>
      <w:start w:val="1"/>
    </w:lvl>
  </w:abstractNum>
  <w:abstractNum w:abstractNumId="141">
    <w:nsid w:val="46263DEC"/>
    <w:multiLevelType w:val="hybridMultilevel"/>
    <w:lvl w:ilvl="0">
      <w:lvlJc w:val="left"/>
      <w:lvlText w:val="(%1)"/>
      <w:numFmt w:val="lowerLetter"/>
      <w:start w:val="5"/>
    </w:lvl>
  </w:abstractNum>
  <w:abstractNum w:abstractNumId="142">
    <w:nsid w:val="260D8C4A"/>
    <w:multiLevelType w:val="hybridMultilevel"/>
    <w:lvl w:ilvl="0">
      <w:lvlJc w:val="left"/>
      <w:lvlText w:val="%1."/>
      <w:numFmt w:val="decimal"/>
      <w:start w:val="1"/>
    </w:lvl>
  </w:abstractNum>
  <w:abstractNum w:abstractNumId="143">
    <w:nsid w:val="73D4D3C4"/>
    <w:multiLevelType w:val="hybridMultilevel"/>
    <w:lvl w:ilvl="0">
      <w:lvlJc w:val="left"/>
      <w:lvlText w:val="%1"/>
      <w:numFmt w:val="decimal"/>
      <w:start w:val="1"/>
    </w:lvl>
    <w:lvl w:ilvl="1">
      <w:lvlJc w:val="left"/>
      <w:lvlText w:val="%2)"/>
      <w:numFmt w:val="lowerLetter"/>
      <w:start w:val="1"/>
    </w:lvl>
  </w:abstractNum>
  <w:abstractNum w:abstractNumId="144">
    <w:nsid w:val="746F2E30"/>
    <w:multiLevelType w:val="hybridMultilevel"/>
    <w:lvl w:ilvl="0">
      <w:lvlJc w:val="left"/>
      <w:lvlText w:val="%1."/>
      <w:numFmt w:val="decimal"/>
      <w:start w:val="5"/>
    </w:lvl>
    <w:lvl w:ilvl="1">
      <w:lvlJc w:val="left"/>
      <w:lvlText w:val="%2)"/>
      <w:numFmt w:val="lowerLetter"/>
      <w:start w:val="1"/>
    </w:lvl>
  </w:abstractNum>
  <w:abstractNum w:abstractNumId="145">
    <w:nsid w:val="6FDE8AF6"/>
    <w:multiLevelType w:val="hybridMultilevel"/>
    <w:lvl w:ilvl="0">
      <w:lvlJc w:val="left"/>
      <w:lvlText w:val="%1)"/>
      <w:numFmt w:val="lowerLetter"/>
      <w:start w:val="2"/>
    </w:lvl>
  </w:abstractNum>
  <w:abstractNum w:abstractNumId="146">
    <w:nsid w:val="3FC32E20"/>
    <w:multiLevelType w:val="hybridMultilevel"/>
    <w:lvl w:ilvl="0">
      <w:lvlJc w:val="left"/>
      <w:lvlText w:val="%1."/>
      <w:numFmt w:val="decimal"/>
      <w:start w:val="1"/>
    </w:lvl>
  </w:abstractNum>
  <w:abstractNum w:abstractNumId="147">
    <w:nsid w:val="49C0E823"/>
    <w:multiLevelType w:val="hybridMultilevel"/>
    <w:lvl w:ilvl="0">
      <w:lvlJc w:val="left"/>
      <w:lvlText w:val="%1"/>
      <w:numFmt w:val="decimal"/>
      <w:start w:val="1"/>
    </w:lvl>
    <w:lvl w:ilvl="1">
      <w:lvlJc w:val="left"/>
      <w:lvlText w:val="%2)"/>
      <w:numFmt w:val="lowerLetter"/>
      <w:start w:val="1"/>
    </w:lvl>
  </w:abstractNum>
  <w:abstractNum w:abstractNumId="148">
    <w:nsid w:val="14D53685"/>
    <w:multiLevelType w:val="hybridMultilevel"/>
    <w:lvl w:ilvl="0">
      <w:lvlJc w:val="left"/>
      <w:lvlText w:val="%1."/>
      <w:numFmt w:val="decimal"/>
      <w:start w:val="5"/>
    </w:lvl>
    <w:lvl w:ilvl="1">
      <w:lvlJc w:val="left"/>
      <w:lvlText w:val="%2)"/>
      <w:numFmt w:val="lowerLetter"/>
      <w:start w:val="1"/>
    </w:lvl>
  </w:abstractNum>
  <w:abstractNum w:abstractNumId="149">
    <w:nsid w:val="230F856C"/>
    <w:multiLevelType w:val="hybridMultilevel"/>
    <w:lvl w:ilvl="0">
      <w:lvlJc w:val="left"/>
      <w:lvlText w:val="%1)"/>
      <w:numFmt w:val="lowerLetter"/>
      <w:start w:val="2"/>
    </w:lvl>
  </w:abstractNum>
  <w:abstractNum w:abstractNumId="150">
    <w:nsid w:val="6EAA85FB"/>
    <w:multiLevelType w:val="hybridMultilevel"/>
    <w:lvl w:ilvl="0">
      <w:lvlJc w:val="left"/>
      <w:lvlText w:val="(%1)"/>
      <w:numFmt w:val="decimal"/>
      <w:start w:val="1"/>
    </w:lvl>
  </w:abstractNum>
  <w:abstractNum w:abstractNumId="151">
    <w:nsid w:val="3F06E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52">
    <w:nsid w:val="3B594807"/>
    <w:multiLevelType w:val="hybridMultilevel"/>
    <w:lvl w:ilvl="0">
      <w:lvlJc w:val="left"/>
      <w:lvlText w:val="%1"/>
      <w:numFmt w:val="lowerLetter"/>
      <w:start w:val="1"/>
    </w:lvl>
    <w:lvl w:ilvl="1">
      <w:lvlJc w:val="left"/>
      <w:lvlText w:val="(%2)"/>
      <w:numFmt w:val="lowerRoman"/>
      <w:start w:val="2"/>
    </w:lvl>
  </w:abstractNum>
  <w:abstractNum w:abstractNumId="153">
    <w:nsid w:val="6CAA2304"/>
    <w:multiLevelType w:val="hybridMultilevel"/>
    <w:lvl w:ilvl="0">
      <w:lvlJc w:val="left"/>
      <w:lvlText w:val="(%1)"/>
      <w:numFmt w:val="lowerLetter"/>
      <w:start w:val="2"/>
    </w:lvl>
    <w:lvl w:ilvl="1">
      <w:lvlJc w:val="left"/>
      <w:lvlText w:val="(%2)"/>
      <w:numFmt w:val="lowerRoman"/>
      <w:start w:val="1"/>
    </w:lvl>
  </w:abstractNum>
  <w:abstractNum w:abstractNumId="154">
    <w:nsid w:val="3F7C2FF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
      <w:numFmt w:val="bullet"/>
      <w:start w:val="1"/>
    </w:lvl>
  </w:abstractNum>
  <w:abstractNum w:abstractNumId="155">
    <w:nsid w:val="25413BEC"/>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
      <w:numFmt w:val="bullet"/>
      <w:start w:val="1"/>
    </w:lvl>
  </w:abstractNum>
  <w:abstractNum w:abstractNumId="156">
    <w:nsid w:val="17180B0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157">
    <w:nsid w:val="579328B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52" Type="http://schemas.openxmlformats.org/officeDocument/2006/relationships/image" Target="media/image132.png"/><Relationship Id="rId171"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139" Type="http://schemas.openxmlformats.org/officeDocument/2006/relationships/hyperlink" Target="http://www.sec.gov/Archives/edgar/data/1547903/000154790313000020/a31secondamendedandrestate.htm" TargetMode="External"/><Relationship Id="rId140" Type="http://schemas.openxmlformats.org/officeDocument/2006/relationships/hyperlink" Target="https://www.sec.gov/Archives/edgar/data/1547903/000154790322000175/exhibit32-nmihx4tharbylaws.htm" TargetMode="External"/><Relationship Id="rId141" Type="http://schemas.openxmlformats.org/officeDocument/2006/relationships/hyperlink" Target="https://www.sec.gov/Archives/edgar/data/1547903/000119312520174237/d949308dex41.htm" TargetMode="External"/><Relationship Id="rId142" Type="http://schemas.openxmlformats.org/officeDocument/2006/relationships/hyperlink" Target="https://www.sec.gov/Archives/edgar/data/1547903/000154790321000055/exhibit48nmihdescriptionof.htm" TargetMode="External"/><Relationship Id="rId143" Type="http://schemas.openxmlformats.org/officeDocument/2006/relationships/hyperlink" Target="https://www.sec.gov/Archives/edgar/data/1547903/000154790313000020/a101nmiholdingsinc2012stoc.htm" TargetMode="External"/><Relationship Id="rId144" Type="http://schemas.openxmlformats.org/officeDocument/2006/relationships/hyperlink" Target="https://www.sec.gov/Archives/edgar/data/1547903/000154790313000020/a103formofnmiholdingsinc20.htm" TargetMode="External"/><Relationship Id="rId145" Type="http://schemas.openxmlformats.org/officeDocument/2006/relationships/hyperlink" Target="https://www.sec.gov/Archives/edgar/data/1547903/000154790313000020/a106formofnonqualifiedstoc.htm" TargetMode="External"/><Relationship Id="rId146" Type="http://schemas.openxmlformats.org/officeDocument/2006/relationships/hyperlink" Target="https://www.sec.gov/Archives/edgar/data/1547903/000154790313000020/a107formofnonqualifiedstoc.htm" TargetMode="External"/><Relationship Id="rId147" Type="http://schemas.openxmlformats.org/officeDocument/2006/relationships/hyperlink" Target="https://www.sec.gov/Archives/edgar/data/1547903/000154790317000032/exhibit108-2012stockincent.htm" TargetMode="External"/><Relationship Id="rId148" Type="http://schemas.openxmlformats.org/officeDocument/2006/relationships/hyperlink" Target="https://www.sec.gov/Archives/edgar/data/1547903/000154790317000032/exhibit109-2012stockincent.htm" TargetMode="External"/><Relationship Id="rId149" Type="http://schemas.openxmlformats.org/officeDocument/2006/relationships/hyperlink" Target="https://www.sec.gov/Archives/edgar/data/1547903/000154790319000064/exhibit1030.htm" TargetMode="External"/><Relationship Id="rId150" Type="http://schemas.openxmlformats.org/officeDocument/2006/relationships/hyperlink" Target="https://www.sec.gov/Archives/edgar/data/1547903/000154790319000064/exhibit1031.htm" TargetMode="External"/><Relationship Id="rId151" Type="http://schemas.openxmlformats.org/officeDocument/2006/relationships/hyperlink" Target="https://www.sec.gov/Archives/edgar/data/1547903/000154790319000064/exhibit1032.htm" TargetMode="External"/><Relationship Id="rId153" Type="http://schemas.openxmlformats.org/officeDocument/2006/relationships/hyperlink" Target="http://www.sec.gov/Archives/edgar/data/1547903/000154790317000100/ex1019rsuceo.htm" TargetMode="External"/><Relationship Id="rId154" Type="http://schemas.openxmlformats.org/officeDocument/2006/relationships/hyperlink" Target="http://www.sec.gov/Archives/edgar/data/1547903/000154790317000100/ex1020rsueo.htm" TargetMode="External"/><Relationship Id="rId155" Type="http://schemas.openxmlformats.org/officeDocument/2006/relationships/hyperlink" Target="http://www.sec.gov/Archives/edgar/data/1547903/000154790317000100/ex1021rsuee.htm" TargetMode="External"/><Relationship Id="rId156" Type="http://schemas.openxmlformats.org/officeDocument/2006/relationships/hyperlink" Target="http://www.sec.gov/Archives/edgar/data/1547903/000154790317000100/ex1022rsuindependentdirect.htm" TargetMode="External"/><Relationship Id="rId157" Type="http://schemas.openxmlformats.org/officeDocument/2006/relationships/hyperlink" Target="http://www.sec.gov/Archives/edgar/data/1547903/000154790317000100/ex1023nqsceo.htm" TargetMode="External"/><Relationship Id="rId158" Type="http://schemas.openxmlformats.org/officeDocument/2006/relationships/hyperlink" Target="http://www.sec.gov/Archives/edgar/data/1547903/000154790317000100/ex1024nqseoee.htm" TargetMode="External"/><Relationship Id="rId159" Type="http://schemas.openxmlformats.org/officeDocument/2006/relationships/hyperlink" Target="https://www.sec.gov/Archives/edgar/data/1547903/000154790317000032/exhibit1026-2014omnibusinc.htm" TargetMode="External"/><Relationship Id="rId160" Type="http://schemas.openxmlformats.org/officeDocument/2006/relationships/hyperlink" Target="https://www.sec.gov/Archives/edgar/data/1547903/000154790320000045/ex1038202010q.htm" TargetMode="External"/><Relationship Id="rId161" Type="http://schemas.openxmlformats.org/officeDocument/2006/relationships/hyperlink" Target="http://www.sec.gov/Archives/edgar/data/1547903/000154790319000064/exhibit1033.htm" TargetMode="External"/><Relationship Id="rId162" Type="http://schemas.openxmlformats.org/officeDocument/2006/relationships/hyperlink" Target="http://www.sec.gov/Archives/edgar/data/1547903/000154790319000064/exhibit1034.htm" TargetMode="External"/><Relationship Id="rId163" Type="http://schemas.openxmlformats.org/officeDocument/2006/relationships/hyperlink" Target="http://www.sec.gov/Archives/edgar/data/1547903/000154790319000064/exhibit1035.htm" TargetMode="External"/><Relationship Id="rId164" Type="http://schemas.openxmlformats.org/officeDocument/2006/relationships/hyperlink" Target="http://www.sec.gov/Archives/edgar/data/1547903/000154790314000146/exhibit101november252014.htm" TargetMode="External"/><Relationship Id="rId165" Type="http://schemas.openxmlformats.org/officeDocument/2006/relationships/hyperlink" Target="http://www.sec.gov/Archives/edgar/data/1547903/000154790316000185/ex101severancebenefitplan.htm" TargetMode="External"/><Relationship Id="rId166" Type="http://schemas.openxmlformats.org/officeDocument/2006/relationships/hyperlink" Target="https://www.sec.gov/Archives/edgar/data/1547903/000154790318000133/exhibit1030arcicsbp.htm" TargetMode="External"/><Relationship Id="rId167" Type="http://schemas.openxmlformats.org/officeDocument/2006/relationships/hyperlink" Target="http://www.sec.gov/Archives/edgar/data/1547903/000154790316000230/exhibit1010leatherberrybil.htm" TargetMode="External"/><Relationship Id="rId168" Type="http://schemas.openxmlformats.org/officeDocument/2006/relationships/hyperlink" Target="http://www.sec.gov/Archives/edgar/data/1547903/000154790318000137/exhibit101shuster.htm" TargetMode="External"/><Relationship Id="rId169" Type="http://schemas.openxmlformats.org/officeDocument/2006/relationships/hyperlink" Target="https://www.sec.gov/Archives/edgar/data/0001547903/000154790321000153/exhibit101-nmihxapollitz.htm" TargetMode="External"/><Relationship Id="rId170" Type="http://schemas.openxmlformats.org/officeDocument/2006/relationships/hyperlink" Target="https://www.sec.gov/Archives/edgar/data/1547903/000154790321000188/rmallelaofferletter.htm" TargetMode="External"/><Relationship Id="rId172" Type="http://schemas.openxmlformats.org/officeDocument/2006/relationships/hyperlink" Target="http://www.sec.gov/Archives/edgar/data/1547903/000154790313000020/a1014commitmentletterforbu.htm" TargetMode="External"/><Relationship Id="rId173" Type="http://schemas.openxmlformats.org/officeDocument/2006/relationships/hyperlink" Target="https://www.sec.gov/Archives/edgar/data/1547903/000154790321000180/nmiholdingsinc-creditagree.htm" TargetMode="External"/><Relationship Id="rId174"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2024-02-15T05:43:29Z</dcterms:created>
  <dcterms:modified xsi:type="dcterms:W3CDTF">2024-02-15T05:43:29Z</dcterms:modified>
</cp:coreProperties>
</file>