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0"/>
          <w:szCs w:val="10"/>
          <w:color w:val="auto"/>
        </w:rPr>
        <w:t>(Mark One)</w:t>
      </w:r>
    </w:p>
    <w:p>
      <w:pPr>
        <w:spacing w:after="0" w:line="15" w:lineRule="exact"/>
        <w:rPr>
          <w:sz w:val="24"/>
          <w:szCs w:val="24"/>
          <w:color w:val="auto"/>
        </w:rPr>
      </w:pPr>
    </w:p>
    <w:p>
      <w:pPr>
        <w:ind w:left="660" w:hanging="394"/>
        <w:spacing w:after="0"/>
        <w:tabs>
          <w:tab w:leader="none" w:pos="6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 OF THE SECURITIES EXCHANGE ACT OF 1934</w:t>
      </w:r>
    </w:p>
    <w:p>
      <w:pPr>
        <w:spacing w:after="0" w:line="25" w:lineRule="exact"/>
        <w:rPr>
          <w:sz w:val="24"/>
          <w:szCs w:val="24"/>
          <w:color w:val="auto"/>
        </w:rPr>
      </w:pPr>
    </w:p>
    <w:p>
      <w:pPr>
        <w:ind w:left="660"/>
        <w:spacing w:after="0"/>
        <w:tabs>
          <w:tab w:leader="none" w:pos="5960" w:val="left"/>
        </w:tabs>
        <w:rPr>
          <w:sz w:val="20"/>
          <w:szCs w:val="20"/>
          <w:color w:val="auto"/>
        </w:rPr>
      </w:pPr>
      <w:r>
        <w:rPr>
          <w:rFonts w:ascii="Arial" w:cs="Arial" w:eastAsia="Arial" w:hAnsi="Arial"/>
          <w:sz w:val="12"/>
          <w:szCs w:val="12"/>
          <w:color w:val="auto"/>
        </w:rPr>
        <w:t>For the quarterly period ended</w:t>
      </w:r>
      <w:r>
        <w:rPr>
          <w:sz w:val="20"/>
          <w:szCs w:val="20"/>
          <w:color w:val="auto"/>
        </w:rPr>
        <w:tab/>
      </w:r>
      <w:r>
        <w:rPr>
          <w:rFonts w:ascii="Arial" w:cs="Arial" w:eastAsia="Arial" w:hAnsi="Arial"/>
          <w:sz w:val="10"/>
          <w:szCs w:val="10"/>
          <w:b w:val="1"/>
          <w:bCs w:val="1"/>
          <w:color w:val="auto"/>
        </w:rPr>
        <w:t>June 30, 2021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OR</w:t>
      </w:r>
    </w:p>
    <w:p>
      <w:pPr>
        <w:spacing w:after="0" w:line="24" w:lineRule="exact"/>
        <w:rPr>
          <w:sz w:val="24"/>
          <w:szCs w:val="24"/>
          <w:color w:val="auto"/>
        </w:rPr>
      </w:pPr>
    </w:p>
    <w:p>
      <w:pPr>
        <w:ind w:left="640" w:right="4880" w:hanging="387"/>
        <w:spacing w:after="0" w:line="292" w:lineRule="auto"/>
        <w:tabs>
          <w:tab w:leader="none" w:pos="64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 OF THE SECURITIES EXCHANGE ACT OF 1934 For the transition period from ______ to ______</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47"/>
        </w:trPr>
        <w:tc>
          <w:tcPr>
            <w:tcW w:w="2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color w:val="auto"/>
                <w:w w:val="89"/>
              </w:rPr>
              <w:t xml:space="preserve">Commission file number </w:t>
            </w:r>
            <w:r>
              <w:rPr>
                <w:rFonts w:ascii="Arial" w:cs="Arial" w:eastAsia="Arial" w:hAnsi="Arial"/>
                <w:sz w:val="11"/>
                <w:szCs w:val="11"/>
                <w:b w:val="1"/>
                <w:bCs w:val="1"/>
                <w:color w:val="auto"/>
                <w:w w:val="89"/>
              </w:rPr>
              <w:t>001-36174</w:t>
            </w:r>
          </w:p>
        </w:tc>
        <w:tc>
          <w:tcPr>
            <w:tcW w:w="4140" w:type="dxa"/>
            <w:vAlign w:val="bottom"/>
            <w:tcBorders>
              <w:bottom w:val="single" w:sz="8" w:color="auto"/>
            </w:tcBorders>
          </w:tcPr>
          <w:p>
            <w:pPr>
              <w:spacing w:after="0"/>
              <w:rPr>
                <w:sz w:val="12"/>
                <w:szCs w:val="12"/>
                <w:color w:val="auto"/>
              </w:rPr>
            </w:pPr>
          </w:p>
        </w:tc>
      </w:tr>
      <w:tr>
        <w:trPr>
          <w:trHeight w:val="244"/>
        </w:trPr>
        <w:tc>
          <w:tcPr>
            <w:tcW w:w="28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tcPr>
          <w:p>
            <w:pPr>
              <w:jc w:val="center"/>
              <w:ind w:right="177"/>
              <w:spacing w:after="0" w:line="244" w:lineRule="exact"/>
              <w:rPr>
                <w:sz w:val="20"/>
                <w:szCs w:val="20"/>
                <w:color w:val="auto"/>
              </w:rPr>
            </w:pPr>
            <w:r>
              <w:rPr>
                <w:rFonts w:ascii="Arial" w:cs="Arial" w:eastAsia="Arial" w:hAnsi="Arial"/>
                <w:sz w:val="22"/>
                <w:szCs w:val="22"/>
                <w:b w:val="1"/>
                <w:bCs w:val="1"/>
                <w:color w:val="auto"/>
                <w:w w:val="94"/>
              </w:rPr>
              <w:t>NMI Holdings, Inc.</w:t>
            </w:r>
          </w:p>
        </w:tc>
        <w:tc>
          <w:tcPr>
            <w:tcW w:w="4140" w:type="dxa"/>
            <w:vAlign w:val="bottom"/>
          </w:tcPr>
          <w:p>
            <w:pPr>
              <w:spacing w:after="0"/>
              <w:rPr>
                <w:sz w:val="21"/>
                <w:szCs w:val="21"/>
                <w:color w:val="auto"/>
              </w:rPr>
            </w:pPr>
          </w:p>
        </w:tc>
      </w:tr>
      <w:tr>
        <w:trPr>
          <w:trHeight w:val="125"/>
        </w:trPr>
        <w:tc>
          <w:tcPr>
            <w:tcW w:w="2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jc w:val="center"/>
              <w:ind w:right="157"/>
              <w:spacing w:after="0"/>
              <w:rPr>
                <w:sz w:val="20"/>
                <w:szCs w:val="20"/>
                <w:color w:val="auto"/>
              </w:rPr>
            </w:pPr>
            <w:r>
              <w:rPr>
                <w:rFonts w:ascii="Arial" w:cs="Arial" w:eastAsia="Arial" w:hAnsi="Arial"/>
                <w:sz w:val="10"/>
                <w:szCs w:val="10"/>
                <w:color w:val="auto"/>
                <w:w w:val="86"/>
              </w:rPr>
              <w:t>(Exact name of registrant as specified in its charter)</w:t>
            </w:r>
          </w:p>
        </w:tc>
        <w:tc>
          <w:tcPr>
            <w:tcW w:w="4140" w:type="dxa"/>
            <w:vAlign w:val="bottom"/>
            <w:tcBorders>
              <w:bottom w:val="single" w:sz="8" w:color="auto"/>
            </w:tcBorders>
          </w:tcPr>
          <w:p>
            <w:pPr>
              <w:spacing w:after="0"/>
              <w:rPr>
                <w:sz w:val="10"/>
                <w:szCs w:val="10"/>
                <w:color w:val="auto"/>
              </w:rPr>
            </w:pPr>
          </w:p>
        </w:tc>
      </w:tr>
      <w:tr>
        <w:trPr>
          <w:trHeight w:val="222"/>
        </w:trPr>
        <w:tc>
          <w:tcPr>
            <w:tcW w:w="2820" w:type="dxa"/>
            <w:vAlign w:val="bottom"/>
          </w:tcPr>
          <w:p>
            <w:pPr>
              <w:jc w:val="center"/>
              <w:ind w:left="1904"/>
              <w:spacing w:after="0"/>
              <w:rPr>
                <w:sz w:val="20"/>
                <w:szCs w:val="20"/>
                <w:color w:val="auto"/>
              </w:rPr>
            </w:pPr>
            <w:r>
              <w:rPr>
                <w:rFonts w:ascii="Arial" w:cs="Arial" w:eastAsia="Arial" w:hAnsi="Arial"/>
                <w:sz w:val="12"/>
                <w:szCs w:val="12"/>
                <w:b w:val="1"/>
                <w:bCs w:val="1"/>
                <w:color w:val="auto"/>
                <w:w w:val="94"/>
              </w:rPr>
              <w:t>Delaware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right"/>
              <w:ind w:right="2844"/>
              <w:spacing w:after="0"/>
              <w:rPr>
                <w:sz w:val="20"/>
                <w:szCs w:val="20"/>
                <w:color w:val="auto"/>
              </w:rPr>
            </w:pPr>
            <w:r>
              <w:rPr>
                <w:rFonts w:ascii="Arial" w:cs="Arial" w:eastAsia="Arial" w:hAnsi="Arial"/>
                <w:sz w:val="12"/>
                <w:szCs w:val="12"/>
                <w:b w:val="1"/>
                <w:bCs w:val="1"/>
                <w:color w:val="auto"/>
              </w:rPr>
              <w:t>45-4914248</w:t>
            </w:r>
          </w:p>
        </w:tc>
      </w:tr>
      <w:tr>
        <w:trPr>
          <w:trHeight w:val="123"/>
        </w:trPr>
        <w:tc>
          <w:tcPr>
            <w:tcW w:w="4080" w:type="dxa"/>
            <w:vAlign w:val="bottom"/>
            <w:gridSpan w:val="2"/>
          </w:tcPr>
          <w:p>
            <w:pPr>
              <w:jc w:val="center"/>
              <w:ind w:left="644"/>
              <w:spacing w:after="0"/>
              <w:rPr>
                <w:sz w:val="20"/>
                <w:szCs w:val="20"/>
                <w:color w:val="auto"/>
              </w:rPr>
            </w:pPr>
            <w:r>
              <w:rPr>
                <w:rFonts w:ascii="Arial" w:cs="Arial" w:eastAsia="Arial" w:hAnsi="Arial"/>
                <w:sz w:val="10"/>
                <w:szCs w:val="10"/>
                <w:b w:val="1"/>
                <w:bCs w:val="1"/>
                <w:color w:val="auto"/>
                <w:w w:val="86"/>
              </w:rPr>
              <w:t>(State or other jurisdiction of incorporation or organization)</w:t>
            </w:r>
          </w:p>
        </w:tc>
        <w:tc>
          <w:tcPr>
            <w:tcW w:w="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140" w:type="dxa"/>
            <w:vAlign w:val="bottom"/>
          </w:tcPr>
          <w:p>
            <w:pPr>
              <w:jc w:val="center"/>
              <w:ind w:right="2184"/>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28"/>
        </w:trPr>
        <w:tc>
          <w:tcPr>
            <w:tcW w:w="2820" w:type="dxa"/>
            <w:vAlign w:val="bottom"/>
          </w:tcPr>
          <w:p>
            <w:pPr>
              <w:ind w:left="1360"/>
              <w:spacing w:after="0"/>
              <w:rPr>
                <w:sz w:val="20"/>
                <w:szCs w:val="20"/>
                <w:color w:val="auto"/>
              </w:rPr>
            </w:pPr>
            <w:r>
              <w:rPr>
                <w:rFonts w:ascii="Arial" w:cs="Arial" w:eastAsia="Arial" w:hAnsi="Arial"/>
                <w:sz w:val="12"/>
                <w:szCs w:val="12"/>
                <w:b w:val="1"/>
                <w:bCs w:val="1"/>
                <w:color w:val="auto"/>
              </w:rPr>
              <w:t>2100 Powell Street</w:t>
            </w:r>
          </w:p>
        </w:tc>
        <w:tc>
          <w:tcPr>
            <w:tcW w:w="1260" w:type="dxa"/>
            <w:vAlign w:val="bottom"/>
          </w:tcPr>
          <w:p>
            <w:pPr>
              <w:ind w:left="180"/>
              <w:spacing w:after="0"/>
              <w:rPr>
                <w:sz w:val="20"/>
                <w:szCs w:val="20"/>
                <w:color w:val="auto"/>
              </w:rPr>
            </w:pPr>
            <w:r>
              <w:rPr>
                <w:rFonts w:ascii="Arial" w:cs="Arial" w:eastAsia="Arial" w:hAnsi="Arial"/>
                <w:sz w:val="12"/>
                <w:szCs w:val="12"/>
                <w:b w:val="1"/>
                <w:bCs w:val="1"/>
                <w:color w:val="auto"/>
              </w:rPr>
              <w:t>Emeryville ,  CA</w:t>
            </w:r>
          </w:p>
        </w:tc>
        <w:tc>
          <w:tcPr>
            <w:tcW w:w="2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jc w:val="right"/>
              <w:ind w:right="2984"/>
              <w:spacing w:after="0"/>
              <w:rPr>
                <w:sz w:val="20"/>
                <w:szCs w:val="20"/>
                <w:color w:val="auto"/>
              </w:rPr>
            </w:pPr>
            <w:r>
              <w:rPr>
                <w:rFonts w:ascii="Arial" w:cs="Arial" w:eastAsia="Arial" w:hAnsi="Arial"/>
                <w:sz w:val="12"/>
                <w:szCs w:val="12"/>
                <w:b w:val="1"/>
                <w:bCs w:val="1"/>
                <w:color w:val="auto"/>
              </w:rPr>
              <w:t>94608</w:t>
            </w:r>
          </w:p>
        </w:tc>
      </w:tr>
      <w:tr>
        <w:trPr>
          <w:trHeight w:val="123"/>
        </w:trPr>
        <w:tc>
          <w:tcPr>
            <w:tcW w:w="4080" w:type="dxa"/>
            <w:vAlign w:val="bottom"/>
            <w:gridSpan w:val="2"/>
          </w:tcPr>
          <w:p>
            <w:pPr>
              <w:jc w:val="center"/>
              <w:ind w:left="644"/>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2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140" w:type="dxa"/>
            <w:vAlign w:val="bottom"/>
          </w:tcPr>
          <w:p>
            <w:pPr>
              <w:jc w:val="center"/>
              <w:ind w:right="2164"/>
              <w:spacing w:after="0"/>
              <w:rPr>
                <w:sz w:val="20"/>
                <w:szCs w:val="20"/>
                <w:color w:val="auto"/>
              </w:rPr>
            </w:pPr>
            <w:r>
              <w:rPr>
                <w:rFonts w:ascii="Arial" w:cs="Arial" w:eastAsia="Arial" w:hAnsi="Arial"/>
                <w:sz w:val="10"/>
                <w:szCs w:val="10"/>
                <w:b w:val="1"/>
                <w:bCs w:val="1"/>
                <w:color w:val="auto"/>
                <w:w w:val="88"/>
              </w:rPr>
              <w:t>(Zip Code)</w:t>
            </w:r>
          </w:p>
        </w:tc>
      </w:tr>
      <w:tr>
        <w:trPr>
          <w:trHeight w:val="363"/>
        </w:trPr>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(855) 530-6642</w:t>
            </w:r>
          </w:p>
        </w:tc>
        <w:tc>
          <w:tcPr>
            <w:tcW w:w="4140" w:type="dxa"/>
            <w:vAlign w:val="bottom"/>
          </w:tcPr>
          <w:p>
            <w:pPr>
              <w:spacing w:after="0"/>
              <w:rPr>
                <w:sz w:val="24"/>
                <w:szCs w:val="24"/>
                <w:color w:val="auto"/>
              </w:rPr>
            </w:pPr>
          </w:p>
        </w:tc>
      </w:tr>
      <w:tr>
        <w:trPr>
          <w:trHeight w:val="123"/>
        </w:trPr>
        <w:tc>
          <w:tcPr>
            <w:tcW w:w="2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40" w:type="dxa"/>
            <w:vAlign w:val="bottom"/>
          </w:tcPr>
          <w:p>
            <w:pPr>
              <w:jc w:val="center"/>
              <w:ind w:right="17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4140" w:type="dxa"/>
            <w:vAlign w:val="bottom"/>
          </w:tcPr>
          <w:p>
            <w:pPr>
              <w:spacing w:after="0"/>
              <w:rPr>
                <w:sz w:val="10"/>
                <w:szCs w:val="10"/>
                <w:color w:val="auto"/>
              </w:rPr>
            </w:pPr>
          </w:p>
        </w:tc>
      </w:tr>
      <w:tr>
        <w:trPr>
          <w:trHeight w:val="224"/>
        </w:trPr>
        <w:tc>
          <w:tcPr>
            <w:tcW w:w="2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4140" w:type="dxa"/>
            <w:vAlign w:val="bottom"/>
            <w:tcBorders>
              <w:bottom w:val="single" w:sz="8" w:color="auto"/>
            </w:tcBorders>
          </w:tcPr>
          <w:p>
            <w:pPr>
              <w:spacing w:after="0"/>
              <w:rPr>
                <w:sz w:val="19"/>
                <w:szCs w:val="19"/>
                <w:color w:val="auto"/>
              </w:rPr>
            </w:pPr>
          </w:p>
        </w:tc>
      </w:tr>
      <w:tr>
        <w:trPr>
          <w:trHeight w:val="151"/>
        </w:trPr>
        <w:tc>
          <w:tcPr>
            <w:tcW w:w="2820" w:type="dxa"/>
            <w:vAlign w:val="bottom"/>
            <w:tcBorders>
              <w:left w:val="single" w:sz="8" w:color="auto"/>
              <w:bottom w:val="single" w:sz="8" w:color="auto"/>
            </w:tcBorders>
          </w:tcPr>
          <w:p>
            <w:pPr>
              <w:jc w:val="center"/>
              <w:ind w:left="1464"/>
              <w:spacing w:after="0"/>
              <w:rPr>
                <w:sz w:val="20"/>
                <w:szCs w:val="20"/>
                <w:color w:val="auto"/>
              </w:rPr>
            </w:pPr>
            <w:r>
              <w:rPr>
                <w:rFonts w:ascii="Arial" w:cs="Arial" w:eastAsia="Arial" w:hAnsi="Arial"/>
                <w:sz w:val="12"/>
                <w:szCs w:val="12"/>
                <w:color w:val="auto"/>
                <w:w w:val="89"/>
              </w:rPr>
              <w:t>Title of each class</w:t>
            </w:r>
          </w:p>
        </w:tc>
        <w:tc>
          <w:tcPr>
            <w:tcW w:w="12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Name of each exchange on which registered</w:t>
            </w:r>
          </w:p>
        </w:tc>
      </w:tr>
      <w:tr>
        <w:trPr>
          <w:trHeight w:val="142"/>
        </w:trPr>
        <w:tc>
          <w:tcPr>
            <w:tcW w:w="4080" w:type="dxa"/>
            <w:vAlign w:val="bottom"/>
            <w:tcBorders>
              <w:left w:val="single" w:sz="8" w:color="auto"/>
              <w:bottom w:val="single" w:sz="8" w:color="auto"/>
            </w:tcBorders>
            <w:gridSpan w:val="2"/>
          </w:tcPr>
          <w:p>
            <w:pPr>
              <w:jc w:val="center"/>
              <w:ind w:left="184"/>
              <w:spacing w:after="0"/>
              <w:rPr>
                <w:sz w:val="20"/>
                <w:szCs w:val="20"/>
                <w:color w:val="auto"/>
              </w:rPr>
            </w:pPr>
            <w:r>
              <w:rPr>
                <w:rFonts w:ascii="Arial" w:cs="Arial" w:eastAsia="Arial" w:hAnsi="Arial"/>
                <w:sz w:val="12"/>
                <w:szCs w:val="12"/>
                <w:color w:val="auto"/>
                <w:w w:val="90"/>
              </w:rPr>
              <w:t>Class A Common Stock, par value $0.01</w:t>
            </w:r>
          </w:p>
        </w:tc>
        <w:tc>
          <w:tcPr>
            <w:tcW w:w="260" w:type="dxa"/>
            <w:vAlign w:val="bottom"/>
            <w:tcBorders>
              <w:bottom w:val="single" w:sz="8" w:color="auto"/>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NMIH</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8"/>
              </w:rPr>
              <w:t>NASDAQ</w:t>
            </w:r>
          </w:p>
        </w:tc>
      </w:tr>
    </w:tbl>
    <w:p>
      <w:pPr>
        <w:spacing w:after="0" w:line="117" w:lineRule="exact"/>
        <w:rPr>
          <w:sz w:val="24"/>
          <w:szCs w:val="24"/>
          <w:color w:val="auto"/>
        </w:rPr>
      </w:pPr>
    </w:p>
    <w:p>
      <w:pPr>
        <w:jc w:val="both"/>
        <w:spacing w:after="0" w:line="26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jc w:val="both"/>
        <w:spacing w:after="0" w:line="262"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780" w:type="dxa"/>
            <w:vAlign w:val="bottom"/>
          </w:tcPr>
          <w:p>
            <w:pPr>
              <w:spacing w:after="0"/>
              <w:rPr>
                <w:sz w:val="20"/>
                <w:szCs w:val="20"/>
                <w:color w:val="auto"/>
              </w:rPr>
            </w:pPr>
            <w:r>
              <w:rPr>
                <w:rFonts w:ascii="Arial" w:cs="Arial" w:eastAsia="Arial" w:hAnsi="Arial"/>
                <w:sz w:val="12"/>
                <w:szCs w:val="12"/>
                <w:color w:val="auto"/>
              </w:rPr>
              <w:t>"accelerated</w:t>
            </w:r>
          </w:p>
        </w:tc>
        <w:tc>
          <w:tcPr>
            <w:tcW w:w="680" w:type="dxa"/>
            <w:vAlign w:val="bottom"/>
          </w:tcPr>
          <w:p>
            <w:pPr>
              <w:ind w:left="200"/>
              <w:spacing w:after="0"/>
              <w:rPr>
                <w:sz w:val="20"/>
                <w:szCs w:val="20"/>
                <w:color w:val="auto"/>
              </w:rPr>
            </w:pPr>
            <w:r>
              <w:rPr>
                <w:rFonts w:ascii="Arial" w:cs="Arial" w:eastAsia="Arial" w:hAnsi="Arial"/>
                <w:sz w:val="12"/>
                <w:szCs w:val="12"/>
                <w:color w:val="auto"/>
              </w:rPr>
              <w:t>filer,"</w:t>
            </w:r>
          </w:p>
        </w:tc>
        <w:tc>
          <w:tcPr>
            <w:tcW w:w="800" w:type="dxa"/>
            <w:vAlign w:val="bottom"/>
          </w:tcPr>
          <w:p>
            <w:pPr>
              <w:ind w:left="200"/>
              <w:spacing w:after="0"/>
              <w:rPr>
                <w:sz w:val="20"/>
                <w:szCs w:val="20"/>
                <w:color w:val="auto"/>
              </w:rPr>
            </w:pPr>
            <w:r>
              <w:rPr>
                <w:rFonts w:ascii="Arial" w:cs="Arial" w:eastAsia="Arial" w:hAnsi="Arial"/>
                <w:sz w:val="12"/>
                <w:szCs w:val="12"/>
                <w:color w:val="auto"/>
              </w:rPr>
              <w:t>"smaller</w:t>
            </w:r>
          </w:p>
        </w:tc>
        <w:tc>
          <w:tcPr>
            <w:tcW w:w="780" w:type="dxa"/>
            <w:vAlign w:val="bottom"/>
          </w:tcPr>
          <w:p>
            <w:pPr>
              <w:ind w:left="200"/>
              <w:spacing w:after="0"/>
              <w:rPr>
                <w:sz w:val="20"/>
                <w:szCs w:val="20"/>
                <w:color w:val="auto"/>
              </w:rPr>
            </w:pPr>
            <w:r>
              <w:rPr>
                <w:rFonts w:ascii="Arial" w:cs="Arial" w:eastAsia="Arial" w:hAnsi="Arial"/>
                <w:sz w:val="12"/>
                <w:szCs w:val="12"/>
                <w:color w:val="auto"/>
              </w:rPr>
              <w:t>reporting</w:t>
            </w:r>
          </w:p>
        </w:tc>
        <w:tc>
          <w:tcPr>
            <w:tcW w:w="980" w:type="dxa"/>
            <w:vAlign w:val="bottom"/>
          </w:tcPr>
          <w:p>
            <w:pPr>
              <w:ind w:left="280"/>
              <w:spacing w:after="0"/>
              <w:rPr>
                <w:sz w:val="20"/>
                <w:szCs w:val="20"/>
                <w:color w:val="auto"/>
              </w:rPr>
            </w:pPr>
            <w:r>
              <w:rPr>
                <w:rFonts w:ascii="Arial" w:cs="Arial" w:eastAsia="Arial" w:hAnsi="Arial"/>
                <w:sz w:val="12"/>
                <w:szCs w:val="12"/>
                <w:color w:val="auto"/>
              </w:rPr>
              <w:t>company,"</w:t>
            </w:r>
          </w:p>
        </w:tc>
        <w:tc>
          <w:tcPr>
            <w:tcW w:w="560" w:type="dxa"/>
            <w:vAlign w:val="bottom"/>
          </w:tcPr>
          <w:p>
            <w:pPr>
              <w:ind w:left="200"/>
              <w:spacing w:after="0"/>
              <w:rPr>
                <w:sz w:val="20"/>
                <w:szCs w:val="20"/>
                <w:color w:val="auto"/>
              </w:rPr>
            </w:pPr>
            <w:r>
              <w:rPr>
                <w:rFonts w:ascii="Arial" w:cs="Arial" w:eastAsia="Arial" w:hAnsi="Arial"/>
                <w:sz w:val="12"/>
                <w:szCs w:val="12"/>
                <w:color w:val="auto"/>
              </w:rPr>
              <w:t>and</w:t>
            </w:r>
          </w:p>
        </w:tc>
        <w:tc>
          <w:tcPr>
            <w:tcW w:w="1060" w:type="dxa"/>
            <w:vAlign w:val="bottom"/>
          </w:tcPr>
          <w:p>
            <w:pPr>
              <w:ind w:left="220"/>
              <w:spacing w:after="0"/>
              <w:rPr>
                <w:sz w:val="20"/>
                <w:szCs w:val="20"/>
                <w:color w:val="auto"/>
              </w:rPr>
            </w:pPr>
            <w:r>
              <w:rPr>
                <w:rFonts w:ascii="Arial" w:cs="Arial" w:eastAsia="Arial" w:hAnsi="Arial"/>
                <w:sz w:val="12"/>
                <w:szCs w:val="12"/>
                <w:color w:val="auto"/>
              </w:rPr>
              <w:t>"emerging</w:t>
            </w:r>
          </w:p>
        </w:tc>
        <w:tc>
          <w:tcPr>
            <w:tcW w:w="620" w:type="dxa"/>
            <w:vAlign w:val="bottom"/>
          </w:tcPr>
          <w:p>
            <w:pPr>
              <w:ind w:left="60"/>
              <w:spacing w:after="0"/>
              <w:rPr>
                <w:sz w:val="20"/>
                <w:szCs w:val="20"/>
                <w:color w:val="auto"/>
              </w:rPr>
            </w:pPr>
            <w:r>
              <w:rPr>
                <w:rFonts w:ascii="Arial" w:cs="Arial" w:eastAsia="Arial" w:hAnsi="Arial"/>
                <w:sz w:val="12"/>
                <w:szCs w:val="12"/>
                <w:color w:val="auto"/>
              </w:rPr>
              <w:t>growth</w:t>
            </w:r>
          </w:p>
        </w:tc>
        <w:tc>
          <w:tcPr>
            <w:tcW w:w="880" w:type="dxa"/>
            <w:vAlign w:val="bottom"/>
          </w:tcPr>
          <w:p>
            <w:pPr>
              <w:ind w:left="180"/>
              <w:spacing w:after="0"/>
              <w:rPr>
                <w:sz w:val="20"/>
                <w:szCs w:val="20"/>
                <w:color w:val="auto"/>
              </w:rPr>
            </w:pPr>
            <w:r>
              <w:rPr>
                <w:rFonts w:ascii="Arial" w:cs="Arial" w:eastAsia="Arial" w:hAnsi="Arial"/>
                <w:sz w:val="12"/>
                <w:szCs w:val="12"/>
                <w:color w:val="auto"/>
              </w:rPr>
              <w:t>company"</w:t>
            </w:r>
          </w:p>
        </w:tc>
        <w:tc>
          <w:tcPr>
            <w:tcW w:w="500" w:type="dxa"/>
            <w:vAlign w:val="bottom"/>
          </w:tcPr>
          <w:p>
            <w:pPr>
              <w:ind w:left="200"/>
              <w:spacing w:after="0"/>
              <w:rPr>
                <w:sz w:val="20"/>
                <w:szCs w:val="20"/>
                <w:color w:val="auto"/>
              </w:rPr>
            </w:pPr>
            <w:r>
              <w:rPr>
                <w:rFonts w:ascii="Arial" w:cs="Arial" w:eastAsia="Arial" w:hAnsi="Arial"/>
                <w:sz w:val="12"/>
                <w:szCs w:val="12"/>
                <w:color w:val="auto"/>
              </w:rPr>
              <w:t>in</w:t>
            </w:r>
          </w:p>
        </w:tc>
        <w:tc>
          <w:tcPr>
            <w:tcW w:w="620" w:type="dxa"/>
            <w:vAlign w:val="bottom"/>
          </w:tcPr>
          <w:p>
            <w:pPr>
              <w:ind w:left="200"/>
              <w:spacing w:after="0"/>
              <w:rPr>
                <w:sz w:val="20"/>
                <w:szCs w:val="20"/>
                <w:color w:val="auto"/>
              </w:rPr>
            </w:pPr>
            <w:r>
              <w:rPr>
                <w:rFonts w:ascii="Arial" w:cs="Arial" w:eastAsia="Arial" w:hAnsi="Arial"/>
                <w:sz w:val="12"/>
                <w:szCs w:val="12"/>
                <w:color w:val="auto"/>
              </w:rPr>
              <w:t>Rule</w:t>
            </w:r>
          </w:p>
        </w:tc>
        <w:tc>
          <w:tcPr>
            <w:tcW w:w="700" w:type="dxa"/>
            <w:vAlign w:val="bottom"/>
          </w:tcPr>
          <w:p>
            <w:pPr>
              <w:ind w:left="200"/>
              <w:spacing w:after="0"/>
              <w:rPr>
                <w:sz w:val="20"/>
                <w:szCs w:val="20"/>
                <w:color w:val="auto"/>
              </w:rPr>
            </w:pPr>
            <w:r>
              <w:rPr>
                <w:rFonts w:ascii="Arial" w:cs="Arial" w:eastAsia="Arial" w:hAnsi="Arial"/>
                <w:sz w:val="12"/>
                <w:szCs w:val="12"/>
                <w:color w:val="auto"/>
              </w:rPr>
              <w:t>12b-2</w:t>
            </w:r>
          </w:p>
        </w:tc>
        <w:tc>
          <w:tcPr>
            <w:tcW w:w="500" w:type="dxa"/>
            <w:vAlign w:val="bottom"/>
          </w:tcPr>
          <w:p>
            <w:pPr>
              <w:ind w:left="200"/>
              <w:spacing w:after="0"/>
              <w:rPr>
                <w:sz w:val="20"/>
                <w:szCs w:val="20"/>
                <w:color w:val="auto"/>
              </w:rPr>
            </w:pPr>
            <w:r>
              <w:rPr>
                <w:rFonts w:ascii="Arial" w:cs="Arial" w:eastAsia="Arial" w:hAnsi="Arial"/>
                <w:sz w:val="12"/>
                <w:szCs w:val="12"/>
                <w:color w:val="auto"/>
              </w:rPr>
              <w:t>of</w:t>
            </w:r>
          </w:p>
        </w:tc>
        <w:tc>
          <w:tcPr>
            <w:tcW w:w="540" w:type="dxa"/>
            <w:vAlign w:val="bottom"/>
          </w:tcPr>
          <w:p>
            <w:pPr>
              <w:ind w:left="200"/>
              <w:spacing w:after="0"/>
              <w:rPr>
                <w:sz w:val="20"/>
                <w:szCs w:val="20"/>
                <w:color w:val="auto"/>
              </w:rPr>
            </w:pPr>
            <w:r>
              <w:rPr>
                <w:rFonts w:ascii="Arial" w:cs="Arial" w:eastAsia="Arial" w:hAnsi="Arial"/>
                <w:sz w:val="12"/>
                <w:szCs w:val="12"/>
                <w:color w:val="auto"/>
              </w:rPr>
              <w:t>the</w:t>
            </w:r>
          </w:p>
        </w:tc>
        <w:tc>
          <w:tcPr>
            <w:tcW w:w="880" w:type="dxa"/>
            <w:vAlign w:val="bottom"/>
          </w:tcPr>
          <w:p>
            <w:pPr>
              <w:ind w:left="200"/>
              <w:spacing w:after="0"/>
              <w:rPr>
                <w:sz w:val="20"/>
                <w:szCs w:val="20"/>
                <w:color w:val="auto"/>
              </w:rPr>
            </w:pPr>
            <w:r>
              <w:rPr>
                <w:rFonts w:ascii="Arial" w:cs="Arial" w:eastAsia="Arial" w:hAnsi="Arial"/>
                <w:sz w:val="12"/>
                <w:szCs w:val="12"/>
                <w:color w:val="auto"/>
              </w:rPr>
              <w:t>Exchange</w:t>
            </w:r>
          </w:p>
        </w:tc>
        <w:tc>
          <w:tcPr>
            <w:tcW w:w="400" w:type="dxa"/>
            <w:vAlign w:val="bottom"/>
          </w:tcPr>
          <w:p>
            <w:pPr>
              <w:ind w:left="200"/>
              <w:spacing w:after="0"/>
              <w:rPr>
                <w:sz w:val="20"/>
                <w:szCs w:val="20"/>
                <w:color w:val="auto"/>
              </w:rPr>
            </w:pPr>
            <w:r>
              <w:rPr>
                <w:rFonts w:ascii="Arial" w:cs="Arial" w:eastAsia="Arial" w:hAnsi="Arial"/>
                <w:sz w:val="12"/>
                <w:szCs w:val="12"/>
                <w:color w:val="auto"/>
                <w:w w:val="86"/>
              </w:rPr>
              <w:t>Act.</w:t>
            </w:r>
          </w:p>
        </w:tc>
      </w:tr>
      <w:tr>
        <w:trPr>
          <w:trHeight w:val="153"/>
        </w:trPr>
        <w:tc>
          <w:tcPr>
            <w:tcW w:w="1460" w:type="dxa"/>
            <w:vAlign w:val="bottom"/>
            <w:gridSpan w:val="2"/>
          </w:tcPr>
          <w:p>
            <w:pPr>
              <w:spacing w:after="0"/>
              <w:rPr>
                <w:sz w:val="20"/>
                <w:szCs w:val="20"/>
                <w:color w:val="auto"/>
              </w:rPr>
            </w:pPr>
            <w:r>
              <w:rPr>
                <w:rFonts w:ascii="Arial" w:cs="Arial" w:eastAsia="Arial" w:hAnsi="Arial"/>
                <w:sz w:val="12"/>
                <w:szCs w:val="12"/>
                <w:color w:val="auto"/>
              </w:rPr>
              <w:t>Large accelerated filer</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560" w:type="dxa"/>
            <w:vAlign w:val="bottom"/>
          </w:tcPr>
          <w:p>
            <w:pPr>
              <w:spacing w:after="0"/>
              <w:rPr>
                <w:sz w:val="13"/>
                <w:szCs w:val="13"/>
                <w:color w:val="auto"/>
              </w:rPr>
            </w:pPr>
          </w:p>
        </w:tc>
        <w:tc>
          <w:tcPr>
            <w:tcW w:w="1060" w:type="dxa"/>
            <w:vAlign w:val="bottom"/>
          </w:tcPr>
          <w:p>
            <w:pPr>
              <w:ind w:left="180"/>
              <w:spacing w:after="0"/>
              <w:rPr>
                <w:sz w:val="20"/>
                <w:szCs w:val="20"/>
                <w:color w:val="auto"/>
              </w:rPr>
            </w:pPr>
            <w:r>
              <w:rPr>
                <w:rFonts w:ascii="Arial" w:cs="Arial" w:eastAsia="Arial" w:hAnsi="Arial"/>
                <w:sz w:val="12"/>
                <w:szCs w:val="12"/>
                <w:color w:val="auto"/>
                <w:w w:val="99"/>
              </w:rPr>
              <w:t>Accelerated filer</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3"/>
        </w:trPr>
        <w:tc>
          <w:tcPr>
            <w:tcW w:w="1460" w:type="dxa"/>
            <w:vAlign w:val="bottom"/>
            <w:gridSpan w:val="2"/>
          </w:tcPr>
          <w:p>
            <w:pPr>
              <w:spacing w:after="0"/>
              <w:rPr>
                <w:sz w:val="20"/>
                <w:szCs w:val="20"/>
                <w:color w:val="auto"/>
              </w:rPr>
            </w:pPr>
            <w:r>
              <w:rPr>
                <w:rFonts w:ascii="Arial" w:cs="Arial" w:eastAsia="Arial" w:hAnsi="Arial"/>
                <w:sz w:val="12"/>
                <w:szCs w:val="12"/>
                <w:color w:val="auto"/>
              </w:rPr>
              <w:t>Non-accelerated filer</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560" w:type="dxa"/>
            <w:vAlign w:val="bottom"/>
          </w:tcPr>
          <w:p>
            <w:pPr>
              <w:spacing w:after="0"/>
              <w:rPr>
                <w:sz w:val="13"/>
                <w:szCs w:val="13"/>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Smaller reporting company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87"/>
        </w:trPr>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2"/>
                <w:szCs w:val="12"/>
                <w:color w:val="auto"/>
              </w:rPr>
              <w:t>Emerging growth company</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ind w:left="30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42" w:lineRule="exact"/>
        <w:rPr>
          <w:sz w:val="24"/>
          <w:szCs w:val="24"/>
          <w:color w:val="auto"/>
        </w:rPr>
      </w:pPr>
    </w:p>
    <w:p>
      <w:pPr>
        <w:jc w:val="both"/>
        <w:ind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42"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of common stock, $0.01 par value per share, of the registrant outstanding on July 30, 2021 was 85,708,239 shares.</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80" w:type="dxa"/>
            <w:vAlign w:val="bottom"/>
            <w:gridSpan w:val="2"/>
          </w:tcPr>
          <w:p>
            <w:pPr>
              <w:ind w:left="1060"/>
              <w:spacing w:after="0"/>
              <w:rPr>
                <w:sz w:val="20"/>
                <w:szCs w:val="20"/>
                <w:color w:val="auto"/>
              </w:rPr>
            </w:pPr>
            <w:r>
              <w:rPr>
                <w:rFonts w:ascii="Arial" w:cs="Arial" w:eastAsia="Arial" w:hAnsi="Arial"/>
                <w:sz w:val="12"/>
                <w:szCs w:val="12"/>
                <w:b w:val="1"/>
                <w:bCs w:val="1"/>
                <w:color w:val="auto"/>
              </w:rPr>
              <w:t>TABLE OF CONTENTS</w:t>
            </w: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720" w:type="dxa"/>
            <w:vAlign w:val="bottom"/>
            <w:gridSpan w:val="13"/>
            <w:shd w:val="clear" w:color="auto" w:fill="CCEEFF"/>
          </w:tcPr>
          <w:p>
            <w:pPr>
              <w:spacing w:after="0" w:line="135" w:lineRule="exact"/>
              <w:rPr>
                <w:rFonts w:ascii="Arial" w:cs="Arial" w:eastAsia="Arial" w:hAnsi="Arial"/>
                <w:sz w:val="12"/>
                <w:szCs w:val="12"/>
                <w:b w:val="1"/>
                <w:bCs w:val="1"/>
                <w:color w:val="0000FF"/>
              </w:rPr>
            </w:pPr>
            <w:hyperlink w:anchor="page2">
              <w:r>
                <w:rPr>
                  <w:rFonts w:ascii="Arial" w:cs="Arial" w:eastAsia="Arial" w:hAnsi="Arial"/>
                  <w:sz w:val="12"/>
                  <w:szCs w:val="12"/>
                  <w:b w:val="1"/>
                  <w:bCs w:val="1"/>
                  <w:color w:val="0000FF"/>
                </w:rPr>
                <w:t>Cautionary Note Regarding Forward Looking Statements</w:t>
              </w:r>
            </w:hyperlink>
          </w:p>
        </w:tc>
        <w:tc>
          <w:tcPr>
            <w:tcW w:w="2580" w:type="dxa"/>
            <w:vAlign w:val="bottom"/>
            <w:tcBorders>
              <w:right w:val="single" w:sz="8" w:color="CCEEFF"/>
            </w:tcBorders>
            <w:gridSpan w:val="2"/>
            <w:shd w:val="clear" w:color="auto" w:fill="CCEEFF"/>
          </w:tcPr>
          <w:p>
            <w:pPr>
              <w:jc w:val="right"/>
              <w:spacing w:after="0" w:line="135" w:lineRule="exact"/>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3</w:t>
              </w:r>
            </w:hyperlink>
          </w:p>
        </w:tc>
      </w:tr>
      <w:tr>
        <w:trPr>
          <w:trHeight w:val="133"/>
        </w:trPr>
        <w:tc>
          <w:tcPr>
            <w:tcW w:w="400" w:type="dxa"/>
            <w:vAlign w:val="bottom"/>
            <w:tcBorders>
              <w:top w:val="single" w:sz="8" w:color="0000FF"/>
              <w:bottom w:val="single" w:sz="8" w:color="0000FF"/>
            </w:tcBorders>
          </w:tcPr>
          <w:p>
            <w:pPr>
              <w:spacing w:after="0" w:line="126" w:lineRule="exact"/>
              <w:rPr>
                <w:rFonts w:ascii="Arial" w:cs="Arial" w:eastAsia="Arial" w:hAnsi="Arial"/>
                <w:sz w:val="12"/>
                <w:szCs w:val="12"/>
                <w:b w:val="1"/>
                <w:bCs w:val="1"/>
                <w:color w:val="0000FF"/>
                <w:w w:val="96"/>
              </w:rPr>
            </w:pPr>
            <w:hyperlink w:anchor="page4">
              <w:r>
                <w:rPr>
                  <w:rFonts w:ascii="Arial" w:cs="Arial" w:eastAsia="Arial" w:hAnsi="Arial"/>
                  <w:sz w:val="12"/>
                  <w:szCs w:val="12"/>
                  <w:b w:val="1"/>
                  <w:bCs w:val="1"/>
                  <w:color w:val="0000FF"/>
                  <w:w w:val="96"/>
                </w:rPr>
                <w:t>PART I</w:t>
              </w:r>
            </w:hyperlink>
          </w:p>
        </w:tc>
        <w:tc>
          <w:tcPr>
            <w:tcW w:w="640" w:type="dxa"/>
            <w:vAlign w:val="bottom"/>
            <w:tcBorders>
              <w:top w:val="single" w:sz="8" w:color="0000FF"/>
            </w:tcBorders>
            <w:gridSpan w:val="3"/>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980" w:type="dxa"/>
            <w:vAlign w:val="bottom"/>
            <w:tcBorders>
              <w:top w:val="single" w:sz="8" w:color="CCEEFF"/>
            </w:tcBorders>
          </w:tcPr>
          <w:p>
            <w:pPr>
              <w:spacing w:after="0"/>
              <w:rPr>
                <w:sz w:val="11"/>
                <w:szCs w:val="11"/>
                <w:color w:val="auto"/>
              </w:rPr>
            </w:pPr>
          </w:p>
        </w:tc>
        <w:tc>
          <w:tcPr>
            <w:tcW w:w="1400" w:type="dxa"/>
            <w:vAlign w:val="bottom"/>
            <w:tcBorders>
              <w:top w:val="single" w:sz="8" w:color="CCEEFF"/>
            </w:tcBorders>
          </w:tcPr>
          <w:p>
            <w:pPr>
              <w:spacing w:after="0"/>
              <w:rPr>
                <w:sz w:val="11"/>
                <w:szCs w:val="11"/>
                <w:color w:val="auto"/>
              </w:rPr>
            </w:pPr>
          </w:p>
        </w:tc>
        <w:tc>
          <w:tcPr>
            <w:tcW w:w="3380" w:type="dxa"/>
            <w:vAlign w:val="bottom"/>
            <w:tcBorders>
              <w:top w:val="single" w:sz="8" w:color="CCEEFF"/>
            </w:tcBorders>
          </w:tcPr>
          <w:p>
            <w:pPr>
              <w:spacing w:after="0"/>
              <w:rPr>
                <w:sz w:val="11"/>
                <w:szCs w:val="11"/>
                <w:color w:val="auto"/>
              </w:rPr>
            </w:pPr>
          </w:p>
        </w:tc>
        <w:tc>
          <w:tcPr>
            <w:tcW w:w="2580" w:type="dxa"/>
            <w:vAlign w:val="bottom"/>
            <w:tcBorders>
              <w:top w:val="single" w:sz="8" w:color="CCEEFF"/>
            </w:tcBorders>
            <w:gridSpan w:val="2"/>
          </w:tcPr>
          <w:p>
            <w:pPr>
              <w:jc w:val="right"/>
              <w:spacing w:after="0" w:line="126" w:lineRule="exact"/>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5</w:t>
              </w:r>
            </w:hyperlink>
          </w:p>
        </w:tc>
      </w:tr>
      <w:tr>
        <w:trPr>
          <w:trHeight w:val="126"/>
        </w:trPr>
        <w:tc>
          <w:tcPr>
            <w:tcW w:w="1040" w:type="dxa"/>
            <w:vAlign w:val="bottom"/>
            <w:gridSpan w:val="4"/>
            <w:shd w:val="clear" w:color="auto" w:fill="CCEEFF"/>
          </w:tcPr>
          <w:p>
            <w:pPr>
              <w:ind w:left="80"/>
              <w:spacing w:after="0" w:line="126" w:lineRule="exact"/>
              <w:rPr>
                <w:sz w:val="20"/>
                <w:szCs w:val="20"/>
                <w:color w:val="auto"/>
              </w:rPr>
            </w:pPr>
            <w:r>
              <w:rPr>
                <w:rFonts w:ascii="Arial" w:cs="Arial" w:eastAsia="Arial" w:hAnsi="Arial"/>
                <w:sz w:val="12"/>
                <w:szCs w:val="12"/>
                <w:color w:val="auto"/>
              </w:rPr>
              <w:t>Item 1.</w:t>
            </w:r>
          </w:p>
        </w:tc>
        <w:tc>
          <w:tcPr>
            <w:tcW w:w="7680" w:type="dxa"/>
            <w:vAlign w:val="bottom"/>
            <w:gridSpan w:val="9"/>
            <w:shd w:val="clear" w:color="auto" w:fill="CCEEFF"/>
          </w:tcPr>
          <w:p>
            <w:pPr>
              <w:spacing w:after="0" w:line="126" w:lineRule="exact"/>
              <w:rPr>
                <w:rFonts w:ascii="Arial" w:cs="Arial" w:eastAsia="Arial" w:hAnsi="Arial"/>
                <w:sz w:val="12"/>
                <w:szCs w:val="12"/>
                <w:color w:val="0000FF"/>
              </w:rPr>
            </w:pPr>
            <w:hyperlink w:anchor="page5">
              <w:r>
                <w:rPr>
                  <w:rFonts w:ascii="Arial" w:cs="Arial" w:eastAsia="Arial" w:hAnsi="Arial"/>
                  <w:sz w:val="12"/>
                  <w:szCs w:val="12"/>
                  <w:color w:val="0000FF"/>
                </w:rPr>
                <w:t>Financial Statements</w:t>
              </w:r>
            </w:hyperlink>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5</w:t>
              </w:r>
            </w:hyperlink>
          </w:p>
        </w:tc>
      </w:tr>
      <w:tr>
        <w:trPr>
          <w:trHeight w:val="27"/>
        </w:trPr>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r>
      <w:tr>
        <w:trPr>
          <w:trHeight w:val="133"/>
        </w:trPr>
        <w:tc>
          <w:tcPr>
            <w:tcW w:w="1040" w:type="dxa"/>
            <w:vAlign w:val="bottom"/>
            <w:gridSpan w:val="4"/>
          </w:tcPr>
          <w:p>
            <w:pPr>
              <w:ind w:left="80"/>
              <w:spacing w:after="0" w:line="126" w:lineRule="exact"/>
              <w:rPr>
                <w:sz w:val="20"/>
                <w:szCs w:val="20"/>
                <w:color w:val="auto"/>
              </w:rPr>
            </w:pPr>
            <w:r>
              <w:rPr>
                <w:rFonts w:ascii="Arial" w:cs="Arial" w:eastAsia="Arial" w:hAnsi="Arial"/>
                <w:sz w:val="12"/>
                <w:szCs w:val="12"/>
                <w:color w:val="auto"/>
              </w:rPr>
              <w:t>Item 2.</w:t>
            </w:r>
          </w:p>
        </w:tc>
        <w:tc>
          <w:tcPr>
            <w:tcW w:w="4300" w:type="dxa"/>
            <w:vAlign w:val="bottom"/>
            <w:tcBorders>
              <w:bottom w:val="single" w:sz="8" w:color="0000FF"/>
            </w:tcBorders>
            <w:gridSpan w:val="8"/>
          </w:tcPr>
          <w:p>
            <w:pPr>
              <w:spacing w:after="0" w:line="126" w:lineRule="exact"/>
              <w:rPr>
                <w:rFonts w:ascii="Arial" w:cs="Arial" w:eastAsia="Arial" w:hAnsi="Arial"/>
                <w:sz w:val="12"/>
                <w:szCs w:val="12"/>
                <w:color w:val="0000FF"/>
                <w:w w:val="90"/>
              </w:rPr>
            </w:pPr>
            <w:hyperlink w:anchor="page28">
              <w:r>
                <w:rPr>
                  <w:rFonts w:ascii="Arial" w:cs="Arial" w:eastAsia="Arial" w:hAnsi="Arial"/>
                  <w:sz w:val="12"/>
                  <w:szCs w:val="12"/>
                  <w:color w:val="0000FF"/>
                  <w:w w:val="90"/>
                </w:rPr>
                <w:t>Management's Discussion and Analysis of Financial Condition and Results of Operations</w:t>
              </w:r>
            </w:hyperlink>
          </w:p>
        </w:tc>
        <w:tc>
          <w:tcPr>
            <w:tcW w:w="3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28">
              <w:r>
                <w:rPr>
                  <w:rFonts w:ascii="Arial" w:cs="Arial" w:eastAsia="Arial" w:hAnsi="Arial"/>
                  <w:sz w:val="12"/>
                  <w:szCs w:val="12"/>
                  <w:color w:val="0000FF"/>
                  <w:w w:val="74"/>
                </w:rPr>
                <w:t>28</w:t>
              </w:r>
            </w:hyperlink>
          </w:p>
        </w:tc>
      </w:tr>
      <w:tr>
        <w:trPr>
          <w:trHeight w:val="133"/>
        </w:trPr>
        <w:tc>
          <w:tcPr>
            <w:tcW w:w="1040" w:type="dxa"/>
            <w:vAlign w:val="bottom"/>
            <w:gridSpan w:val="4"/>
            <w:shd w:val="clear" w:color="auto" w:fill="CCEEFF"/>
          </w:tcPr>
          <w:p>
            <w:pPr>
              <w:ind w:left="80"/>
              <w:spacing w:after="0" w:line="126" w:lineRule="exact"/>
              <w:rPr>
                <w:sz w:val="20"/>
                <w:szCs w:val="20"/>
                <w:color w:val="auto"/>
              </w:rPr>
            </w:pPr>
            <w:r>
              <w:rPr>
                <w:rFonts w:ascii="Arial" w:cs="Arial" w:eastAsia="Arial" w:hAnsi="Arial"/>
                <w:sz w:val="12"/>
                <w:szCs w:val="12"/>
                <w:color w:val="auto"/>
              </w:rPr>
              <w:t>Item 3.</w:t>
            </w:r>
          </w:p>
        </w:tc>
        <w:tc>
          <w:tcPr>
            <w:tcW w:w="7680" w:type="dxa"/>
            <w:vAlign w:val="bottom"/>
            <w:gridSpan w:val="9"/>
            <w:shd w:val="clear" w:color="auto" w:fill="CCEEFF"/>
          </w:tcPr>
          <w:p>
            <w:pPr>
              <w:spacing w:after="0" w:line="126" w:lineRule="exact"/>
              <w:rPr>
                <w:rFonts w:ascii="Arial" w:cs="Arial" w:eastAsia="Arial" w:hAnsi="Arial"/>
                <w:sz w:val="12"/>
                <w:szCs w:val="12"/>
                <w:color w:val="0000FF"/>
              </w:rPr>
            </w:pPr>
            <w:hyperlink w:anchor="page58">
              <w:r>
                <w:rPr>
                  <w:rFonts w:ascii="Arial" w:cs="Arial" w:eastAsia="Arial" w:hAnsi="Arial"/>
                  <w:sz w:val="12"/>
                  <w:szCs w:val="12"/>
                  <w:color w:val="0000FF"/>
                </w:rPr>
                <w:t>Quantitative and Qualitative Disclosures About Market Risk</w:t>
              </w:r>
            </w:hyperlink>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58">
              <w:r>
                <w:rPr>
                  <w:rFonts w:ascii="Arial" w:cs="Arial" w:eastAsia="Arial" w:hAnsi="Arial"/>
                  <w:sz w:val="12"/>
                  <w:szCs w:val="12"/>
                  <w:color w:val="0000FF"/>
                </w:rPr>
                <w:t>59</w:t>
              </w:r>
            </w:hyperlink>
          </w:p>
        </w:tc>
      </w:tr>
      <w:tr>
        <w:trPr>
          <w:trHeight w:val="133"/>
        </w:trPr>
        <w:tc>
          <w:tcPr>
            <w:tcW w:w="1040" w:type="dxa"/>
            <w:vAlign w:val="bottom"/>
            <w:tcBorders>
              <w:top w:val="single" w:sz="8" w:color="CCEEFF"/>
            </w:tcBorders>
            <w:gridSpan w:val="4"/>
          </w:tcPr>
          <w:p>
            <w:pPr>
              <w:ind w:left="80"/>
              <w:spacing w:after="0" w:line="126" w:lineRule="exact"/>
              <w:rPr>
                <w:sz w:val="20"/>
                <w:szCs w:val="20"/>
                <w:color w:val="auto"/>
              </w:rPr>
            </w:pPr>
            <w:r>
              <w:rPr>
                <w:rFonts w:ascii="Arial" w:cs="Arial" w:eastAsia="Arial" w:hAnsi="Arial"/>
                <w:sz w:val="12"/>
                <w:szCs w:val="12"/>
                <w:color w:val="auto"/>
              </w:rPr>
              <w:t>Item 4.</w:t>
            </w:r>
          </w:p>
        </w:tc>
        <w:tc>
          <w:tcPr>
            <w:tcW w:w="1180" w:type="dxa"/>
            <w:vAlign w:val="bottom"/>
            <w:tcBorders>
              <w:top w:val="single" w:sz="8" w:color="0000FF"/>
              <w:bottom w:val="single" w:sz="8" w:color="0000FF"/>
            </w:tcBorders>
            <w:gridSpan w:val="5"/>
          </w:tcPr>
          <w:p>
            <w:pPr>
              <w:spacing w:after="0" w:line="126" w:lineRule="exact"/>
              <w:rPr>
                <w:rFonts w:ascii="Arial" w:cs="Arial" w:eastAsia="Arial" w:hAnsi="Arial"/>
                <w:sz w:val="12"/>
                <w:szCs w:val="12"/>
                <w:color w:val="0000FF"/>
                <w:w w:val="87"/>
              </w:rPr>
            </w:pPr>
            <w:hyperlink w:anchor="page59">
              <w:r>
                <w:rPr>
                  <w:rFonts w:ascii="Arial" w:cs="Arial" w:eastAsia="Arial" w:hAnsi="Arial"/>
                  <w:sz w:val="12"/>
                  <w:szCs w:val="12"/>
                  <w:color w:val="0000FF"/>
                  <w:w w:val="87"/>
                </w:rPr>
                <w:t>Controls and Procedures</w:t>
              </w:r>
            </w:hyperlink>
          </w:p>
        </w:tc>
        <w:tc>
          <w:tcPr>
            <w:tcW w:w="1720" w:type="dxa"/>
            <w:vAlign w:val="bottom"/>
            <w:tcBorders>
              <w:top w:val="single" w:sz="8" w:color="0000FF"/>
            </w:tcBorders>
            <w:gridSpan w:val="2"/>
          </w:tcPr>
          <w:p>
            <w:pPr>
              <w:spacing w:after="0"/>
              <w:rPr>
                <w:sz w:val="11"/>
                <w:szCs w:val="11"/>
                <w:color w:val="auto"/>
              </w:rPr>
            </w:pPr>
          </w:p>
        </w:tc>
        <w:tc>
          <w:tcPr>
            <w:tcW w:w="4780" w:type="dxa"/>
            <w:vAlign w:val="bottom"/>
            <w:tcBorders>
              <w:top w:val="single" w:sz="8" w:color="CCEEFF"/>
            </w:tcBorders>
            <w:gridSpan w:val="2"/>
          </w:tcPr>
          <w:p>
            <w:pPr>
              <w:spacing w:after="0"/>
              <w:rPr>
                <w:sz w:val="11"/>
                <w:szCs w:val="11"/>
                <w:color w:val="auto"/>
              </w:rPr>
            </w:pPr>
          </w:p>
        </w:tc>
        <w:tc>
          <w:tcPr>
            <w:tcW w:w="2440" w:type="dxa"/>
            <w:vAlign w:val="bottom"/>
            <w:tcBorders>
              <w:top w:val="single" w:sz="8" w:color="CCEEFF"/>
            </w:tcBorders>
          </w:tcPr>
          <w:p>
            <w:pPr>
              <w:spacing w:after="0"/>
              <w:rPr>
                <w:sz w:val="11"/>
                <w:szCs w:val="11"/>
                <w:color w:val="auto"/>
              </w:rPr>
            </w:pPr>
          </w:p>
        </w:tc>
        <w:tc>
          <w:tcPr>
            <w:tcW w:w="140" w:type="dxa"/>
            <w:vAlign w:val="bottom"/>
            <w:tcBorders>
              <w:top w:val="single" w:sz="8" w:color="0000FF"/>
              <w:bottom w:val="single" w:sz="8" w:color="0000FF"/>
            </w:tcBorders>
          </w:tcPr>
          <w:p>
            <w:pPr>
              <w:jc w:val="right"/>
              <w:spacing w:after="0" w:line="126" w:lineRule="exact"/>
              <w:rPr>
                <w:rFonts w:ascii="Arial" w:cs="Arial" w:eastAsia="Arial" w:hAnsi="Arial"/>
                <w:sz w:val="12"/>
                <w:szCs w:val="12"/>
                <w:color w:val="0000FF"/>
                <w:w w:val="74"/>
              </w:rPr>
            </w:pPr>
            <w:hyperlink w:anchor="page59">
              <w:r>
                <w:rPr>
                  <w:rFonts w:ascii="Arial" w:cs="Arial" w:eastAsia="Arial" w:hAnsi="Arial"/>
                  <w:sz w:val="12"/>
                  <w:szCs w:val="12"/>
                  <w:color w:val="0000FF"/>
                  <w:w w:val="74"/>
                </w:rPr>
                <w:t>60</w:t>
              </w:r>
            </w:hyperlink>
          </w:p>
        </w:tc>
      </w:tr>
      <w:tr>
        <w:trPr>
          <w:trHeight w:val="133"/>
        </w:trPr>
        <w:tc>
          <w:tcPr>
            <w:tcW w:w="1040" w:type="dxa"/>
            <w:vAlign w:val="bottom"/>
            <w:gridSpan w:val="4"/>
            <w:shd w:val="clear" w:color="auto" w:fill="CCEEFF"/>
          </w:tcPr>
          <w:p>
            <w:pPr>
              <w:spacing w:after="0" w:line="126" w:lineRule="exact"/>
              <w:rPr>
                <w:rFonts w:ascii="Arial" w:cs="Arial" w:eastAsia="Arial" w:hAnsi="Arial"/>
                <w:sz w:val="12"/>
                <w:szCs w:val="12"/>
                <w:b w:val="1"/>
                <w:bCs w:val="1"/>
                <w:color w:val="0000FF"/>
              </w:rPr>
            </w:pPr>
            <w:hyperlink w:anchor="page60">
              <w:r>
                <w:rPr>
                  <w:rFonts w:ascii="Arial" w:cs="Arial" w:eastAsia="Arial" w:hAnsi="Arial"/>
                  <w:sz w:val="12"/>
                  <w:szCs w:val="12"/>
                  <w:b w:val="1"/>
                  <w:bCs w:val="1"/>
                  <w:color w:val="0000FF"/>
                </w:rPr>
                <w:t>PART II</w:t>
              </w:r>
            </w:hyperlink>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60">
              <w:r>
                <w:rPr>
                  <w:rFonts w:ascii="Arial" w:cs="Arial" w:eastAsia="Arial" w:hAnsi="Arial"/>
                  <w:sz w:val="12"/>
                  <w:szCs w:val="12"/>
                  <w:color w:val="0000FF"/>
                </w:rPr>
                <w:t>61</w:t>
              </w:r>
            </w:hyperlink>
          </w:p>
        </w:tc>
      </w:tr>
      <w:tr>
        <w:trPr>
          <w:trHeight w:val="126"/>
        </w:trPr>
        <w:tc>
          <w:tcPr>
            <w:tcW w:w="440" w:type="dxa"/>
            <w:vAlign w:val="bottom"/>
            <w:tcBorders>
              <w:top w:val="single" w:sz="8" w:color="0000FF"/>
            </w:tcBorders>
            <w:gridSpan w:val="2"/>
          </w:tcPr>
          <w:p>
            <w:pPr>
              <w:ind w:left="80"/>
              <w:spacing w:after="0" w:line="126" w:lineRule="exact"/>
              <w:rPr>
                <w:sz w:val="20"/>
                <w:szCs w:val="20"/>
                <w:color w:val="auto"/>
              </w:rPr>
            </w:pPr>
            <w:r>
              <w:rPr>
                <w:rFonts w:ascii="Arial" w:cs="Arial" w:eastAsia="Arial" w:hAnsi="Arial"/>
                <w:sz w:val="12"/>
                <w:szCs w:val="12"/>
                <w:color w:val="auto"/>
                <w:w w:val="92"/>
              </w:rPr>
              <w:t>Item 1.</w:t>
            </w:r>
          </w:p>
        </w:tc>
        <w:tc>
          <w:tcPr>
            <w:tcW w:w="600" w:type="dxa"/>
            <w:vAlign w:val="bottom"/>
            <w:tcBorders>
              <w:top w:val="single" w:sz="8" w:color="CCEEFF"/>
            </w:tcBorders>
            <w:gridSpan w:val="2"/>
          </w:tcPr>
          <w:p>
            <w:pPr>
              <w:spacing w:after="0"/>
              <w:rPr>
                <w:sz w:val="10"/>
                <w:szCs w:val="10"/>
                <w:color w:val="auto"/>
              </w:rPr>
            </w:pPr>
          </w:p>
        </w:tc>
        <w:tc>
          <w:tcPr>
            <w:tcW w:w="7680" w:type="dxa"/>
            <w:vAlign w:val="bottom"/>
            <w:tcBorders>
              <w:top w:val="single" w:sz="8" w:color="CCEEFF"/>
            </w:tcBorders>
            <w:gridSpan w:val="9"/>
          </w:tcPr>
          <w:p>
            <w:pPr>
              <w:spacing w:after="0" w:line="126" w:lineRule="exact"/>
              <w:rPr>
                <w:rFonts w:ascii="Arial" w:cs="Arial" w:eastAsia="Arial" w:hAnsi="Arial"/>
                <w:sz w:val="12"/>
                <w:szCs w:val="12"/>
                <w:color w:val="0000FF"/>
              </w:rPr>
            </w:pPr>
            <w:hyperlink w:anchor="page61">
              <w:r>
                <w:rPr>
                  <w:rFonts w:ascii="Arial" w:cs="Arial" w:eastAsia="Arial" w:hAnsi="Arial"/>
                  <w:sz w:val="12"/>
                  <w:szCs w:val="12"/>
                  <w:color w:val="0000FF"/>
                </w:rPr>
                <w:t>Legal Proceedings</w:t>
              </w:r>
            </w:hyperlink>
          </w:p>
        </w:tc>
        <w:tc>
          <w:tcPr>
            <w:tcW w:w="2440" w:type="dxa"/>
            <w:vAlign w:val="bottom"/>
            <w:tcBorders>
              <w:top w:val="single" w:sz="8" w:color="CCEEFF"/>
            </w:tcBorders>
          </w:tcPr>
          <w:p>
            <w:pPr>
              <w:spacing w:after="0"/>
              <w:rPr>
                <w:sz w:val="10"/>
                <w:szCs w:val="10"/>
                <w:color w:val="auto"/>
              </w:rPr>
            </w:pPr>
          </w:p>
        </w:tc>
        <w:tc>
          <w:tcPr>
            <w:tcW w:w="140" w:type="dxa"/>
            <w:vAlign w:val="bottom"/>
            <w:tcBorders>
              <w:top w:val="single" w:sz="8" w:color="0000FF"/>
            </w:tcBorders>
          </w:tcPr>
          <w:p>
            <w:pPr>
              <w:jc w:val="right"/>
              <w:spacing w:after="0" w:line="126" w:lineRule="exact"/>
              <w:rPr>
                <w:rFonts w:ascii="Arial" w:cs="Arial" w:eastAsia="Arial" w:hAnsi="Arial"/>
                <w:sz w:val="12"/>
                <w:szCs w:val="12"/>
                <w:color w:val="0000FF"/>
                <w:w w:val="74"/>
              </w:rPr>
            </w:pPr>
            <w:hyperlink w:anchor="page61">
              <w:r>
                <w:rPr>
                  <w:rFonts w:ascii="Arial" w:cs="Arial" w:eastAsia="Arial" w:hAnsi="Arial"/>
                  <w:sz w:val="12"/>
                  <w:szCs w:val="12"/>
                  <w:color w:val="0000FF"/>
                  <w:w w:val="74"/>
                </w:rPr>
                <w:t>61</w:t>
              </w:r>
            </w:hyperlink>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r>
      <w:tr>
        <w:trPr>
          <w:trHeight w:val="120"/>
        </w:trPr>
        <w:tc>
          <w:tcPr>
            <w:tcW w:w="1040" w:type="dxa"/>
            <w:vAlign w:val="bottom"/>
            <w:tcBorders>
              <w:bottom w:val="single" w:sz="8" w:color="CCEEFF"/>
            </w:tcBorders>
            <w:gridSpan w:val="4"/>
            <w:shd w:val="clear" w:color="auto" w:fill="CCEEFF"/>
          </w:tcPr>
          <w:p>
            <w:pPr>
              <w:ind w:left="80"/>
              <w:spacing w:after="0" w:line="113"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FF"/>
            </w:tcBorders>
            <w:gridSpan w:val="2"/>
            <w:shd w:val="clear" w:color="auto" w:fill="CCEEFF"/>
          </w:tcPr>
          <w:p>
            <w:pPr>
              <w:spacing w:after="0" w:line="113" w:lineRule="exact"/>
              <w:rPr>
                <w:rFonts w:ascii="Arial" w:cs="Arial" w:eastAsia="Arial" w:hAnsi="Arial"/>
                <w:sz w:val="12"/>
                <w:szCs w:val="12"/>
                <w:color w:val="0000FF"/>
                <w:w w:val="86"/>
                <w:shd w:val="clear" w:color="auto" w:fill="CCEEFF"/>
              </w:rPr>
            </w:pPr>
            <w:hyperlink w:anchor="page61">
              <w:r>
                <w:rPr>
                  <w:rFonts w:ascii="Arial" w:cs="Arial" w:eastAsia="Arial" w:hAnsi="Arial"/>
                  <w:sz w:val="12"/>
                  <w:szCs w:val="12"/>
                  <w:color w:val="0000FF"/>
                  <w:w w:val="86"/>
                  <w:shd w:val="clear" w:color="auto" w:fill="CCEEFF"/>
                </w:rPr>
                <w:t>Risk Factors</w:t>
              </w:r>
            </w:hyperlink>
          </w:p>
        </w:tc>
        <w:tc>
          <w:tcPr>
            <w:tcW w:w="7080" w:type="dxa"/>
            <w:vAlign w:val="bottom"/>
            <w:tcBorders>
              <w:bottom w:val="single" w:sz="8" w:color="CCEEFF"/>
            </w:tcBorders>
            <w:gridSpan w:val="7"/>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0000FF"/>
              <w:right w:val="single" w:sz="8" w:color="CCEEFF"/>
            </w:tcBorders>
            <w:shd w:val="clear" w:color="auto" w:fill="CCEEFF"/>
          </w:tcPr>
          <w:p>
            <w:pPr>
              <w:jc w:val="right"/>
              <w:spacing w:after="0" w:line="113" w:lineRule="exact"/>
              <w:rPr>
                <w:rFonts w:ascii="Arial" w:cs="Arial" w:eastAsia="Arial" w:hAnsi="Arial"/>
                <w:sz w:val="12"/>
                <w:szCs w:val="12"/>
                <w:color w:val="0000FF"/>
                <w:w w:val="74"/>
              </w:rPr>
            </w:pPr>
            <w:hyperlink w:anchor="page61">
              <w:r>
                <w:rPr>
                  <w:rFonts w:ascii="Arial" w:cs="Arial" w:eastAsia="Arial" w:hAnsi="Arial"/>
                  <w:sz w:val="12"/>
                  <w:szCs w:val="12"/>
                  <w:color w:val="0000FF"/>
                  <w:w w:val="74"/>
                </w:rPr>
                <w:t>61</w:t>
              </w:r>
            </w:hyperlink>
          </w:p>
        </w:tc>
      </w:tr>
      <w:tr>
        <w:trPr>
          <w:trHeight w:val="133"/>
        </w:trPr>
        <w:tc>
          <w:tcPr>
            <w:tcW w:w="1040" w:type="dxa"/>
            <w:vAlign w:val="bottom"/>
            <w:gridSpan w:val="4"/>
          </w:tcPr>
          <w:p>
            <w:pPr>
              <w:ind w:left="80"/>
              <w:spacing w:after="0" w:line="126" w:lineRule="exact"/>
              <w:rPr>
                <w:sz w:val="20"/>
                <w:szCs w:val="20"/>
                <w:color w:val="auto"/>
              </w:rPr>
            </w:pPr>
            <w:r>
              <w:rPr>
                <w:rFonts w:ascii="Arial" w:cs="Arial" w:eastAsia="Arial" w:hAnsi="Arial"/>
                <w:sz w:val="12"/>
                <w:szCs w:val="12"/>
                <w:color w:val="auto"/>
              </w:rPr>
              <w:t>Item 6.</w:t>
            </w:r>
          </w:p>
        </w:tc>
        <w:tc>
          <w:tcPr>
            <w:tcW w:w="400" w:type="dxa"/>
            <w:vAlign w:val="bottom"/>
            <w:tcBorders>
              <w:bottom w:val="single" w:sz="8" w:color="0000FF"/>
            </w:tcBorders>
          </w:tcPr>
          <w:p>
            <w:pPr>
              <w:spacing w:after="0" w:line="126" w:lineRule="exact"/>
              <w:rPr>
                <w:rFonts w:ascii="Arial" w:cs="Arial" w:eastAsia="Arial" w:hAnsi="Arial"/>
                <w:sz w:val="12"/>
                <w:szCs w:val="12"/>
                <w:color w:val="0000FF"/>
                <w:w w:val="90"/>
              </w:rPr>
            </w:pPr>
            <w:hyperlink w:anchor="page61">
              <w:r>
                <w:rPr>
                  <w:rFonts w:ascii="Arial" w:cs="Arial" w:eastAsia="Arial" w:hAnsi="Arial"/>
                  <w:sz w:val="12"/>
                  <w:szCs w:val="12"/>
                  <w:color w:val="0000FF"/>
                  <w:w w:val="90"/>
                </w:rPr>
                <w:t>Exhibits</w:t>
              </w:r>
            </w:hyperlink>
          </w:p>
        </w:tc>
        <w:tc>
          <w:tcPr>
            <w:tcW w:w="7280" w:type="dxa"/>
            <w:vAlign w:val="bottom"/>
            <w:gridSpan w:val="8"/>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61">
              <w:r>
                <w:rPr>
                  <w:rFonts w:ascii="Arial" w:cs="Arial" w:eastAsia="Arial" w:hAnsi="Arial"/>
                  <w:sz w:val="12"/>
                  <w:szCs w:val="12"/>
                  <w:color w:val="0000FF"/>
                  <w:w w:val="74"/>
                </w:rPr>
                <w:t>62</w:t>
              </w:r>
            </w:hyperlink>
          </w:p>
        </w:tc>
      </w:tr>
      <w:tr>
        <w:trPr>
          <w:trHeight w:val="126"/>
        </w:trPr>
        <w:tc>
          <w:tcPr>
            <w:tcW w:w="1040" w:type="dxa"/>
            <w:vAlign w:val="bottom"/>
            <w:gridSpan w:val="4"/>
            <w:shd w:val="clear" w:color="auto" w:fill="CCEEFF"/>
          </w:tcPr>
          <w:p>
            <w:pPr>
              <w:spacing w:after="0" w:line="126" w:lineRule="exact"/>
              <w:rPr>
                <w:rFonts w:ascii="Arial" w:cs="Arial" w:eastAsia="Arial" w:hAnsi="Arial"/>
                <w:sz w:val="12"/>
                <w:szCs w:val="12"/>
                <w:b w:val="1"/>
                <w:bCs w:val="1"/>
                <w:color w:val="0000FF"/>
              </w:rPr>
            </w:pPr>
            <w:hyperlink w:anchor="page64">
              <w:r>
                <w:rPr>
                  <w:rFonts w:ascii="Arial" w:cs="Arial" w:eastAsia="Arial" w:hAnsi="Arial"/>
                  <w:sz w:val="12"/>
                  <w:szCs w:val="12"/>
                  <w:b w:val="1"/>
                  <w:bCs w:val="1"/>
                  <w:color w:val="0000FF"/>
                </w:rPr>
                <w:t>Signatures</w:t>
              </w:r>
            </w:hyperlink>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2580" w:type="dxa"/>
            <w:vAlign w:val="bottom"/>
            <w:tcBorders>
              <w:right w:val="single" w:sz="8" w:color="CCEEFF"/>
            </w:tcBorders>
            <w:gridSpan w:val="2"/>
            <w:shd w:val="clear" w:color="auto" w:fill="CCEEFF"/>
          </w:tcPr>
          <w:p>
            <w:pPr>
              <w:jc w:val="right"/>
              <w:spacing w:after="0" w:line="126" w:lineRule="exact"/>
              <w:rPr>
                <w:rFonts w:ascii="Arial" w:cs="Arial" w:eastAsia="Arial" w:hAnsi="Arial"/>
                <w:sz w:val="12"/>
                <w:szCs w:val="12"/>
                <w:color w:val="0000FF"/>
              </w:rPr>
            </w:pPr>
            <w:hyperlink w:anchor="page64">
              <w:r>
                <w:rPr>
                  <w:rFonts w:ascii="Arial" w:cs="Arial" w:eastAsia="Arial" w:hAnsi="Arial"/>
                  <w:sz w:val="12"/>
                  <w:szCs w:val="12"/>
                  <w:color w:val="0000FF"/>
                </w:rPr>
                <w:t>65</w:t>
              </w:r>
            </w:hyperlink>
          </w:p>
        </w:tc>
      </w:tr>
      <w:tr>
        <w:trPr>
          <w:trHeight w:val="27"/>
        </w:trPr>
        <w:tc>
          <w:tcPr>
            <w:tcW w:w="4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CAUTIONARY NOTE REGARDING FORWARD LOOKING STATEMENTS</w:t>
      </w:r>
    </w:p>
    <w:p>
      <w:pPr>
        <w:spacing w:after="0" w:line="118" w:lineRule="exact"/>
        <w:rPr>
          <w:sz w:val="20"/>
          <w:szCs w:val="20"/>
          <w:color w:val="auto"/>
        </w:rPr>
      </w:pPr>
    </w:p>
    <w:p>
      <w:pPr>
        <w:jc w:val="both"/>
        <w:ind w:firstLine="133"/>
        <w:spacing w:after="0" w:line="279" w:lineRule="auto"/>
        <w:rPr>
          <w:sz w:val="20"/>
          <w:szCs w:val="20"/>
          <w:color w:val="auto"/>
        </w:rPr>
      </w:pPr>
      <w:r>
        <w:rPr>
          <w:rFonts w:ascii="Arial" w:cs="Arial" w:eastAsia="Arial" w:hAnsi="Arial"/>
          <w:sz w:val="11"/>
          <w:szCs w:val="11"/>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81" w:lineRule="exact"/>
        <w:rPr>
          <w:sz w:val="20"/>
          <w:szCs w:val="20"/>
          <w:color w:val="auto"/>
        </w:rPr>
      </w:pPr>
    </w:p>
    <w:p>
      <w:pPr>
        <w:ind w:left="640" w:right="2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business practices of Fannie Mae and Freddie Mac (collectively, the GSEs), including decisions that have the impact of decreasing or discontinuing the use of mortgage insurance as credit enhancement generally, or with first time homebuyers or on very high loan-to-value mortgages;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remain an eligible mortgage insurer under the private mortgage insurer eligibility requirements (PMIERs) and other requirements imposed by the GSEs, which they may change at any time;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retention of our existing certificates of authority in each state and the District of Columbia (D.C.) and our ability to remain a mortgage insurer in good standing in each state and D.C.;</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profitability, liquidity and capital resources;</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developments in the world's financial and capital markets and our access to such markets, including reinsurance;</w:t>
      </w:r>
    </w:p>
    <w:p>
      <w:pPr>
        <w:spacing w:after="0" w:line="114" w:lineRule="exact"/>
        <w:rPr>
          <w:rFonts w:ascii="Arial" w:cs="Arial" w:eastAsia="Arial" w:hAnsi="Arial"/>
          <w:sz w:val="12"/>
          <w:szCs w:val="12"/>
          <w:color w:val="auto"/>
        </w:rPr>
      </w:pPr>
    </w:p>
    <w:p>
      <w:pPr>
        <w:jc w:val="both"/>
        <w:ind w:left="640" w:hanging="216"/>
        <w:spacing w:after="0" w:line="263"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adoption of new or changes to existing laws and regulations that impact our business or financial condition directly or the mortgage insurance industry generally or their enforcement and implementation by regulators, including the timing and eventual implementation of the final rules concerning "Qualified Mortgage" and "Qualified Residential Mortgage" definitions and the expiration of the "QM Patch" under the Dodd-Frank Act Ability to Repay/Qualified Mortgage rule;</w:t>
      </w:r>
    </w:p>
    <w:p>
      <w:pPr>
        <w:spacing w:after="0" w:line="86"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legislative or regulatory changes to the GSEs' role in the secondary mortgage market or other changes that could affect the residential mortgage industry generally or mortgage insurance in particular;</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potential future lawsuits, investigations or inquiries or resolution of current lawsuits or inquiries;</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3" w:name="page4"/>
    <w:bookmarkEnd w:id="3"/>
    <w:p>
      <w:pPr>
        <w:ind w:left="640" w:right="20" w:hanging="216"/>
        <w:spacing w:after="0" w:line="276"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attract and retain a diverse customer base, including the largest mortgage originators;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of risk management or pricing or investment strategies;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emergence of unexpected claim and coverage issues, including claims exceeding our reserves or amounts we had expected to experience;</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1"/>
          <w:szCs w:val="11"/>
          <w:color w:val="auto"/>
        </w:rPr>
      </w:pPr>
      <w:r>
        <w:rPr>
          <w:rFonts w:ascii="Arial" w:cs="Arial" w:eastAsia="Arial" w:hAnsi="Arial"/>
          <w:sz w:val="11"/>
          <w:szCs w:val="11"/>
          <w:color w:val="auto"/>
        </w:rPr>
        <w:t>potential adverse impacts arising from natural disasters, including, with respect to affected areas, a decline in new business, adverse effects on home prices, and an increase in notices of default on insured mortgages;</w:t>
      </w:r>
    </w:p>
    <w:p>
      <w:pPr>
        <w:spacing w:after="0" w:line="125" w:lineRule="exact"/>
        <w:rPr>
          <w:rFonts w:ascii="Arial" w:cs="Arial" w:eastAsia="Arial" w:hAnsi="Arial"/>
          <w:sz w:val="11"/>
          <w:szCs w:val="11"/>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inability of our counter-parties, including third party reinsurers, to meet their obligations to us;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failure to maintain, improve and continue to develop necessary information technology (IT) systems or the failure of technology providers to perform;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recruit, train and retain key personnel.</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more information regarding these risks and uncertainties as well as certain additional risks that we face, you should refer to Part I, Item 2, "</w:t>
      </w:r>
      <w:r>
        <w:rPr>
          <w:rFonts w:ascii="Arial" w:cs="Arial" w:eastAsia="Arial" w:hAnsi="Arial"/>
          <w:sz w:val="12"/>
          <w:szCs w:val="12"/>
          <w:i w:val="1"/>
          <w:iCs w:val="1"/>
          <w:color w:val="auto"/>
        </w:rPr>
        <w:t>Management's Discussion and Analysis of Financial Condition and Results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Operations" </w:t>
      </w:r>
      <w:r>
        <w:rPr>
          <w:rFonts w:ascii="Arial" w:cs="Arial" w:eastAsia="Arial" w:hAnsi="Arial"/>
          <w:sz w:val="12"/>
          <w:szCs w:val="12"/>
          <w:color w:val="auto"/>
        </w:rPr>
        <w:t>and elsewhere in this report on Form 10-Q, including the exhibits hereto. In addition, for additional discussion of those risks and uncertainties that have the potential to affect our business, financial condition, results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operations, cash flows or prospects in a material and adverse manner, you should review the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in Part II, Item 1A of this Report and in Part I, Item 1A, of our Annual Report on Form 10-K for the year ended December 31, 2020 (2020 10-K), as subsequently updated in other reports we file from time to time with the U.S. Securities and Exchange Commission (SEC).</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Unless expressly indicated or the context requires otherwise, the terms "we," "our," "us" and the "Company" in this document refer to NMI Holdings, Inc., a Delaware corporation, and its wholly-owned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3"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20" w:type="dxa"/>
            <w:vAlign w:val="bottom"/>
            <w:shd w:val="clear" w:color="auto" w:fill="CCEEFF"/>
          </w:tcPr>
          <w:p>
            <w:pPr>
              <w:spacing w:after="0"/>
              <w:rPr>
                <w:sz w:val="20"/>
                <w:szCs w:val="20"/>
                <w:color w:val="auto"/>
              </w:rPr>
            </w:pPr>
            <w:r>
              <w:rPr>
                <w:rFonts w:ascii="Arial" w:cs="Arial" w:eastAsia="Arial" w:hAnsi="Arial"/>
                <w:sz w:val="12"/>
                <w:szCs w:val="12"/>
                <w:color w:val="auto"/>
              </w:rPr>
              <w:t>Condensed Consolidated Balance Sheets as of June 30, 2021 (Unaudited) and December 31, 2020</w:t>
            </w: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shd w:val="clear" w:color="auto" w:fill="CCEEFF"/>
              </w:rPr>
            </w:pPr>
            <w:hyperlink w:anchor="page5">
              <w:r>
                <w:rPr>
                  <w:rFonts w:ascii="Arial" w:cs="Arial" w:eastAsia="Arial" w:hAnsi="Arial"/>
                  <w:sz w:val="12"/>
                  <w:szCs w:val="12"/>
                  <w:u w:val="single" w:color="auto"/>
                  <w:color w:val="0000FF"/>
                  <w:shd w:val="clear" w:color="auto" w:fill="CCEEFF"/>
                </w:rPr>
                <w:t>6</w:t>
              </w:r>
            </w:hyperlink>
          </w:p>
        </w:tc>
        <w:tc>
          <w:tcPr>
            <w:tcW w:w="20" w:type="dxa"/>
            <w:vAlign w:val="bottom"/>
            <w:shd w:val="clear" w:color="auto" w:fill="CCEEFF"/>
          </w:tcPr>
          <w:p>
            <w:pPr>
              <w:spacing w:after="0"/>
              <w:rPr>
                <w:sz w:val="13"/>
                <w:szCs w:val="13"/>
                <w:color w:val="auto"/>
              </w:rPr>
            </w:pPr>
          </w:p>
        </w:tc>
      </w:tr>
      <w:tr>
        <w:trPr>
          <w:trHeight w:val="153"/>
        </w:trPr>
        <w:tc>
          <w:tcPr>
            <w:tcW w:w="9220" w:type="dxa"/>
            <w:vAlign w:val="bottom"/>
          </w:tcPr>
          <w:p>
            <w:pPr>
              <w:spacing w:after="0"/>
              <w:rPr>
                <w:sz w:val="20"/>
                <w:szCs w:val="20"/>
                <w:color w:val="auto"/>
              </w:rPr>
            </w:pPr>
            <w:r>
              <w:rPr>
                <w:rFonts w:ascii="Arial" w:cs="Arial" w:eastAsia="Arial" w:hAnsi="Arial"/>
                <w:sz w:val="12"/>
                <w:szCs w:val="12"/>
                <w:color w:val="auto"/>
              </w:rPr>
              <w:t>Condensed Consolidated Statements of Operations and Comprehensive Income for the three and six months ended June 30, 2021 and 2020 (Unaudited)</w:t>
            </w:r>
          </w:p>
        </w:tc>
        <w:tc>
          <w:tcPr>
            <w:tcW w:w="2060" w:type="dxa"/>
            <w:vAlign w:val="bottom"/>
            <w:gridSpan w:val="2"/>
          </w:tcPr>
          <w:p>
            <w:pPr>
              <w:jc w:val="right"/>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7</w:t>
              </w:r>
            </w:hyperlink>
          </w:p>
        </w:tc>
        <w:tc>
          <w:tcPr>
            <w:tcW w:w="20" w:type="dxa"/>
            <w:vAlign w:val="bottom"/>
          </w:tcPr>
          <w:p>
            <w:pPr>
              <w:spacing w:after="0"/>
              <w:rPr>
                <w:sz w:val="13"/>
                <w:szCs w:val="13"/>
                <w:color w:val="auto"/>
              </w:rPr>
            </w:pPr>
          </w:p>
        </w:tc>
      </w:tr>
      <w:tr>
        <w:trPr>
          <w:trHeight w:val="153"/>
        </w:trPr>
        <w:tc>
          <w:tcPr>
            <w:tcW w:w="9220" w:type="dxa"/>
            <w:vAlign w:val="bottom"/>
            <w:shd w:val="clear" w:color="auto" w:fill="CCEEFF"/>
          </w:tcPr>
          <w:p>
            <w:pPr>
              <w:spacing w:after="0"/>
              <w:rPr>
                <w:sz w:val="20"/>
                <w:szCs w:val="20"/>
                <w:color w:val="auto"/>
              </w:rPr>
            </w:pPr>
            <w:r>
              <w:rPr>
                <w:rFonts w:ascii="Arial" w:cs="Arial" w:eastAsia="Arial" w:hAnsi="Arial"/>
                <w:sz w:val="12"/>
                <w:szCs w:val="12"/>
                <w:color w:val="auto"/>
              </w:rPr>
              <w:t>Condensed Consolidated Statements of Changes in Shareholders' Equity for the three months ended June 30, 2021 and 2020 (Unaudited)</w:t>
            </w: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rFonts w:ascii="Arial" w:cs="Arial" w:eastAsia="Arial" w:hAnsi="Arial"/>
                <w:sz w:val="12"/>
                <w:szCs w:val="12"/>
                <w:u w:val="single" w:color="auto"/>
                <w:color w:val="0000FF"/>
                <w:shd w:val="clear" w:color="auto" w:fill="CCEEFF"/>
              </w:rPr>
            </w:pPr>
            <w:hyperlink w:anchor="page7">
              <w:r>
                <w:rPr>
                  <w:rFonts w:ascii="Arial" w:cs="Arial" w:eastAsia="Arial" w:hAnsi="Arial"/>
                  <w:sz w:val="12"/>
                  <w:szCs w:val="12"/>
                  <w:u w:val="single" w:color="auto"/>
                  <w:color w:val="0000FF"/>
                  <w:shd w:val="clear" w:color="auto" w:fill="CCEEFF"/>
                </w:rPr>
                <w:t>8</w:t>
              </w:r>
            </w:hyperlink>
          </w:p>
        </w:tc>
        <w:tc>
          <w:tcPr>
            <w:tcW w:w="20" w:type="dxa"/>
            <w:vAlign w:val="bottom"/>
            <w:shd w:val="clear" w:color="auto" w:fill="CCEEFF"/>
          </w:tcPr>
          <w:p>
            <w:pPr>
              <w:spacing w:after="0"/>
              <w:rPr>
                <w:sz w:val="13"/>
                <w:szCs w:val="13"/>
                <w:color w:val="auto"/>
              </w:rPr>
            </w:pPr>
          </w:p>
        </w:tc>
      </w:tr>
      <w:tr>
        <w:trPr>
          <w:trHeight w:val="133"/>
        </w:trPr>
        <w:tc>
          <w:tcPr>
            <w:tcW w:w="9220" w:type="dxa"/>
            <w:vAlign w:val="bottom"/>
          </w:tcPr>
          <w:p>
            <w:pPr>
              <w:spacing w:after="0" w:line="126" w:lineRule="exact"/>
              <w:rPr>
                <w:sz w:val="20"/>
                <w:szCs w:val="20"/>
                <w:color w:val="auto"/>
              </w:rPr>
            </w:pPr>
            <w:r>
              <w:rPr>
                <w:rFonts w:ascii="Arial" w:cs="Arial" w:eastAsia="Arial" w:hAnsi="Arial"/>
                <w:sz w:val="12"/>
                <w:szCs w:val="12"/>
                <w:color w:val="auto"/>
              </w:rPr>
              <w:t>Condensed Consolidated Statements of Cash Flows for the six months ended June 30, 2021 and 2020 (Unaudited)</w:t>
            </w:r>
          </w:p>
        </w:tc>
        <w:tc>
          <w:tcPr>
            <w:tcW w:w="2060" w:type="dxa"/>
            <w:vAlign w:val="bottom"/>
            <w:gridSpan w:val="2"/>
          </w:tcPr>
          <w:p>
            <w:pPr>
              <w:jc w:val="right"/>
              <w:spacing w:after="0" w:line="126" w:lineRule="exact"/>
              <w:rPr>
                <w:rFonts w:ascii="Arial" w:cs="Arial" w:eastAsia="Arial" w:hAnsi="Arial"/>
                <w:sz w:val="12"/>
                <w:szCs w:val="12"/>
                <w:color w:val="0000FF"/>
              </w:rPr>
            </w:pPr>
            <w:hyperlink w:anchor="page9">
              <w:r>
                <w:rPr>
                  <w:rFonts w:ascii="Arial" w:cs="Arial" w:eastAsia="Arial" w:hAnsi="Arial"/>
                  <w:sz w:val="12"/>
                  <w:szCs w:val="12"/>
                  <w:color w:val="0000FF"/>
                </w:rPr>
                <w:t>10</w:t>
              </w:r>
            </w:hyperlink>
          </w:p>
        </w:tc>
        <w:tc>
          <w:tcPr>
            <w:tcW w:w="20" w:type="dxa"/>
            <w:vAlign w:val="bottom"/>
          </w:tcPr>
          <w:p>
            <w:pPr>
              <w:spacing w:after="0"/>
              <w:rPr>
                <w:sz w:val="11"/>
                <w:szCs w:val="11"/>
                <w:color w:val="auto"/>
              </w:rPr>
            </w:pPr>
          </w:p>
        </w:tc>
      </w:tr>
      <w:tr>
        <w:trPr>
          <w:trHeight w:val="133"/>
        </w:trPr>
        <w:tc>
          <w:tcPr>
            <w:tcW w:w="9220" w:type="dxa"/>
            <w:vAlign w:val="bottom"/>
            <w:tcBorders>
              <w:bottom w:val="single" w:sz="8" w:color="CCEEFF"/>
            </w:tcBorders>
            <w:shd w:val="clear" w:color="auto" w:fill="CCEEFF"/>
          </w:tcPr>
          <w:p>
            <w:pPr>
              <w:spacing w:after="0" w:line="126" w:lineRule="exact"/>
              <w:rPr>
                <w:sz w:val="20"/>
                <w:szCs w:val="20"/>
                <w:color w:val="auto"/>
              </w:rPr>
            </w:pPr>
            <w:r>
              <w:rPr>
                <w:rFonts w:ascii="Arial" w:cs="Arial" w:eastAsia="Arial" w:hAnsi="Arial"/>
                <w:sz w:val="12"/>
                <w:szCs w:val="12"/>
                <w:color w:val="auto"/>
              </w:rPr>
              <w:t>Notes to Condensed Consolidated Financial Statements (Unaudited)</w:t>
            </w:r>
          </w:p>
        </w:tc>
        <w:tc>
          <w:tcPr>
            <w:tcW w:w="19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top w:val="single" w:sz="8" w:color="0000FF"/>
              <w:bottom w:val="single" w:sz="8" w:color="0000FF"/>
            </w:tcBorders>
            <w:shd w:val="clear" w:color="auto" w:fill="CCEEFF"/>
          </w:tcPr>
          <w:p>
            <w:pPr>
              <w:jc w:val="right"/>
              <w:spacing w:after="0" w:line="126" w:lineRule="exact"/>
              <w:rPr>
                <w:rFonts w:ascii="Arial" w:cs="Arial" w:eastAsia="Arial" w:hAnsi="Arial"/>
                <w:sz w:val="12"/>
                <w:szCs w:val="12"/>
                <w:color w:val="0000FF"/>
                <w:w w:val="74"/>
                <w:shd w:val="clear" w:color="auto" w:fill="CCEEFF"/>
              </w:rPr>
            </w:pPr>
            <w:hyperlink w:anchor="page10">
              <w:r>
                <w:rPr>
                  <w:rFonts w:ascii="Arial" w:cs="Arial" w:eastAsia="Arial" w:hAnsi="Arial"/>
                  <w:sz w:val="12"/>
                  <w:szCs w:val="12"/>
                  <w:color w:val="0000FF"/>
                  <w:w w:val="74"/>
                  <w:shd w:val="clear" w:color="auto" w:fill="CCEEFF"/>
                </w:rPr>
                <w:t>11</w:t>
              </w:r>
            </w:hyperlink>
          </w:p>
        </w:tc>
        <w:tc>
          <w:tcPr>
            <w:tcW w:w="20" w:type="dxa"/>
            <w:vAlign w:val="bottom"/>
            <w:tcBorders>
              <w:bottom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BALANCE SHEETS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7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1"/>
        </w:trPr>
        <w:tc>
          <w:tcPr>
            <w:tcW w:w="7740" w:type="dxa"/>
            <w:vAlign w:val="bottom"/>
          </w:tcPr>
          <w:p>
            <w:pPr>
              <w:spacing w:after="0"/>
              <w:rPr>
                <w:sz w:val="20"/>
                <w:szCs w:val="20"/>
                <w:color w:val="auto"/>
              </w:rPr>
            </w:pPr>
            <w:r>
              <w:rPr>
                <w:rFonts w:ascii="Arial" w:cs="Arial" w:eastAsia="Arial" w:hAnsi="Arial"/>
                <w:sz w:val="12"/>
                <w:szCs w:val="12"/>
                <w:color w:val="auto"/>
              </w:rPr>
              <w:t>Assets</w:t>
            </w:r>
          </w:p>
        </w:tc>
        <w:tc>
          <w:tcPr>
            <w:tcW w:w="320" w:type="dxa"/>
            <w:vAlign w:val="bottom"/>
          </w:tcPr>
          <w:p>
            <w:pPr>
              <w:spacing w:after="0"/>
              <w:rPr>
                <w:sz w:val="12"/>
                <w:szCs w:val="12"/>
                <w:color w:val="auto"/>
              </w:rPr>
            </w:pPr>
          </w:p>
        </w:tc>
        <w:tc>
          <w:tcPr>
            <w:tcW w:w="3240" w:type="dxa"/>
            <w:vAlign w:val="bottom"/>
            <w:gridSpan w:val="4"/>
          </w:tcPr>
          <w:p>
            <w:pPr>
              <w:jc w:val="right"/>
              <w:ind w:right="1000"/>
              <w:spacing w:after="0"/>
              <w:rPr>
                <w:sz w:val="20"/>
                <w:szCs w:val="20"/>
                <w:color w:val="auto"/>
              </w:rPr>
            </w:pPr>
            <w:r>
              <w:rPr>
                <w:rFonts w:ascii="Arial" w:cs="Arial" w:eastAsia="Arial" w:hAnsi="Arial"/>
                <w:sz w:val="10"/>
                <w:szCs w:val="10"/>
                <w:i w:val="1"/>
                <w:iCs w:val="1"/>
                <w:color w:val="auto"/>
              </w:rPr>
              <w:t>(In Thousands, except for share data)</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w w:val="92"/>
              </w:rPr>
              <w:t>Fixed maturities, available-for-sale, at fair value (amortized cost of $1,954,187 and $1,730,835 as of June 30, 2021 and December 31, 2020, respectively)</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1,994,280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Cash and cash equivalents (including restricted cash of $4,159 and $5,555 as of June 30, 2021 and December 31, 2020, respectively)</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68,080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126,937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55,939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49,779</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Accrued investment income</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11,148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9,862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expenses</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3,292</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62,137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62,225</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31,443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Intangible assets and goodwill</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3,634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3,634</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Prepaid reinsurance premiums</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6,190</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Reinsurance recoverable</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17,608</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32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51,565</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53,188</w:t>
            </w:r>
          </w:p>
        </w:tc>
        <w:tc>
          <w:tcPr>
            <w:tcW w:w="0" w:type="dxa"/>
            <w:vAlign w:val="bottom"/>
          </w:tcPr>
          <w:p>
            <w:pPr>
              <w:spacing w:after="0"/>
              <w:rPr>
                <w:sz w:val="1"/>
                <w:szCs w:val="1"/>
                <w:color w:val="auto"/>
              </w:rPr>
            </w:pPr>
          </w:p>
        </w:tc>
      </w:tr>
      <w:tr>
        <w:trPr>
          <w:trHeight w:val="158"/>
        </w:trPr>
        <w:tc>
          <w:tcPr>
            <w:tcW w:w="77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2,305,878</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0" w:type="dxa"/>
            <w:vAlign w:val="bottom"/>
          </w:tcPr>
          <w:p>
            <w:pPr>
              <w:spacing w:after="0"/>
              <w:rPr>
                <w:sz w:val="1"/>
                <w:szCs w:val="1"/>
                <w:color w:val="auto"/>
              </w:rPr>
            </w:pPr>
          </w:p>
        </w:tc>
      </w:tr>
      <w:tr>
        <w:trPr>
          <w:trHeight w:val="162"/>
        </w:trPr>
        <w:tc>
          <w:tcPr>
            <w:tcW w:w="7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Liabilities</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Debt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393,949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393,301</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142,148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118,817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Accounts payable and accrued expenses</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56,803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61,716</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101,235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90,567</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funds withheld</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6,904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8,653</w:t>
            </w: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Warrant liability, at fair value</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3,385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tax liability, net</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136,273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112,586</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liabilities</w:t>
            </w: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5,276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7,026</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845,973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797,075</w:t>
            </w:r>
          </w:p>
        </w:tc>
        <w:tc>
          <w:tcPr>
            <w:tcW w:w="0" w:type="dxa"/>
            <w:vAlign w:val="bottom"/>
          </w:tcPr>
          <w:p>
            <w:pPr>
              <w:spacing w:after="0"/>
              <w:rPr>
                <w:sz w:val="1"/>
                <w:szCs w:val="1"/>
                <w:color w:val="auto"/>
              </w:rPr>
            </w:pPr>
          </w:p>
        </w:tc>
      </w:tr>
      <w:tr>
        <w:trPr>
          <w:trHeight w:val="133"/>
        </w:trPr>
        <w:tc>
          <w:tcPr>
            <w:tcW w:w="7740" w:type="dxa"/>
            <w:vAlign w:val="bottom"/>
          </w:tcPr>
          <w:p>
            <w:pPr>
              <w:spacing w:after="0" w:line="133" w:lineRule="exact"/>
              <w:rPr>
                <w:sz w:val="20"/>
                <w:szCs w:val="20"/>
                <w:color w:val="auto"/>
              </w:rPr>
            </w:pPr>
            <w:r>
              <w:rPr>
                <w:rFonts w:ascii="Arial" w:cs="Arial" w:eastAsia="Arial" w:hAnsi="Arial"/>
                <w:sz w:val="12"/>
                <w:szCs w:val="12"/>
                <w:color w:val="auto"/>
              </w:rPr>
              <w:t>Commitments and contingencies</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Shareholders' equity</w:t>
            </w: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740" w:type="dxa"/>
            <w:vAlign w:val="bottom"/>
            <w:shd w:val="clear" w:color="auto" w:fill="CCEEFF"/>
          </w:tcPr>
          <w:p>
            <w:pPr>
              <w:ind w:left="140"/>
              <w:spacing w:after="0" w:line="117" w:lineRule="exact"/>
              <w:rPr>
                <w:sz w:val="20"/>
                <w:szCs w:val="20"/>
                <w:color w:val="auto"/>
              </w:rPr>
            </w:pPr>
            <w:r>
              <w:rPr>
                <w:rFonts w:ascii="Arial" w:cs="Arial" w:eastAsia="Arial" w:hAnsi="Arial"/>
                <w:sz w:val="12"/>
                <w:szCs w:val="12"/>
                <w:color w:val="auto"/>
                <w:w w:val="92"/>
              </w:rPr>
              <w:t>Common stock - class A shares, $0.01 par value; 85,703,487 and 85,163,039 shares issued and outstanding as of June 30, 2021 and December 31, 2020,</w:t>
            </w:r>
          </w:p>
        </w:tc>
        <w:tc>
          <w:tcPr>
            <w:tcW w:w="32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respectively (250,000,000 shares authorized)</w:t>
            </w:r>
          </w:p>
        </w:tc>
        <w:tc>
          <w:tcPr>
            <w:tcW w:w="320" w:type="dxa"/>
            <w:vAlign w:val="bottom"/>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Additional paid-in capital</w:t>
            </w:r>
          </w:p>
        </w:tc>
        <w:tc>
          <w:tcPr>
            <w:tcW w:w="3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944,121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937,872</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Accumulated other comprehensive income, net of tax</w:t>
            </w: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27,503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53,856</w:t>
            </w:r>
          </w:p>
        </w:tc>
        <w:tc>
          <w:tcPr>
            <w:tcW w:w="0" w:type="dxa"/>
            <w:vAlign w:val="bottom"/>
          </w:tcPr>
          <w:p>
            <w:pPr>
              <w:spacing w:after="0"/>
              <w:rPr>
                <w:sz w:val="1"/>
                <w:szCs w:val="1"/>
                <w:color w:val="auto"/>
              </w:rPr>
            </w:pPr>
          </w:p>
        </w:tc>
      </w:tr>
      <w:tr>
        <w:trPr>
          <w:trHeight w:val="153"/>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Retained earnings</w:t>
            </w: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487,424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377,011</w:t>
            </w:r>
          </w:p>
        </w:tc>
        <w:tc>
          <w:tcPr>
            <w:tcW w:w="0" w:type="dxa"/>
            <w:vAlign w:val="bottom"/>
          </w:tcPr>
          <w:p>
            <w:pPr>
              <w:spacing w:after="0"/>
              <w:rPr>
                <w:sz w:val="1"/>
                <w:szCs w:val="1"/>
                <w:color w:val="auto"/>
              </w:rPr>
            </w:pP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3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1,459,905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1,369,591</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2,305,878</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w:t>
      </w:r>
      <w:r>
        <w:rPr>
          <w:rFonts w:ascii="Arial" w:cs="Arial" w:eastAsia="Arial" w:hAnsi="Arial"/>
          <w:sz w:val="10"/>
          <w:szCs w:val="10"/>
          <w:color w:val="auto"/>
        </w:rPr>
        <w:t>ONDENSED CONSOLIDATED STATEMENTS OF OPERATIONS AND COMPREHENSIVE INCOME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620" w:type="dxa"/>
            <w:vAlign w:val="bottom"/>
          </w:tcPr>
          <w:p>
            <w:pPr>
              <w:spacing w:after="0"/>
              <w:rPr>
                <w:sz w:val="11"/>
                <w:szCs w:val="11"/>
                <w:color w:val="auto"/>
              </w:rPr>
            </w:pPr>
          </w:p>
        </w:tc>
        <w:tc>
          <w:tcPr>
            <w:tcW w:w="2980" w:type="dxa"/>
            <w:vAlign w:val="bottom"/>
            <w:gridSpan w:val="6"/>
          </w:tcPr>
          <w:p>
            <w:pPr>
              <w:ind w:left="700"/>
              <w:spacing w:after="0"/>
              <w:rPr>
                <w:sz w:val="20"/>
                <w:szCs w:val="20"/>
                <w:color w:val="auto"/>
              </w:rPr>
            </w:pPr>
            <w:r>
              <w:rPr>
                <w:rFonts w:ascii="Arial" w:cs="Arial" w:eastAsia="Arial" w:hAnsi="Arial"/>
                <w:sz w:val="10"/>
                <w:szCs w:val="10"/>
                <w:b w:val="1"/>
                <w:bCs w:val="1"/>
                <w:color w:val="auto"/>
              </w:rPr>
              <w:t>For the three months ended June 30,</w:t>
            </w:r>
          </w:p>
        </w:tc>
        <w:tc>
          <w:tcPr>
            <w:tcW w:w="320" w:type="dxa"/>
            <w:vAlign w:val="bottom"/>
          </w:tcPr>
          <w:p>
            <w:pPr>
              <w:spacing w:after="0"/>
              <w:rPr>
                <w:sz w:val="11"/>
                <w:szCs w:val="11"/>
                <w:color w:val="auto"/>
              </w:rPr>
            </w:pPr>
          </w:p>
        </w:tc>
        <w:tc>
          <w:tcPr>
            <w:tcW w:w="2380" w:type="dxa"/>
            <w:vAlign w:val="bottom"/>
            <w:gridSpan w:val="4"/>
          </w:tcPr>
          <w:p>
            <w:pPr>
              <w:jc w:val="right"/>
              <w:ind w:right="601"/>
              <w:spacing w:after="0"/>
              <w:rPr>
                <w:sz w:val="20"/>
                <w:szCs w:val="20"/>
                <w:color w:val="auto"/>
              </w:rPr>
            </w:pPr>
            <w:r>
              <w:rPr>
                <w:rFonts w:ascii="Arial" w:cs="Arial" w:eastAsia="Arial" w:hAnsi="Arial"/>
                <w:sz w:val="10"/>
                <w:szCs w:val="10"/>
                <w:b w:val="1"/>
                <w:bCs w:val="1"/>
                <w:color w:val="auto"/>
              </w:rPr>
              <w:t>For the six months ended June 30,</w:t>
            </w:r>
          </w:p>
        </w:tc>
        <w:tc>
          <w:tcPr>
            <w:tcW w:w="0" w:type="dxa"/>
            <w:vAlign w:val="bottom"/>
          </w:tcPr>
          <w:p>
            <w:pPr>
              <w:spacing w:after="0"/>
              <w:rPr>
                <w:sz w:val="1"/>
                <w:szCs w:val="1"/>
                <w:color w:val="auto"/>
              </w:rPr>
            </w:pPr>
          </w:p>
        </w:tc>
      </w:tr>
      <w:tr>
        <w:trPr>
          <w:trHeight w:val="116"/>
        </w:trPr>
        <w:tc>
          <w:tcPr>
            <w:tcW w:w="5620" w:type="dxa"/>
            <w:vAlign w:val="bottom"/>
          </w:tcPr>
          <w:p>
            <w:pPr>
              <w:spacing w:after="0"/>
              <w:rPr>
                <w:sz w:val="10"/>
                <w:szCs w:val="10"/>
                <w:color w:val="auto"/>
              </w:rPr>
            </w:pPr>
          </w:p>
        </w:tc>
        <w:tc>
          <w:tcPr>
            <w:tcW w:w="9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36"/>
        </w:trPr>
        <w:tc>
          <w:tcPr>
            <w:tcW w:w="5620" w:type="dxa"/>
            <w:vAlign w:val="bottom"/>
          </w:tcPr>
          <w:p>
            <w:pPr>
              <w:ind w:left="20"/>
              <w:spacing w:after="0" w:line="136" w:lineRule="exact"/>
              <w:rPr>
                <w:sz w:val="20"/>
                <w:szCs w:val="20"/>
                <w:color w:val="auto"/>
              </w:rPr>
            </w:pPr>
            <w:r>
              <w:rPr>
                <w:rFonts w:ascii="Arial" w:cs="Arial" w:eastAsia="Arial" w:hAnsi="Arial"/>
                <w:sz w:val="12"/>
                <w:szCs w:val="12"/>
                <w:color w:val="auto"/>
              </w:rPr>
              <w:t>Revenues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80" w:type="dxa"/>
            <w:vAlign w:val="bottom"/>
            <w:gridSpan w:val="5"/>
          </w:tcPr>
          <w:p>
            <w:pPr>
              <w:ind w:left="200"/>
              <w:spacing w:after="0"/>
              <w:rPr>
                <w:sz w:val="20"/>
                <w:szCs w:val="20"/>
                <w:color w:val="auto"/>
              </w:rPr>
            </w:pPr>
            <w:r>
              <w:rPr>
                <w:rFonts w:ascii="Arial" w:cs="Arial" w:eastAsia="Arial" w:hAnsi="Arial"/>
                <w:sz w:val="10"/>
                <w:szCs w:val="10"/>
                <w:i w:val="1"/>
                <w:iCs w:val="1"/>
                <w:color w:val="auto"/>
              </w:rPr>
              <w:t>(In Thousands, except for per share data)</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premiums earned</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110,888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98,944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216,767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197,661</w:t>
            </w: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Net investment income</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9,382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7,070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18,196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15,174</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realized investment gains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639</w:t>
            </w:r>
          </w:p>
        </w:tc>
        <w:tc>
          <w:tcPr>
            <w:tcW w:w="0" w:type="dxa"/>
            <w:vAlign w:val="bottom"/>
          </w:tcPr>
          <w:p>
            <w:pPr>
              <w:spacing w:after="0"/>
              <w:rPr>
                <w:sz w:val="1"/>
                <w:szCs w:val="1"/>
                <w:color w:val="auto"/>
              </w:rPr>
            </w:pPr>
          </w:p>
        </w:tc>
      </w:tr>
      <w:tr>
        <w:trPr>
          <w:trHeight w:val="153"/>
        </w:trPr>
        <w:tc>
          <w:tcPr>
            <w:tcW w:w="56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revenues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984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2,123</w:t>
            </w: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revenues</w:t>
            </w:r>
          </w:p>
        </w:tc>
        <w:tc>
          <w:tcPr>
            <w:tcW w:w="9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120,765</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107,948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235,959</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215,597</w:t>
            </w:r>
          </w:p>
        </w:tc>
        <w:tc>
          <w:tcPr>
            <w:tcW w:w="0" w:type="dxa"/>
            <w:vAlign w:val="bottom"/>
          </w:tcPr>
          <w:p>
            <w:pPr>
              <w:spacing w:after="0"/>
              <w:rPr>
                <w:sz w:val="1"/>
                <w:szCs w:val="1"/>
                <w:color w:val="auto"/>
              </w:rPr>
            </w:pPr>
          </w:p>
        </w:tc>
      </w:tr>
      <w:tr>
        <w:trPr>
          <w:trHeight w:val="133"/>
        </w:trPr>
        <w:tc>
          <w:tcPr>
            <w:tcW w:w="5620" w:type="dxa"/>
            <w:vAlign w:val="bottom"/>
          </w:tcPr>
          <w:p>
            <w:pPr>
              <w:ind w:left="20"/>
              <w:spacing w:after="0" w:line="133" w:lineRule="exact"/>
              <w:rPr>
                <w:sz w:val="20"/>
                <w:szCs w:val="20"/>
                <w:color w:val="auto"/>
              </w:rPr>
            </w:pPr>
            <w:r>
              <w:rPr>
                <w:rFonts w:ascii="Arial" w:cs="Arial" w:eastAsia="Arial" w:hAnsi="Arial"/>
                <w:sz w:val="12"/>
                <w:szCs w:val="12"/>
                <w:color w:val="auto"/>
              </w:rPr>
              <w:t>Expenses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Insurance claims and claim expenses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34,334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9,602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40,031</w:t>
            </w: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Underwriting and operating expenses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34,725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30,370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68,790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62,647</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Service expenses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1,824</w:t>
            </w: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Interest expense</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7,922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5,941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15,837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8,685</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(Gain) loss from change in fair value of warrant liability</w:t>
            </w: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(4,723)</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expenses</w:t>
            </w:r>
          </w:p>
        </w:tc>
        <w:tc>
          <w:tcPr>
            <w:tcW w:w="9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47,110</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72,971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94,848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108,464</w:t>
            </w:r>
          </w:p>
        </w:tc>
        <w:tc>
          <w:tcPr>
            <w:tcW w:w="0" w:type="dxa"/>
            <w:vAlign w:val="bottom"/>
          </w:tcPr>
          <w:p>
            <w:pPr>
              <w:spacing w:after="0"/>
              <w:rPr>
                <w:sz w:val="1"/>
                <w:szCs w:val="1"/>
                <w:color w:val="auto"/>
              </w:rPr>
            </w:pPr>
          </w:p>
        </w:tc>
      </w:tr>
      <w:tr>
        <w:trPr>
          <w:trHeight w:val="124"/>
        </w:trPr>
        <w:tc>
          <w:tcPr>
            <w:tcW w:w="5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20"/>
              <w:spacing w:after="0"/>
              <w:rPr>
                <w:sz w:val="20"/>
                <w:szCs w:val="20"/>
                <w:color w:val="auto"/>
              </w:rPr>
            </w:pPr>
            <w:r>
              <w:rPr>
                <w:rFonts w:ascii="Arial" w:cs="Arial" w:eastAsia="Arial" w:hAnsi="Arial"/>
                <w:sz w:val="12"/>
                <w:szCs w:val="12"/>
                <w:color w:val="auto"/>
              </w:rPr>
              <w:t>Income before income taxes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73,655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34,977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141,111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107,133</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 expense</w:t>
            </w:r>
          </w:p>
        </w:tc>
        <w:tc>
          <w:tcPr>
            <w:tcW w:w="9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8,129</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30,697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22,014</w:t>
            </w:r>
          </w:p>
        </w:tc>
        <w:tc>
          <w:tcPr>
            <w:tcW w:w="0" w:type="dxa"/>
            <w:vAlign w:val="bottom"/>
          </w:tcPr>
          <w:p>
            <w:pPr>
              <w:spacing w:after="0"/>
              <w:rPr>
                <w:sz w:val="1"/>
                <w:szCs w:val="1"/>
                <w:color w:val="auto"/>
              </w:rPr>
            </w:pPr>
          </w:p>
        </w:tc>
      </w:tr>
      <w:tr>
        <w:trPr>
          <w:trHeight w:val="15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w:t>
            </w:r>
          </w:p>
        </w:tc>
        <w:tc>
          <w:tcPr>
            <w:tcW w:w="940" w:type="dxa"/>
            <w:vAlign w:val="bottom"/>
            <w:tcBorders>
              <w:bottom w:val="single" w:sz="8" w:color="auto"/>
            </w:tcBorders>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26,848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110,414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85,119</w:t>
            </w:r>
          </w:p>
        </w:tc>
        <w:tc>
          <w:tcPr>
            <w:tcW w:w="0" w:type="dxa"/>
            <w:vAlign w:val="bottom"/>
          </w:tcPr>
          <w:p>
            <w:pPr>
              <w:spacing w:after="0"/>
              <w:rPr>
                <w:sz w:val="1"/>
                <w:szCs w:val="1"/>
                <w:color w:val="auto"/>
              </w:rPr>
            </w:pPr>
          </w:p>
        </w:tc>
      </w:tr>
      <w:tr>
        <w:trPr>
          <w:trHeight w:val="117"/>
        </w:trPr>
        <w:tc>
          <w:tcPr>
            <w:tcW w:w="5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20"/>
              <w:spacing w:after="0"/>
              <w:rPr>
                <w:sz w:val="20"/>
                <w:szCs w:val="20"/>
                <w:color w:val="auto"/>
              </w:rPr>
            </w:pPr>
            <w:r>
              <w:rPr>
                <w:rFonts w:ascii="Arial" w:cs="Arial" w:eastAsia="Arial" w:hAnsi="Arial"/>
                <w:sz w:val="12"/>
                <w:szCs w:val="12"/>
                <w:color w:val="auto"/>
              </w:rPr>
              <w:t>Earnings per share</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Basic</w:t>
            </w:r>
          </w:p>
        </w:tc>
        <w:tc>
          <w:tcPr>
            <w:tcW w:w="940" w:type="dxa"/>
            <w:vAlign w:val="bottom"/>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0.67</w:t>
            </w:r>
          </w:p>
        </w:tc>
        <w:tc>
          <w:tcPr>
            <w:tcW w:w="10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0.36</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common shares outstanding</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20" w:type="dxa"/>
            <w:vAlign w:val="bottom"/>
          </w:tcPr>
          <w:p>
            <w:pPr>
              <w:ind w:left="160"/>
              <w:spacing w:after="0"/>
              <w:rPr>
                <w:sz w:val="20"/>
                <w:szCs w:val="20"/>
                <w:color w:val="auto"/>
              </w:rPr>
            </w:pPr>
            <w:r>
              <w:rPr>
                <w:rFonts w:ascii="Arial" w:cs="Arial" w:eastAsia="Arial" w:hAnsi="Arial"/>
                <w:sz w:val="12"/>
                <w:szCs w:val="12"/>
                <w:color w:val="auto"/>
              </w:rPr>
              <w:t>Basic</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85,647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73,617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85,483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71,090</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86,819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74,174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86,729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72,407</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57,522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110,414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85,119</w:t>
            </w:r>
          </w:p>
        </w:tc>
        <w:tc>
          <w:tcPr>
            <w:tcW w:w="0" w:type="dxa"/>
            <w:vAlign w:val="bottom"/>
          </w:tcPr>
          <w:p>
            <w:pPr>
              <w:spacing w:after="0"/>
              <w:rPr>
                <w:sz w:val="1"/>
                <w:szCs w:val="1"/>
                <w:color w:val="auto"/>
              </w:rPr>
            </w:pPr>
          </w:p>
        </w:tc>
      </w:tr>
      <w:tr>
        <w:trPr>
          <w:trHeight w:val="153"/>
        </w:trPr>
        <w:tc>
          <w:tcPr>
            <w:tcW w:w="5620" w:type="dxa"/>
            <w:vAlign w:val="bottom"/>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62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w w:val="93"/>
              </w:rPr>
              <w:t>Unrealized gains (losses) in accumulated other comprehensive gain (loss), net of tax expense (benefit) of $4,995</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2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w w:val="91"/>
              </w:rPr>
              <w:t>and $8,978 for the three months ended June 30, 2021 and 2020, and $(7,003) and $5,162 for the six months ended</w:t>
            </w:r>
          </w:p>
        </w:tc>
        <w:tc>
          <w:tcPr>
            <w:tcW w:w="9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18,790</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33,773</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(26,343)</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19,418</w:t>
            </w:r>
          </w:p>
        </w:tc>
        <w:tc>
          <w:tcPr>
            <w:tcW w:w="0" w:type="dxa"/>
            <w:vAlign w:val="bottom"/>
          </w:tcPr>
          <w:p>
            <w:pPr>
              <w:spacing w:after="0"/>
              <w:rPr>
                <w:sz w:val="1"/>
                <w:szCs w:val="1"/>
                <w:color w:val="auto"/>
              </w:rPr>
            </w:pPr>
          </w:p>
        </w:tc>
      </w:tr>
      <w:tr>
        <w:trPr>
          <w:trHeight w:val="153"/>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June 30, 2021 and 2020, respectively</w:t>
            </w:r>
          </w:p>
        </w:tc>
        <w:tc>
          <w:tcPr>
            <w:tcW w:w="94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620" w:type="dxa"/>
            <w:vAlign w:val="bottom"/>
          </w:tcPr>
          <w:p>
            <w:pPr>
              <w:ind w:left="20"/>
              <w:spacing w:after="0" w:line="117" w:lineRule="exact"/>
              <w:rPr>
                <w:sz w:val="20"/>
                <w:szCs w:val="20"/>
                <w:color w:val="auto"/>
              </w:rPr>
            </w:pPr>
            <w:r>
              <w:rPr>
                <w:rFonts w:ascii="Arial" w:cs="Arial" w:eastAsia="Arial" w:hAnsi="Arial"/>
                <w:sz w:val="12"/>
                <w:szCs w:val="12"/>
                <w:color w:val="auto"/>
                <w:w w:val="90"/>
              </w:rPr>
              <w:t>Reclassification adjustment for realized (gains) losses included in net income, net of tax expense (benefit) of $3 and</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620" w:type="dxa"/>
            <w:vAlign w:val="bottom"/>
          </w:tcPr>
          <w:p>
            <w:pPr>
              <w:ind w:left="20"/>
              <w:spacing w:after="0" w:line="117" w:lineRule="exact"/>
              <w:rPr>
                <w:sz w:val="20"/>
                <w:szCs w:val="20"/>
                <w:color w:val="auto"/>
              </w:rPr>
            </w:pPr>
            <w:r>
              <w:rPr>
                <w:rFonts w:ascii="Arial" w:cs="Arial" w:eastAsia="Arial" w:hAnsi="Arial"/>
                <w:sz w:val="12"/>
                <w:szCs w:val="12"/>
                <w:color w:val="auto"/>
                <w:w w:val="89"/>
              </w:rPr>
              <w:t>$149 for the three months ended June 30, 2021 and 2020, and $3 and ($258) for the six months ended June 30, 2021</w:t>
            </w:r>
          </w:p>
        </w:tc>
        <w:tc>
          <w:tcPr>
            <w:tcW w:w="9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(562)</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2"/>
                <w:szCs w:val="12"/>
                <w:color w:val="auto"/>
              </w:rPr>
              <w:t>969</w:t>
            </w:r>
          </w:p>
        </w:tc>
        <w:tc>
          <w:tcPr>
            <w:tcW w:w="0" w:type="dxa"/>
            <w:vAlign w:val="bottom"/>
          </w:tcPr>
          <w:p>
            <w:pPr>
              <w:spacing w:after="0"/>
              <w:rPr>
                <w:sz w:val="1"/>
                <w:szCs w:val="1"/>
                <w:color w:val="auto"/>
              </w:rPr>
            </w:pPr>
          </w:p>
        </w:tc>
      </w:tr>
      <w:tr>
        <w:trPr>
          <w:trHeight w:val="15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and 2020, respectively</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 net of tax</w:t>
            </w:r>
          </w:p>
        </w:tc>
        <w:tc>
          <w:tcPr>
            <w:tcW w:w="9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18,780</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33,211</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(26,353)</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20,387</w:t>
            </w:r>
          </w:p>
        </w:tc>
        <w:tc>
          <w:tcPr>
            <w:tcW w:w="0" w:type="dxa"/>
            <w:vAlign w:val="bottom"/>
          </w:tcPr>
          <w:p>
            <w:pPr>
              <w:spacing w:after="0"/>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Comprehensive income</w:t>
            </w:r>
          </w:p>
        </w:tc>
        <w:tc>
          <w:tcPr>
            <w:tcW w:w="940" w:type="dxa"/>
            <w:vAlign w:val="bottom"/>
            <w:tcBorders>
              <w:bottom w:val="single" w:sz="8" w:color="auto"/>
            </w:tcBorders>
          </w:tcPr>
          <w:p>
            <w:pPr>
              <w:jc w:val="right"/>
              <w:ind w:right="80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76,302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60,059</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84,061</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105,506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CONDENSED CONSOLIDATED STATEMENTS OF CHANGES IN SHAREHOLDERS' EQUITY (UNAUDITED)</w:t>
      </w:r>
    </w:p>
    <w:p>
      <w:pPr>
        <w:spacing w:after="0" w:line="200" w:lineRule="exact"/>
        <w:rPr>
          <w:sz w:val="20"/>
          <w:szCs w:val="20"/>
          <w:color w:val="auto"/>
        </w:rPr>
      </w:pP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020" w:type="dxa"/>
            <w:vAlign w:val="bottom"/>
          </w:tcPr>
          <w:p>
            <w:pPr>
              <w:spacing w:after="0"/>
              <w:rPr>
                <w:sz w:val="11"/>
                <w:szCs w:val="11"/>
                <w:color w:val="auto"/>
              </w:rPr>
            </w:pPr>
          </w:p>
        </w:tc>
        <w:tc>
          <w:tcPr>
            <w:tcW w:w="202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0"/>
                <w:szCs w:val="10"/>
                <w:b w:val="1"/>
                <w:bCs w:val="1"/>
                <w:color w:val="auto"/>
              </w:rPr>
              <w:t>Common Stock - Class A</w:t>
            </w: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322"/>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11"/>
                <w:szCs w:val="11"/>
                <w:color w:val="auto"/>
              </w:rPr>
            </w:pPr>
          </w:p>
        </w:tc>
        <w:tc>
          <w:tcPr>
            <w:tcW w:w="1180" w:type="dxa"/>
            <w:vAlign w:val="bottom"/>
          </w:tcPr>
          <w:p>
            <w:pPr>
              <w:jc w:val="right"/>
              <w:ind w:right="182"/>
              <w:spacing w:after="0"/>
              <w:rPr>
                <w:sz w:val="20"/>
                <w:szCs w:val="20"/>
                <w:color w:val="auto"/>
              </w:rPr>
            </w:pPr>
            <w:r>
              <w:rPr>
                <w:rFonts w:ascii="Arial" w:cs="Arial" w:eastAsia="Arial" w:hAnsi="Arial"/>
                <w:sz w:val="10"/>
                <w:szCs w:val="10"/>
                <w:b w:val="1"/>
                <w:bCs w:val="1"/>
                <w:color w:val="auto"/>
                <w:w w:val="99"/>
              </w:rPr>
              <w:t>Accumulated 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76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w w:val="89"/>
              </w:rPr>
              <w:t>Shares</w:t>
            </w: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Amount</w:t>
            </w: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Paid-in Capital</w:t>
            </w: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88"/>
              </w:rPr>
              <w:t>Comprehensive Income</w:t>
            </w: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1"/>
              </w:rPr>
              <w:t>Retained Earnings</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4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00" w:type="dxa"/>
            <w:vAlign w:val="bottom"/>
            <w:gridSpan w:val="3"/>
          </w:tcPr>
          <w:p>
            <w:pPr>
              <w:jc w:val="right"/>
              <w:ind w:right="822"/>
              <w:spacing w:after="0"/>
              <w:rPr>
                <w:sz w:val="20"/>
                <w:szCs w:val="20"/>
                <w:color w:val="auto"/>
              </w:rPr>
            </w:pPr>
            <w:r>
              <w:rPr>
                <w:rFonts w:ascii="Arial" w:cs="Arial" w:eastAsia="Arial" w:hAnsi="Arial"/>
                <w:sz w:val="10"/>
                <w:szCs w:val="10"/>
                <w:i w:val="1"/>
                <w:iCs w:val="1"/>
                <w:color w:val="auto"/>
              </w:rPr>
              <w:t>(In Thousands)</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December 31, 2020</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85,163</w:t>
            </w:r>
          </w:p>
        </w:tc>
        <w:tc>
          <w:tcPr>
            <w:tcW w:w="880" w:type="dxa"/>
            <w:vAlign w:val="bottom"/>
            <w:shd w:val="clear" w:color="auto" w:fill="CCEEFF"/>
          </w:tcPr>
          <w:p>
            <w:pPr>
              <w:jc w:val="right"/>
              <w:ind w:right="723"/>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937,872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53,856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377,011</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1,369,591</w:t>
            </w: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Common stock: class A shares issued related to warrant exercises</w:t>
            </w:r>
          </w:p>
        </w:tc>
        <w:tc>
          <w:tcPr>
            <w:tcW w:w="380" w:type="dxa"/>
            <w:vAlign w:val="bottom"/>
          </w:tcPr>
          <w:p>
            <w:pPr>
              <w:jc w:val="right"/>
              <w:spacing w:after="0"/>
              <w:rPr>
                <w:sz w:val="20"/>
                <w:szCs w:val="20"/>
                <w:color w:val="auto"/>
              </w:rPr>
            </w:pPr>
            <w:r>
              <w:rPr>
                <w:rFonts w:ascii="Arial" w:cs="Arial" w:eastAsia="Arial" w:hAnsi="Arial"/>
                <w:sz w:val="12"/>
                <w:szCs w:val="12"/>
                <w:color w:val="auto"/>
              </w:rPr>
              <w:t>24</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557</w:t>
            </w: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17"/>
        </w:trPr>
        <w:tc>
          <w:tcPr>
            <w:tcW w:w="47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8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(624)</w:t>
            </w:r>
          </w:p>
        </w:tc>
        <w:tc>
          <w:tcPr>
            <w:tcW w:w="12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38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Share-based compensation expense</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3,022</w:t>
            </w: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3,022</w:t>
            </w: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unrealized investment gains/losses, net of tax benefit of $11,997</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(45,133)</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(45,133)</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52,891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52,891</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March 31, 2021</w:t>
            </w:r>
          </w:p>
        </w:tc>
        <w:tc>
          <w:tcPr>
            <w:tcW w:w="76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85,600</w:t>
            </w:r>
          </w:p>
        </w:tc>
        <w:tc>
          <w:tcPr>
            <w:tcW w:w="88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856</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940,827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429,902</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1,380,308</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20"/>
                <w:szCs w:val="20"/>
                <w:color w:val="auto"/>
              </w:rPr>
            </w:pPr>
            <w:r>
              <w:rPr>
                <w:rFonts w:ascii="Arial" w:cs="Arial" w:eastAsia="Arial" w:hAnsi="Arial"/>
                <w:sz w:val="12"/>
                <w:szCs w:val="12"/>
                <w:color w:val="auto"/>
              </w:rPr>
              <w:t>Common stock: class A shares issued related to warrants</w:t>
            </w:r>
          </w:p>
        </w:tc>
        <w:tc>
          <w:tcPr>
            <w:tcW w:w="7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197</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17"/>
        </w:trPr>
        <w:tc>
          <w:tcPr>
            <w:tcW w:w="478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Common stock: class A shares issued under stock plans, net of shares withheld for</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8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2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380" w:type="dxa"/>
            <w:vAlign w:val="bottom"/>
            <w:vMerge w:val="continue"/>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spacing w:after="0"/>
              <w:rPr>
                <w:sz w:val="20"/>
                <w:szCs w:val="20"/>
                <w:color w:val="auto"/>
              </w:rPr>
            </w:pPr>
            <w:r>
              <w:rPr>
                <w:rFonts w:ascii="Arial" w:cs="Arial" w:eastAsia="Arial" w:hAnsi="Arial"/>
                <w:sz w:val="12"/>
                <w:szCs w:val="12"/>
                <w:color w:val="auto"/>
              </w:rPr>
              <w:t>Share-based compensation expense</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3,383</w:t>
            </w: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Arial" w:cs="Arial" w:eastAsia="Arial" w:hAnsi="Arial"/>
                <w:sz w:val="12"/>
                <w:szCs w:val="12"/>
                <w:color w:val="auto"/>
              </w:rPr>
              <w:t>3,383</w:t>
            </w:r>
          </w:p>
        </w:tc>
        <w:tc>
          <w:tcPr>
            <w:tcW w:w="0" w:type="dxa"/>
            <w:vAlign w:val="bottom"/>
          </w:tcPr>
          <w:p>
            <w:pPr>
              <w:spacing w:after="0"/>
              <w:rPr>
                <w:sz w:val="1"/>
                <w:szCs w:val="1"/>
                <w:color w:val="auto"/>
              </w:rPr>
            </w:pPr>
          </w:p>
        </w:tc>
      </w:tr>
      <w:tr>
        <w:trPr>
          <w:trHeight w:val="153"/>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unrealized investment gains/losses, net of tax expense of $4,992</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18,780</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18,780</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57,522</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57,522</w:t>
            </w:r>
          </w:p>
        </w:tc>
        <w:tc>
          <w:tcPr>
            <w:tcW w:w="0" w:type="dxa"/>
            <w:vAlign w:val="bottom"/>
          </w:tcPr>
          <w:p>
            <w:pPr>
              <w:spacing w:after="0"/>
              <w:rPr>
                <w:sz w:val="1"/>
                <w:szCs w:val="1"/>
                <w:color w:val="auto"/>
              </w:rPr>
            </w:pPr>
          </w:p>
        </w:tc>
      </w:tr>
      <w:tr>
        <w:trPr>
          <w:trHeight w:val="158"/>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June 30, 2021</w:t>
            </w:r>
          </w:p>
        </w:tc>
        <w:tc>
          <w:tcPr>
            <w:tcW w:w="7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85,703</w:t>
            </w:r>
          </w:p>
        </w:tc>
        <w:tc>
          <w:tcPr>
            <w:tcW w:w="88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857</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944,121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27,503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487,424</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1,459,905</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8" w:right="20" w:hanging="208"/>
        <w:spacing w:after="0" w:line="239" w:lineRule="auto"/>
        <w:tabs>
          <w:tab w:leader="none" w:pos="138" w:val="left"/>
        </w:tabs>
        <w:numPr>
          <w:ilvl w:val="0"/>
          <w:numId w:val="5"/>
        </w:numPr>
        <w:rPr>
          <w:rFonts w:ascii="Arial" w:cs="Arial" w:eastAsia="Arial" w:hAnsi="Arial"/>
          <w:sz w:val="10"/>
          <w:szCs w:val="10"/>
          <w:color w:val="auto"/>
        </w:rPr>
      </w:pPr>
      <w:r>
        <w:rPr>
          <w:rFonts w:ascii="Arial" w:cs="Arial" w:eastAsia="Arial" w:hAnsi="Arial"/>
          <w:sz w:val="10"/>
          <w:szCs w:val="10"/>
          <w:color w:val="auto"/>
        </w:rPr>
        <w:t>During the three months ended March 31, 2021, we issued 23,750 common shares with a par value of $0.01 in connection with the exercise of warrants, which is not identifiable in this schedule due to rounding. During the three months ended June 30, 2021, we issued 8,096 common shares with a par value of $0.01 in connection with the exercise of warrants, which is not identifiable in this schedule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CONDENSED CONSOLIDATED STATEMENTS OF CHANGES IN SHAREHOLDERS' EQUITY (UNAUDITED)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9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0"/>
                <w:szCs w:val="10"/>
                <w:b w:val="1"/>
                <w:bCs w:val="1"/>
                <w:color w:val="auto"/>
              </w:rPr>
              <w:t>Common Stock - Class A</w:t>
            </w:r>
          </w:p>
        </w:tc>
        <w:tc>
          <w:tcPr>
            <w:tcW w:w="360" w:type="dxa"/>
            <w:vAlign w:val="bottom"/>
            <w:tcBorders>
              <w:bottom w:val="single" w:sz="8" w:color="auto"/>
            </w:tcBorders>
          </w:tcPr>
          <w:p>
            <w:pPr>
              <w:spacing w:after="0"/>
              <w:rPr>
                <w:sz w:val="11"/>
                <w:szCs w:val="11"/>
                <w:color w:val="auto"/>
              </w:rPr>
            </w:pPr>
          </w:p>
        </w:tc>
        <w:tc>
          <w:tcPr>
            <w:tcW w:w="1240" w:type="dxa"/>
            <w:vAlign w:val="bottom"/>
          </w:tcPr>
          <w:p>
            <w:pPr>
              <w:jc w:val="right"/>
              <w:ind w:right="482"/>
              <w:spacing w:after="0"/>
              <w:rPr>
                <w:sz w:val="20"/>
                <w:szCs w:val="20"/>
                <w:color w:val="auto"/>
              </w:rPr>
            </w:pPr>
            <w:r>
              <w:rPr>
                <w:rFonts w:ascii="Arial" w:cs="Arial" w:eastAsia="Arial" w:hAnsi="Arial"/>
                <w:sz w:val="10"/>
                <w:szCs w:val="10"/>
                <w:b w:val="1"/>
                <w:bCs w:val="1"/>
                <w:color w:val="auto"/>
              </w:rPr>
              <w:t>Additional</w:t>
            </w:r>
          </w:p>
        </w:tc>
        <w:tc>
          <w:tcPr>
            <w:tcW w:w="1280" w:type="dxa"/>
            <w:vAlign w:val="bottom"/>
          </w:tcPr>
          <w:p>
            <w:pPr>
              <w:jc w:val="right"/>
              <w:ind w:right="342"/>
              <w:spacing w:after="0"/>
              <w:rPr>
                <w:sz w:val="20"/>
                <w:szCs w:val="20"/>
                <w:color w:val="auto"/>
              </w:rPr>
            </w:pPr>
            <w:r>
              <w:rPr>
                <w:rFonts w:ascii="Arial" w:cs="Arial" w:eastAsia="Arial" w:hAnsi="Arial"/>
                <w:sz w:val="10"/>
                <w:szCs w:val="10"/>
                <w:b w:val="1"/>
                <w:bCs w:val="1"/>
                <w:color w:val="auto"/>
                <w:w w:val="93"/>
              </w:rPr>
              <w:t>Accumulated Other</w:t>
            </w: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68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Shares</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Amount</w:t>
            </w:r>
          </w:p>
        </w:tc>
        <w:tc>
          <w:tcPr>
            <w:tcW w:w="3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Paid-in Capital</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w w:val="93"/>
              </w:rPr>
              <w:t>Comprehensive Income</w:t>
            </w:r>
          </w:p>
        </w:tc>
        <w:tc>
          <w:tcPr>
            <w:tcW w:w="13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w w:val="91"/>
              </w:rPr>
              <w:t>Retained Earnings</w:t>
            </w: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520" w:type="dxa"/>
            <w:vAlign w:val="bottom"/>
            <w:gridSpan w:val="2"/>
          </w:tcPr>
          <w:p>
            <w:pPr>
              <w:jc w:val="right"/>
              <w:ind w:right="98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lances, December 31, 2019</w:t>
            </w:r>
          </w:p>
        </w:tc>
        <w:tc>
          <w:tcPr>
            <w:tcW w:w="1240" w:type="dxa"/>
            <w:vAlign w:val="bottom"/>
            <w:shd w:val="clear" w:color="auto" w:fill="CCEEFF"/>
          </w:tcPr>
          <w:p>
            <w:pPr>
              <w:jc w:val="right"/>
              <w:ind w:right="781"/>
              <w:spacing w:after="0"/>
              <w:rPr>
                <w:sz w:val="20"/>
                <w:szCs w:val="20"/>
                <w:color w:val="auto"/>
              </w:rPr>
            </w:pPr>
            <w:r>
              <w:rPr>
                <w:rFonts w:ascii="Arial" w:cs="Arial" w:eastAsia="Arial" w:hAnsi="Arial"/>
                <w:sz w:val="12"/>
                <w:szCs w:val="12"/>
                <w:color w:val="auto"/>
                <w:w w:val="87"/>
              </w:rPr>
              <w:t>68,358$</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707,003$</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17,288$</w:t>
            </w:r>
          </w:p>
        </w:tc>
        <w:tc>
          <w:tcPr>
            <w:tcW w:w="13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205,445$</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930,420</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mmon stock: class A shares issued related to warrant exercises</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6</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221</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62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mmon stock: class A shares issued under stock plans, net of shares withheld for</w:t>
            </w:r>
          </w:p>
        </w:tc>
        <w:tc>
          <w:tcPr>
            <w:tcW w:w="1240" w:type="dxa"/>
            <w:vAlign w:val="bottom"/>
            <w:vMerge w:val="restart"/>
            <w:shd w:val="clear" w:color="auto" w:fill="CCEEFF"/>
          </w:tcPr>
          <w:p>
            <w:pPr>
              <w:jc w:val="right"/>
              <w:ind w:right="781"/>
              <w:spacing w:after="0"/>
              <w:rPr>
                <w:sz w:val="20"/>
                <w:szCs w:val="20"/>
                <w:color w:val="auto"/>
              </w:rPr>
            </w:pPr>
            <w:r>
              <w:rPr>
                <w:rFonts w:ascii="Arial" w:cs="Arial" w:eastAsia="Arial" w:hAnsi="Arial"/>
                <w:sz w:val="12"/>
                <w:szCs w:val="12"/>
                <w:color w:val="auto"/>
              </w:rPr>
              <w:t>510</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(3,755)</w:t>
            </w:r>
          </w:p>
        </w:tc>
        <w:tc>
          <w:tcPr>
            <w:tcW w:w="12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(3,750)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124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are-based compensation expense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2,552</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2,552</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ange in unrealized investment gains/losses, net of tax benefit of $3,409</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22"/>
              <w:spacing w:after="0"/>
              <w:rPr>
                <w:sz w:val="20"/>
                <w:szCs w:val="20"/>
                <w:color w:val="auto"/>
              </w:rPr>
            </w:pPr>
            <w:r>
              <w:rPr>
                <w:rFonts w:ascii="Arial" w:cs="Arial" w:eastAsia="Arial" w:hAnsi="Arial"/>
                <w:sz w:val="12"/>
                <w:szCs w:val="12"/>
                <w:color w:val="auto"/>
              </w:rPr>
              <w:t>(12,824)</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(12,824)</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t income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58,271</w:t>
            </w:r>
          </w:p>
        </w:tc>
        <w:tc>
          <w:tcPr>
            <w:tcW w:w="1020" w:type="dxa"/>
            <w:vAlign w:val="bottom"/>
          </w:tcPr>
          <w:p>
            <w:pPr>
              <w:jc w:val="right"/>
              <w:spacing w:after="0"/>
              <w:rPr>
                <w:sz w:val="20"/>
                <w:szCs w:val="20"/>
                <w:color w:val="auto"/>
              </w:rPr>
            </w:pPr>
            <w:r>
              <w:rPr>
                <w:rFonts w:ascii="Arial" w:cs="Arial" w:eastAsia="Arial" w:hAnsi="Arial"/>
                <w:sz w:val="12"/>
                <w:szCs w:val="12"/>
                <w:color w:val="auto"/>
              </w:rPr>
              <w:t>58,271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lances, March 31, 2020</w:t>
            </w: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7"/>
              </w:rPr>
              <w:t>68,874$</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706,021$</w:t>
            </w:r>
          </w:p>
        </w:tc>
        <w:tc>
          <w:tcPr>
            <w:tcW w:w="12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4,464$</w:t>
            </w:r>
          </w:p>
        </w:tc>
        <w:tc>
          <w:tcPr>
            <w:tcW w:w="1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263,716$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974,890</w:t>
            </w:r>
          </w:p>
        </w:tc>
        <w:tc>
          <w:tcPr>
            <w:tcW w:w="0" w:type="dxa"/>
            <w:vAlign w:val="bottom"/>
          </w:tcPr>
          <w:p>
            <w:pPr>
              <w:spacing w:after="0"/>
              <w:rPr>
                <w:sz w:val="1"/>
                <w:szCs w:val="1"/>
                <w:color w:val="auto"/>
              </w:rPr>
            </w:pPr>
          </w:p>
        </w:tc>
      </w:tr>
      <w:tr>
        <w:trPr>
          <w:trHeight w:val="142"/>
        </w:trPr>
        <w:tc>
          <w:tcPr>
            <w:tcW w:w="4700" w:type="dxa"/>
            <w:vAlign w:val="bottom"/>
            <w:gridSpan w:val="3"/>
          </w:tcPr>
          <w:p>
            <w:pPr>
              <w:spacing w:after="0"/>
              <w:rPr>
                <w:sz w:val="20"/>
                <w:szCs w:val="20"/>
                <w:color w:val="auto"/>
              </w:rPr>
            </w:pPr>
            <w:r>
              <w:rPr>
                <w:rFonts w:ascii="Arial" w:cs="Arial" w:eastAsia="Arial" w:hAnsi="Arial"/>
                <w:sz w:val="12"/>
                <w:szCs w:val="12"/>
                <w:color w:val="auto"/>
              </w:rPr>
              <w:t>mmon stock: class A shares issued related to warrants</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15,870</w:t>
            </w:r>
          </w:p>
        </w:tc>
        <w:tc>
          <w:tcPr>
            <w:tcW w:w="360" w:type="dxa"/>
            <w:vAlign w:val="bottom"/>
          </w:tcPr>
          <w:p>
            <w:pPr>
              <w:jc w:val="right"/>
              <w:spacing w:after="0"/>
              <w:rPr>
                <w:sz w:val="20"/>
                <w:szCs w:val="20"/>
                <w:color w:val="auto"/>
              </w:rPr>
            </w:pPr>
            <w:r>
              <w:rPr>
                <w:rFonts w:ascii="Arial" w:cs="Arial" w:eastAsia="Arial" w:hAnsi="Arial"/>
                <w:sz w:val="12"/>
                <w:szCs w:val="12"/>
                <w:color w:val="auto"/>
              </w:rPr>
              <w:t>159</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219,528</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219,687</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620" w:type="dxa"/>
            <w:vAlign w:val="bottom"/>
            <w:gridSpan w:val="2"/>
            <w:shd w:val="clear" w:color="auto" w:fill="CCEEFF"/>
          </w:tcPr>
          <w:p>
            <w:pPr>
              <w:spacing w:after="0" w:line="117" w:lineRule="exact"/>
              <w:rPr>
                <w:sz w:val="20"/>
                <w:szCs w:val="20"/>
                <w:color w:val="auto"/>
              </w:rPr>
            </w:pPr>
            <w:r>
              <w:rPr>
                <w:rFonts w:ascii="Arial" w:cs="Arial" w:eastAsia="Arial" w:hAnsi="Arial"/>
                <w:sz w:val="12"/>
                <w:szCs w:val="12"/>
                <w:color w:val="auto"/>
              </w:rPr>
              <w:t>mmon stock: class A shares issued under stock plans, net of shares withheld for</w:t>
            </w:r>
          </w:p>
        </w:tc>
        <w:tc>
          <w:tcPr>
            <w:tcW w:w="1240" w:type="dxa"/>
            <w:vAlign w:val="bottom"/>
            <w:vMerge w:val="restart"/>
            <w:shd w:val="clear" w:color="auto" w:fill="CCEEFF"/>
          </w:tcPr>
          <w:p>
            <w:pPr>
              <w:jc w:val="right"/>
              <w:ind w:right="781"/>
              <w:spacing w:after="0"/>
              <w:rPr>
                <w:sz w:val="20"/>
                <w:szCs w:val="20"/>
                <w:color w:val="auto"/>
              </w:rPr>
            </w:pPr>
            <w:r>
              <w:rPr>
                <w:rFonts w:ascii="Arial" w:cs="Arial" w:eastAsia="Arial" w:hAnsi="Arial"/>
                <w:sz w:val="12"/>
                <w:szCs w:val="12"/>
                <w:color w:val="auto"/>
              </w:rPr>
              <w:t>61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(321)</w:t>
            </w:r>
          </w:p>
        </w:tc>
        <w:tc>
          <w:tcPr>
            <w:tcW w:w="12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vMerge w:val="restart"/>
            <w:shd w:val="clear" w:color="auto" w:fill="CCEEFF"/>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employee taxes</w:t>
            </w:r>
          </w:p>
        </w:tc>
        <w:tc>
          <w:tcPr>
            <w:tcW w:w="124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280" w:type="dxa"/>
            <w:vAlign w:val="bottom"/>
            <w:vMerge w:val="continue"/>
            <w:shd w:val="clear" w:color="auto" w:fill="CCEEFF"/>
          </w:tcPr>
          <w:p>
            <w:pPr>
              <w:spacing w:after="0"/>
              <w:rPr>
                <w:sz w:val="13"/>
                <w:szCs w:val="13"/>
                <w:color w:val="auto"/>
              </w:rPr>
            </w:pPr>
          </w:p>
        </w:tc>
        <w:tc>
          <w:tcPr>
            <w:tcW w:w="132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are-based compensation expense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2,722</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2,722</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ange in unrealized investment gains/losses, net of tax expense of $8,829</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33,211</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33,211</w:t>
            </w:r>
          </w:p>
        </w:tc>
        <w:tc>
          <w:tcPr>
            <w:tcW w:w="0" w:type="dxa"/>
            <w:vAlign w:val="bottom"/>
          </w:tcPr>
          <w:p>
            <w:pPr>
              <w:spacing w:after="0"/>
              <w:rPr>
                <w:sz w:val="1"/>
                <w:szCs w:val="1"/>
                <w:color w:val="auto"/>
              </w:rPr>
            </w:pPr>
          </w:p>
        </w:tc>
      </w:tr>
      <w:tr>
        <w:trPr>
          <w:trHeight w:val="153"/>
        </w:trPr>
        <w:tc>
          <w:tcPr>
            <w:tcW w:w="4700" w:type="dxa"/>
            <w:vAlign w:val="bottom"/>
            <w:gridSpan w:val="3"/>
          </w:tcPr>
          <w:p>
            <w:pPr>
              <w:spacing w:after="0"/>
              <w:rPr>
                <w:sz w:val="20"/>
                <w:szCs w:val="20"/>
                <w:color w:val="auto"/>
              </w:rPr>
            </w:pPr>
            <w:r>
              <w:rPr>
                <w:rFonts w:ascii="Arial" w:cs="Arial" w:eastAsia="Arial" w:hAnsi="Arial"/>
                <w:sz w:val="12"/>
                <w:szCs w:val="12"/>
                <w:color w:val="auto"/>
              </w:rPr>
              <w:t>t income</w:t>
            </w:r>
          </w:p>
        </w:tc>
        <w:tc>
          <w:tcPr>
            <w:tcW w:w="1240" w:type="dxa"/>
            <w:vAlign w:val="bottom"/>
          </w:tcPr>
          <w:p>
            <w:pPr>
              <w:jc w:val="right"/>
              <w:ind w:right="781"/>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61"/>
              <w:spacing w:after="0"/>
              <w:rPr>
                <w:sz w:val="20"/>
                <w:szCs w:val="20"/>
                <w:color w:val="auto"/>
              </w:rPr>
            </w:pPr>
            <w:r>
              <w:rPr>
                <w:rFonts w:ascii="Arial" w:cs="Arial" w:eastAsia="Arial" w:hAnsi="Arial"/>
                <w:sz w:val="12"/>
                <w:szCs w:val="12"/>
                <w:color w:val="auto"/>
              </w:rPr>
              <w:t>26,848</w:t>
            </w:r>
          </w:p>
        </w:tc>
        <w:tc>
          <w:tcPr>
            <w:tcW w:w="1020" w:type="dxa"/>
            <w:vAlign w:val="bottom"/>
          </w:tcPr>
          <w:p>
            <w:pPr>
              <w:jc w:val="right"/>
              <w:spacing w:after="0"/>
              <w:rPr>
                <w:sz w:val="20"/>
                <w:szCs w:val="20"/>
                <w:color w:val="auto"/>
              </w:rPr>
            </w:pPr>
            <w:r>
              <w:rPr>
                <w:rFonts w:ascii="Arial" w:cs="Arial" w:eastAsia="Arial" w:hAnsi="Arial"/>
                <w:sz w:val="12"/>
                <w:szCs w:val="12"/>
                <w:color w:val="auto"/>
              </w:rPr>
              <w:t>26,848</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lances, June 30, 2020</w:t>
            </w:r>
          </w:p>
        </w:tc>
        <w:tc>
          <w:tcPr>
            <w:tcW w:w="68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2"/>
                <w:szCs w:val="12"/>
                <w:color w:val="auto"/>
                <w:w w:val="87"/>
              </w:rPr>
              <w:t>84,805$</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848$</w:t>
            </w:r>
          </w:p>
        </w:tc>
        <w:tc>
          <w:tcPr>
            <w:tcW w:w="12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927,950$</w:t>
            </w:r>
          </w:p>
        </w:tc>
        <w:tc>
          <w:tcPr>
            <w:tcW w:w="12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37,675$</w:t>
            </w:r>
          </w:p>
        </w:tc>
        <w:tc>
          <w:tcPr>
            <w:tcW w:w="1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290,564$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1,257,037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-1005205</wp:posOffset>
            </wp:positionV>
            <wp:extent cx="7040880" cy="97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0880" cy="971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-319405</wp:posOffset>
            </wp:positionV>
            <wp:extent cx="704088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0880" cy="97155"/>
                    </a:xfrm>
                    <a:prstGeom prst="rect">
                      <a:avLst/>
                    </a:prstGeom>
                    <a:noFill/>
                  </pic:spPr>
                </pic:pic>
              </a:graphicData>
            </a:graphic>
          </wp:anchor>
        </w:drawing>
      </w:r>
    </w:p>
    <w:p>
      <w:pPr>
        <w:spacing w:after="0" w:line="283" w:lineRule="exact"/>
        <w:rPr>
          <w:sz w:val="20"/>
          <w:szCs w:val="20"/>
          <w:color w:val="auto"/>
        </w:rPr>
      </w:pPr>
    </w:p>
    <w:p>
      <w:pPr>
        <w:ind w:left="280" w:right="20" w:hanging="208"/>
        <w:spacing w:after="0" w:line="239" w:lineRule="auto"/>
        <w:tabs>
          <w:tab w:leader="none" w:pos="219" w:val="left"/>
        </w:tabs>
        <w:numPr>
          <w:ilvl w:val="0"/>
          <w:numId w:val="6"/>
        </w:numPr>
        <w:rPr>
          <w:rFonts w:ascii="Arial" w:cs="Arial" w:eastAsia="Arial" w:hAnsi="Arial"/>
          <w:sz w:val="10"/>
          <w:szCs w:val="10"/>
          <w:color w:val="auto"/>
        </w:rPr>
      </w:pPr>
      <w:r>
        <w:rPr>
          <w:rFonts w:ascii="Arial" w:cs="Arial" w:eastAsia="Arial" w:hAnsi="Arial"/>
          <w:sz w:val="10"/>
          <w:szCs w:val="10"/>
          <w:color w:val="auto"/>
        </w:rPr>
        <w:t>During the three months ended March 31, 2020, we issued 6,474 common shares with a par value of $0.01 in connection with the exercise of warrants, which is not identifiable in this schedule due to rounding. During three months ended June 30, 2020, we issued 61,226 common shares, with a par value of $0.01 in connection with shares issued under stock plan, which is not identifiable in this schedule due to rounding.</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CONDENSED CONSOLIDATED STATEMENTS OF CASH FLOWS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7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0"/>
                <w:szCs w:val="10"/>
                <w:b w:val="1"/>
                <w:bCs w:val="1"/>
                <w:color w:val="auto"/>
                <w:w w:val="87"/>
              </w:rPr>
              <w:t>For the six months ended June 30,</w:t>
            </w:r>
          </w:p>
        </w:tc>
        <w:tc>
          <w:tcPr>
            <w:tcW w:w="1040" w:type="dxa"/>
            <w:vAlign w:val="bottom"/>
            <w:tcBorders>
              <w:bottom w:val="single" w:sz="8" w:color="auto"/>
            </w:tcBorders>
          </w:tcPr>
          <w:p>
            <w:pPr>
              <w:spacing w:after="0"/>
              <w:rPr>
                <w:sz w:val="11"/>
                <w:szCs w:val="11"/>
                <w:color w:val="auto"/>
              </w:rPr>
            </w:pPr>
          </w:p>
        </w:tc>
      </w:tr>
      <w:tr>
        <w:trPr>
          <w:trHeight w:val="116"/>
        </w:trPr>
        <w:tc>
          <w:tcPr>
            <w:tcW w:w="7720" w:type="dxa"/>
            <w:vAlign w:val="bottom"/>
          </w:tcPr>
          <w:p>
            <w:pPr>
              <w:spacing w:after="0"/>
              <w:rPr>
                <w:sz w:val="10"/>
                <w:szCs w:val="10"/>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2021</w:t>
            </w: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723"/>
              <w:spacing w:after="0"/>
              <w:rPr>
                <w:sz w:val="20"/>
                <w:szCs w:val="20"/>
                <w:color w:val="auto"/>
              </w:rPr>
            </w:pPr>
            <w:r>
              <w:rPr>
                <w:rFonts w:ascii="Arial" w:cs="Arial" w:eastAsia="Arial" w:hAnsi="Arial"/>
                <w:sz w:val="10"/>
                <w:szCs w:val="10"/>
                <w:b w:val="1"/>
                <w:bCs w:val="1"/>
                <w:color w:val="auto"/>
              </w:rPr>
              <w:t>2020</w:t>
            </w:r>
          </w:p>
        </w:tc>
      </w:tr>
      <w:tr>
        <w:trPr>
          <w:trHeight w:val="126"/>
        </w:trPr>
        <w:tc>
          <w:tcPr>
            <w:tcW w:w="7720" w:type="dxa"/>
            <w:vAlign w:val="bottom"/>
          </w:tcPr>
          <w:p>
            <w:pPr>
              <w:spacing w:after="0"/>
              <w:rPr>
                <w:sz w:val="20"/>
                <w:szCs w:val="20"/>
                <w:color w:val="auto"/>
              </w:rPr>
            </w:pPr>
            <w:r>
              <w:rPr>
                <w:rFonts w:ascii="Arial" w:cs="Arial" w:eastAsia="Arial" w:hAnsi="Arial"/>
                <w:sz w:val="11"/>
                <w:szCs w:val="11"/>
                <w:color w:val="auto"/>
              </w:rPr>
              <w:t>Cash flows from operating activities</w:t>
            </w:r>
          </w:p>
        </w:tc>
        <w:tc>
          <w:tcPr>
            <w:tcW w:w="1020" w:type="dxa"/>
            <w:vAlign w:val="bottom"/>
          </w:tcPr>
          <w:p>
            <w:pPr>
              <w:spacing w:after="0"/>
              <w:rPr>
                <w:sz w:val="10"/>
                <w:szCs w:val="10"/>
                <w:color w:val="auto"/>
              </w:rPr>
            </w:pPr>
          </w:p>
        </w:tc>
        <w:tc>
          <w:tcPr>
            <w:tcW w:w="1520" w:type="dxa"/>
            <w:vAlign w:val="bottom"/>
            <w:gridSpan w:val="3"/>
          </w:tcPr>
          <w:p>
            <w:pPr>
              <w:jc w:val="right"/>
              <w:ind w:right="403"/>
              <w:spacing w:after="0"/>
              <w:rPr>
                <w:sz w:val="20"/>
                <w:szCs w:val="20"/>
                <w:color w:val="auto"/>
              </w:rPr>
            </w:pPr>
            <w:r>
              <w:rPr>
                <w:rFonts w:ascii="Arial" w:cs="Arial" w:eastAsia="Arial" w:hAnsi="Arial"/>
                <w:sz w:val="10"/>
                <w:szCs w:val="10"/>
                <w:i w:val="1"/>
                <w:iCs w:val="1"/>
                <w:color w:val="auto"/>
              </w:rPr>
              <w:t>(In Thousands)</w:t>
            </w:r>
          </w:p>
        </w:tc>
        <w:tc>
          <w:tcPr>
            <w:tcW w:w="1040" w:type="dxa"/>
            <w:vAlign w:val="bottom"/>
          </w:tcPr>
          <w:p>
            <w:pPr>
              <w:spacing w:after="0"/>
              <w:rPr>
                <w:sz w:val="10"/>
                <w:szCs w:val="10"/>
                <w:color w:val="auto"/>
              </w:rPr>
            </w:pP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income</w:t>
            </w:r>
          </w:p>
        </w:tc>
        <w:tc>
          <w:tcPr>
            <w:tcW w:w="1020" w:type="dxa"/>
            <w:vAlign w:val="bottom"/>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110,414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85,119</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realized investment gains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(639)</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Gain (loss) from change in fair value of warrant liability</w:t>
            </w:r>
          </w:p>
        </w:tc>
        <w:tc>
          <w:tcPr>
            <w:tcW w:w="10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(453)</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(4,723)</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Depreciation and amortization</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5,344</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4,914</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Net amortization of premium on investment securities</w:t>
            </w:r>
          </w:p>
        </w:tc>
        <w:tc>
          <w:tcPr>
            <w:tcW w:w="10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3,289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629</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Amortization of debt discount and debt issuance costs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3,267</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Deferred income taxes</w:t>
            </w:r>
          </w:p>
        </w:tc>
        <w:tc>
          <w:tcPr>
            <w:tcW w:w="10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30,692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22,006</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Share-based compensation expense</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6,405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5,274</w:t>
            </w: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Changes in operating assets and liabilities:</w:t>
            </w: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Premiums receivable</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Accrued investment income</w:t>
            </w:r>
          </w:p>
        </w:tc>
        <w:tc>
          <w:tcPr>
            <w:tcW w:w="10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(1,286)</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(1,078)</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Prepaid expenses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Deferred policy acquisition costs, net</w:t>
            </w:r>
          </w:p>
        </w:tc>
        <w:tc>
          <w:tcPr>
            <w:tcW w:w="10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(3,647)</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 assets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Unearned premiums</w:t>
            </w:r>
          </w:p>
        </w:tc>
        <w:tc>
          <w:tcPr>
            <w:tcW w:w="10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23,331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(21,406)</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Reserve for insurance claims and claim expenses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10,668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46,151</w:t>
            </w:r>
          </w:p>
        </w:tc>
      </w:tr>
      <w:tr>
        <w:trPr>
          <w:trHeight w:val="144"/>
        </w:trPr>
        <w:tc>
          <w:tcPr>
            <w:tcW w:w="7720" w:type="dxa"/>
            <w:vAlign w:val="bottom"/>
          </w:tcPr>
          <w:p>
            <w:pPr>
              <w:ind w:left="220"/>
              <w:spacing w:after="0"/>
              <w:rPr>
                <w:sz w:val="20"/>
                <w:szCs w:val="20"/>
                <w:color w:val="auto"/>
              </w:rPr>
            </w:pPr>
            <w:r>
              <w:rPr>
                <w:rFonts w:ascii="Arial" w:cs="Arial" w:eastAsia="Arial" w:hAnsi="Arial"/>
                <w:sz w:val="11"/>
                <w:szCs w:val="11"/>
                <w:color w:val="auto"/>
              </w:rPr>
              <w:t>Reinsurance recoverable</w:t>
            </w:r>
          </w:p>
        </w:tc>
        <w:tc>
          <w:tcPr>
            <w:tcW w:w="10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(2,118)</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(9,368)</w:t>
            </w:r>
          </w:p>
        </w:tc>
      </w:tr>
      <w:tr>
        <w:trPr>
          <w:trHeight w:val="144"/>
        </w:trPr>
        <w:tc>
          <w:tcPr>
            <w:tcW w:w="77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Reinsurance balances, net</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2,658</w:t>
            </w:r>
          </w:p>
        </w:tc>
      </w:tr>
      <w:tr>
        <w:trPr>
          <w:trHeight w:val="144"/>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Accounts payable and accrued expenses</w:t>
            </w:r>
          </w:p>
        </w:tc>
        <w:tc>
          <w:tcPr>
            <w:tcW w:w="10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2,013</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(1,247)</w:t>
            </w:r>
          </w:p>
        </w:tc>
      </w:tr>
      <w:tr>
        <w:trPr>
          <w:trHeight w:val="133"/>
        </w:trPr>
        <w:tc>
          <w:tcPr>
            <w:tcW w:w="7720" w:type="dxa"/>
            <w:vAlign w:val="bottom"/>
            <w:shd w:val="clear" w:color="auto" w:fill="CCEEFF"/>
          </w:tcPr>
          <w:p>
            <w:pPr>
              <w:spacing w:after="0"/>
              <w:rPr>
                <w:sz w:val="20"/>
                <w:szCs w:val="20"/>
                <w:color w:val="auto"/>
              </w:rPr>
            </w:pPr>
            <w:r>
              <w:rPr>
                <w:rFonts w:ascii="Arial" w:cs="Arial" w:eastAsia="Arial" w:hAnsi="Arial"/>
                <w:sz w:val="11"/>
                <w:szCs w:val="11"/>
                <w:color w:val="auto"/>
              </w:rPr>
              <w:t>Net cash provided by operating activities</w:t>
            </w:r>
          </w:p>
        </w:tc>
        <w:tc>
          <w:tcPr>
            <w:tcW w:w="10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182,544</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127,355</w:t>
            </w:r>
          </w:p>
        </w:tc>
      </w:tr>
      <w:tr>
        <w:trPr>
          <w:trHeight w:val="124"/>
        </w:trPr>
        <w:tc>
          <w:tcPr>
            <w:tcW w:w="772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Purchase of short-term investments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(8,991)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(41,872)</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Purchase of fixed-maturity investments, available-for-sale</w:t>
            </w:r>
          </w:p>
        </w:tc>
        <w:tc>
          <w:tcPr>
            <w:tcW w:w="10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(286,635)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(451,462)</w:t>
            </w:r>
          </w:p>
        </w:tc>
      </w:tr>
      <w:tr>
        <w:trPr>
          <w:trHeight w:val="153"/>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maturity of short-term investments</w:t>
            </w:r>
          </w:p>
        </w:tc>
        <w:tc>
          <w:tcPr>
            <w:tcW w:w="10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85,689</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redemptions, maturities and sale of fixed-maturity investments, available-for-sale</w:t>
            </w:r>
          </w:p>
        </w:tc>
        <w:tc>
          <w:tcPr>
            <w:tcW w:w="102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60,997</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297,977</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Software and equipment</w:t>
            </w:r>
          </w:p>
        </w:tc>
        <w:tc>
          <w:tcPr>
            <w:tcW w:w="10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(6,050)</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(4,638)</w:t>
            </w:r>
          </w:p>
        </w:tc>
      </w:tr>
      <w:tr>
        <w:trPr>
          <w:trHeight w:val="133"/>
        </w:trPr>
        <w:tc>
          <w:tcPr>
            <w:tcW w:w="77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(used in) investing activities</w:t>
            </w:r>
          </w:p>
        </w:tc>
        <w:tc>
          <w:tcPr>
            <w:tcW w:w="10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(240,679)</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(114,306)</w:t>
            </w:r>
          </w:p>
        </w:tc>
      </w:tr>
      <w:tr>
        <w:trPr>
          <w:trHeight w:val="124"/>
        </w:trPr>
        <w:tc>
          <w:tcPr>
            <w:tcW w:w="77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Cash flows from financing activities</w:t>
            </w:r>
          </w:p>
        </w:tc>
        <w:tc>
          <w:tcPr>
            <w:tcW w:w="10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53"/>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public offering, net of issuance costs</w:t>
            </w:r>
          </w:p>
        </w:tc>
        <w:tc>
          <w:tcPr>
            <w:tcW w:w="10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220,284</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issuance of common stock related to employee equity plans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4,043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3,391</w:t>
            </w:r>
          </w:p>
        </w:tc>
      </w:tr>
      <w:tr>
        <w:trPr>
          <w:trHeight w:val="153"/>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issuance of common stock related to warrants</w:t>
            </w:r>
          </w:p>
        </w:tc>
        <w:tc>
          <w:tcPr>
            <w:tcW w:w="10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183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Taxes paid related to net share settlement of equity awards</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(7,462)</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Proceeds from senior secured notes</w:t>
            </w:r>
          </w:p>
        </w:tc>
        <w:tc>
          <w:tcPr>
            <w:tcW w:w="10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400,000</w:t>
            </w:r>
          </w:p>
        </w:tc>
      </w:tr>
      <w:tr>
        <w:trPr>
          <w:trHeight w:val="144"/>
        </w:trPr>
        <w:tc>
          <w:tcPr>
            <w:tcW w:w="7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Repayments of term loan</w:t>
            </w:r>
          </w:p>
        </w:tc>
        <w:tc>
          <w:tcPr>
            <w:tcW w:w="10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(147,750)</w:t>
            </w:r>
          </w:p>
        </w:tc>
      </w:tr>
      <w:tr>
        <w:trPr>
          <w:trHeight w:val="144"/>
        </w:trPr>
        <w:tc>
          <w:tcPr>
            <w:tcW w:w="7720" w:type="dxa"/>
            <w:vAlign w:val="bottom"/>
          </w:tcPr>
          <w:p>
            <w:pPr>
              <w:ind w:left="80"/>
              <w:spacing w:after="0"/>
              <w:rPr>
                <w:sz w:val="20"/>
                <w:szCs w:val="20"/>
                <w:color w:val="auto"/>
              </w:rPr>
            </w:pPr>
            <w:r>
              <w:rPr>
                <w:rFonts w:ascii="Arial" w:cs="Arial" w:eastAsia="Arial" w:hAnsi="Arial"/>
                <w:sz w:val="11"/>
                <w:szCs w:val="11"/>
                <w:color w:val="auto"/>
              </w:rPr>
              <w:t>Payments of debt issuance/modification costs</w:t>
            </w:r>
          </w:p>
        </w:tc>
        <w:tc>
          <w:tcPr>
            <w:tcW w:w="10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(7,151)</w:t>
            </w:r>
          </w:p>
        </w:tc>
      </w:tr>
      <w:tr>
        <w:trPr>
          <w:trHeight w:val="133"/>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(used in) provided by financing activities</w:t>
            </w:r>
          </w:p>
        </w:tc>
        <w:tc>
          <w:tcPr>
            <w:tcW w:w="10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(722)</w:t>
            </w: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461,312</w:t>
            </w:r>
          </w:p>
        </w:tc>
      </w:tr>
      <w:tr>
        <w:trPr>
          <w:trHeight w:val="43"/>
        </w:trPr>
        <w:tc>
          <w:tcPr>
            <w:tcW w:w="7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1"/>
                <w:szCs w:val="11"/>
                <w:color w:val="auto"/>
              </w:rPr>
              <w:t>Net (decrease) increase in cash, cash equivalents and restricted cash</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(58,857)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474,361</w:t>
            </w:r>
          </w:p>
        </w:tc>
      </w:tr>
      <w:tr>
        <w:trPr>
          <w:trHeight w:val="144"/>
        </w:trPr>
        <w:tc>
          <w:tcPr>
            <w:tcW w:w="77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Cash, cash equivalents and restricted cash, beginning of period</w:t>
            </w:r>
          </w:p>
        </w:tc>
        <w:tc>
          <w:tcPr>
            <w:tcW w:w="10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126,937</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41,089</w:t>
            </w:r>
          </w:p>
        </w:tc>
      </w:tr>
      <w:tr>
        <w:trPr>
          <w:trHeight w:val="149"/>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cash equivalents and restricted cash, end of period</w:t>
            </w: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68,080</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515,450</w:t>
            </w:r>
          </w:p>
        </w:tc>
      </w:tr>
      <w:tr>
        <w:trPr>
          <w:trHeight w:val="45"/>
        </w:trPr>
        <w:tc>
          <w:tcPr>
            <w:tcW w:w="7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44"/>
        </w:trPr>
        <w:tc>
          <w:tcPr>
            <w:tcW w:w="772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cash flow information</w:t>
            </w:r>
          </w:p>
        </w:tc>
        <w:tc>
          <w:tcPr>
            <w:tcW w:w="10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4"/>
        </w:trPr>
        <w:tc>
          <w:tcPr>
            <w:tcW w:w="7720" w:type="dxa"/>
            <w:vAlign w:val="bottom"/>
          </w:tcPr>
          <w:p>
            <w:pPr>
              <w:ind w:left="140"/>
              <w:spacing w:after="0"/>
              <w:rPr>
                <w:sz w:val="20"/>
                <w:szCs w:val="20"/>
                <w:color w:val="auto"/>
              </w:rPr>
            </w:pPr>
            <w:r>
              <w:rPr>
                <w:rFonts w:ascii="Arial" w:cs="Arial" w:eastAsia="Arial" w:hAnsi="Arial"/>
                <w:sz w:val="11"/>
                <w:szCs w:val="11"/>
                <w:color w:val="auto"/>
              </w:rPr>
              <w:t>Interest paid</w:t>
            </w:r>
          </w:p>
        </w:tc>
        <w:tc>
          <w:tcPr>
            <w:tcW w:w="1020" w:type="dxa"/>
            <w:vAlign w:val="bottom"/>
          </w:tcPr>
          <w:p>
            <w:pPr>
              <w:jc w:val="right"/>
              <w:ind w:right="90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14,750</w:t>
            </w:r>
          </w:p>
        </w:tc>
        <w:tc>
          <w:tcPr>
            <w:tcW w:w="80" w:type="dxa"/>
            <w:vAlign w:val="bottom"/>
          </w:tcPr>
          <w:p>
            <w:pPr>
              <w:spacing w:after="0"/>
              <w:rPr>
                <w:sz w:val="12"/>
                <w:szCs w:val="12"/>
                <w:color w:val="auto"/>
              </w:rPr>
            </w:pPr>
          </w:p>
        </w:tc>
        <w:tc>
          <w:tcPr>
            <w:tcW w:w="720" w:type="dxa"/>
            <w:vAlign w:val="bottom"/>
          </w:tcPr>
          <w:p>
            <w:pPr>
              <w:jc w:val="right"/>
              <w:ind w:right="5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3"/>
              <w:spacing w:after="0"/>
              <w:rPr>
                <w:sz w:val="20"/>
                <w:szCs w:val="20"/>
                <w:color w:val="auto"/>
              </w:rPr>
            </w:pPr>
            <w:r>
              <w:rPr>
                <w:rFonts w:ascii="Arial" w:cs="Arial" w:eastAsia="Arial" w:hAnsi="Arial"/>
                <w:sz w:val="11"/>
                <w:szCs w:val="11"/>
                <w:color w:val="auto"/>
              </w:rPr>
              <w:t>4,286</w:t>
            </w:r>
          </w:p>
        </w:tc>
      </w:tr>
      <w:tr>
        <w:trPr>
          <w:trHeight w:val="144"/>
        </w:trPr>
        <w:tc>
          <w:tcPr>
            <w:tcW w:w="77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Income taxes refunded</w:t>
            </w:r>
          </w:p>
        </w:tc>
        <w:tc>
          <w:tcPr>
            <w:tcW w:w="1020" w:type="dxa"/>
            <w:vAlign w:val="bottom"/>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r>
    </w:tbl>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1"/>
          <w:szCs w:val="11"/>
          <w:i w:val="1"/>
          <w:iCs w:val="1"/>
          <w:color w:val="auto"/>
        </w:rPr>
        <w:t>See accompanying notes to condensed consolidated financial statements (unaudited).</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Basis of Presentation and Summary of Accounting Principles</w:t>
      </w:r>
    </w:p>
    <w:p>
      <w:pPr>
        <w:spacing w:after="0" w:line="11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NMIC, our primary insurance subsidiary, issued its first mortgage insurance policy in April 2013. NMIC is licensed to write mortgage insurance in all 50 states and DC. In August 2015, NMIH capitalized a wholly-owned subsidiary, NMI Services, Inc. (NMIS), through which we offer outsourced loan review services to mortgage loan originators.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1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2020, included in our 2020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current period presentation. The results of operations for the interim period may not be indicative of the results that may be expected for the full year ending December 31, 2021.</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COVID-19 Developments</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30, 2020, the World Health Organization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of the increased level of macroeconomic volatility.</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While there is increased optimism that the acute economic impact of COVID-19 has begun to recede, the pandemic continues to affect communities across the U.S. and poses significant risk globally. The path and pace of global economic recovery will depend, in large part, on the course of the virus (including the newly emergent Delta variant),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Significant Accounting Principles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There have been no changes to our significant accounting principles as described in Item 8, "</w:t>
      </w:r>
      <w:r>
        <w:rPr>
          <w:rFonts w:ascii="Arial" w:cs="Arial" w:eastAsia="Arial" w:hAnsi="Arial"/>
          <w:sz w:val="12"/>
          <w:szCs w:val="12"/>
          <w:i w:val="1"/>
          <w:iCs w:val="1"/>
          <w:color w:val="auto"/>
        </w:rPr>
        <w:t>Financial Statements and Supplementary Data - Notes to Consolidated Financial Statements - Note 2 - Summary of 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Principles</w:t>
      </w:r>
      <w:r>
        <w:rPr>
          <w:rFonts w:ascii="Arial" w:cs="Arial" w:eastAsia="Arial" w:hAnsi="Arial"/>
          <w:sz w:val="12"/>
          <w:szCs w:val="12"/>
          <w:color w:val="auto"/>
        </w:rPr>
        <w:t>" of our 2020 10-K, except as noted in "</w:t>
      </w:r>
      <w:r>
        <w:rPr>
          <w:rFonts w:ascii="Arial" w:cs="Arial" w:eastAsia="Arial" w:hAnsi="Arial"/>
          <w:sz w:val="12"/>
          <w:szCs w:val="12"/>
          <w:i w:val="1"/>
          <w:iCs w:val="1"/>
          <w:color w:val="auto"/>
        </w:rPr>
        <w:t>Variable Interest Entities</w:t>
      </w:r>
      <w:r>
        <w:rPr>
          <w:rFonts w:ascii="Arial" w:cs="Arial" w:eastAsia="Arial" w:hAnsi="Arial"/>
          <w:sz w:val="12"/>
          <w:szCs w:val="12"/>
          <w:color w:val="auto"/>
        </w:rPr>
        <w:t>" and "</w:t>
      </w:r>
      <w:r>
        <w:rPr>
          <w:rFonts w:ascii="Arial" w:cs="Arial" w:eastAsia="Arial" w:hAnsi="Arial"/>
          <w:sz w:val="12"/>
          <w:szCs w:val="12"/>
          <w:i w:val="1"/>
          <w:iCs w:val="1"/>
          <w:color w:val="auto"/>
        </w:rPr>
        <w:t>Recent Accounting Pronouncements - Adopted</w:t>
      </w:r>
      <w:r>
        <w:rPr>
          <w:rFonts w:ascii="Arial" w:cs="Arial" w:eastAsia="Arial" w:hAnsi="Arial"/>
          <w:sz w:val="12"/>
          <w:szCs w:val="12"/>
          <w:color w:val="auto"/>
        </w:rPr>
        <w:t>" below.</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Variable Interest Entities</w:t>
      </w:r>
    </w:p>
    <w:p>
      <w:pPr>
        <w:spacing w:after="0" w:line="114" w:lineRule="exact"/>
        <w:rPr>
          <w:sz w:val="20"/>
          <w:szCs w:val="20"/>
          <w:color w:val="auto"/>
        </w:rPr>
      </w:pPr>
    </w:p>
    <w:p>
      <w:pPr>
        <w:jc w:val="both"/>
        <w:ind w:firstLine="154"/>
        <w:spacing w:after="0" w:line="263" w:lineRule="auto"/>
        <w:rPr>
          <w:sz w:val="20"/>
          <w:szCs w:val="20"/>
          <w:color w:val="auto"/>
        </w:rPr>
      </w:pPr>
      <w:r>
        <w:rPr>
          <w:rFonts w:ascii="Arial" w:cs="Arial" w:eastAsia="Arial" w:hAnsi="Arial"/>
          <w:sz w:val="12"/>
          <w:szCs w:val="12"/>
          <w:color w:val="auto"/>
        </w:rPr>
        <w:t>NMIC is a party to reinsurance agreements with Oaktown Re Ltd., Oaktown Re II Ltd., Oaktown Re III Ltd., Oaktown Re IV Ltd. Oaktown Re V Ltd., and Oaktown Re VI Ltd. (special purpose reinsurance entities collectively referred to as the Oaktown Re Vehicles) effective May 2, 2017, July 25, 2018, July 30, 2019, July 30, 2020, October 29, 2020 and April 27, 2021, respectively. At inception of the respective reinsurance agreements, we determined that each of the Oaktown Re Vehicles were variable interest entities (VIEs), as defined under GAAP Accounting Standards Codification (ASC) 810, because they did not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 xml:space="preserve">have sufficient equity at risk to finance their respective activities. We evaluated the VIEs at inception to determine whether NMIC was the primary beneficiary under each reinsurance transaction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1"/>
          <w:szCs w:val="11"/>
          <w:i w:val="1"/>
          <w:iCs w:val="1"/>
          <w:color w:val="auto"/>
        </w:rPr>
        <w:t>i.e.</w:t>
      </w:r>
      <w:r>
        <w:rPr>
          <w:rFonts w:ascii="Arial" w:cs="Arial" w:eastAsia="Arial" w:hAnsi="Arial"/>
          <w:sz w:val="11"/>
          <w:szCs w:val="11"/>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Adopted</w:t>
      </w:r>
    </w:p>
    <w:p>
      <w:pPr>
        <w:spacing w:after="0" w:line="114" w:lineRule="exact"/>
        <w:rPr>
          <w:sz w:val="20"/>
          <w:szCs w:val="20"/>
          <w:color w:val="auto"/>
        </w:rPr>
      </w:pPr>
    </w:p>
    <w:p>
      <w:pPr>
        <w:jc w:val="both"/>
        <w:ind w:left="80" w:right="40" w:firstLine="432"/>
        <w:spacing w:after="0" w:line="298" w:lineRule="auto"/>
        <w:rPr>
          <w:sz w:val="20"/>
          <w:szCs w:val="20"/>
          <w:color w:val="auto"/>
        </w:rPr>
      </w:pPr>
      <w:r>
        <w:rPr>
          <w:rFonts w:ascii="Arial" w:cs="Arial" w:eastAsia="Arial" w:hAnsi="Arial"/>
          <w:sz w:val="11"/>
          <w:szCs w:val="11"/>
          <w:color w:val="auto"/>
        </w:rPr>
        <w:t xml:space="preserve">In December 2019, the Financial Accounting Standards Board (the FASB) issued ASU 2019-12, </w:t>
      </w:r>
      <w:r>
        <w:rPr>
          <w:rFonts w:ascii="Arial" w:cs="Arial" w:eastAsia="Arial" w:hAnsi="Arial"/>
          <w:sz w:val="11"/>
          <w:szCs w:val="11"/>
          <w:i w:val="1"/>
          <w:iCs w:val="1"/>
          <w:color w:val="auto"/>
        </w:rPr>
        <w:t>Simplifying the Accounting for Income Taxes (Topic 740).</w:t>
      </w:r>
      <w:r>
        <w:rPr>
          <w:rFonts w:ascii="Arial" w:cs="Arial" w:eastAsia="Arial" w:hAnsi="Arial"/>
          <w:sz w:val="11"/>
          <w:szCs w:val="11"/>
          <w:color w:val="auto"/>
        </w:rPr>
        <w:t xml:space="preserve"> The update eliminates certain exceptions for recognizing deferred taxes for investments, performing intra-period allocations and calculating income taxes in interim periods. The ASU also includes guidance to reduce complexity in certain income tax areas, including recognizing deferred taxes for tax goodwill and allocating taxes to members of a consolidated group. We adopted this ASU on January 1, 2021 and determined it did not have a material impact on our consolidated financial statements.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Recent Accounting Pronouncements - Not Yet Adopted</w:t>
      </w:r>
    </w:p>
    <w:p>
      <w:pPr>
        <w:spacing w:after="0" w:line="114" w:lineRule="exact"/>
        <w:rPr>
          <w:sz w:val="20"/>
          <w:szCs w:val="20"/>
          <w:color w:val="auto"/>
        </w:rPr>
      </w:pPr>
    </w:p>
    <w:p>
      <w:pPr>
        <w:jc w:val="both"/>
        <w:ind w:right="280" w:firstLine="432"/>
        <w:spacing w:after="0" w:line="289" w:lineRule="auto"/>
        <w:rPr>
          <w:sz w:val="20"/>
          <w:szCs w:val="20"/>
          <w:color w:val="auto"/>
        </w:rPr>
      </w:pPr>
      <w:r>
        <w:rPr>
          <w:rFonts w:ascii="Arial" w:cs="Arial" w:eastAsia="Arial" w:hAnsi="Arial"/>
          <w:sz w:val="11"/>
          <w:szCs w:val="11"/>
          <w:color w:val="auto"/>
        </w:rPr>
        <w:t xml:space="preserve">In August 2018, the FASB issued ASU 2018-12, </w:t>
      </w:r>
      <w:r>
        <w:rPr>
          <w:rFonts w:ascii="Arial" w:cs="Arial" w:eastAsia="Arial" w:hAnsi="Arial"/>
          <w:sz w:val="11"/>
          <w:szCs w:val="11"/>
          <w:i w:val="1"/>
          <w:iCs w:val="1"/>
          <w:color w:val="auto"/>
        </w:rPr>
        <w:t>Targeted Improvements to the Accounting for Long-Duration Contracts (Topic 944)</w:t>
      </w:r>
      <w:r>
        <w:rPr>
          <w:rFonts w:ascii="Arial" w:cs="Arial" w:eastAsia="Arial" w:hAnsi="Arial"/>
          <w:sz w:val="11"/>
          <w:szCs w:val="11"/>
          <w:color w:val="auto"/>
        </w:rPr>
        <w:t>.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These standards will now take effect for public business entities for fiscal years, and interim periods within those fiscal years, beginning after December 15, 2022. We are currently evaluating the impact the adoption of these ASUs will have, if any, on our consolidated financial statements.</w:t>
      </w:r>
    </w:p>
    <w:p>
      <w:pPr>
        <w:spacing w:after="0" w:line="75"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 xml:space="preserve">In March 2020, the FASB issued ASU 2020-04, </w:t>
      </w:r>
      <w:r>
        <w:rPr>
          <w:rFonts w:ascii="Arial" w:cs="Arial" w:eastAsia="Arial" w:hAnsi="Arial"/>
          <w:sz w:val="10"/>
          <w:szCs w:val="10"/>
          <w:i w:val="1"/>
          <w:iCs w:val="1"/>
          <w:color w:val="auto"/>
        </w:rPr>
        <w:t>Reference Rate Reform</w:t>
      </w:r>
      <w:r>
        <w:rPr>
          <w:rFonts w:ascii="Arial" w:cs="Arial" w:eastAsia="Arial" w:hAnsi="Arial"/>
          <w:sz w:val="10"/>
          <w:szCs w:val="10"/>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beginning in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6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In August 2020, the FASB issued ASU 2020-06,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xml:space="preserve"> (Subtopic 470-20) </w:t>
      </w:r>
      <w:r>
        <w:rPr>
          <w:rFonts w:ascii="Arial" w:cs="Arial" w:eastAsia="Arial" w:hAnsi="Arial"/>
          <w:sz w:val="12"/>
          <w:szCs w:val="12"/>
          <w:i w:val="1"/>
          <w:iCs w:val="1"/>
          <w:color w:val="auto"/>
        </w:rPr>
        <w:t>and Derivatives and Hedging— Contracts in Entity's Own Equity (Subtopic 815-40</w:t>
      </w:r>
      <w:r>
        <w:rPr>
          <w:rFonts w:ascii="Arial" w:cs="Arial" w:eastAsia="Arial" w:hAnsi="Arial"/>
          <w:sz w:val="12"/>
          <w:szCs w:val="12"/>
          <w:color w:val="auto"/>
        </w:rPr>
        <w:t>). This update simplifies the accounting for convertible instruments and contracts on an entity's own equity, including warrants, eliminating certain triggers for derivative accounting. The standard will take effect for public business entities for fiscal years, and interim periods within those fiscal years, beginning after December 15, 2021. We have evaluated the impact the adoption of this ASU and we do not expect it to have a material impact on our consolidated financial statements, including our warrant liability.</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Investments</w:t>
      </w:r>
    </w:p>
    <w:p>
      <w:pPr>
        <w:spacing w:after="0" w:line="118"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Fair Values and Gross Unrealized Gains and Losses on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140" w:type="dxa"/>
            <w:vAlign w:val="bottom"/>
          </w:tcPr>
          <w:p>
            <w:pPr>
              <w:jc w:val="center"/>
              <w:ind w:left="526"/>
              <w:spacing w:after="0"/>
              <w:rPr>
                <w:sz w:val="20"/>
                <w:szCs w:val="20"/>
                <w:color w:val="auto"/>
              </w:rPr>
            </w:pPr>
            <w:r>
              <w:rPr>
                <w:rFonts w:ascii="Arial" w:cs="Arial" w:eastAsia="Arial" w:hAnsi="Arial"/>
                <w:sz w:val="10"/>
                <w:szCs w:val="10"/>
                <w:b w:val="1"/>
                <w:bCs w:val="1"/>
                <w:color w:val="auto"/>
                <w:w w:val="89"/>
              </w:rPr>
              <w:t>Amortized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tcPr>
          <w:p>
            <w:pPr>
              <w:jc w:val="center"/>
              <w:ind w:left="63"/>
              <w:spacing w:after="0"/>
              <w:rPr>
                <w:sz w:val="20"/>
                <w:szCs w:val="20"/>
                <w:color w:val="auto"/>
              </w:rPr>
            </w:pPr>
            <w:r>
              <w:rPr>
                <w:rFonts w:ascii="Arial" w:cs="Arial" w:eastAsia="Arial" w:hAnsi="Arial"/>
                <w:sz w:val="10"/>
                <w:szCs w:val="10"/>
                <w:b w:val="1"/>
                <w:bCs w:val="1"/>
                <w:color w:val="auto"/>
                <w:w w:val="85"/>
              </w:rPr>
              <w:t>Gross Unrealized</w:t>
            </w:r>
          </w:p>
        </w:tc>
        <w:tc>
          <w:tcPr>
            <w:tcW w:w="12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1140" w:type="dxa"/>
            <w:vAlign w:val="bottom"/>
            <w:tcBorders>
              <w:bottom w:val="single" w:sz="8" w:color="auto"/>
            </w:tcBorders>
          </w:tcPr>
          <w:p>
            <w:pPr>
              <w:jc w:val="center"/>
              <w:ind w:left="546"/>
              <w:spacing w:after="0"/>
              <w:rPr>
                <w:sz w:val="20"/>
                <w:szCs w:val="20"/>
                <w:color w:val="auto"/>
              </w:rPr>
            </w:pPr>
            <w:r>
              <w:rPr>
                <w:rFonts w:ascii="Arial" w:cs="Arial" w:eastAsia="Arial" w:hAnsi="Arial"/>
                <w:sz w:val="10"/>
                <w:szCs w:val="10"/>
                <w:b w:val="1"/>
                <w:bCs w:val="1"/>
                <w:color w:val="auto"/>
                <w:w w:val="80"/>
              </w:rPr>
              <w:t>Cost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Gains</w:t>
            </w: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June 30, 2021</w:t>
            </w: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gridSpan w:val="4"/>
          </w:tcPr>
          <w:p>
            <w:pPr>
              <w:jc w:val="center"/>
              <w:ind w:left="63"/>
              <w:spacing w:after="0"/>
              <w:rPr>
                <w:sz w:val="20"/>
                <w:szCs w:val="20"/>
                <w:color w:val="auto"/>
              </w:rPr>
            </w:pPr>
            <w:r>
              <w:rPr>
                <w:rFonts w:ascii="Arial" w:cs="Arial" w:eastAsia="Arial" w:hAnsi="Arial"/>
                <w:sz w:val="10"/>
                <w:szCs w:val="10"/>
                <w:i w:val="1"/>
                <w:iCs w:val="1"/>
                <w:color w:val="auto"/>
                <w:w w:val="86"/>
              </w:rPr>
              <w:t>(In Thousands)</w:t>
            </w: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29,427</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380" w:type="dxa"/>
            <w:vAlign w:val="bottom"/>
            <w:gridSpan w:val="3"/>
            <w:shd w:val="clear" w:color="auto" w:fill="CCEEFF"/>
          </w:tcPr>
          <w:p>
            <w:pPr>
              <w:ind w:left="1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30,960</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506,433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9,610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514,443</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1,295,461</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(7,315)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1,324,157</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113,506</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1,906</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115,360</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1,944,827</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(8,967)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1,984,920</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Short-term investments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9,360</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9,360</w:t>
            </w:r>
          </w:p>
        </w:tc>
        <w:tc>
          <w:tcPr>
            <w:tcW w:w="20" w:type="dxa"/>
            <w:vAlign w:val="bottom"/>
            <w:tcBorders>
              <w:bottom w:val="single" w:sz="8" w:color="auto"/>
            </w:tcBorders>
          </w:tcPr>
          <w:p>
            <w:pPr>
              <w:spacing w:after="0"/>
              <w:rPr>
                <w:sz w:val="13"/>
                <w:szCs w:val="13"/>
                <w:color w:val="auto"/>
              </w:rPr>
            </w:pPr>
          </w:p>
        </w:tc>
      </w:tr>
      <w:tr>
        <w:trPr>
          <w:trHeight w:val="149"/>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1,954,187</w:t>
            </w: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49,061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(8,968)</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1,994,280</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18"/>
        </w:trPr>
        <w:tc>
          <w:tcPr>
            <w:tcW w:w="4080" w:type="dxa"/>
            <w:vAlign w:val="bottom"/>
          </w:tcPr>
          <w:p>
            <w:pPr>
              <w:spacing w:after="0"/>
              <w:rPr>
                <w:sz w:val="24"/>
                <w:szCs w:val="24"/>
                <w:color w:val="auto"/>
              </w:rPr>
            </w:pPr>
          </w:p>
        </w:tc>
        <w:tc>
          <w:tcPr>
            <w:tcW w:w="1140" w:type="dxa"/>
            <w:vAlign w:val="bottom"/>
          </w:tcPr>
          <w:p>
            <w:pPr>
              <w:jc w:val="center"/>
              <w:ind w:left="526"/>
              <w:spacing w:after="0"/>
              <w:rPr>
                <w:sz w:val="20"/>
                <w:szCs w:val="20"/>
                <w:color w:val="auto"/>
              </w:rPr>
            </w:pPr>
            <w:r>
              <w:rPr>
                <w:rFonts w:ascii="Arial" w:cs="Arial" w:eastAsia="Arial" w:hAnsi="Arial"/>
                <w:sz w:val="10"/>
                <w:szCs w:val="10"/>
                <w:b w:val="1"/>
                <w:bCs w:val="1"/>
                <w:color w:val="auto"/>
                <w:w w:val="89"/>
              </w:rPr>
              <w:t>Amortized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ind w:left="63"/>
              <w:spacing w:after="0"/>
              <w:rPr>
                <w:sz w:val="20"/>
                <w:szCs w:val="20"/>
                <w:color w:val="auto"/>
              </w:rPr>
            </w:pPr>
            <w:r>
              <w:rPr>
                <w:rFonts w:ascii="Arial" w:cs="Arial" w:eastAsia="Arial" w:hAnsi="Arial"/>
                <w:sz w:val="10"/>
                <w:szCs w:val="10"/>
                <w:b w:val="1"/>
                <w:bCs w:val="1"/>
                <w:color w:val="auto"/>
                <w:w w:val="85"/>
              </w:rPr>
              <w:t>Gross Unrealized</w:t>
            </w: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7"/>
              </w:rPr>
              <w:t>Fair</w:t>
            </w:r>
          </w:p>
        </w:tc>
      </w:tr>
      <w:tr>
        <w:trPr>
          <w:trHeight w:val="125"/>
        </w:trPr>
        <w:tc>
          <w:tcPr>
            <w:tcW w:w="4080" w:type="dxa"/>
            <w:vAlign w:val="bottom"/>
          </w:tcPr>
          <w:p>
            <w:pPr>
              <w:spacing w:after="0"/>
              <w:rPr>
                <w:sz w:val="10"/>
                <w:szCs w:val="10"/>
                <w:color w:val="auto"/>
              </w:rPr>
            </w:pPr>
          </w:p>
        </w:tc>
        <w:tc>
          <w:tcPr>
            <w:tcW w:w="1140" w:type="dxa"/>
            <w:vAlign w:val="bottom"/>
            <w:tcBorders>
              <w:bottom w:val="single" w:sz="8" w:color="auto"/>
            </w:tcBorders>
          </w:tcPr>
          <w:p>
            <w:pPr>
              <w:jc w:val="center"/>
              <w:ind w:left="546"/>
              <w:spacing w:after="0"/>
              <w:rPr>
                <w:sz w:val="20"/>
                <w:szCs w:val="20"/>
                <w:color w:val="auto"/>
              </w:rPr>
            </w:pPr>
            <w:r>
              <w:rPr>
                <w:rFonts w:ascii="Arial" w:cs="Arial" w:eastAsia="Arial" w:hAnsi="Arial"/>
                <w:sz w:val="10"/>
                <w:szCs w:val="10"/>
                <w:b w:val="1"/>
                <w:bCs w:val="1"/>
                <w:color w:val="auto"/>
                <w:w w:val="80"/>
              </w:rPr>
              <w:t>Cost</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Gains</w:t>
            </w: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2"/>
              </w:rPr>
              <w:t>Value</w:t>
            </w:r>
          </w:p>
        </w:tc>
      </w:tr>
      <w:tr>
        <w:trPr>
          <w:trHeight w:val="115"/>
        </w:trPr>
        <w:tc>
          <w:tcPr>
            <w:tcW w:w="4080" w:type="dxa"/>
            <w:vAlign w:val="bottom"/>
          </w:tcPr>
          <w:p>
            <w:pPr>
              <w:spacing w:after="0" w:line="110" w:lineRule="exact"/>
              <w:rPr>
                <w:sz w:val="20"/>
                <w:szCs w:val="20"/>
                <w:color w:val="auto"/>
              </w:rPr>
            </w:pPr>
            <w:r>
              <w:rPr>
                <w:rFonts w:ascii="Arial" w:cs="Arial" w:eastAsia="Arial" w:hAnsi="Arial"/>
                <w:sz w:val="10"/>
                <w:szCs w:val="10"/>
                <w:b w:val="1"/>
                <w:bCs w:val="1"/>
                <w:color w:val="auto"/>
              </w:rPr>
              <w:t>As of December 31, 2020</w:t>
            </w: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gridSpan w:val="4"/>
          </w:tcPr>
          <w:p>
            <w:pPr>
              <w:jc w:val="center"/>
              <w:ind w:left="63"/>
              <w:spacing w:after="0"/>
              <w:rPr>
                <w:sz w:val="20"/>
                <w:szCs w:val="20"/>
                <w:color w:val="auto"/>
              </w:rPr>
            </w:pPr>
            <w:r>
              <w:rPr>
                <w:rFonts w:ascii="Arial" w:cs="Arial" w:eastAsia="Arial" w:hAnsi="Arial"/>
                <w:sz w:val="10"/>
                <w:szCs w:val="10"/>
                <w:i w:val="1"/>
                <w:iCs w:val="1"/>
                <w:color w:val="auto"/>
                <w:w w:val="86"/>
              </w:rPr>
              <w:t>(In Thousands)</w:t>
            </w: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29,412</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380" w:type="dxa"/>
            <w:vAlign w:val="bottom"/>
            <w:gridSpan w:val="3"/>
            <w:shd w:val="clear" w:color="auto" w:fill="CCEEFF"/>
          </w:tcPr>
          <w:p>
            <w:pPr>
              <w:ind w:left="11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31,598</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407,323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14,027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421,348</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1,165,260</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55,014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1,219,791</w:t>
            </w:r>
          </w:p>
        </w:tc>
        <w:tc>
          <w:tcPr>
            <w:tcW w:w="20" w:type="dxa"/>
            <w:vAlign w:val="bottom"/>
            <w:shd w:val="clear" w:color="auto" w:fill="CCEEFF"/>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128,471</w:t>
            </w: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2,736</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131,180</w:t>
            </w:r>
          </w:p>
        </w:tc>
        <w:tc>
          <w:tcPr>
            <w:tcW w:w="20" w:type="dxa"/>
            <w:vAlign w:val="bottom"/>
            <w:tcBorders>
              <w:bottom w:val="single" w:sz="8" w:color="auto"/>
            </w:tcBorders>
          </w:tcPr>
          <w:p>
            <w:pPr>
              <w:spacing w:after="0"/>
              <w:rPr>
                <w:sz w:val="13"/>
                <w:szCs w:val="13"/>
                <w:color w:val="auto"/>
              </w:rPr>
            </w:pPr>
          </w:p>
        </w:tc>
      </w:tr>
      <w:tr>
        <w:trPr>
          <w:trHeight w:val="142"/>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Total bonds</w:t>
            </w: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1,730,466</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1,803,917</w:t>
            </w:r>
          </w:p>
        </w:tc>
        <w:tc>
          <w:tcPr>
            <w:tcW w:w="20" w:type="dxa"/>
            <w:vAlign w:val="bottom"/>
            <w:shd w:val="clear" w:color="auto" w:fill="CCEEFF"/>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Short-term investments</w:t>
            </w:r>
          </w:p>
        </w:tc>
        <w:tc>
          <w:tcPr>
            <w:tcW w:w="1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369</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1380" w:type="dxa"/>
            <w:vAlign w:val="bottom"/>
            <w:gridSpan w:val="3"/>
          </w:tcPr>
          <w:p>
            <w:pPr>
              <w:ind w:left="11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369</w:t>
            </w:r>
          </w:p>
        </w:tc>
        <w:tc>
          <w:tcPr>
            <w:tcW w:w="20" w:type="dxa"/>
            <w:vAlign w:val="bottom"/>
          </w:tcPr>
          <w:p>
            <w:pPr>
              <w:spacing w:after="0"/>
              <w:rPr>
                <w:sz w:val="13"/>
                <w:szCs w:val="13"/>
                <w:color w:val="auto"/>
              </w:rPr>
            </w:pPr>
          </w:p>
        </w:tc>
      </w:tr>
      <w:tr>
        <w:trPr>
          <w:trHeight w:val="14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top w:val="single" w:sz="8" w:color="auto"/>
              <w:bottom w:val="single" w:sz="8" w:color="CCEEFF"/>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7"/>
              </w:rPr>
              <w:t>1,730,835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180" w:type="dxa"/>
            <w:vAlign w:val="bottom"/>
            <w:tcBorders>
              <w:top w:val="single" w:sz="8" w:color="auto"/>
              <w:bottom w:val="single" w:sz="8" w:color="CCEEFF"/>
            </w:tcBorders>
            <w:shd w:val="clear" w:color="auto" w:fill="CCEEFF"/>
          </w:tcPr>
          <w:p>
            <w:pPr>
              <w:jc w:val="right"/>
              <w:ind w:right="1044"/>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73,963</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1,804,286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r>
        <w:trPr>
          <w:trHeight w:val="20"/>
        </w:trPr>
        <w:tc>
          <w:tcPr>
            <w:tcW w:w="4080" w:type="dxa"/>
            <w:vAlign w:val="bottom"/>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86"/>
        </w:trPr>
        <w:tc>
          <w:tcPr>
            <w:tcW w:w="7080" w:type="dxa"/>
            <w:vAlign w:val="bottom"/>
            <w:gridSpan w:val="5"/>
          </w:tcPr>
          <w:p>
            <w:pPr>
              <w:ind w:left="420"/>
              <w:spacing w:after="0"/>
              <w:rPr>
                <w:sz w:val="20"/>
                <w:szCs w:val="20"/>
                <w:color w:val="auto"/>
              </w:rPr>
            </w:pPr>
            <w:r>
              <w:rPr>
                <w:rFonts w:ascii="Arial" w:cs="Arial" w:eastAsia="Arial" w:hAnsi="Arial"/>
                <w:sz w:val="12"/>
                <w:szCs w:val="12"/>
                <w:color w:val="auto"/>
                <w:w w:val="97"/>
              </w:rPr>
              <w:t>We did not own any mortgage-backed securities in our asset-backed securities portfolio at June 30, 2021 or December 31, 2020.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8180" w:type="dxa"/>
            <w:vAlign w:val="bottom"/>
            <w:gridSpan w:val="9"/>
          </w:tcPr>
          <w:p>
            <w:pPr>
              <w:ind w:left="420"/>
              <w:spacing w:after="0"/>
              <w:rPr>
                <w:sz w:val="20"/>
                <w:szCs w:val="20"/>
                <w:color w:val="auto"/>
              </w:rPr>
            </w:pPr>
            <w:r>
              <w:rPr>
                <w:rFonts w:ascii="Arial" w:cs="Arial" w:eastAsia="Arial" w:hAnsi="Arial"/>
                <w:sz w:val="12"/>
                <w:szCs w:val="12"/>
                <w:color w:val="auto"/>
                <w:w w:val="91"/>
              </w:rPr>
              <w:t>The following table presents a breakdown of the fair value of our corporate debt securities by issuer industry group as of June 30, 2021 and December 31, 2020:</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4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Arial" w:cs="Arial" w:eastAsia="Arial" w:hAnsi="Arial"/>
                <w:sz w:val="10"/>
                <w:szCs w:val="10"/>
                <w:b w:val="1"/>
                <w:bCs w:val="1"/>
                <w:color w:val="auto"/>
              </w:rPr>
              <w:t>June 30, 2021</w:t>
            </w:r>
          </w:p>
        </w:tc>
        <w:tc>
          <w:tcPr>
            <w:tcW w:w="260" w:type="dxa"/>
            <w:vAlign w:val="bottom"/>
          </w:tcPr>
          <w:p>
            <w:pPr>
              <w:spacing w:after="0"/>
              <w:rPr>
                <w:sz w:val="21"/>
                <w:szCs w:val="21"/>
                <w:color w:val="auto"/>
              </w:rPr>
            </w:pPr>
          </w:p>
        </w:tc>
        <w:tc>
          <w:tcPr>
            <w:tcW w:w="148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 2020</w:t>
            </w:r>
          </w:p>
        </w:tc>
      </w:tr>
      <w:tr>
        <w:trPr>
          <w:trHeight w:val="14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Financial</w:t>
            </w:r>
          </w:p>
        </w:tc>
        <w:tc>
          <w:tcPr>
            <w:tcW w:w="1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38 %</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20" w:type="dxa"/>
            <w:vAlign w:val="bottom"/>
          </w:tcPr>
          <w:p>
            <w:pPr>
              <w:spacing w:after="0"/>
              <w:rPr>
                <w:sz w:val="12"/>
                <w:szCs w:val="12"/>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Consumer</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ind w:right="142"/>
              <w:spacing w:after="0"/>
              <w:rPr>
                <w:sz w:val="20"/>
                <w:szCs w:val="20"/>
                <w:color w:val="auto"/>
              </w:rPr>
            </w:pPr>
            <w:r>
              <w:rPr>
                <w:rFonts w:ascii="Arial" w:cs="Arial" w:eastAsia="Arial" w:hAnsi="Arial"/>
                <w:sz w:val="12"/>
                <w:szCs w:val="12"/>
                <w:color w:val="auto"/>
              </w:rPr>
              <w:t>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Communications</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tcBorders>
              <w:right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Utilities</w:t>
            </w: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ind w:right="142"/>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82"/>
              <w:spacing w:after="0"/>
              <w:rPr>
                <w:sz w:val="20"/>
                <w:szCs w:val="20"/>
                <w:color w:val="auto"/>
              </w:rPr>
            </w:pPr>
            <w:r>
              <w:rPr>
                <w:rFonts w:ascii="Arial" w:cs="Arial" w:eastAsia="Arial" w:hAnsi="Arial"/>
                <w:sz w:val="12"/>
                <w:szCs w:val="12"/>
                <w:color w:val="auto"/>
              </w:rPr>
              <w:t>11</w:t>
            </w:r>
          </w:p>
        </w:tc>
        <w:tc>
          <w:tcPr>
            <w:tcW w:w="20" w:type="dxa"/>
            <w:vAlign w:val="bottom"/>
          </w:tcPr>
          <w:p>
            <w:pPr>
              <w:spacing w:after="0"/>
              <w:rPr>
                <w:sz w:val="13"/>
                <w:szCs w:val="13"/>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Technology</w:t>
            </w: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tcBorders>
              <w:right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0" w:type="dxa"/>
            <w:vAlign w:val="bottom"/>
          </w:tcPr>
          <w:p>
            <w:pPr>
              <w:spacing w:after="0"/>
              <w:rPr>
                <w:sz w:val="13"/>
                <w:szCs w:val="13"/>
                <w:color w:val="auto"/>
              </w:rPr>
            </w:pP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Industrial</w:t>
            </w:r>
          </w:p>
        </w:tc>
        <w:tc>
          <w:tcPr>
            <w:tcW w:w="114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8</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w:t>
            </w:r>
          </w:p>
        </w:tc>
        <w:tc>
          <w:tcPr>
            <w:tcW w:w="20" w:type="dxa"/>
            <w:vAlign w:val="bottom"/>
          </w:tcPr>
          <w:p>
            <w:pPr>
              <w:spacing w:after="0"/>
              <w:rPr>
                <w:sz w:val="13"/>
                <w:szCs w:val="13"/>
                <w:color w:val="auto"/>
              </w:rPr>
            </w:pPr>
          </w:p>
        </w:tc>
      </w:tr>
      <w:tr>
        <w:trPr>
          <w:trHeight w:val="15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right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100 %</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20" w:type="dxa"/>
            <w:vAlign w:val="bottom"/>
          </w:tcPr>
          <w:p>
            <w:pPr>
              <w:spacing w:after="0"/>
              <w:rPr>
                <w:sz w:val="13"/>
                <w:szCs w:val="13"/>
                <w:color w:val="auto"/>
              </w:rPr>
            </w:pPr>
          </w:p>
        </w:tc>
      </w:tr>
    </w:tbl>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of June 30, 2021 and December 31, 2020, approximately $5.6 million and $5.7 million, respectively, of our cash and investments were held in the form of U.S. Treasury securities on deposit with various state insurance departments to satisfy regulatory requirements.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Scheduled Maturities</w:t>
      </w:r>
    </w:p>
    <w:p>
      <w:pPr>
        <w:spacing w:after="0" w:line="114"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The amortized cost and fair value of available-for-sale securities as of June 30, 2021 and December 31, 2020,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88" w:lineRule="exact"/>
        <w:rPr>
          <w:sz w:val="20"/>
          <w:szCs w:val="20"/>
          <w:color w:val="auto"/>
        </w:rPr>
      </w:pPr>
    </w:p>
    <w:tbl>
      <w:tblPr>
        <w:tblLayout w:type="fixed"/>
        <w:tblInd w:w="80" w:type="dxa"/>
        <w:tblCellMar>
          <w:top w:w="0" w:type="dxa"/>
          <w:left w:w="0" w:type="dxa"/>
          <w:bottom w:w="0" w:type="dxa"/>
          <w:right w:w="0" w:type="dxa"/>
        </w:tblCellMar>
      </w:tblPr>
      <w:tr>
        <w:trPr>
          <w:trHeight w:val="11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June 30, 2021</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71,762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72,265</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581,153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605,423</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1,127,385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1,140,283</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60,381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60,949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113,506</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115,360</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1,954,187</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1,994,280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740" w:type="dxa"/>
            <w:vAlign w:val="bottom"/>
            <w:vMerge w:val="restart"/>
          </w:tcPr>
          <w:p>
            <w:pPr>
              <w:spacing w:after="0"/>
              <w:rPr>
                <w:sz w:val="20"/>
                <w:szCs w:val="20"/>
                <w:color w:val="auto"/>
              </w:rPr>
            </w:pPr>
            <w:r>
              <w:rPr>
                <w:rFonts w:ascii="Arial" w:cs="Arial" w:eastAsia="Arial" w:hAnsi="Arial"/>
                <w:sz w:val="10"/>
                <w:szCs w:val="10"/>
                <w:b w:val="1"/>
                <w:bCs w:val="1"/>
                <w:color w:val="auto"/>
              </w:rPr>
              <w:t>As of December 31, 2020</w:t>
            </w:r>
          </w:p>
        </w:tc>
        <w:tc>
          <w:tcPr>
            <w:tcW w:w="11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Amortized</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40" w:type="dxa"/>
            <w:vAlign w:val="bottom"/>
          </w:tcPr>
          <w:p>
            <w:pPr>
              <w:jc w:val="center"/>
              <w:ind w:right="443"/>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7740" w:type="dxa"/>
            <w:vAlign w:val="bottom"/>
            <w:vMerge w:val="continue"/>
          </w:tcPr>
          <w:p>
            <w:pPr>
              <w:spacing w:after="0"/>
              <w:rPr>
                <w:sz w:val="10"/>
                <w:szCs w:val="10"/>
                <w:color w:val="auto"/>
              </w:rPr>
            </w:pPr>
          </w:p>
        </w:tc>
        <w:tc>
          <w:tcPr>
            <w:tcW w:w="1140" w:type="dxa"/>
            <w:vAlign w:val="bottom"/>
            <w:tcBorders>
              <w:bottom w:val="single" w:sz="8" w:color="auto"/>
            </w:tcBorders>
          </w:tcPr>
          <w:p>
            <w:pPr>
              <w:jc w:val="center"/>
              <w:ind w:left="532"/>
              <w:spacing w:after="0"/>
              <w:rPr>
                <w:sz w:val="20"/>
                <w:szCs w:val="20"/>
                <w:color w:val="auto"/>
              </w:rPr>
            </w:pPr>
            <w:r>
              <w:rPr>
                <w:rFonts w:ascii="Arial" w:cs="Arial" w:eastAsia="Arial" w:hAnsi="Arial"/>
                <w:sz w:val="10"/>
                <w:szCs w:val="10"/>
                <w:b w:val="1"/>
                <w:bCs w:val="1"/>
                <w:color w:val="auto"/>
                <w:w w:val="89"/>
              </w:rPr>
              <w:t>Cost</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43"/>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14"/>
        </w:trPr>
        <w:tc>
          <w:tcPr>
            <w:tcW w:w="7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0"/>
                <w:szCs w:val="10"/>
                <w:i w:val="1"/>
                <w:iCs w:val="1"/>
                <w:color w:val="auto"/>
              </w:rPr>
              <w:t>(In Thousands)</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140" w:type="dxa"/>
            <w:vAlign w:val="bottom"/>
            <w:shd w:val="clear" w:color="auto" w:fill="CCEEFF"/>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57,429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57,949</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one through five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507,444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536,520</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through ten years</w:t>
            </w:r>
          </w:p>
        </w:tc>
        <w:tc>
          <w:tcPr>
            <w:tcW w:w="1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1,016,230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1,056,098</w:t>
            </w:r>
          </w:p>
        </w:tc>
        <w:tc>
          <w:tcPr>
            <w:tcW w:w="0" w:type="dxa"/>
            <w:vAlign w:val="bottom"/>
          </w:tcPr>
          <w:p>
            <w:pPr>
              <w:spacing w:after="0"/>
              <w:rPr>
                <w:sz w:val="1"/>
                <w:szCs w:val="1"/>
                <w:color w:val="auto"/>
              </w:rPr>
            </w:pPr>
          </w:p>
        </w:tc>
      </w:tr>
      <w:tr>
        <w:trPr>
          <w:trHeight w:val="153"/>
        </w:trPr>
        <w:tc>
          <w:tcPr>
            <w:tcW w:w="7740" w:type="dxa"/>
            <w:vAlign w:val="bottom"/>
          </w:tcPr>
          <w:p>
            <w:pPr>
              <w:spacing w:after="0"/>
              <w:rPr>
                <w:sz w:val="20"/>
                <w:szCs w:val="20"/>
                <w:color w:val="auto"/>
              </w:rPr>
            </w:pPr>
            <w:r>
              <w:rPr>
                <w:rFonts w:ascii="Arial" w:cs="Arial" w:eastAsia="Arial" w:hAnsi="Arial"/>
                <w:sz w:val="12"/>
                <w:szCs w:val="12"/>
                <w:color w:val="auto"/>
              </w:rPr>
              <w:t>Due after ten years</w:t>
            </w:r>
          </w:p>
        </w:tc>
        <w:tc>
          <w:tcPr>
            <w:tcW w:w="1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21,261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2"/>
                <w:szCs w:val="12"/>
                <w:color w:val="auto"/>
              </w:rPr>
              <w:t>22,539</w:t>
            </w: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128,471</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131,180</w:t>
            </w:r>
          </w:p>
        </w:tc>
        <w:tc>
          <w:tcPr>
            <w:tcW w:w="0" w:type="dxa"/>
            <w:vAlign w:val="bottom"/>
          </w:tcPr>
          <w:p>
            <w:pPr>
              <w:spacing w:after="0"/>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2"/>
                <w:szCs w:val="12"/>
                <w:color w:val="auto"/>
              </w:rPr>
              <w:t>Total investments</w:t>
            </w:r>
          </w:p>
        </w:tc>
        <w:tc>
          <w:tcPr>
            <w:tcW w:w="1140" w:type="dxa"/>
            <w:vAlign w:val="bottom"/>
            <w:tcBorders>
              <w:bottom w:val="single" w:sz="8" w:color="auto"/>
            </w:tcBorders>
          </w:tcPr>
          <w:p>
            <w:pPr>
              <w:jc w:val="right"/>
              <w:ind w:right="10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1,730,835</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1,804,286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00"/>
        <w:spacing w:after="0"/>
        <w:rPr>
          <w:sz w:val="20"/>
          <w:szCs w:val="20"/>
          <w:color w:val="auto"/>
        </w:rPr>
      </w:pPr>
      <w:r>
        <w:rPr>
          <w:rFonts w:ascii="Arial" w:cs="Arial" w:eastAsia="Arial" w:hAnsi="Arial"/>
          <w:sz w:val="12"/>
          <w:szCs w:val="12"/>
          <w:i w:val="1"/>
          <w:iCs w:val="1"/>
          <w:color w:val="auto"/>
        </w:rPr>
        <w:t>Aging of Unrealized Losses</w:t>
      </w:r>
    </w:p>
    <w:p>
      <w:pPr>
        <w:spacing w:after="0" w:line="114"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As of June 30, 2021, the investment portfolio had gross unrealized losses of $9.0 million, none of which had been in an unrealized loss position for a period of twelve months or longer. As of December 31, 2020, the investment portfolio had gross unrealized losses of $512 thousand, of which $8 thousand had been in an unrealized loss position for a period of twelve months or longer. For those securities in an unrealized loss position, the length of time the securities were in such a position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84"/>
              </w:rPr>
              <w:t>Less Than 12 Months</w:t>
            </w: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12 Months or Greater</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r>
      <w:tr>
        <w:trPr>
          <w:trHeight w:val="116"/>
        </w:trPr>
        <w:tc>
          <w:tcPr>
            <w:tcW w:w="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rPr>
              <w:t># of Securities</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w w:val="84"/>
              </w:rPr>
              <w:t>Unrealized Losses</w:t>
            </w: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 of Securities</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rPr>
              <w:t>Fair Value</w:t>
            </w:r>
          </w:p>
        </w:tc>
        <w:tc>
          <w:tcPr>
            <w:tcW w:w="1100" w:type="dxa"/>
            <w:vAlign w:val="bottom"/>
            <w:tcBorders>
              <w:bottom w:val="single" w:sz="8" w:color="auto"/>
            </w:tcBorders>
            <w:gridSpan w:val="4"/>
          </w:tcPr>
          <w:p>
            <w:pPr>
              <w:ind w:left="300"/>
              <w:spacing w:after="0"/>
              <w:rPr>
                <w:sz w:val="20"/>
                <w:szCs w:val="20"/>
                <w:color w:val="auto"/>
              </w:rPr>
            </w:pPr>
            <w:r>
              <w:rPr>
                <w:rFonts w:ascii="Arial" w:cs="Arial" w:eastAsia="Arial" w:hAnsi="Arial"/>
                <w:sz w:val="10"/>
                <w:szCs w:val="10"/>
                <w:b w:val="1"/>
                <w:bCs w:val="1"/>
                <w:color w:val="auto"/>
                <w:w w:val="88"/>
              </w:rPr>
              <w:t>Unrealized Losses</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w w:val="99"/>
              </w:rPr>
              <w:t># of Securities</w:t>
            </w:r>
          </w:p>
        </w:tc>
        <w:tc>
          <w:tcPr>
            <w:tcW w:w="100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84"/>
              </w:rPr>
              <w:t>Unrealized Losses</w:t>
            </w:r>
          </w:p>
        </w:tc>
      </w:tr>
      <w:tr>
        <w:trPr>
          <w:trHeight w:val="115"/>
        </w:trPr>
        <w:tc>
          <w:tcPr>
            <w:tcW w:w="80" w:type="dxa"/>
            <w:vAlign w:val="bottom"/>
          </w:tcPr>
          <w:p>
            <w:pPr>
              <w:spacing w:after="0"/>
              <w:rPr>
                <w:sz w:val="10"/>
                <w:szCs w:val="10"/>
                <w:color w:val="auto"/>
              </w:rPr>
            </w:pPr>
          </w:p>
        </w:tc>
        <w:tc>
          <w:tcPr>
            <w:tcW w:w="2600" w:type="dxa"/>
            <w:vAlign w:val="bottom"/>
          </w:tcPr>
          <w:p>
            <w:pPr>
              <w:spacing w:after="0" w:line="110" w:lineRule="exact"/>
              <w:rPr>
                <w:sz w:val="20"/>
                <w:szCs w:val="20"/>
                <w:color w:val="auto"/>
              </w:rPr>
            </w:pPr>
            <w:r>
              <w:rPr>
                <w:rFonts w:ascii="Arial" w:cs="Arial" w:eastAsia="Arial" w:hAnsi="Arial"/>
                <w:sz w:val="10"/>
                <w:szCs w:val="10"/>
                <w:b w:val="1"/>
                <w:bCs w:val="1"/>
                <w:color w:val="auto"/>
              </w:rPr>
              <w:t>As of June 30, 2021</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20" w:type="dxa"/>
            <w:vAlign w:val="bottom"/>
            <w:gridSpan w:val="2"/>
          </w:tcPr>
          <w:p>
            <w:pPr>
              <w:ind w:left="560"/>
              <w:spacing w:after="0"/>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55"/>
        </w:trPr>
        <w:tc>
          <w:tcPr>
            <w:tcW w:w="80" w:type="dxa"/>
            <w:vAlign w:val="bottom"/>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Municipal debt securities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169,463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(1,600)</w:t>
            </w:r>
          </w:p>
        </w:tc>
        <w:tc>
          <w:tcPr>
            <w:tcW w:w="8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 $</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169,463</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(1,600)</w:t>
            </w:r>
          </w:p>
        </w:tc>
      </w:tr>
      <w:tr>
        <w:trPr>
          <w:trHeight w:val="153"/>
        </w:trPr>
        <w:tc>
          <w:tcPr>
            <w:tcW w:w="80" w:type="dxa"/>
            <w:vAlign w:val="bottom"/>
          </w:tcPr>
          <w:p>
            <w:pPr>
              <w:spacing w:after="0"/>
              <w:rPr>
                <w:sz w:val="13"/>
                <w:szCs w:val="13"/>
                <w:color w:val="auto"/>
              </w:rPr>
            </w:pPr>
          </w:p>
        </w:tc>
        <w:tc>
          <w:tcPr>
            <w:tcW w:w="2600" w:type="dxa"/>
            <w:vAlign w:val="bottom"/>
          </w:tcPr>
          <w:p>
            <w:pPr>
              <w:spacing w:after="0"/>
              <w:rPr>
                <w:sz w:val="20"/>
                <w:szCs w:val="20"/>
                <w:color w:val="auto"/>
              </w:rPr>
            </w:pPr>
            <w:r>
              <w:rPr>
                <w:rFonts w:ascii="Arial" w:cs="Arial" w:eastAsia="Arial" w:hAnsi="Arial"/>
                <w:sz w:val="12"/>
                <w:szCs w:val="12"/>
                <w:color w:val="auto"/>
              </w:rPr>
              <w:t>Corporate debt securities</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3"/>
                <w:szCs w:val="13"/>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2"/>
                <w:szCs w:val="12"/>
                <w:color w:val="auto"/>
              </w:rPr>
              <w:t>464,406</w:t>
            </w:r>
          </w:p>
        </w:tc>
        <w:tc>
          <w:tcPr>
            <w:tcW w:w="80" w:type="dxa"/>
            <w:vAlign w:val="bottom"/>
          </w:tcPr>
          <w:p>
            <w:pPr>
              <w:spacing w:after="0"/>
              <w:rPr>
                <w:sz w:val="13"/>
                <w:szCs w:val="1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(7,315)</w:t>
            </w:r>
          </w:p>
        </w:tc>
        <w:tc>
          <w:tcPr>
            <w:tcW w:w="8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70</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464,406</w:t>
            </w:r>
          </w:p>
        </w:tc>
        <w:tc>
          <w:tcPr>
            <w:tcW w:w="12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(7,315)</w:t>
            </w:r>
          </w:p>
        </w:tc>
      </w:tr>
      <w:tr>
        <w:trPr>
          <w:trHeight w:val="153"/>
        </w:trPr>
        <w:tc>
          <w:tcPr>
            <w:tcW w:w="80" w:type="dxa"/>
            <w:vAlign w:val="bottom"/>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5,136</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5,136</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w:t>
            </w:r>
          </w:p>
        </w:tc>
      </w:tr>
      <w:tr>
        <w:trPr>
          <w:trHeight w:val="153"/>
        </w:trPr>
        <w:tc>
          <w:tcPr>
            <w:tcW w:w="80" w:type="dxa"/>
            <w:vAlign w:val="bottom"/>
          </w:tcPr>
          <w:p>
            <w:pPr>
              <w:spacing w:after="0"/>
              <w:rPr>
                <w:sz w:val="13"/>
                <w:szCs w:val="13"/>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Short-term investments</w:t>
            </w:r>
          </w:p>
        </w:tc>
        <w:tc>
          <w:tcPr>
            <w:tcW w:w="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5,994</w:t>
            </w:r>
          </w:p>
        </w:tc>
        <w:tc>
          <w:tcPr>
            <w:tcW w:w="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2"/>
                <w:szCs w:val="12"/>
                <w:color w:val="auto"/>
                <w:w w:val="82"/>
              </w:rPr>
              <w:t>—</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5,994</w:t>
            </w: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r>
      <w:tr>
        <w:trPr>
          <w:trHeight w:val="158"/>
        </w:trPr>
        <w:tc>
          <w:tcPr>
            <w:tcW w:w="80" w:type="dxa"/>
            <w:vAlign w:val="bottom"/>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644,999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(8,968)</w:t>
            </w:r>
          </w:p>
        </w:tc>
        <w:tc>
          <w:tcPr>
            <w:tcW w:w="8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 $</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 $</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w w:val="82"/>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644,999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(8,968)</w:t>
            </w:r>
          </w:p>
        </w:tc>
      </w:tr>
      <w:tr>
        <w:trPr>
          <w:trHeight w:val="311"/>
        </w:trPr>
        <w:tc>
          <w:tcPr>
            <w:tcW w:w="80" w:type="dxa"/>
            <w:vAlign w:val="bottom"/>
          </w:tcPr>
          <w:p>
            <w:pPr>
              <w:spacing w:after="0"/>
              <w:rPr>
                <w:sz w:val="24"/>
                <w:szCs w:val="24"/>
                <w:color w:val="auto"/>
              </w:rPr>
            </w:pPr>
          </w:p>
        </w:tc>
        <w:tc>
          <w:tcPr>
            <w:tcW w:w="2600" w:type="dxa"/>
            <w:vAlign w:val="bottom"/>
            <w:tcBorders>
              <w:top w:val="single" w:sz="8" w:color="CCEEFF"/>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gridSpan w:val="3"/>
          </w:tcPr>
          <w:p>
            <w:pPr>
              <w:jc w:val="right"/>
              <w:ind w:right="3"/>
              <w:spacing w:after="0"/>
              <w:rPr>
                <w:sz w:val="20"/>
                <w:szCs w:val="20"/>
                <w:color w:val="auto"/>
              </w:rPr>
            </w:pPr>
            <w:r>
              <w:rPr>
                <w:rFonts w:ascii="Arial" w:cs="Arial" w:eastAsia="Arial" w:hAnsi="Arial"/>
                <w:sz w:val="10"/>
                <w:szCs w:val="10"/>
                <w:b w:val="1"/>
                <w:bCs w:val="1"/>
                <w:color w:val="auto"/>
              </w:rPr>
              <w:t>Less Than 12 Months</w:t>
            </w: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 Months or Greater</w:t>
            </w: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83"/>
              </w:rPr>
              <w:t>Total</w:t>
            </w:r>
          </w:p>
        </w:tc>
        <w:tc>
          <w:tcPr>
            <w:tcW w:w="1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r>
      <w:tr>
        <w:trPr>
          <w:trHeight w:val="116"/>
        </w:trPr>
        <w:tc>
          <w:tcPr>
            <w:tcW w:w="8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8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0"/>
                <w:szCs w:val="10"/>
                <w:b w:val="1"/>
                <w:bCs w:val="1"/>
                <w:color w:val="auto"/>
                <w:w w:val="84"/>
              </w:rPr>
              <w:t># of Securities</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Fair Value</w:t>
            </w:r>
          </w:p>
        </w:tc>
        <w:tc>
          <w:tcPr>
            <w:tcW w:w="9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0"/>
                <w:szCs w:val="10"/>
                <w:b w:val="1"/>
                <w:bCs w:val="1"/>
                <w:color w:val="auto"/>
                <w:w w:val="84"/>
              </w:rPr>
              <w:t>Unrealized Losses</w:t>
            </w: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0"/>
                <w:szCs w:val="10"/>
                <w:b w:val="1"/>
                <w:bCs w:val="1"/>
                <w:color w:val="auto"/>
                <w:w w:val="84"/>
              </w:rPr>
              <w:t># of Securities</w:t>
            </w: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Fair Value</w:t>
            </w: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84"/>
              </w:rPr>
              <w:t>Unrealized Losses</w:t>
            </w: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1"/>
              </w:rPr>
              <w:t># of Securities  Fair Value</w:t>
            </w:r>
          </w:p>
        </w:tc>
        <w:tc>
          <w:tcPr>
            <w:tcW w:w="16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0"/>
                <w:szCs w:val="10"/>
                <w:b w:val="1"/>
                <w:bCs w:val="1"/>
                <w:color w:val="auto"/>
              </w:rPr>
              <w:t>Unrealized Losses</w:t>
            </w:r>
          </w:p>
        </w:tc>
        <w:tc>
          <w:tcPr>
            <w:tcW w:w="260" w:type="dxa"/>
            <w:vAlign w:val="bottom"/>
          </w:tcPr>
          <w:p>
            <w:pPr>
              <w:spacing w:after="0"/>
              <w:rPr>
                <w:sz w:val="10"/>
                <w:szCs w:val="10"/>
                <w:color w:val="auto"/>
              </w:rPr>
            </w:pPr>
          </w:p>
        </w:tc>
      </w:tr>
      <w:tr>
        <w:trPr>
          <w:trHeight w:val="113"/>
        </w:trPr>
        <w:tc>
          <w:tcPr>
            <w:tcW w:w="268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of December 31, 2020</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20" w:type="dxa"/>
            <w:vAlign w:val="bottom"/>
            <w:gridSpan w:val="2"/>
          </w:tcPr>
          <w:p>
            <w:pPr>
              <w:ind w:left="320"/>
              <w:spacing w:after="0" w:line="113" w:lineRule="exact"/>
              <w:rPr>
                <w:sz w:val="20"/>
                <w:szCs w:val="20"/>
                <w:color w:val="auto"/>
              </w:rPr>
            </w:pPr>
            <w:r>
              <w:rPr>
                <w:rFonts w:ascii="Arial" w:cs="Arial" w:eastAsia="Arial" w:hAnsi="Arial"/>
                <w:sz w:val="10"/>
                <w:szCs w:val="10"/>
                <w:i w:val="1"/>
                <w:iCs w:val="1"/>
                <w:color w:val="auto"/>
              </w:rPr>
              <w:t>(Dollars in Thousands)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58"/>
        </w:trPr>
        <w:tc>
          <w:tcPr>
            <w:tcW w:w="2680" w:type="dxa"/>
            <w:vAlign w:val="bottom"/>
            <w:gridSpan w:val="2"/>
          </w:tcPr>
          <w:p>
            <w:pPr>
              <w:spacing w:after="0"/>
              <w:rPr>
                <w:sz w:val="20"/>
                <w:szCs w:val="20"/>
                <w:color w:val="auto"/>
              </w:rPr>
            </w:pPr>
            <w:r>
              <w:rPr>
                <w:rFonts w:ascii="Arial" w:cs="Arial" w:eastAsia="Arial" w:hAnsi="Arial"/>
                <w:sz w:val="12"/>
                <w:szCs w:val="12"/>
                <w:color w:val="auto"/>
              </w:rPr>
              <w:t>unicipal debt securities</w:t>
            </w:r>
          </w:p>
        </w:tc>
        <w:tc>
          <w:tcPr>
            <w:tcW w:w="880" w:type="dxa"/>
            <w:vAlign w:val="bottom"/>
            <w:gridSpan w:val="2"/>
          </w:tcPr>
          <w:p>
            <w:pPr>
              <w:jc w:val="right"/>
              <w:ind w:right="25"/>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0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146"/>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3"/>
                <w:szCs w:val="13"/>
                <w:color w:val="auto"/>
              </w:rPr>
            </w:pPr>
          </w:p>
        </w:tc>
        <w:tc>
          <w:tcPr>
            <w:tcW w:w="840" w:type="dxa"/>
            <w:vAlign w:val="bottom"/>
          </w:tcPr>
          <w:p>
            <w:pPr>
              <w:jc w:val="right"/>
              <w:ind w:right="183"/>
              <w:spacing w:after="0"/>
              <w:rPr>
                <w:sz w:val="20"/>
                <w:szCs w:val="20"/>
                <w:color w:val="auto"/>
              </w:rPr>
            </w:pPr>
            <w:r>
              <w:rPr>
                <w:rFonts w:ascii="Arial" w:cs="Arial" w:eastAsia="Arial" w:hAnsi="Arial"/>
                <w:sz w:val="12"/>
                <w:szCs w:val="12"/>
                <w:color w:val="auto"/>
              </w:rPr>
              <w:t>3,548</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w:t>
            </w:r>
          </w:p>
        </w:tc>
        <w:tc>
          <w:tcPr>
            <w:tcW w:w="26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rporate debt securities</w:t>
            </w:r>
          </w:p>
        </w:tc>
        <w:tc>
          <w:tcPr>
            <w:tcW w:w="880" w:type="dxa"/>
            <w:vAlign w:val="bottom"/>
            <w:gridSpan w:val="2"/>
            <w:shd w:val="clear" w:color="auto" w:fill="CCEEFF"/>
          </w:tcPr>
          <w:p>
            <w:pPr>
              <w:jc w:val="right"/>
              <w:ind w:right="25"/>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40,081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3"/>
              <w:spacing w:after="0"/>
              <w:rPr>
                <w:sz w:val="20"/>
                <w:szCs w:val="20"/>
                <w:color w:val="auto"/>
              </w:rPr>
            </w:pPr>
            <w:r>
              <w:rPr>
                <w:rFonts w:ascii="Arial" w:cs="Arial" w:eastAsia="Arial" w:hAnsi="Arial"/>
                <w:sz w:val="12"/>
                <w:szCs w:val="12"/>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146"/>
              <w:spacing w:after="0"/>
              <w:rPr>
                <w:sz w:val="20"/>
                <w:szCs w:val="20"/>
                <w:color w:val="auto"/>
              </w:rPr>
            </w:pPr>
            <w:r>
              <w:rPr>
                <w:rFonts w:ascii="Arial" w:cs="Arial" w:eastAsia="Arial" w:hAnsi="Arial"/>
                <w:sz w:val="12"/>
                <w:szCs w:val="12"/>
                <w:color w:val="auto"/>
              </w:rPr>
              <w:t>10</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83"/>
              <w:spacing w:after="0"/>
              <w:rPr>
                <w:sz w:val="20"/>
                <w:szCs w:val="20"/>
                <w:color w:val="auto"/>
              </w:rPr>
            </w:pPr>
            <w:r>
              <w:rPr>
                <w:rFonts w:ascii="Arial" w:cs="Arial" w:eastAsia="Arial" w:hAnsi="Arial"/>
                <w:sz w:val="12"/>
                <w:szCs w:val="12"/>
                <w:color w:val="auto"/>
              </w:rPr>
              <w:t>40,114</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w:t>
            </w:r>
          </w:p>
        </w:tc>
        <w:tc>
          <w:tcPr>
            <w:tcW w:w="260" w:type="dxa"/>
            <w:vAlign w:val="bottom"/>
          </w:tcPr>
          <w:p>
            <w:pPr>
              <w:spacing w:after="0"/>
              <w:rPr>
                <w:sz w:val="13"/>
                <w:szCs w:val="13"/>
                <w:color w:val="auto"/>
              </w:rPr>
            </w:pPr>
          </w:p>
        </w:tc>
      </w:tr>
      <w:tr>
        <w:trPr>
          <w:trHeight w:val="153"/>
        </w:trPr>
        <w:tc>
          <w:tcPr>
            <w:tcW w:w="2680" w:type="dxa"/>
            <w:vAlign w:val="bottom"/>
            <w:gridSpan w:val="2"/>
          </w:tcPr>
          <w:p>
            <w:pPr>
              <w:spacing w:after="0"/>
              <w:rPr>
                <w:sz w:val="20"/>
                <w:szCs w:val="20"/>
                <w:color w:val="auto"/>
              </w:rPr>
            </w:pPr>
            <w:r>
              <w:rPr>
                <w:rFonts w:ascii="Arial" w:cs="Arial" w:eastAsia="Arial" w:hAnsi="Arial"/>
                <w:sz w:val="12"/>
                <w:szCs w:val="12"/>
                <w:color w:val="auto"/>
              </w:rPr>
              <w:t>set-backed securities</w:t>
            </w:r>
          </w:p>
        </w:tc>
        <w:tc>
          <w:tcPr>
            <w:tcW w:w="8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2"/>
                <w:szCs w:val="12"/>
                <w:color w:val="auto"/>
              </w:rPr>
              <w:t>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2,495</w:t>
            </w: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5"/>
              </w:rPr>
              <w:t>(8)</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2"/>
                <w:szCs w:val="12"/>
                <w:color w:val="auto"/>
              </w:rPr>
              <w:t>3</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2"/>
                <w:szCs w:val="12"/>
                <w:color w:val="auto"/>
              </w:rPr>
              <w:t>7,686</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260" w:type="dxa"/>
            <w:vAlign w:val="bottom"/>
          </w:tcPr>
          <w:p>
            <w:pPr>
              <w:spacing w:after="0"/>
              <w:rPr>
                <w:sz w:val="13"/>
                <w:szCs w:val="13"/>
                <w:color w:val="auto"/>
              </w:rPr>
            </w:pPr>
          </w:p>
        </w:tc>
      </w:tr>
      <w:tr>
        <w:trPr>
          <w:trHeight w:val="158"/>
        </w:trPr>
        <w:tc>
          <w:tcPr>
            <w:tcW w:w="2680" w:type="dxa"/>
            <w:vAlign w:val="bottom"/>
            <w:gridSpan w:val="2"/>
          </w:tcPr>
          <w:p>
            <w:pPr>
              <w:spacing w:after="0"/>
              <w:rPr>
                <w:sz w:val="20"/>
                <w:szCs w:val="20"/>
                <w:color w:val="auto"/>
              </w:rPr>
            </w:pPr>
            <w:r>
              <w:rPr>
                <w:rFonts w:ascii="Arial" w:cs="Arial" w:eastAsia="Arial" w:hAnsi="Arial"/>
                <w:sz w:val="12"/>
                <w:szCs w:val="12"/>
                <w:color w:val="auto"/>
              </w:rPr>
              <w:t>tal</w:t>
            </w:r>
          </w:p>
        </w:tc>
        <w:tc>
          <w:tcPr>
            <w:tcW w:w="8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w:t>
            </w:r>
          </w:p>
        </w:tc>
        <w:tc>
          <w:tcPr>
            <w:tcW w:w="8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2"/>
                <w:szCs w:val="12"/>
                <w:color w:val="auto"/>
              </w:rPr>
              <w:t>$ 2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2,528$</w:t>
            </w: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w w:val="95"/>
              </w:rPr>
              <w:t>(8)</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2"/>
                <w:szCs w:val="12"/>
                <w:color w:val="auto"/>
              </w:rPr>
              <w:t>$17</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2"/>
                <w:szCs w:val="12"/>
                <w:color w:val="auto"/>
              </w:rPr>
              <w:t>51,348$</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c>
          <w:tcPr>
            <w:tcW w:w="260" w:type="dxa"/>
            <w:vAlign w:val="bottom"/>
          </w:tcPr>
          <w:p>
            <w:pPr>
              <w:spacing w:after="0"/>
              <w:rPr>
                <w:sz w:val="13"/>
                <w:szCs w:val="13"/>
                <w:color w:val="auto"/>
              </w:rPr>
            </w:pPr>
          </w:p>
        </w:tc>
      </w:tr>
      <w:tr>
        <w:trPr>
          <w:trHeight w:val="765"/>
        </w:trPr>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23"/>
              <w:spacing w:after="0"/>
              <w:rPr>
                <w:sz w:val="20"/>
                <w:szCs w:val="20"/>
                <w:color w:val="auto"/>
              </w:rPr>
            </w:pPr>
            <w:r>
              <w:rPr>
                <w:rFonts w:ascii="Arial" w:cs="Arial" w:eastAsia="Arial" w:hAnsi="Arial"/>
                <w:sz w:val="12"/>
                <w:szCs w:val="12"/>
                <w:color w:val="auto"/>
              </w:rPr>
              <w:t>14</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2"/>
        </w:trPr>
        <w:tc>
          <w:tcPr>
            <w:tcW w:w="80" w:type="dxa"/>
            <w:vAlign w:val="bottom"/>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7205345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-668020</wp:posOffset>
            </wp:positionV>
            <wp:extent cx="701802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8020" cy="11430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Allowance for credit losses</w:t>
      </w:r>
    </w:p>
    <w:p>
      <w:pPr>
        <w:spacing w:after="0" w:line="114"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As of June 30, 2021 and December 31, 2020, we did not recognize an allowance for credit loss for any security in the investment portfolio and we did not record any provision for credit loss for investment securities during the three or six month periods ended June 30, 2021 or June 30, 2020.</w:t>
      </w:r>
    </w:p>
    <w:p>
      <w:pPr>
        <w:spacing w:after="0" w:line="7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increase in the number of securities in and the aggregate size of the unrealized loss position as of June 30, 2021, was primarily driven by interest rate movements following the purchase date of certain securities. Based on current facts and circumstances, we believe the unrealized losses as of June 30, 2021 are not indicative of the ultimate collectability of the current amortized cost of the securities.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Investment Income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components of net investment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0"/>
                <w:szCs w:val="10"/>
                <w:b w:val="1"/>
                <w:bCs w:val="1"/>
                <w:color w:val="auto"/>
                <w:w w:val="85"/>
              </w:rPr>
              <w:t>For the three months ended June 30,</w:t>
            </w: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For the six months ended June 30,</w:t>
            </w:r>
          </w:p>
        </w:tc>
        <w:tc>
          <w:tcPr>
            <w:tcW w:w="1000" w:type="dxa"/>
            <w:vAlign w:val="bottom"/>
            <w:tcBorders>
              <w:bottom w:val="single" w:sz="8" w:color="auto"/>
            </w:tcBorders>
          </w:tcPr>
          <w:p>
            <w:pPr>
              <w:spacing w:after="0"/>
              <w:rPr>
                <w:sz w:val="11"/>
                <w:szCs w:val="11"/>
                <w:color w:val="auto"/>
              </w:rPr>
            </w:pPr>
          </w:p>
        </w:tc>
      </w:tr>
      <w:tr>
        <w:trPr>
          <w:trHeight w:val="118"/>
        </w:trPr>
        <w:tc>
          <w:tcPr>
            <w:tcW w:w="4080" w:type="dxa"/>
            <w:vAlign w:val="bottom"/>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03"/>
              <w:spacing w:after="0"/>
              <w:rPr>
                <w:sz w:val="20"/>
                <w:szCs w:val="20"/>
                <w:color w:val="auto"/>
              </w:rPr>
            </w:pPr>
            <w:r>
              <w:rPr>
                <w:rFonts w:ascii="Arial" w:cs="Arial" w:eastAsia="Arial" w:hAnsi="Arial"/>
                <w:sz w:val="10"/>
                <w:szCs w:val="10"/>
                <w:b w:val="1"/>
                <w:bCs w:val="1"/>
                <w:color w:val="auto"/>
                <w:w w:val="98"/>
              </w:rPr>
              <w:t>2020</w:t>
            </w:r>
          </w:p>
        </w:tc>
      </w:tr>
      <w:tr>
        <w:trPr>
          <w:trHeight w:val="114"/>
        </w:trPr>
        <w:tc>
          <w:tcPr>
            <w:tcW w:w="4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20" w:type="dxa"/>
            <w:vAlign w:val="bottom"/>
            <w:gridSpan w:val="3"/>
          </w:tcPr>
          <w:p>
            <w:pPr>
              <w:jc w:val="right"/>
              <w:ind w:right="752"/>
              <w:spacing w:after="0"/>
              <w:rPr>
                <w:sz w:val="20"/>
                <w:szCs w:val="20"/>
                <w:color w:val="auto"/>
              </w:rPr>
            </w:pPr>
            <w:r>
              <w:rPr>
                <w:rFonts w:ascii="Arial" w:cs="Arial" w:eastAsia="Arial" w:hAnsi="Arial"/>
                <w:sz w:val="10"/>
                <w:szCs w:val="10"/>
                <w:i w:val="1"/>
                <w:iCs w:val="1"/>
                <w:color w:val="auto"/>
              </w:rPr>
              <w:t>(In Thousands)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Investment income</w:t>
            </w: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9,608</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18,833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15,669</w:t>
            </w:r>
          </w:p>
        </w:tc>
      </w:tr>
      <w:tr>
        <w:trPr>
          <w:trHeight w:val="153"/>
        </w:trPr>
        <w:tc>
          <w:tcPr>
            <w:tcW w:w="4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Investment expenses</w:t>
            </w:r>
          </w:p>
        </w:tc>
        <w:tc>
          <w:tcPr>
            <w:tcW w:w="10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(637)</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w:t>
            </w:r>
          </w:p>
        </w:tc>
      </w:tr>
      <w:tr>
        <w:trPr>
          <w:trHeight w:val="15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investment income</w:t>
            </w:r>
          </w:p>
        </w:tc>
        <w:tc>
          <w:tcPr>
            <w:tcW w:w="100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9,382</w:t>
            </w:r>
          </w:p>
        </w:tc>
        <w:tc>
          <w:tcPr>
            <w:tcW w:w="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06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7,070</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18,196</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15,174</w:t>
            </w:r>
          </w:p>
        </w:tc>
      </w:tr>
    </w:tbl>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components of net realized investment losses: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5"/>
              </w:rPr>
              <w:t>For the three months ended June 30,</w:t>
            </w: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six months ended June 30,</w:t>
            </w:r>
          </w:p>
        </w:tc>
        <w:tc>
          <w:tcPr>
            <w:tcW w:w="980" w:type="dxa"/>
            <w:vAlign w:val="bottom"/>
            <w:tcBorders>
              <w:bottom w:val="single" w:sz="8" w:color="auto"/>
            </w:tcBorders>
          </w:tcPr>
          <w:p>
            <w:pPr>
              <w:spacing w:after="0"/>
              <w:rPr>
                <w:sz w:val="11"/>
                <w:szCs w:val="11"/>
                <w:color w:val="auto"/>
              </w:rPr>
            </w:pPr>
          </w:p>
        </w:tc>
      </w:tr>
      <w:tr>
        <w:trPr>
          <w:trHeight w:val="118"/>
        </w:trPr>
        <w:tc>
          <w:tcPr>
            <w:tcW w:w="4140" w:type="dxa"/>
            <w:vAlign w:val="bottom"/>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25"/>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8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w w:val="98"/>
              </w:rPr>
              <w:t>2020</w:t>
            </w:r>
          </w:p>
        </w:tc>
      </w:tr>
      <w:tr>
        <w:trPr>
          <w:trHeight w:val="114"/>
        </w:trPr>
        <w:tc>
          <w:tcPr>
            <w:tcW w:w="4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0"/>
                <w:szCs w:val="10"/>
                <w:i w:val="1"/>
                <w:iCs w:val="1"/>
                <w:color w:val="auto"/>
              </w:rPr>
              <w:t>(In Thousands)</w:t>
            </w: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55"/>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Gross realized investment gains</w:t>
            </w:r>
          </w:p>
        </w:tc>
        <w:tc>
          <w:tcPr>
            <w:tcW w:w="1000" w:type="dxa"/>
            <w:vAlign w:val="bottom"/>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4,586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5,126</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Gross realized investment losses</w:t>
            </w:r>
          </w:p>
        </w:tc>
        <w:tc>
          <w:tcPr>
            <w:tcW w:w="10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(3,875)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(4,487)</w:t>
            </w:r>
          </w:p>
        </w:tc>
      </w:tr>
      <w:tr>
        <w:trPr>
          <w:trHeight w:val="158"/>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realized investment gains</w:t>
            </w:r>
          </w:p>
        </w:tc>
        <w:tc>
          <w:tcPr>
            <w:tcW w:w="10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711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describes the valuation techniques used by us to determine the fair value of our financial instruments:</w:t>
      </w:r>
    </w:p>
    <w:p>
      <w:pPr>
        <w:spacing w:after="0" w:line="11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79" w:lineRule="exact"/>
        <w:rPr>
          <w:sz w:val="20"/>
          <w:szCs w:val="20"/>
          <w:color w:val="auto"/>
        </w:rPr>
      </w:pPr>
    </w:p>
    <w:p>
      <w:pPr>
        <w:jc w:val="both"/>
        <w:ind w:left="420"/>
        <w:spacing w:after="0" w:line="276" w:lineRule="auto"/>
        <w:rPr>
          <w:sz w:val="20"/>
          <w:szCs w:val="20"/>
          <w:color w:val="auto"/>
        </w:rPr>
      </w:pPr>
      <w:r>
        <w:rPr>
          <w:rFonts w:ascii="Arial" w:cs="Arial" w:eastAsia="Arial" w:hAnsi="Arial"/>
          <w:sz w:val="12"/>
          <w:szCs w:val="12"/>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79" w:lineRule="exact"/>
        <w:rPr>
          <w:sz w:val="20"/>
          <w:szCs w:val="20"/>
          <w:color w:val="auto"/>
        </w:rPr>
      </w:pPr>
    </w:p>
    <w:p>
      <w:pPr>
        <w:jc w:val="both"/>
        <w:ind w:left="420"/>
        <w:spacing w:after="0" w:line="263" w:lineRule="auto"/>
        <w:rPr>
          <w:sz w:val="20"/>
          <w:szCs w:val="20"/>
          <w:color w:val="auto"/>
        </w:rPr>
      </w:pPr>
      <w:r>
        <w:rPr>
          <w:rFonts w:ascii="Arial" w:cs="Arial" w:eastAsia="Arial" w:hAnsi="Arial"/>
          <w:sz w:val="12"/>
          <w:szCs w:val="12"/>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86" w:lineRule="exact"/>
        <w:rPr>
          <w:sz w:val="20"/>
          <w:szCs w:val="20"/>
          <w:color w:val="auto"/>
        </w:rPr>
      </w:pPr>
    </w:p>
    <w:p>
      <w:pPr>
        <w:jc w:val="both"/>
        <w:ind w:left="420"/>
        <w:spacing w:after="0" w:line="276" w:lineRule="auto"/>
        <w:rPr>
          <w:sz w:val="20"/>
          <w:szCs w:val="20"/>
          <w:color w:val="auto"/>
        </w:rPr>
      </w:pPr>
      <w:r>
        <w:rPr>
          <w:rFonts w:ascii="Arial" w:cs="Arial" w:eastAsia="Arial" w:hAnsi="Arial"/>
          <w:sz w:val="12"/>
          <w:szCs w:val="12"/>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liability. Therefore, we must make certain assumptions, which require significant management judgment or estimation about the inputs a hypothetical market participant would use to value that asset or liability.</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Assets classified as Level 1 and Level 2</w:t>
      </w:r>
    </w:p>
    <w:p>
      <w:pPr>
        <w:spacing w:after="0" w:line="11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Liabilities classified as Level 3</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present the level within the fair value hierarchy at which our financial instruments were measured: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June 30, 2021</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30,960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30,960</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514,443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514,443</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1,324,157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1,324,157</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115,360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115,360</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77,440</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77,440</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108,400</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1,953,960</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2,062,360</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3,385</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3,385</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3,385</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3,385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0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7"/>
              </w:rPr>
              <w:t>Fair Value Measurements Using</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080" w:type="dxa"/>
            <w:vAlign w:val="bottom"/>
          </w:tcPr>
          <w:p>
            <w:pPr>
              <w:spacing w:after="0"/>
              <w:rPr>
                <w:sz w:val="7"/>
                <w:szCs w:val="7"/>
                <w:color w:val="auto"/>
              </w:rPr>
            </w:pPr>
          </w:p>
        </w:tc>
        <w:tc>
          <w:tcPr>
            <w:tcW w:w="1280" w:type="dxa"/>
            <w:vAlign w:val="bottom"/>
          </w:tcPr>
          <w:p>
            <w:pPr>
              <w:jc w:val="center"/>
              <w:ind w:left="388"/>
              <w:spacing w:after="0" w:line="83" w:lineRule="exact"/>
              <w:rPr>
                <w:sz w:val="20"/>
                <w:szCs w:val="20"/>
                <w:color w:val="auto"/>
              </w:rPr>
            </w:pPr>
            <w:r>
              <w:rPr>
                <w:rFonts w:ascii="Arial" w:cs="Arial" w:eastAsia="Arial" w:hAnsi="Arial"/>
                <w:sz w:val="8"/>
                <w:szCs w:val="8"/>
                <w:b w:val="1"/>
                <w:bCs w:val="1"/>
                <w:color w:val="auto"/>
              </w:rPr>
              <w:t>Quoted Prices in</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6"/>
              </w:rPr>
              <w:t>Significant Other</w:t>
            </w:r>
          </w:p>
        </w:tc>
        <w:tc>
          <w:tcPr>
            <w:tcW w:w="400" w:type="dxa"/>
            <w:vAlign w:val="bottom"/>
          </w:tcPr>
          <w:p>
            <w:pPr>
              <w:spacing w:after="0"/>
              <w:rPr>
                <w:sz w:val="7"/>
                <w:szCs w:val="7"/>
                <w:color w:val="auto"/>
              </w:rPr>
            </w:pPr>
          </w:p>
        </w:tc>
        <w:tc>
          <w:tcPr>
            <w:tcW w:w="1320" w:type="dxa"/>
            <w:vAlign w:val="bottom"/>
          </w:tcPr>
          <w:p>
            <w:pPr>
              <w:jc w:val="center"/>
              <w:ind w:right="345"/>
              <w:spacing w:after="0" w:line="83"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128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83"/>
              </w:rPr>
              <w:t>Identical Assets</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Observable Inputs</w:t>
            </w:r>
          </w:p>
        </w:tc>
        <w:tc>
          <w:tcPr>
            <w:tcW w:w="400" w:type="dxa"/>
            <w:vAlign w:val="bottom"/>
          </w:tcPr>
          <w:p>
            <w:pPr>
              <w:spacing w:after="0"/>
              <w:rPr>
                <w:sz w:val="7"/>
                <w:szCs w:val="7"/>
                <w:color w:val="auto"/>
              </w:rPr>
            </w:pPr>
          </w:p>
        </w:tc>
        <w:tc>
          <w:tcPr>
            <w:tcW w:w="142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93"/>
              </w:rPr>
              <w:t>Inputs</w:t>
            </w:r>
          </w:p>
        </w:tc>
        <w:tc>
          <w:tcPr>
            <w:tcW w:w="360" w:type="dxa"/>
            <w:vAlign w:val="bottom"/>
          </w:tcPr>
          <w:p>
            <w:pPr>
              <w:spacing w:after="0"/>
              <w:rPr>
                <w:sz w:val="7"/>
                <w:szCs w:val="7"/>
                <w:color w:val="auto"/>
              </w:rPr>
            </w:pPr>
          </w:p>
        </w:tc>
        <w:tc>
          <w:tcPr>
            <w:tcW w:w="138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80" w:type="dxa"/>
            <w:vAlign w:val="bottom"/>
            <w:tcBorders>
              <w:bottom w:val="single" w:sz="8" w:color="auto"/>
            </w:tcBorders>
          </w:tcPr>
          <w:p>
            <w:pPr>
              <w:jc w:val="center"/>
              <w:ind w:left="388"/>
              <w:spacing w:after="0"/>
              <w:rPr>
                <w:sz w:val="20"/>
                <w:szCs w:val="20"/>
                <w:color w:val="auto"/>
              </w:rPr>
            </w:pPr>
            <w:r>
              <w:rPr>
                <w:rFonts w:ascii="Arial" w:cs="Arial" w:eastAsia="Arial" w:hAnsi="Arial"/>
                <w:sz w:val="10"/>
                <w:szCs w:val="10"/>
                <w:b w:val="1"/>
                <w:bCs w:val="1"/>
                <w:color w:val="auto"/>
                <w:w w:val="88"/>
              </w:rPr>
              <w:t>(Level 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8"/>
              </w:rPr>
              <w:t>(Level 2)</w:t>
            </w: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3)</w:t>
            </w:r>
          </w:p>
        </w:tc>
        <w:tc>
          <w:tcPr>
            <w:tcW w:w="3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line="123" w:lineRule="exact"/>
              <w:rPr>
                <w:sz w:val="20"/>
                <w:szCs w:val="20"/>
                <w:color w:val="auto"/>
              </w:rPr>
            </w:pPr>
            <w:r>
              <w:rPr>
                <w:rFonts w:ascii="Arial" w:cs="Arial" w:eastAsia="Arial" w:hAnsi="Arial"/>
                <w:sz w:val="11"/>
                <w:szCs w:val="11"/>
                <w:b w:val="1"/>
                <w:bCs w:val="1"/>
                <w:color w:val="auto"/>
              </w:rPr>
              <w:t>As of December 31, 2020</w:t>
            </w:r>
          </w:p>
        </w:tc>
        <w:tc>
          <w:tcPr>
            <w:tcW w:w="1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280" w:type="dxa"/>
            <w:vAlign w:val="bottom"/>
            <w:shd w:val="clear" w:color="auto" w:fill="CCEEFF"/>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31,598</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421,348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421,348</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2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1,219,791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1,219,791</w:t>
            </w:r>
          </w:p>
        </w:tc>
        <w:tc>
          <w:tcPr>
            <w:tcW w:w="0" w:type="dxa"/>
            <w:vAlign w:val="bottom"/>
          </w:tcPr>
          <w:p>
            <w:pPr>
              <w:spacing w:after="0"/>
              <w:rPr>
                <w:sz w:val="1"/>
                <w:szCs w:val="1"/>
                <w:color w:val="auto"/>
              </w:rPr>
            </w:pP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Asset-backed securities</w:t>
            </w:r>
          </w:p>
        </w:tc>
        <w:tc>
          <w:tcPr>
            <w:tcW w:w="12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131,180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131,180</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short-term investments</w:t>
            </w:r>
          </w:p>
        </w:tc>
        <w:tc>
          <w:tcPr>
            <w:tcW w:w="1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127,306</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127,306</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87"/>
              </w:rPr>
              <w:t>158,904</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00" w:type="dxa"/>
            <w:vAlign w:val="bottom"/>
          </w:tcPr>
          <w:p>
            <w:pPr>
              <w:jc w:val="right"/>
              <w:spacing w:after="0"/>
              <w:rPr>
                <w:sz w:val="20"/>
                <w:szCs w:val="20"/>
                <w:color w:val="auto"/>
              </w:rPr>
            </w:pPr>
            <w:r>
              <w:rPr>
                <w:rFonts w:ascii="Arial" w:cs="Arial" w:eastAsia="Arial" w:hAnsi="Arial"/>
                <w:sz w:val="12"/>
                <w:szCs w:val="12"/>
                <w:color w:val="auto"/>
              </w:rPr>
              <w:t>1,772,319</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1,931,223</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128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1148"/>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4,409</w:t>
            </w:r>
          </w:p>
        </w:tc>
        <w:tc>
          <w:tcPr>
            <w:tcW w:w="10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1"/>
              <w:spacing w:after="0"/>
              <w:rPr>
                <w:sz w:val="20"/>
                <w:szCs w:val="20"/>
                <w:color w:val="auto"/>
              </w:rPr>
            </w:pPr>
            <w:r>
              <w:rPr>
                <w:rFonts w:ascii="Arial" w:cs="Arial" w:eastAsia="Arial" w:hAnsi="Arial"/>
                <w:sz w:val="12"/>
                <w:szCs w:val="12"/>
                <w:color w:val="auto"/>
              </w:rPr>
              <w:t>4,409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transfers between Level 2 and Level 3 of the fair value hierarchy during the six months ended June 30, 2021, 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a roll-forward of Level 3 liabilities measured at fair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5"/>
          </w:tcPr>
          <w:p>
            <w:pPr>
              <w:jc w:val="center"/>
              <w:ind w:left="623"/>
              <w:spacing w:after="0"/>
              <w:rPr>
                <w:sz w:val="20"/>
                <w:szCs w:val="20"/>
                <w:color w:val="auto"/>
              </w:rPr>
            </w:pPr>
            <w:r>
              <w:rPr>
                <w:rFonts w:ascii="Arial" w:cs="Arial" w:eastAsia="Arial" w:hAnsi="Arial"/>
                <w:sz w:val="10"/>
                <w:szCs w:val="10"/>
                <w:b w:val="1"/>
                <w:bCs w:val="1"/>
                <w:color w:val="auto"/>
                <w:w w:val="85"/>
              </w:rPr>
              <w:t>For the six months ended June 30,</w:t>
            </w:r>
          </w:p>
        </w:tc>
        <w:tc>
          <w:tcPr>
            <w:tcW w:w="1040" w:type="dxa"/>
            <w:vAlign w:val="bottom"/>
            <w:tcBorders>
              <w:bottom w:val="single" w:sz="8" w:color="auto"/>
            </w:tcBorders>
          </w:tcPr>
          <w:p>
            <w:pPr>
              <w:spacing w:after="0"/>
              <w:rPr>
                <w:sz w:val="10"/>
                <w:szCs w:val="10"/>
                <w:color w:val="auto"/>
              </w:rPr>
            </w:pPr>
          </w:p>
        </w:tc>
      </w:tr>
      <w:tr>
        <w:trPr>
          <w:trHeight w:val="141"/>
        </w:trPr>
        <w:tc>
          <w:tcPr>
            <w:tcW w:w="7580" w:type="dxa"/>
            <w:vAlign w:val="bottom"/>
          </w:tcPr>
          <w:p>
            <w:pPr>
              <w:spacing w:after="0"/>
              <w:rPr>
                <w:sz w:val="20"/>
                <w:szCs w:val="20"/>
                <w:color w:val="auto"/>
              </w:rPr>
            </w:pPr>
            <w:r>
              <w:rPr>
                <w:rFonts w:ascii="Arial" w:cs="Arial" w:eastAsia="Arial" w:hAnsi="Arial"/>
                <w:sz w:val="12"/>
                <w:szCs w:val="12"/>
                <w:color w:val="auto"/>
              </w:rPr>
              <w:t>Warrant Liability</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color w:val="auto"/>
              </w:rPr>
              <w:t>2021</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22"/>
              <w:spacing w:after="0"/>
              <w:rPr>
                <w:sz w:val="20"/>
                <w:szCs w:val="20"/>
                <w:color w:val="auto"/>
              </w:rPr>
            </w:pPr>
            <w:r>
              <w:rPr>
                <w:rFonts w:ascii="Arial" w:cs="Arial" w:eastAsia="Arial" w:hAnsi="Arial"/>
                <w:sz w:val="10"/>
                <w:szCs w:val="10"/>
                <w:color w:val="auto"/>
              </w:rPr>
              <w:t>2020</w:t>
            </w: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gridSpan w:val="5"/>
          </w:tcPr>
          <w:p>
            <w:pPr>
              <w:ind w:left="1040"/>
              <w:spacing w:after="0"/>
              <w:rPr>
                <w:sz w:val="20"/>
                <w:szCs w:val="20"/>
                <w:color w:val="auto"/>
              </w:rPr>
            </w:pPr>
            <w:r>
              <w:rPr>
                <w:rFonts w:ascii="Arial" w:cs="Arial" w:eastAsia="Arial" w:hAnsi="Arial"/>
                <w:sz w:val="12"/>
                <w:szCs w:val="12"/>
                <w:i w:val="1"/>
                <w:iCs w:val="1"/>
                <w:color w:val="auto"/>
              </w:rPr>
              <w:t>(In Thousands)</w:t>
            </w:r>
          </w:p>
        </w:tc>
        <w:tc>
          <w:tcPr>
            <w:tcW w:w="1040" w:type="dxa"/>
            <w:vAlign w:val="bottom"/>
          </w:tcPr>
          <w:p>
            <w:pPr>
              <w:spacing w:after="0"/>
              <w:rPr>
                <w:sz w:val="12"/>
                <w:szCs w:val="12"/>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Balance, January 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ind w:left="1060"/>
              <w:spacing w:after="0"/>
              <w:rPr>
                <w:sz w:val="20"/>
                <w:szCs w:val="20"/>
                <w:color w:val="auto"/>
              </w:rPr>
            </w:pPr>
            <w:r>
              <w:rPr>
                <w:rFonts w:ascii="Arial" w:cs="Arial" w:eastAsia="Arial" w:hAnsi="Arial"/>
                <w:sz w:val="12"/>
                <w:szCs w:val="12"/>
                <w:color w:val="auto"/>
                <w:w w:val="93"/>
              </w:rPr>
              <w:t>4,409</w:t>
            </w:r>
          </w:p>
        </w:tc>
        <w:tc>
          <w:tcPr>
            <w:tcW w:w="800" w:type="dxa"/>
            <w:vAlign w:val="bottom"/>
            <w:gridSpan w:val="3"/>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7,641</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Change in fair value of warrant liability included in earnings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tcPr>
          <w:p>
            <w:pPr>
              <w:ind w:left="1100"/>
              <w:spacing w:after="0"/>
              <w:rPr>
                <w:sz w:val="20"/>
                <w:szCs w:val="20"/>
                <w:color w:val="auto"/>
              </w:rPr>
            </w:pPr>
            <w:r>
              <w:rPr>
                <w:rFonts w:ascii="Arial" w:cs="Arial" w:eastAsia="Arial" w:hAnsi="Arial"/>
                <w:sz w:val="12"/>
                <w:szCs w:val="12"/>
                <w:color w:val="auto"/>
                <w:w w:val="85"/>
              </w:rPr>
              <w:t>(453)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(4,723)</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on warrant exercise</w:t>
            </w:r>
          </w:p>
        </w:tc>
        <w:tc>
          <w:tcPr>
            <w:tcW w:w="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ind w:left="1100"/>
              <w:spacing w:after="0"/>
              <w:rPr>
                <w:sz w:val="20"/>
                <w:szCs w:val="20"/>
                <w:color w:val="auto"/>
              </w:rPr>
            </w:pPr>
            <w:r>
              <w:rPr>
                <w:rFonts w:ascii="Arial" w:cs="Arial" w:eastAsia="Arial" w:hAnsi="Arial"/>
                <w:sz w:val="12"/>
                <w:szCs w:val="12"/>
                <w:color w:val="auto"/>
                <w:w w:val="85"/>
              </w:rPr>
              <w:t>(571)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r>
      <w:tr>
        <w:trPr>
          <w:trHeight w:val="142"/>
        </w:trPr>
        <w:tc>
          <w:tcPr>
            <w:tcW w:w="7580" w:type="dxa"/>
            <w:vAlign w:val="bottom"/>
          </w:tcPr>
          <w:p>
            <w:pPr>
              <w:spacing w:after="0"/>
              <w:rPr>
                <w:sz w:val="20"/>
                <w:szCs w:val="20"/>
                <w:color w:val="auto"/>
              </w:rPr>
            </w:pPr>
            <w:r>
              <w:rPr>
                <w:rFonts w:ascii="Arial" w:cs="Arial" w:eastAsia="Arial" w:hAnsi="Arial"/>
                <w:sz w:val="12"/>
                <w:szCs w:val="12"/>
                <w:color w:val="auto"/>
              </w:rPr>
              <w:t>Balance, June 30</w:t>
            </w:r>
          </w:p>
        </w:tc>
        <w:tc>
          <w:tcPr>
            <w:tcW w:w="5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60" w:type="dxa"/>
            <w:vAlign w:val="bottom"/>
            <w:gridSpan w:val="2"/>
          </w:tcPr>
          <w:p>
            <w:pPr>
              <w:ind w:left="1060"/>
              <w:spacing w:after="0"/>
              <w:rPr>
                <w:sz w:val="20"/>
                <w:szCs w:val="20"/>
                <w:color w:val="auto"/>
              </w:rPr>
            </w:pPr>
            <w:r>
              <w:rPr>
                <w:rFonts w:ascii="Arial" w:cs="Arial" w:eastAsia="Arial" w:hAnsi="Arial"/>
                <w:sz w:val="12"/>
                <w:szCs w:val="12"/>
                <w:color w:val="auto"/>
                <w:w w:val="93"/>
              </w:rPr>
              <w:t>3,385</w:t>
            </w:r>
          </w:p>
        </w:tc>
        <w:tc>
          <w:tcPr>
            <w:tcW w:w="800" w:type="dxa"/>
            <w:vAlign w:val="bottom"/>
            <w:gridSpan w:val="3"/>
          </w:tcPr>
          <w:p>
            <w:pPr>
              <w:jc w:val="right"/>
              <w:ind w:right="62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2,698</w:t>
            </w:r>
          </w:p>
        </w:tc>
      </w:tr>
      <w:tr>
        <w:trPr>
          <w:trHeight w:val="20"/>
        </w:trPr>
        <w:tc>
          <w:tcPr>
            <w:tcW w:w="7740" w:type="dxa"/>
            <w:vAlign w:val="bottom"/>
            <w:gridSpan w:val="2"/>
          </w:tcPr>
          <w:p>
            <w:pPr>
              <w:spacing w:after="0" w:line="20" w:lineRule="exact"/>
              <w:rPr>
                <w:sz w:val="1"/>
                <w:szCs w:val="1"/>
                <w:color w:val="auto"/>
              </w:rPr>
            </w:pPr>
          </w:p>
        </w:tc>
        <w:tc>
          <w:tcPr>
            <w:tcW w:w="1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9460" w:type="dxa"/>
            <w:vAlign w:val="bottom"/>
            <w:gridSpan w:val="5"/>
          </w:tcPr>
          <w:p>
            <w:pPr>
              <w:ind w:left="420"/>
              <w:spacing w:after="0"/>
              <w:rPr>
                <w:sz w:val="20"/>
                <w:szCs w:val="20"/>
                <w:color w:val="auto"/>
              </w:rPr>
            </w:pPr>
            <w:r>
              <w:rPr>
                <w:rFonts w:ascii="Arial" w:cs="Arial" w:eastAsia="Arial" w:hAnsi="Arial"/>
                <w:sz w:val="12"/>
                <w:szCs w:val="12"/>
                <w:color w:val="auto"/>
                <w:w w:val="94"/>
              </w:rPr>
              <w:t>The following table outlines the key inputs and assumptions used to calculate the fair value of the warrant liability in the Black-Scholes option-pricing model as of the dates indicated.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8"/>
        </w:trPr>
        <w:tc>
          <w:tcPr>
            <w:tcW w:w="7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ind w:left="1040"/>
              <w:spacing w:after="0"/>
              <w:rPr>
                <w:sz w:val="20"/>
                <w:szCs w:val="20"/>
                <w:color w:val="auto"/>
              </w:rPr>
            </w:pPr>
            <w:r>
              <w:rPr>
                <w:rFonts w:ascii="Arial" w:cs="Arial" w:eastAsia="Arial" w:hAnsi="Arial"/>
                <w:sz w:val="10"/>
                <w:szCs w:val="10"/>
                <w:b w:val="1"/>
                <w:bCs w:val="1"/>
                <w:color w:val="auto"/>
              </w:rPr>
              <w:t>As of June 30,</w:t>
            </w:r>
          </w:p>
        </w:tc>
        <w:tc>
          <w:tcPr>
            <w:tcW w:w="1040" w:type="dxa"/>
            <w:vAlign w:val="bottom"/>
            <w:tcBorders>
              <w:bottom w:val="single" w:sz="8" w:color="auto"/>
            </w:tcBorders>
          </w:tcPr>
          <w:p>
            <w:pPr>
              <w:spacing w:after="0"/>
              <w:rPr>
                <w:sz w:val="21"/>
                <w:szCs w:val="21"/>
                <w:color w:val="auto"/>
              </w:rPr>
            </w:pPr>
          </w:p>
        </w:tc>
      </w:tr>
      <w:tr>
        <w:trPr>
          <w:trHeight w:val="118"/>
        </w:trPr>
        <w:tc>
          <w:tcPr>
            <w:tcW w:w="75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7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w w:val="89"/>
              </w:rPr>
              <w:t>2020</w:t>
            </w:r>
          </w:p>
        </w:tc>
      </w:tr>
      <w:tr>
        <w:trPr>
          <w:trHeight w:val="14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Common stock price</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22.48</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16.08</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Risk free interest rate</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0.06 %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0.16 %</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Expected life</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w w:val="99"/>
              </w:rPr>
              <w:t>0.81 years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 years</w:t>
            </w: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Expected volatility</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39.0 %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71.6 %</w:t>
            </w: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Dividend yield</w:t>
            </w: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0 %</w:t>
            </w:r>
          </w:p>
        </w:tc>
      </w:tr>
    </w:tbl>
    <w:p>
      <w:pPr>
        <w:spacing w:after="0" w:line="15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changes in fair value of the warrant liability for the six months ended June 30, 2021 and 2020 were driven by the exercise of outstanding warrants, as well as changes in the price of our common stock and other Black-Scholes model inputs during the respective periods.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Financial Instruments not Measured at Fair Value</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June 19, 2020, we issued $400.0 million aggregate principal amount of senior secured notes that mature on June 1, 2025 (the Notes) and used a portion of the proceeds from the Notes offering to repay the outstanding amount due under our $150 million term loan (2018 Term Loan). At June 30, 2021, the Notes were carried at a cost of $393.9 million, net of unamortized debt issuance costs of $6.1 million, and had a fair value of $459.3 million as assessed under our Level 2 hierarchy. At December 31, 2020, the Notes were carried at a cost of $393.3 million, net of unamortized debt issuance costs of $6.7 million, and had a fair value of $447.1 million.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Debt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Senior Secured Notes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At June 30, 2021, we had $400.0 million aggregate principal amount of senior secured notes outstanding. The Notes were issued pursuant to an indenture dated June 19, 2020 (the Indenture) and bear interest at a rate of 7.375%, payable semi-annually on June 1 and December 1. $244.4 million of proceeds from the Notes offering were contributed to our lead operating subsidiary, NMIC and remaining proceeds were used to repay the outstanding amount due under the 2018 Term Loan due on May 24, 2023 and to pay underwriting fees incurred connection with the offering.</w:t>
      </w:r>
    </w:p>
    <w:p>
      <w:pPr>
        <w:spacing w:after="0" w:line="8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principal value of the Notes plus the present value of all future interest payments.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ind w:right="140" w:firstLine="432"/>
        <w:spacing w:after="0" w:line="342" w:lineRule="auto"/>
        <w:rPr>
          <w:sz w:val="20"/>
          <w:szCs w:val="20"/>
          <w:color w:val="auto"/>
        </w:rPr>
      </w:pPr>
      <w:r>
        <w:rPr>
          <w:rFonts w:ascii="Arial" w:cs="Arial" w:eastAsia="Arial" w:hAnsi="Arial"/>
          <w:sz w:val="10"/>
          <w:szCs w:val="10"/>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June 30, 2021 and December 31, 2020, approximately $6.1 million and $6.7 million, respectively, of unamortized debt issuance costs remained.</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Interest expense for the three and six months ended June 30, 2020 includes $2.6 million of costs related to the extinguishment of the 2018 Term Loan and the issuance of the Notes.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June 30, 2021 and December 31, 2020, $2.5 million of accrued and unpaid interest on the Notes was included in "Accounts Payable and Accrued Expenses" on our condensed consolidated balance sheet.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2020 Revolving Credit Facility</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March 20, 2020, we amended our $85 million three-year secured revolving credit facility (the 2018 Revolving Credit Facility), increasing borrowing capacity under the facility to $100 million, extending its maturity date from May 24, 2021 to February 22, 2023, and reducing the interest cost related to both undrawn commitments and drawn borrowings under the facility (as amended, the 2020 Revolving Credit Facility). Borrowings under the 2020 Revolving Credit Facility may be used for general corporate purposes, including to support the growth of our new business production and operations, and accrue interest at a variable rate equal to, at our discretion, (i) a base rate (as defined in our existing credit agreement (the Credit Agreement), subject to a floor of 1.00% per annum) plus a margin of 0.375% to 1.875% per annum or (ii) the Eurodollar Rate plus a margin of 1.375% to 2.875% per annum, based on the applicable corporate credit rating at the time.</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October 30, 2020, we entered into a Joinder Agreement to the Credit Agreement, increasing the aggregate principal amount of commitments under the 2020 Revolving Credit Facility from $100 million to $110 million. All other terms remained unchanged. As of June 30, 2021, no amounts were drawn under the 2020 Revolving Credit Facility.</w:t>
      </w:r>
    </w:p>
    <w:p>
      <w:pPr>
        <w:spacing w:after="0" w:line="79"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Under the 2020 Revolving Credit Facility, we are required to pay a quarterly commitment fee on the average daily undrawn amount of 0.175% to 0.525%, based on the applicable corporate credit rating at the time. As of June 30, 2021, the applicable commitment fee was 0.35%. For the three and six months ended June 30, 2021, we recorded $0.1 million and $0.2 million of commitment fees in interest expense, respectively.</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incurred debt issuance costs of $0.8 million in connection with the 2020 Revolving Credit Facility and had $0.6 million of unamortized debt issuance costs associated with the 2018 Revolving Credit Facility remaining at the time of its amendment and replacement. Combined unamortized debt issuance will be amortized through interest expense on a straight-line basis over the contractual life of the 2020 Revolving Credit Facility. At June 30, 2021, remaining unamortized deferred debt issuance costs were $0.8 million.</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subject to certain covenants under the 2020 Revolving Credit Facility, including, but not limited to, the following: a maximum debt-to-total capitalization ratio of 35%, a minimum liquidity requirement, compliance with the PMIERs' financial requirements (subject to any GSE approved waivers), and minimum consolidated net worth and statutory capital requirements (respectively, as defined therein). We were in compliance with all covenants at June 30, 2021.</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Reinsurance</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9" w:name="page20"/>
    <w:bookmarkEnd w:id="19"/>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effect of our reinsurance agreements on premiums written and earned is as follows: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7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For the three months ended</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ind w:left="700"/>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4700" w:type="dxa"/>
            <w:vAlign w:val="bottom"/>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June 30, 2021</w:t>
            </w: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4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i w:val="1"/>
                <w:iCs w:val="1"/>
                <w:color w:val="auto"/>
                <w:w w:val="95"/>
              </w:rPr>
              <w:t>(In Thousands)</w:t>
            </w: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55"/>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premiums written</w:t>
            </w: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3"/>
        </w:trPr>
        <w:tc>
          <w:tcPr>
            <w:tcW w:w="4700" w:type="dxa"/>
            <w:vAlign w:val="bottom"/>
          </w:tcPr>
          <w:p>
            <w:pPr>
              <w:ind w:left="80"/>
              <w:spacing w:after="0"/>
              <w:rPr>
                <w:sz w:val="20"/>
                <w:szCs w:val="20"/>
                <w:color w:val="auto"/>
              </w:rPr>
            </w:pPr>
            <w:r>
              <w:rPr>
                <w:rFonts w:ascii="Arial" w:cs="Arial" w:eastAsia="Arial" w:hAnsi="Arial"/>
                <w:sz w:val="12"/>
                <w:szCs w:val="12"/>
                <w:color w:val="auto"/>
              </w:rPr>
              <w:t>Direct</w:t>
            </w:r>
          </w:p>
        </w:tc>
        <w:tc>
          <w:tcPr>
            <w:tcW w:w="1180" w:type="dxa"/>
            <w:vAlign w:val="bottom"/>
          </w:tcPr>
          <w:p>
            <w:pPr>
              <w:jc w:val="right"/>
              <w:ind w:right="1042"/>
              <w:spacing w:after="0"/>
              <w:rPr>
                <w:sz w:val="20"/>
                <w:szCs w:val="20"/>
                <w:color w:val="auto"/>
              </w:rPr>
            </w:pPr>
            <w:r>
              <w:rPr>
                <w:rFonts w:ascii="Arial" w:cs="Arial" w:eastAsia="Arial" w:hAnsi="Arial"/>
                <w:sz w:val="12"/>
                <w:szCs w:val="12"/>
                <w:color w:val="auto"/>
                <w:w w:val="89"/>
              </w:rPr>
              <w:t>$</w:t>
            </w:r>
          </w:p>
        </w:tc>
        <w:tc>
          <w:tcPr>
            <w:tcW w:w="560" w:type="dxa"/>
            <w:vAlign w:val="bottom"/>
          </w:tcPr>
          <w:p>
            <w:pPr>
              <w:ind w:left="120"/>
              <w:spacing w:after="0"/>
              <w:rPr>
                <w:sz w:val="20"/>
                <w:szCs w:val="20"/>
                <w:color w:val="auto"/>
              </w:rPr>
            </w:pPr>
            <w:r>
              <w:rPr>
                <w:rFonts w:ascii="Arial" w:cs="Arial" w:eastAsia="Arial" w:hAnsi="Arial"/>
                <w:sz w:val="12"/>
                <w:szCs w:val="12"/>
                <w:color w:val="auto"/>
                <w:w w:val="96"/>
              </w:rPr>
              <w:t>148,944</w:t>
            </w:r>
          </w:p>
        </w:tc>
        <w:tc>
          <w:tcPr>
            <w:tcW w:w="80" w:type="dxa"/>
            <w:vAlign w:val="bottom"/>
          </w:tcPr>
          <w:p>
            <w:pPr>
              <w:spacing w:after="0"/>
              <w:rPr>
                <w:sz w:val="13"/>
                <w:szCs w:val="13"/>
                <w:color w:val="auto"/>
              </w:rPr>
            </w:pPr>
          </w:p>
        </w:tc>
        <w:tc>
          <w:tcPr>
            <w:tcW w:w="1160" w:type="dxa"/>
            <w:vAlign w:val="bottom"/>
          </w:tcPr>
          <w:p>
            <w:pPr>
              <w:jc w:val="right"/>
              <w:ind w:right="1022"/>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108,478</w:t>
            </w:r>
          </w:p>
        </w:tc>
        <w:tc>
          <w:tcPr>
            <w:tcW w:w="10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Pr>
          <w:p>
            <w:pPr>
              <w:ind w:left="740"/>
              <w:spacing w:after="0"/>
              <w:rPr>
                <w:sz w:val="20"/>
                <w:szCs w:val="20"/>
                <w:color w:val="auto"/>
              </w:rPr>
            </w:pPr>
            <w:r>
              <w:rPr>
                <w:rFonts w:ascii="Arial" w:cs="Arial" w:eastAsia="Arial" w:hAnsi="Arial"/>
                <w:sz w:val="12"/>
                <w:szCs w:val="12"/>
                <w:color w:val="auto"/>
                <w:w w:val="96"/>
              </w:rPr>
              <w:t>285,176</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Pr>
          <w:p>
            <w:pPr>
              <w:ind w:left="740"/>
              <w:spacing w:after="0"/>
              <w:rPr>
                <w:sz w:val="20"/>
                <w:szCs w:val="20"/>
                <w:color w:val="auto"/>
              </w:rPr>
            </w:pPr>
            <w:r>
              <w:rPr>
                <w:rFonts w:ascii="Arial" w:cs="Arial" w:eastAsia="Arial" w:hAnsi="Arial"/>
                <w:sz w:val="12"/>
                <w:szCs w:val="12"/>
                <w:color w:val="auto"/>
                <w:w w:val="96"/>
              </w:rPr>
              <w:t>211,931</w:t>
            </w:r>
          </w:p>
        </w:tc>
      </w:tr>
      <w:tr>
        <w:trPr>
          <w:trHeight w:val="153"/>
        </w:trPr>
        <w:tc>
          <w:tcPr>
            <w:tcW w:w="4700" w:type="dxa"/>
            <w:vAlign w:val="bottom"/>
            <w:shd w:val="clear" w:color="auto" w:fill="CCEEFF"/>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w w:val="93"/>
              </w:rPr>
              <w:t>(22,302)</w:t>
            </w:r>
          </w:p>
        </w:tc>
        <w:tc>
          <w:tcPr>
            <w:tcW w:w="8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(18,369)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93"/>
              </w:rPr>
              <w:t>(42,719)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93"/>
              </w:rPr>
              <w:t>(30,451)</w:t>
            </w:r>
          </w:p>
        </w:tc>
      </w:tr>
      <w:tr>
        <w:trPr>
          <w:trHeight w:val="158"/>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premiums written</w:t>
            </w:r>
          </w:p>
        </w:tc>
        <w:tc>
          <w:tcPr>
            <w:tcW w:w="1180" w:type="dxa"/>
            <w:vAlign w:val="bottom"/>
            <w:tcBorders>
              <w:bottom w:val="single" w:sz="8" w:color="auto"/>
            </w:tcBorders>
          </w:tcPr>
          <w:p>
            <w:pPr>
              <w:jc w:val="right"/>
              <w:ind w:right="104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6"/>
              </w:rPr>
              <w:t>126,642</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0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90,109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96"/>
              </w:rPr>
              <w:t>242,457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96"/>
              </w:rPr>
              <w:t>181,480</w:t>
            </w:r>
          </w:p>
        </w:tc>
      </w:tr>
      <w:tr>
        <w:trPr>
          <w:trHeight w:val="162"/>
        </w:trPr>
        <w:tc>
          <w:tcPr>
            <w:tcW w:w="47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4700" w:type="dxa"/>
            <w:vAlign w:val="bottom"/>
          </w:tcPr>
          <w:p>
            <w:pPr>
              <w:spacing w:after="0"/>
              <w:rPr>
                <w:sz w:val="20"/>
                <w:szCs w:val="20"/>
                <w:color w:val="auto"/>
              </w:rPr>
            </w:pPr>
            <w:r>
              <w:rPr>
                <w:rFonts w:ascii="Arial" w:cs="Arial" w:eastAsia="Arial" w:hAnsi="Arial"/>
                <w:sz w:val="12"/>
                <w:szCs w:val="12"/>
                <w:color w:val="auto"/>
              </w:rPr>
              <w:t>Net premiums earned</w:t>
            </w: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4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w:t>
            </w:r>
          </w:p>
        </w:tc>
        <w:tc>
          <w:tcPr>
            <w:tcW w:w="1180" w:type="dxa"/>
            <w:vAlign w:val="bottom"/>
            <w:shd w:val="clear" w:color="auto" w:fill="CCEEFF"/>
          </w:tcPr>
          <w:p>
            <w:pPr>
              <w:jc w:val="right"/>
              <w:ind w:right="104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6"/>
              </w:rPr>
              <w:t>134,203</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22"/>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120,150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ind w:left="740"/>
              <w:spacing w:after="0"/>
              <w:rPr>
                <w:sz w:val="20"/>
                <w:szCs w:val="20"/>
                <w:color w:val="auto"/>
              </w:rPr>
            </w:pPr>
            <w:r>
              <w:rPr>
                <w:rFonts w:ascii="Arial" w:cs="Arial" w:eastAsia="Arial" w:hAnsi="Arial"/>
                <w:sz w:val="12"/>
                <w:szCs w:val="12"/>
                <w:color w:val="auto"/>
                <w:w w:val="96"/>
              </w:rPr>
              <w:t>261,846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ind w:left="740"/>
              <w:spacing w:after="0"/>
              <w:rPr>
                <w:sz w:val="20"/>
                <w:szCs w:val="20"/>
                <w:color w:val="auto"/>
              </w:rPr>
            </w:pPr>
            <w:r>
              <w:rPr>
                <w:rFonts w:ascii="Arial" w:cs="Arial" w:eastAsia="Arial" w:hAnsi="Arial"/>
                <w:sz w:val="12"/>
                <w:szCs w:val="12"/>
                <w:color w:val="auto"/>
                <w:w w:val="96"/>
              </w:rPr>
              <w:t>233,337</w:t>
            </w:r>
          </w:p>
        </w:tc>
      </w:tr>
      <w:tr>
        <w:trPr>
          <w:trHeight w:val="153"/>
        </w:trPr>
        <w:tc>
          <w:tcPr>
            <w:tcW w:w="470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2"/>
                <w:szCs w:val="12"/>
                <w:color w:val="auto"/>
              </w:rPr>
              <w:t xml:space="preserve">Ceded </w:t>
            </w:r>
            <w:r>
              <w:rPr>
                <w:rFonts w:ascii="Arial" w:cs="Arial" w:eastAsia="Arial" w:hAnsi="Arial"/>
                <w:sz w:val="15"/>
                <w:szCs w:val="15"/>
                <w:color w:val="auto"/>
                <w:vertAlign w:val="superscript"/>
              </w:rPr>
              <w:t>(1)</w:t>
            </w: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3"/>
              </w:rPr>
              <w:t>(23,315)</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(21,206)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93"/>
              </w:rPr>
              <w:t>(45,079)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740"/>
              <w:spacing w:after="0"/>
              <w:rPr>
                <w:sz w:val="20"/>
                <w:szCs w:val="20"/>
                <w:color w:val="auto"/>
              </w:rPr>
            </w:pPr>
            <w:r>
              <w:rPr>
                <w:rFonts w:ascii="Arial" w:cs="Arial" w:eastAsia="Arial" w:hAnsi="Arial"/>
                <w:sz w:val="12"/>
                <w:szCs w:val="12"/>
                <w:color w:val="auto"/>
                <w:w w:val="93"/>
              </w:rPr>
              <w:t>(35,676)</w:t>
            </w:r>
          </w:p>
        </w:tc>
      </w:tr>
      <w:tr>
        <w:trPr>
          <w:trHeight w:val="158"/>
        </w:trPr>
        <w:tc>
          <w:tcPr>
            <w:tcW w:w="4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premiums earned</w:t>
            </w:r>
          </w:p>
        </w:tc>
        <w:tc>
          <w:tcPr>
            <w:tcW w:w="118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w w:val="96"/>
              </w:rPr>
              <w:t>110,888</w:t>
            </w: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98,944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96"/>
              </w:rPr>
              <w:t>216,767</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2"/>
                <w:szCs w:val="12"/>
                <w:color w:val="auto"/>
                <w:w w:val="96"/>
              </w:rPr>
              <w:t>197,661</w:t>
            </w:r>
          </w:p>
        </w:tc>
      </w:tr>
    </w:tbl>
    <w:p>
      <w:pPr>
        <w:spacing w:after="0" w:line="142" w:lineRule="exact"/>
        <w:rPr>
          <w:sz w:val="20"/>
          <w:szCs w:val="20"/>
          <w:color w:val="auto"/>
        </w:rPr>
      </w:pPr>
    </w:p>
    <w:p>
      <w:pPr>
        <w:ind w:left="168" w:hanging="168"/>
        <w:spacing w:after="0"/>
        <w:tabs>
          <w:tab w:leader="none" w:pos="168" w:val="left"/>
        </w:tabs>
        <w:numPr>
          <w:ilvl w:val="0"/>
          <w:numId w:val="7"/>
        </w:numPr>
        <w:rPr>
          <w:rFonts w:ascii="Arial" w:cs="Arial" w:eastAsia="Arial" w:hAnsi="Arial"/>
          <w:sz w:val="12"/>
          <w:szCs w:val="12"/>
          <w:color w:val="auto"/>
          <w:vertAlign w:val="superscript"/>
        </w:rPr>
      </w:pPr>
      <w:r>
        <w:rPr>
          <w:rFonts w:ascii="Arial" w:cs="Arial" w:eastAsia="Arial" w:hAnsi="Arial"/>
          <w:sz w:val="10"/>
          <w:szCs w:val="10"/>
          <w:color w:val="auto"/>
        </w:rPr>
        <w:t>Net of profit commission.</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8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makes risk premium payments to the Oaktown Re Vehicles for the applicable outstanding reinsurance coverage amount and pays an additional amount for anticipated operating expenses (capped at $250 thousand per year, except with respect to Oaktown Re Ltd., for which the cap is $300 thousand per year). NMIC ceded aggregate premiums to the Oaktown Re Vehicles of $10.2 million and $19.6 million during the three and six months ended June 30, 2021, respectively, and $3.3 million and $7.1 million during the three and six months ended June 30, 2020, respectively. The increase in premiums ceded during the respective periods year-on-year is due to the inception of the excess-of-loss reinsurance agreements that NMIC entered in with Oaktown Re IV Ltd., Oaktown Re V Ltd. and Oaktown Re VI Ltd.</w:t>
      </w:r>
    </w:p>
    <w:p>
      <w:pPr>
        <w:spacing w:after="0" w:line="88"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NMIC applies claims paid on covered policies against its first layer aggregate retained loss exposure under each excess-of-loss agreement. NMIC did not cede any incurred losses on covered policies to the Oaktown Re Vehicles during the three and six months ended June 30, 2021 and 2020, as the aggregate first layer risk retention for each applicable agreement was not exhausted during such periods.</w:t>
      </w:r>
    </w:p>
    <w:p>
      <w:pPr>
        <w:spacing w:after="0" w:line="79"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which have a 12.5 year maturity). We refer to NMIC's reinsurance agreements with and the insurance-linked note issuances by the Oaktown Re Vehicles individually as the 2017 ILN Transaction, 2018 ILN Transaction, 2019 ILN Transaction, 2020-1 ILN Transaction, 2020-2 ILN Transaction and 2021-1 ILN Transaction, and collectively as the ILN Transactions.</w:t>
      </w:r>
    </w:p>
    <w:p>
      <w:pPr>
        <w:spacing w:after="0" w:line="83" w:lineRule="exact"/>
        <w:rPr>
          <w:sz w:val="20"/>
          <w:szCs w:val="20"/>
          <w:color w:val="auto"/>
        </w:rPr>
      </w:pPr>
    </w:p>
    <w:p>
      <w:pPr>
        <w:jc w:val="both"/>
        <w:ind w:left="8" w:firstLine="432"/>
        <w:spacing w:after="0" w:line="249" w:lineRule="auto"/>
        <w:rPr>
          <w:sz w:val="20"/>
          <w:szCs w:val="20"/>
          <w:color w:val="auto"/>
        </w:rPr>
      </w:pPr>
      <w:r>
        <w:rPr>
          <w:rFonts w:ascii="Arial" w:cs="Arial" w:eastAsia="Arial" w:hAnsi="Arial"/>
          <w:sz w:val="11"/>
          <w:szCs w:val="11"/>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which decreases over a 12.5 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 of the 2021-1 ILN Transaction (related to the initial build of its target credit enhancement), and the amortization of reinsurance</w:t>
      </w:r>
    </w:p>
    <w:p>
      <w:pPr>
        <w:spacing w:after="0" w:line="200" w:lineRule="exact"/>
        <w:rPr>
          <w:sz w:val="20"/>
          <w:szCs w:val="20"/>
          <w:color w:val="auto"/>
        </w:rPr>
      </w:pP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0" w:name="page21"/>
    <w:bookmarkEnd w:id="20"/>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2" w:lineRule="exact"/>
        <w:rPr>
          <w:sz w:val="20"/>
          <w:szCs w:val="20"/>
          <w:color w:val="auto"/>
        </w:rPr>
      </w:pPr>
    </w:p>
    <w:p>
      <w:pPr>
        <w:jc w:val="both"/>
        <w:ind w:left="8"/>
        <w:spacing w:after="0" w:line="234" w:lineRule="auto"/>
        <w:rPr>
          <w:sz w:val="20"/>
          <w:szCs w:val="20"/>
          <w:color w:val="auto"/>
        </w:rPr>
      </w:pPr>
      <w:r>
        <w:rPr>
          <w:rFonts w:ascii="Arial" w:cs="Arial" w:eastAsia="Arial" w:hAnsi="Arial"/>
          <w:sz w:val="12"/>
          <w:szCs w:val="12"/>
          <w:color w:val="auto"/>
        </w:rPr>
        <w:t>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145"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initial and current reinsurance coverage amount, and initial and current first layer retained aggregate loss under each of the ILN Transactions. Current amounts are presented as of June 30, 2021.</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40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6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100" w:type="dxa"/>
            <w:vAlign w:val="bottom"/>
            <w:vMerge w:val="restart"/>
          </w:tcPr>
          <w:p>
            <w:pPr>
              <w:spacing w:after="0"/>
              <w:rPr>
                <w:sz w:val="10"/>
                <w:szCs w:val="10"/>
                <w:color w:val="auto"/>
              </w:rPr>
            </w:pPr>
          </w:p>
        </w:tc>
        <w:tc>
          <w:tcPr>
            <w:tcW w:w="2260" w:type="dxa"/>
            <w:vAlign w:val="bottom"/>
            <w:vMerge w:val="restart"/>
          </w:tcPr>
          <w:p>
            <w:pPr>
              <w:ind w:left="720"/>
              <w:spacing w:after="0"/>
              <w:rPr>
                <w:sz w:val="20"/>
                <w:szCs w:val="20"/>
                <w:color w:val="auto"/>
              </w:rPr>
            </w:pPr>
            <w:r>
              <w:rPr>
                <w:rFonts w:ascii="Arial" w:cs="Arial" w:eastAsia="Arial" w:hAnsi="Arial"/>
                <w:sz w:val="10"/>
                <w:szCs w:val="10"/>
                <w:b w:val="1"/>
                <w:bCs w:val="1"/>
                <w:color w:val="auto"/>
              </w:rPr>
              <w:t>Covered Production</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b w:val="1"/>
                <w:bCs w:val="1"/>
                <w:color w:val="auto"/>
              </w:rPr>
              <w:t>Initial Reinsurance</w:t>
            </w:r>
          </w:p>
        </w:tc>
        <w:tc>
          <w:tcPr>
            <w:tcW w:w="100" w:type="dxa"/>
            <w:vAlign w:val="bottom"/>
          </w:tcPr>
          <w:p>
            <w:pPr>
              <w:spacing w:after="0"/>
              <w:rPr>
                <w:sz w:val="10"/>
                <w:szCs w:val="10"/>
                <w:color w:val="auto"/>
              </w:rPr>
            </w:pPr>
          </w:p>
        </w:tc>
        <w:tc>
          <w:tcPr>
            <w:tcW w:w="1060" w:type="dxa"/>
            <w:vAlign w:val="bottom"/>
            <w:gridSpan w:val="2"/>
          </w:tcPr>
          <w:p>
            <w:pPr>
              <w:spacing w:after="0"/>
              <w:rPr>
                <w:sz w:val="20"/>
                <w:szCs w:val="20"/>
                <w:color w:val="auto"/>
              </w:rPr>
            </w:pPr>
            <w:r>
              <w:rPr>
                <w:rFonts w:ascii="Arial" w:cs="Arial" w:eastAsia="Arial" w:hAnsi="Arial"/>
                <w:sz w:val="10"/>
                <w:szCs w:val="10"/>
                <w:b w:val="1"/>
                <w:bCs w:val="1"/>
                <w:color w:val="auto"/>
              </w:rPr>
              <w:t>Current Reinsurance</w:t>
            </w:r>
          </w:p>
        </w:tc>
        <w:tc>
          <w:tcPr>
            <w:tcW w:w="12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Initial First Layer</w:t>
            </w:r>
          </w:p>
        </w:tc>
        <w:tc>
          <w:tcPr>
            <w:tcW w:w="1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0"/>
              </w:rPr>
              <w:t>Current First Layer Retained</w:t>
            </w:r>
          </w:p>
        </w:tc>
        <w:tc>
          <w:tcPr>
            <w:tcW w:w="0" w:type="dxa"/>
            <w:vAlign w:val="bottom"/>
          </w:tcPr>
          <w:p>
            <w:pPr>
              <w:spacing w:after="0"/>
              <w:rPr>
                <w:sz w:val="1"/>
                <w:szCs w:val="1"/>
                <w:color w:val="auto"/>
              </w:rPr>
            </w:pPr>
          </w:p>
        </w:tc>
      </w:tr>
      <w:tr>
        <w:trPr>
          <w:trHeight w:val="126"/>
        </w:trPr>
        <w:tc>
          <w:tcPr>
            <w:tcW w:w="2400" w:type="dxa"/>
            <w:vAlign w:val="bottom"/>
            <w:tcBorders>
              <w:bottom w:val="single" w:sz="8" w:color="CCEEFF"/>
            </w:tcBorders>
            <w:gridSpan w:val="2"/>
            <w:vMerge w:val="continue"/>
          </w:tcPr>
          <w:p>
            <w:pPr>
              <w:spacing w:after="0"/>
              <w:rPr>
                <w:sz w:val="10"/>
                <w:szCs w:val="10"/>
                <w:color w:val="auto"/>
              </w:rPr>
            </w:pPr>
          </w:p>
        </w:tc>
        <w:tc>
          <w:tcPr>
            <w:tcW w:w="162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2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Coverage</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Coverage</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Retained Loss</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2"/>
              <w:spacing w:after="0" w:line="126" w:lineRule="exact"/>
              <w:rPr>
                <w:sz w:val="20"/>
                <w:szCs w:val="20"/>
                <w:color w:val="auto"/>
              </w:rPr>
            </w:pPr>
            <w:r>
              <w:rPr>
                <w:rFonts w:ascii="Arial" w:cs="Arial" w:eastAsia="Arial" w:hAnsi="Arial"/>
                <w:sz w:val="10"/>
                <w:szCs w:val="10"/>
                <w:b w:val="1"/>
                <w:bCs w:val="1"/>
                <w:color w:val="auto"/>
              </w:rPr>
              <w:t xml:space="preserve">Loss </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142"/>
        </w:trPr>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2017 ILN Transaction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3"/>
              </w:rPr>
              <w:t>May 2, 2017</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1/1/2013 - 12/31/2016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211,320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126,793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121,234</w:t>
            </w: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rPr>
                <w:sz w:val="20"/>
                <w:szCs w:val="20"/>
                <w:color w:val="auto"/>
              </w:rPr>
            </w:pPr>
            <w:r>
              <w:rPr>
                <w:rFonts w:ascii="Arial" w:cs="Arial" w:eastAsia="Arial" w:hAnsi="Arial"/>
                <w:sz w:val="12"/>
                <w:szCs w:val="12"/>
                <w:color w:val="auto"/>
              </w:rPr>
              <w:t>2018 ILN Transaction</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July 25, 2018</w:t>
            </w:r>
          </w:p>
        </w:tc>
        <w:tc>
          <w:tcPr>
            <w:tcW w:w="226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264,545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158,489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125,312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122,937</w:t>
            </w:r>
          </w:p>
        </w:tc>
        <w:tc>
          <w:tcPr>
            <w:tcW w:w="0" w:type="dxa"/>
            <w:vAlign w:val="bottom"/>
          </w:tcPr>
          <w:p>
            <w:pPr>
              <w:spacing w:after="0"/>
              <w:rPr>
                <w:sz w:val="1"/>
                <w:szCs w:val="1"/>
                <w:color w:val="auto"/>
              </w:rPr>
            </w:pPr>
          </w:p>
        </w:tc>
      </w:tr>
      <w:tr>
        <w:trPr>
          <w:trHeight w:val="153"/>
        </w:trPr>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2019 ILN Transaction</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2"/>
              </w:rPr>
              <w:t>July 30, 2019</w:t>
            </w:r>
          </w:p>
        </w:tc>
        <w:tc>
          <w:tcPr>
            <w:tcW w:w="22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326,905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231,877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123,424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122,757</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w w:val="90"/>
              </w:rPr>
              <w:t>2020-1</w:t>
            </w:r>
          </w:p>
        </w:tc>
        <w:tc>
          <w:tcPr>
            <w:tcW w:w="2040" w:type="dxa"/>
            <w:vAlign w:val="bottom"/>
          </w:tcPr>
          <w:p>
            <w:pPr>
              <w:ind w:left="20"/>
              <w:spacing w:after="0"/>
              <w:rPr>
                <w:sz w:val="20"/>
                <w:szCs w:val="20"/>
                <w:color w:val="auto"/>
              </w:rPr>
            </w:pPr>
            <w:r>
              <w:rPr>
                <w:rFonts w:ascii="Arial" w:cs="Arial" w:eastAsia="Arial" w:hAnsi="Arial"/>
                <w:sz w:val="12"/>
                <w:szCs w:val="12"/>
                <w:color w:val="auto"/>
              </w:rPr>
              <w:t>ILN Transaction</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July 30, 2020</w:t>
            </w:r>
          </w:p>
        </w:tc>
        <w:tc>
          <w:tcPr>
            <w:tcW w:w="226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322,076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128,750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169,514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169,488</w:t>
            </w: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90"/>
              </w:rPr>
              <w:t>2020-2</w:t>
            </w:r>
          </w:p>
        </w:tc>
        <w:tc>
          <w:tcPr>
            <w:tcW w:w="2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ILN Transaction</w:t>
            </w:r>
          </w:p>
        </w:tc>
        <w:tc>
          <w:tcPr>
            <w:tcW w:w="172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0"/>
              </w:rPr>
              <w:t>October 29, 2020</w:t>
            </w:r>
          </w:p>
        </w:tc>
        <w:tc>
          <w:tcPr>
            <w:tcW w:w="226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242,351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205,846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121,777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121,177</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20"/>
                <w:szCs w:val="20"/>
                <w:color w:val="auto"/>
              </w:rPr>
            </w:pPr>
            <w:r>
              <w:rPr>
                <w:rFonts w:ascii="Arial" w:cs="Arial" w:eastAsia="Arial" w:hAnsi="Arial"/>
                <w:sz w:val="12"/>
                <w:szCs w:val="12"/>
                <w:color w:val="auto"/>
                <w:w w:val="90"/>
              </w:rPr>
              <w:t>2021-1</w:t>
            </w:r>
          </w:p>
        </w:tc>
        <w:tc>
          <w:tcPr>
            <w:tcW w:w="2040" w:type="dxa"/>
            <w:vAlign w:val="bottom"/>
          </w:tcPr>
          <w:p>
            <w:pPr>
              <w:ind w:left="20"/>
              <w:spacing w:after="0"/>
              <w:rPr>
                <w:sz w:val="20"/>
                <w:szCs w:val="20"/>
                <w:color w:val="auto"/>
              </w:rPr>
            </w:pPr>
            <w:r>
              <w:rPr>
                <w:rFonts w:ascii="Arial" w:cs="Arial" w:eastAsia="Arial" w:hAnsi="Arial"/>
                <w:sz w:val="12"/>
                <w:szCs w:val="12"/>
                <w:color w:val="auto"/>
              </w:rPr>
              <w:t xml:space="preserve">ILN Transaction </w:t>
            </w:r>
            <w:r>
              <w:rPr>
                <w:rFonts w:ascii="Arial" w:cs="Arial" w:eastAsia="Arial" w:hAnsi="Arial"/>
                <w:sz w:val="15"/>
                <w:szCs w:val="15"/>
                <w:color w:val="auto"/>
                <w:vertAlign w:val="superscript"/>
              </w:rPr>
              <w:t>(4)</w:t>
            </w:r>
          </w:p>
        </w:tc>
        <w:tc>
          <w:tcPr>
            <w:tcW w:w="1720" w:type="dxa"/>
            <w:vAlign w:val="bottom"/>
            <w:gridSpan w:val="2"/>
          </w:tcPr>
          <w:p>
            <w:pPr>
              <w:jc w:val="center"/>
              <w:ind w:right="100"/>
              <w:spacing w:after="0"/>
              <w:rPr>
                <w:sz w:val="20"/>
                <w:szCs w:val="20"/>
                <w:color w:val="auto"/>
              </w:rPr>
            </w:pPr>
            <w:r>
              <w:rPr>
                <w:rFonts w:ascii="Arial" w:cs="Arial" w:eastAsia="Arial" w:hAnsi="Arial"/>
                <w:sz w:val="12"/>
                <w:szCs w:val="12"/>
                <w:color w:val="auto"/>
                <w:w w:val="94"/>
              </w:rPr>
              <w:t>April 27, 2021</w:t>
            </w:r>
          </w:p>
        </w:tc>
        <w:tc>
          <w:tcPr>
            <w:tcW w:w="2260" w:type="dxa"/>
            <w:vAlign w:val="bottom"/>
          </w:tcPr>
          <w:p>
            <w:pPr>
              <w:jc w:val="center"/>
              <w:spacing w:after="0"/>
              <w:rPr>
                <w:sz w:val="20"/>
                <w:szCs w:val="20"/>
                <w:color w:val="auto"/>
              </w:rPr>
            </w:pPr>
            <w:r>
              <w:rPr>
                <w:rFonts w:ascii="Arial" w:cs="Arial" w:eastAsia="Arial" w:hAnsi="Arial"/>
                <w:sz w:val="12"/>
                <w:szCs w:val="12"/>
                <w:color w:val="auto"/>
                <w:w w:val="89"/>
              </w:rPr>
              <w:t>10/1/2020 - 3/31/2021</w:t>
            </w:r>
            <w:r>
              <w:rPr>
                <w:rFonts w:ascii="Arial" w:cs="Arial" w:eastAsia="Arial" w:hAnsi="Arial"/>
                <w:sz w:val="15"/>
                <w:szCs w:val="15"/>
                <w:color w:val="auto"/>
                <w:w w:val="89"/>
                <w:vertAlign w:val="superscript"/>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367,238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367,238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163,708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163,708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08" w:right="20" w:hanging="208"/>
        <w:spacing w:after="0" w:line="212" w:lineRule="auto"/>
        <w:tabs>
          <w:tab w:leader="none" w:pos="160"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188" w:hanging="188"/>
        <w:spacing w:after="0" w:line="187" w:lineRule="auto"/>
        <w:tabs>
          <w:tab w:leader="none" w:pos="188"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2020-2 ILN Transaction has coverage reporting dates between July 1, 2019 and March 31, 2020.</w:t>
      </w:r>
    </w:p>
    <w:p>
      <w:pPr>
        <w:ind w:left="128" w:hanging="128"/>
        <w:spacing w:after="0" w:line="187" w:lineRule="auto"/>
        <w:tabs>
          <w:tab w:leader="none" w:pos="128"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2021-1 ILN Transaction has coverage reporting dates between July 1, 2019 and September 30, 2020.</w:t>
      </w:r>
    </w:p>
    <w:p>
      <w:pPr>
        <w:ind w:left="128" w:hanging="128"/>
        <w:spacing w:after="0" w:line="197" w:lineRule="auto"/>
        <w:tabs>
          <w:tab w:leader="none" w:pos="128" w:val="left"/>
        </w:tabs>
        <w:numPr>
          <w:ilvl w:val="0"/>
          <w:numId w:val="8"/>
        </w:numPr>
        <w:rPr>
          <w:rFonts w:ascii="Arial" w:cs="Arial" w:eastAsia="Arial" w:hAnsi="Arial"/>
          <w:sz w:val="12"/>
          <w:szCs w:val="12"/>
          <w:color w:val="auto"/>
          <w:vertAlign w:val="superscript"/>
        </w:rPr>
      </w:pPr>
      <w:r>
        <w:rPr>
          <w:rFonts w:ascii="Arial" w:cs="Arial" w:eastAsia="Arial" w:hAnsi="Arial"/>
          <w:sz w:val="10"/>
          <w:szCs w:val="10"/>
          <w:color w:val="auto"/>
        </w:rPr>
        <w:t>As of June 30, 2021, the current reinsurance coverage amount on the 2021-1 ILN transaction is equal to the initial reinsurance coverage, as the reinsurance coverage provided by Oaktown Re will not decrease until its target credit enhancement is met.</w:t>
      </w:r>
    </w:p>
    <w:p>
      <w:pPr>
        <w:spacing w:after="0" w:line="98" w:lineRule="exact"/>
        <w:rPr>
          <w:sz w:val="20"/>
          <w:szCs w:val="20"/>
          <w:color w:val="auto"/>
        </w:rPr>
      </w:pPr>
    </w:p>
    <w:p>
      <w:pPr>
        <w:jc w:val="both"/>
        <w:ind w:left="8" w:firstLine="432"/>
        <w:spacing w:after="0" w:line="243" w:lineRule="auto"/>
        <w:rPr>
          <w:sz w:val="20"/>
          <w:szCs w:val="20"/>
          <w:color w:val="auto"/>
        </w:rPr>
      </w:pPr>
      <w:r>
        <w:rPr>
          <w:rFonts w:ascii="Arial" w:cs="Arial" w:eastAsia="Arial" w:hAnsi="Arial"/>
          <w:sz w:val="12"/>
          <w:szCs w:val="12"/>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8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Under the terms of the 2018, 2019 and 2020-1 ILN Transactions, we are required to maintain a certain level of restricted funds in premium deposit accounts with Bank of New York Mellon until the respective notes have been redeemed in full. "Cash and cash equivalents" on our condensed consolidated balance sheet includes restricted amounts of $4.2 million and $5.6 million as of June 30, 2021 and December 31, 2020, respectively. We are not required to deposit additional funds into the premium deposit accounts in the future and the restricted balances required under these transactions will decline over time as the outstanding principal balance of the respective insurance-linked notes are amortized.</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 is party to four outstanding quota share reinsurance treaties - the 2016 QSR Transaction, effective September 1, 2016, the 2018 QSR Transaction, effective January 1, 2018, the 2020 QSR Transaction, effective April 1, 2020, and the 2021 QSR Transaction, effective January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1"/>
          <w:szCs w:val="11"/>
          <w:color w:val="212529"/>
        </w:rPr>
        <w:t>The 2016 QSR Transaction is scheduled to terminate on December 31, 2027, except with respect to the ceded pool risk, which is scheduled to terminate on August 31, 2023. NMIC has the option, based on</w:t>
      </w:r>
      <w:r>
        <w:rPr>
          <w:rFonts w:ascii="Arial" w:cs="Arial" w:eastAsia="Arial" w:hAnsi="Arial"/>
          <w:sz w:val="11"/>
          <w:szCs w:val="11"/>
          <w:color w:val="auto"/>
        </w:rPr>
        <w:t xml:space="preserve"> </w:t>
      </w:r>
      <w:r>
        <w:rPr>
          <w:rFonts w:ascii="Arial" w:cs="Arial" w:eastAsia="Arial" w:hAnsi="Arial"/>
          <w:sz w:val="11"/>
          <w:szCs w:val="11"/>
          <w:color w:val="212529"/>
        </w:rPr>
        <w:t>certain conditions and subject to a termination fee, to terminate the agreement as of December 31, 2020, or at the end of any calendar quarter thereafter, which would result in NMIC recapturing the related risk.</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recapturing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recapturing the related risk.</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2021 QSR Transaction, NMIC cedes premiums earned related to 22.5% of the risk on eligible policies written in 2021 (subject to an aggregate risk written limit).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140" w:lineRule="exact"/>
        <w:rPr>
          <w:sz w:val="20"/>
          <w:szCs w:val="20"/>
          <w:color w:val="auto"/>
        </w:rPr>
      </w:pPr>
    </w:p>
    <w:p>
      <w:pPr>
        <w:jc w:val="both"/>
        <w:ind w:firstLine="432"/>
        <w:spacing w:after="0" w:line="241" w:lineRule="auto"/>
        <w:rPr>
          <w:sz w:val="20"/>
          <w:szCs w:val="20"/>
          <w:color w:val="auto"/>
        </w:rPr>
      </w:pPr>
      <w:r>
        <w:rPr>
          <w:rFonts w:ascii="Arial" w:cs="Arial" w:eastAsia="Arial" w:hAnsi="Arial"/>
          <w:sz w:val="12"/>
          <w:szCs w:val="12"/>
          <w:color w:val="auto"/>
        </w:rPr>
        <w:t>NMIC may terminate any or all of the QSR Transactions without penalty if, due to a change in PMIERs requirements, it is no longer able to take full PMIERs asset credit for the risk-in-force (RIF) ceded under the respective agreements. Additionally, under the terms of the QSR Transactions, NMIC may elect to selectively terminate its engagement with individual reinsurers on a run-off basis (</w:t>
      </w:r>
      <w:r>
        <w:rPr>
          <w:rFonts w:ascii="Arial" w:cs="Arial" w:eastAsia="Arial" w:hAnsi="Arial"/>
          <w:sz w:val="12"/>
          <w:szCs w:val="12"/>
          <w:i w:val="1"/>
          <w:iCs w:val="1"/>
          <w:color w:val="auto"/>
        </w:rPr>
        <w:t>i.e.</w:t>
      </w:r>
      <w:r>
        <w:rPr>
          <w:rFonts w:ascii="Arial" w:cs="Arial" w:eastAsia="Arial" w:hAnsi="Arial"/>
          <w:sz w:val="12"/>
          <w:szCs w:val="12"/>
          <w:color w:val="auto"/>
        </w:rPr>
        <w:t>, reinsurers continue providing coverage on all risk ceded prior to the termination date, with no new cessions going forward) or cut-off basis (</w:t>
      </w:r>
      <w:r>
        <w:rPr>
          <w:rFonts w:ascii="Arial" w:cs="Arial" w:eastAsia="Arial" w:hAnsi="Arial"/>
          <w:sz w:val="12"/>
          <w:szCs w:val="12"/>
          <w:i w:val="1"/>
          <w:iCs w:val="1"/>
          <w:color w:val="auto"/>
        </w:rPr>
        <w:t>i.e.</w:t>
      </w:r>
      <w:r>
        <w:rPr>
          <w:rFonts w:ascii="Arial" w:cs="Arial" w:eastAsia="Arial" w:hAnsi="Arial"/>
          <w:sz w:val="12"/>
          <w:szCs w:val="12"/>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9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amounts related to the QSR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00" w:type="dxa"/>
            <w:vAlign w:val="bottom"/>
            <w:gridSpan w:val="4"/>
          </w:tcPr>
          <w:p>
            <w:pPr>
              <w:ind w:left="700"/>
              <w:spacing w:after="0"/>
              <w:rPr>
                <w:sz w:val="20"/>
                <w:szCs w:val="20"/>
                <w:color w:val="auto"/>
              </w:rPr>
            </w:pPr>
            <w:r>
              <w:rPr>
                <w:rFonts w:ascii="Arial" w:cs="Arial" w:eastAsia="Arial" w:hAnsi="Arial"/>
                <w:sz w:val="10"/>
                <w:szCs w:val="10"/>
                <w:b w:val="1"/>
                <w:bCs w:val="1"/>
                <w:color w:val="auto"/>
              </w:rPr>
              <w:t>For the three months ended</w:t>
            </w:r>
          </w:p>
        </w:tc>
        <w:tc>
          <w:tcPr>
            <w:tcW w:w="360" w:type="dxa"/>
            <w:vAlign w:val="bottom"/>
          </w:tcPr>
          <w:p>
            <w:pPr>
              <w:spacing w:after="0"/>
              <w:rPr>
                <w:sz w:val="11"/>
                <w:szCs w:val="11"/>
                <w:color w:val="auto"/>
              </w:rPr>
            </w:pPr>
          </w:p>
        </w:tc>
        <w:tc>
          <w:tcPr>
            <w:tcW w:w="2720" w:type="dxa"/>
            <w:vAlign w:val="bottom"/>
            <w:gridSpan w:val="3"/>
          </w:tcPr>
          <w:p>
            <w:pPr>
              <w:jc w:val="right"/>
              <w:ind w:right="962"/>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504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June 30, 2021</w:t>
            </w:r>
          </w:p>
        </w:tc>
        <w:tc>
          <w:tcPr>
            <w:tcW w:w="32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w w:val="98"/>
              </w:rPr>
              <w:t>June 30, 2021</w:t>
            </w:r>
          </w:p>
        </w:tc>
        <w:tc>
          <w:tcPr>
            <w:tcW w:w="32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5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0"/>
                <w:szCs w:val="10"/>
                <w:i w:val="1"/>
                <w:iCs w:val="1"/>
                <w:color w:val="auto"/>
              </w:rPr>
              <w:t>(In Thousands)</w:t>
            </w:r>
          </w:p>
        </w:tc>
        <w:tc>
          <w:tcPr>
            <w:tcW w:w="1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55"/>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Ceded risk-in-force</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7,113,707</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4,563,676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7,113,707</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4,563,676</w:t>
            </w: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Ceded premiums earned</w:t>
            </w:r>
          </w:p>
        </w:tc>
        <w:tc>
          <w:tcPr>
            <w:tcW w:w="28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(27,537)</w:t>
            </w: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(23,210)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Arial" w:cs="Arial" w:eastAsia="Arial" w:hAnsi="Arial"/>
                <w:sz w:val="12"/>
                <w:szCs w:val="12"/>
                <w:color w:val="auto"/>
              </w:rPr>
              <w:t>(53,284)</w:t>
            </w: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(46,221)</w:t>
            </w: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Ceded claims and claim expenses</w:t>
            </w: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1,194</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2,374</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10,201</w:t>
            </w:r>
          </w:p>
        </w:tc>
      </w:tr>
      <w:tr>
        <w:trPr>
          <w:trHeight w:val="153"/>
        </w:trPr>
        <w:tc>
          <w:tcPr>
            <w:tcW w:w="5040" w:type="dxa"/>
            <w:vAlign w:val="bottom"/>
          </w:tcPr>
          <w:p>
            <w:pPr>
              <w:spacing w:after="0"/>
              <w:rPr>
                <w:sz w:val="20"/>
                <w:szCs w:val="20"/>
                <w:color w:val="auto"/>
              </w:rPr>
            </w:pPr>
            <w:r>
              <w:rPr>
                <w:rFonts w:ascii="Arial" w:cs="Arial" w:eastAsia="Arial" w:hAnsi="Arial"/>
                <w:sz w:val="12"/>
                <w:szCs w:val="12"/>
                <w:color w:val="auto"/>
              </w:rPr>
              <w:t>Ceding commission earned</w:t>
            </w:r>
          </w:p>
        </w:tc>
        <w:tc>
          <w:tcPr>
            <w:tcW w:w="280" w:type="dxa"/>
            <w:vAlign w:val="bottom"/>
          </w:tcPr>
          <w:p>
            <w:pPr>
              <w:spacing w:after="0"/>
              <w:rPr>
                <w:sz w:val="13"/>
                <w:szCs w:val="13"/>
                <w:color w:val="auto"/>
              </w:rPr>
            </w:pPr>
          </w:p>
        </w:tc>
        <w:tc>
          <w:tcPr>
            <w:tcW w:w="1260" w:type="dxa"/>
            <w:vAlign w:val="bottom"/>
          </w:tcPr>
          <w:p>
            <w:pPr>
              <w:jc w:val="right"/>
              <w:ind w:right="23"/>
              <w:spacing w:after="0"/>
              <w:rPr>
                <w:sz w:val="20"/>
                <w:szCs w:val="20"/>
                <w:color w:val="auto"/>
              </w:rPr>
            </w:pPr>
            <w:r>
              <w:rPr>
                <w:rFonts w:ascii="Arial" w:cs="Arial" w:eastAsia="Arial" w:hAnsi="Arial"/>
                <w:sz w:val="12"/>
                <w:szCs w:val="12"/>
                <w:color w:val="auto"/>
              </w:rPr>
              <w:t>5,961</w:t>
            </w:r>
          </w:p>
        </w:tc>
        <w:tc>
          <w:tcPr>
            <w:tcW w:w="3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4,428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43"/>
              <w:spacing w:after="0"/>
              <w:rPr>
                <w:sz w:val="20"/>
                <w:szCs w:val="20"/>
                <w:color w:val="auto"/>
              </w:rPr>
            </w:pPr>
            <w:r>
              <w:rPr>
                <w:rFonts w:ascii="Arial" w:cs="Arial" w:eastAsia="Arial" w:hAnsi="Arial"/>
                <w:sz w:val="12"/>
                <w:szCs w:val="12"/>
                <w:color w:val="auto"/>
              </w:rPr>
              <w:t>11,123</w:t>
            </w:r>
          </w:p>
        </w:tc>
        <w:tc>
          <w:tcPr>
            <w:tcW w:w="3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8,941</w:t>
            </w:r>
          </w:p>
        </w:tc>
      </w:tr>
      <w:tr>
        <w:trPr>
          <w:trHeight w:val="153"/>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Profit commission</w:t>
            </w: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14,391</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27,771</w:t>
            </w: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17,684</w:t>
            </w:r>
          </w:p>
        </w:tc>
      </w:tr>
    </w:tbl>
    <w:p>
      <w:pPr>
        <w:spacing w:after="0" w:line="16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Ceded premiums written under the 2016 QSR Transaction are recorded on the balance sheet as prepaid reinsurance premiums and amortized to ceded premiums earned in a manner consistent with the recognition of revenue on direct premiums. Under the 2018, 2020 and 2021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QSR Transaction, 2018 QSR Transaction, 2020 QSR Transaction and 2021 QSR Transaction, generally remain below 60%, 61%, 50% and 57.5%, respectively, as measured annually. Ceded claims and claim expenses under each of the QSR Transactions reduce the respective profit commission received by NMIC on a dollar-for-dollar basis.</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$4.7 million as of June 30, 2021.</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accordance with the terms of the 2018, 2020 and 2021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and 2021 QSR Transactions was $15.0 million as of June 30, 2021.</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remain directly liable for all claim payments if we are unable to collect reinsurance recoverable due from our reinsurers and, as such, we actively monitor and manage our counterparty credit exposure to our reinsurance providers. We establish an allowance for expected credit loss against our reinsurance recoverable if we do not expect to recover amounts due from one or more of our reinsurance counterparties, and report our reinsurance recoverable net of such allowance, if any. We actively monitor the counterparty credit profiles of our reinsurers and each is required to partially collateralize its obligations under the terms of our QSR Transactions. As of June 30, 2021, we did not recognize any allowance for credit loss with respect to our reinsurance recoverable.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Reserves for Insurance Claims and Claim Expenses</w:t>
      </w:r>
    </w:p>
    <w:p>
      <w:pPr>
        <w:spacing w:after="0" w:line="118" w:lineRule="exact"/>
        <w:rPr>
          <w:sz w:val="20"/>
          <w:szCs w:val="20"/>
          <w:color w:val="auto"/>
        </w:rPr>
      </w:pPr>
    </w:p>
    <w:p>
      <w:pPr>
        <w:jc w:val="both"/>
        <w:ind w:firstLine="432"/>
        <w:spacing w:after="0" w:line="328" w:lineRule="auto"/>
        <w:rPr>
          <w:sz w:val="20"/>
          <w:szCs w:val="20"/>
          <w:color w:val="auto"/>
        </w:rPr>
      </w:pPr>
      <w:r>
        <w:rPr>
          <w:rFonts w:ascii="Arial" w:cs="Arial" w:eastAsia="Arial" w:hAnsi="Arial"/>
          <w:sz w:val="10"/>
          <w:szCs w:val="10"/>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June 30, 2021, we had 8,764 primary loans in default and held gross reserves for insurance claims and claim expenses of $101.2 million. During the six months ended June 30, 2021, we paid 35 claims totaling $1.3 million, including 34 claims covered under the QSR Transactions representing $0.3 million of ceded claims and claim expenses.</w:t>
      </w:r>
    </w:p>
    <w:p>
      <w:pPr>
        <w:spacing w:after="0" w:line="8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June 30, 2021, 156 loans in the pool were in default. These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156 loans represented approximately $13.4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June 30, 2021. In connection with the settlement of pool claims, we applied $1.0 million to the pool deductible through June 30, 2021. At June 30, 2021, the remaining pool deductible was $9.4 million. We have not paid any pool claims to date. 100% of our pool RIF is reinsured under the 2016 QSR Transaction.</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had 8,764 loans in default in our primary insured portfolio as of June 30, 2021, which represented a 1.86% default rate against 471,794 total policies in-force. We had 10,816 loans in default in our primary insured portfolio as of June 30, 2020, which represented a 2.90% default rate against 372,934 total policies in-force. Although our default count declined from June 30, 2020 to June 30, 2021, the population remains elevated compared to our historical experience due to the continued challenges certain borrowers are facing related to the COVID-19 outbreak and their decision to access the forbearance program for federally backed loans codified under the Coronavirus Aid, Relief and Economic Security (CARES) Act or similar programs made available by private lenders.</w:t>
      </w:r>
    </w:p>
    <w:p>
      <w:pPr>
        <w:spacing w:after="0" w:line="8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outbreak, the Federal Housing Financing Agency (FHFA) and GSEs introduced new repayment and loan modification options to further assist borrowers with their transition out of forbearance programs and default status.</w:t>
      </w:r>
    </w:p>
    <w:p>
      <w:pPr>
        <w:spacing w:after="0" w:line="9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reserve setting process considers the beneficial impact of forbearance, foreclosure moratorium and other assistance programs available to defaulted borrowers. At June 30, 2020 and 2021,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expenses: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7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For the six months ended June 30,</w:t>
            </w:r>
          </w:p>
        </w:tc>
        <w:tc>
          <w:tcPr>
            <w:tcW w:w="1020" w:type="dxa"/>
            <w:vAlign w:val="bottom"/>
            <w:tcBorders>
              <w:bottom w:val="single" w:sz="8" w:color="auto"/>
            </w:tcBorders>
          </w:tcPr>
          <w:p>
            <w:pPr>
              <w:spacing w:after="0"/>
              <w:rPr>
                <w:sz w:val="11"/>
                <w:szCs w:val="11"/>
                <w:color w:val="auto"/>
              </w:rPr>
            </w:pPr>
          </w:p>
        </w:tc>
      </w:tr>
      <w:tr>
        <w:trPr>
          <w:trHeight w:val="118"/>
        </w:trPr>
        <w:tc>
          <w:tcPr>
            <w:tcW w:w="7740" w:type="dxa"/>
            <w:vAlign w:val="bottom"/>
          </w:tcPr>
          <w:p>
            <w:pPr>
              <w:spacing w:after="0"/>
              <w:rPr>
                <w:sz w:val="10"/>
                <w:szCs w:val="1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721"/>
              <w:spacing w:after="0"/>
              <w:rPr>
                <w:sz w:val="20"/>
                <w:szCs w:val="20"/>
                <w:color w:val="auto"/>
              </w:rPr>
            </w:pPr>
            <w:r>
              <w:rPr>
                <w:rFonts w:ascii="Arial" w:cs="Arial" w:eastAsia="Arial" w:hAnsi="Arial"/>
                <w:sz w:val="10"/>
                <w:szCs w:val="10"/>
                <w:b w:val="1"/>
                <w:bCs w:val="1"/>
                <w:color w:val="auto"/>
                <w:w w:val="98"/>
              </w:rPr>
              <w:t>2020</w:t>
            </w:r>
          </w:p>
        </w:tc>
      </w:tr>
      <w:tr>
        <w:trPr>
          <w:trHeight w:val="114"/>
        </w:trPr>
        <w:tc>
          <w:tcPr>
            <w:tcW w:w="7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0"/>
                <w:szCs w:val="10"/>
                <w:i w:val="1"/>
                <w:iCs w:val="1"/>
                <w:color w:val="auto"/>
              </w:rPr>
              <w:t>(In Thousands)</w:t>
            </w:r>
          </w:p>
        </w:tc>
        <w:tc>
          <w:tcPr>
            <w:tcW w:w="1020" w:type="dxa"/>
            <w:vAlign w:val="bottom"/>
          </w:tcPr>
          <w:p>
            <w:pPr>
              <w:spacing w:after="0"/>
              <w:rPr>
                <w:sz w:val="9"/>
                <w:szCs w:val="9"/>
                <w:color w:val="auto"/>
              </w:rPr>
            </w:pPr>
          </w:p>
        </w:tc>
      </w:tr>
      <w:tr>
        <w:trPr>
          <w:trHeight w:val="155"/>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020" w:type="dxa"/>
            <w:vAlign w:val="bottom"/>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23,752</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(17,608)</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(4,939)</w:t>
            </w:r>
          </w:p>
        </w:tc>
      </w:tr>
      <w:tr>
        <w:trPr>
          <w:trHeight w:val="142"/>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10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72,959</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18,813</w:t>
            </w:r>
          </w:p>
        </w:tc>
      </w:tr>
      <w:tr>
        <w:trPr>
          <w:trHeight w:val="52"/>
        </w:trPr>
        <w:tc>
          <w:tcPr>
            <w:tcW w:w="7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10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Claims and claim expenses incurred:</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774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0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15,626</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42,516</w:t>
            </w:r>
          </w:p>
        </w:tc>
      </w:tr>
      <w:tr>
        <w:trPr>
          <w:trHeight w:val="153"/>
        </w:trPr>
        <w:tc>
          <w:tcPr>
            <w:tcW w:w="774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(6,024)</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(2,485)</w:t>
            </w:r>
          </w:p>
        </w:tc>
      </w:tr>
      <w:tr>
        <w:trPr>
          <w:trHeight w:val="142"/>
        </w:trPr>
        <w:tc>
          <w:tcPr>
            <w:tcW w:w="7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incurred</w:t>
            </w:r>
          </w:p>
        </w:tc>
        <w:tc>
          <w:tcPr>
            <w:tcW w:w="10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9,602</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40,031</w:t>
            </w:r>
          </w:p>
        </w:tc>
      </w:tr>
      <w:tr>
        <w:trPr>
          <w:trHeight w:val="79"/>
        </w:trPr>
        <w:tc>
          <w:tcPr>
            <w:tcW w:w="7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10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3"/>
        </w:trPr>
        <w:tc>
          <w:tcPr>
            <w:tcW w:w="774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7740" w:type="dxa"/>
            <w:vAlign w:val="bottom"/>
            <w:shd w:val="clear" w:color="auto" w:fill="CCEEFF"/>
          </w:tcPr>
          <w:p>
            <w:pPr>
              <w:ind w:left="22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0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w:t>
            </w:r>
          </w:p>
        </w:tc>
      </w:tr>
      <w:tr>
        <w:trPr>
          <w:trHeight w:val="153"/>
        </w:trPr>
        <w:tc>
          <w:tcPr>
            <w:tcW w:w="774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1,040</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3,209</w:t>
            </w:r>
          </w:p>
        </w:tc>
      </w:tr>
      <w:tr>
        <w:trPr>
          <w:trHeight w:val="142"/>
        </w:trPr>
        <w:tc>
          <w:tcPr>
            <w:tcW w:w="77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paid</w:t>
            </w:r>
          </w:p>
        </w:tc>
        <w:tc>
          <w:tcPr>
            <w:tcW w:w="10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10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3,248</w:t>
            </w:r>
          </w:p>
        </w:tc>
      </w:tr>
      <w:tr>
        <w:trPr>
          <w:trHeight w:val="52"/>
        </w:trPr>
        <w:tc>
          <w:tcPr>
            <w:tcW w:w="7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53"/>
        </w:trPr>
        <w:tc>
          <w:tcPr>
            <w:tcW w:w="7740" w:type="dxa"/>
            <w:vAlign w:val="bottom"/>
            <w:shd w:val="clear" w:color="auto" w:fill="CCEEFF"/>
          </w:tcPr>
          <w:p>
            <w:pPr>
              <w:spacing w:after="0"/>
              <w:rPr>
                <w:sz w:val="20"/>
                <w:szCs w:val="20"/>
                <w:color w:val="auto"/>
              </w:rPr>
            </w:pPr>
            <w:r>
              <w:rPr>
                <w:rFonts w:ascii="Arial" w:cs="Arial" w:eastAsia="Arial" w:hAnsi="Arial"/>
                <w:sz w:val="12"/>
                <w:szCs w:val="12"/>
                <w:color w:val="auto"/>
              </w:rPr>
              <w:t>Reserve at end of period, net of reinsurance recoverables</w:t>
            </w:r>
          </w:p>
        </w:tc>
        <w:tc>
          <w:tcPr>
            <w:tcW w:w="10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81,509</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55,596</w:t>
            </w:r>
          </w:p>
        </w:tc>
      </w:tr>
      <w:tr>
        <w:trPr>
          <w:trHeight w:val="153"/>
        </w:trPr>
        <w:tc>
          <w:tcPr>
            <w:tcW w:w="774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tc>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14,307</w:t>
            </w:r>
          </w:p>
        </w:tc>
      </w:tr>
      <w:tr>
        <w:trPr>
          <w:trHeight w:val="1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10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101,235</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69,903</w:t>
            </w:r>
          </w:p>
        </w:tc>
      </w:tr>
    </w:tbl>
    <w:p>
      <w:pPr>
        <w:spacing w:after="0" w:line="137" w:lineRule="exact"/>
        <w:rPr>
          <w:sz w:val="20"/>
          <w:szCs w:val="20"/>
          <w:color w:val="auto"/>
        </w:rPr>
      </w:pPr>
    </w:p>
    <w:p>
      <w:pPr>
        <w:ind w:left="128" w:hanging="128"/>
        <w:spacing w:after="0"/>
        <w:tabs>
          <w:tab w:leader="none" w:pos="128" w:val="left"/>
        </w:tabs>
        <w:numPr>
          <w:ilvl w:val="0"/>
          <w:numId w:val="9"/>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Note 5, "</w:t>
      </w:r>
      <w:r>
        <w:rPr>
          <w:rFonts w:ascii="Arial" w:cs="Arial" w:eastAsia="Arial" w:hAnsi="Arial"/>
          <w:sz w:val="10"/>
          <w:szCs w:val="10"/>
          <w:i w:val="1"/>
          <w:iCs w:val="1"/>
          <w:color w:val="auto"/>
        </w:rPr>
        <w:t>Reinsurance</w:t>
      </w:r>
      <w:r>
        <w:rPr>
          <w:rFonts w:ascii="Arial" w:cs="Arial" w:eastAsia="Arial" w:hAnsi="Arial"/>
          <w:sz w:val="10"/>
          <w:szCs w:val="10"/>
          <w:color w:val="auto"/>
        </w:rPr>
        <w:t>" for additional information.</w:t>
      </w:r>
    </w:p>
    <w:p>
      <w:pPr>
        <w:ind w:left="208" w:right="20" w:hanging="208"/>
        <w:spacing w:after="0" w:line="281" w:lineRule="auto"/>
        <w:tabs>
          <w:tab w:leader="none" w:pos="80" w:val="left"/>
        </w:tabs>
        <w:numPr>
          <w:ilvl w:val="0"/>
          <w:numId w:val="9"/>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$9.8 million attributed to net case reserves and $5.6 million attributed to net IBNR reserves for the six months ended June 30, 2021 and $34.7 million attributed to net case reserves and $7.1 million attributed to net IBNR reserves for the six months ended June 30, 2020.</w:t>
      </w:r>
    </w:p>
    <w:p>
      <w:pPr>
        <w:ind w:left="208" w:hanging="208"/>
        <w:spacing w:after="0" w:line="351" w:lineRule="auto"/>
        <w:tabs>
          <w:tab w:leader="none" w:pos="80" w:val="left"/>
        </w:tabs>
        <w:numPr>
          <w:ilvl w:val="0"/>
          <w:numId w:val="9"/>
        </w:numPr>
        <w:rPr>
          <w:rFonts w:ascii="Arial" w:cs="Arial" w:eastAsia="Arial" w:hAnsi="Arial"/>
          <w:sz w:val="9"/>
          <w:szCs w:val="9"/>
          <w:color w:val="auto"/>
          <w:vertAlign w:val="superscript"/>
        </w:rPr>
      </w:pPr>
      <w:r>
        <w:rPr>
          <w:rFonts w:ascii="Arial" w:cs="Arial" w:eastAsia="Arial" w:hAnsi="Arial"/>
          <w:sz w:val="7"/>
          <w:szCs w:val="7"/>
          <w:color w:val="auto"/>
        </w:rPr>
        <w:t>Related to insured loans with defaults occurring in prior years, which have been continuously in default before the start of the current year. Amounts are presented net of reinsurance and included $1.1 million attributed to net case reserves and $5.0 million attributed to net IBNR reserves for the six months ended June 30, 2021 and $1.1 million attributed to net case reserves and $1.3 million attributed to net IBNR reserves for the six months ended June 30, 2020.</w:t>
      </w:r>
    </w:p>
    <w:p>
      <w:pPr>
        <w:spacing w:after="0" w:line="213"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$81.8 million related to prior year defaults remained as of June 30, 2021.</w:t>
      </w:r>
    </w:p>
    <w:p>
      <w:pPr>
        <w:spacing w:after="0" w:line="3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7. Earnings per Share (EPS)</w:t>
      </w:r>
    </w:p>
    <w:p>
      <w:pPr>
        <w:spacing w:after="0" w:line="118" w:lineRule="exact"/>
        <w:rPr>
          <w:sz w:val="20"/>
          <w:szCs w:val="20"/>
          <w:color w:val="auto"/>
        </w:rPr>
      </w:pPr>
    </w:p>
    <w:p>
      <w:pPr>
        <w:jc w:val="both"/>
        <w:ind w:left="8" w:firstLine="432"/>
        <w:spacing w:after="0" w:line="289" w:lineRule="auto"/>
        <w:rPr>
          <w:sz w:val="20"/>
          <w:szCs w:val="20"/>
          <w:color w:val="auto"/>
        </w:rPr>
      </w:pPr>
      <w:r>
        <w:rPr>
          <w:rFonts w:ascii="Arial" w:cs="Arial" w:eastAsia="Arial" w:hAnsi="Arial"/>
          <w:sz w:val="11"/>
          <w:szCs w:val="11"/>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EPS of common stock.</w:t>
      </w: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00" w:type="dxa"/>
            <w:vAlign w:val="bottom"/>
          </w:tcPr>
          <w:p>
            <w:pPr>
              <w:spacing w:after="0"/>
              <w:rPr>
                <w:sz w:val="11"/>
                <w:szCs w:val="11"/>
                <w:color w:val="auto"/>
              </w:rPr>
            </w:pPr>
          </w:p>
        </w:tc>
        <w:tc>
          <w:tcPr>
            <w:tcW w:w="246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0"/>
                <w:szCs w:val="10"/>
                <w:b w:val="1"/>
                <w:bCs w:val="1"/>
                <w:color w:val="auto"/>
              </w:rPr>
              <w:t>For the three months ended June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0"/>
                <w:szCs w:val="10"/>
                <w:b w:val="1"/>
                <w:bCs w:val="1"/>
                <w:color w:val="auto"/>
              </w:rPr>
              <w:t>For the six months ended June 30,</w:t>
            </w:r>
          </w:p>
        </w:tc>
      </w:tr>
      <w:tr>
        <w:trPr>
          <w:trHeight w:val="118"/>
        </w:trPr>
        <w:tc>
          <w:tcPr>
            <w:tcW w:w="5300" w:type="dxa"/>
            <w:vAlign w:val="bottom"/>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14"/>
        </w:trPr>
        <w:tc>
          <w:tcPr>
            <w:tcW w:w="5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6"/>
          </w:tcPr>
          <w:p>
            <w:pPr>
              <w:ind w:left="700"/>
              <w:spacing w:after="0"/>
              <w:rPr>
                <w:sz w:val="20"/>
                <w:szCs w:val="20"/>
                <w:color w:val="auto"/>
              </w:rPr>
            </w:pPr>
            <w:r>
              <w:rPr>
                <w:rFonts w:ascii="Arial" w:cs="Arial" w:eastAsia="Arial" w:hAnsi="Arial"/>
                <w:sz w:val="10"/>
                <w:szCs w:val="10"/>
                <w:i w:val="1"/>
                <w:iCs w:val="1"/>
                <w:color w:val="auto"/>
              </w:rPr>
              <w:t>(In Thousands, except for per share data)</w:t>
            </w:r>
          </w:p>
        </w:tc>
        <w:tc>
          <w:tcPr>
            <w:tcW w:w="36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5"/>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57,522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110,414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85,119</w:t>
            </w:r>
          </w:p>
        </w:tc>
      </w:tr>
      <w:tr>
        <w:trPr>
          <w:trHeight w:val="153"/>
        </w:trPr>
        <w:tc>
          <w:tcPr>
            <w:tcW w:w="5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Basic weighted average shares outstanding</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85,647</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73,617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85,483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71,090</w:t>
            </w:r>
          </w:p>
        </w:tc>
      </w:tr>
      <w:tr>
        <w:trPr>
          <w:trHeight w:val="158"/>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Basic earnings per share</w:t>
            </w:r>
          </w:p>
        </w:tc>
        <w:tc>
          <w:tcPr>
            <w:tcW w:w="9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1.29</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1.20</w:t>
            </w:r>
          </w:p>
        </w:tc>
      </w:tr>
      <w:tr>
        <w:trPr>
          <w:trHeight w:val="153"/>
        </w:trPr>
        <w:tc>
          <w:tcPr>
            <w:tcW w:w="5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920" w:type="dxa"/>
            <w:vAlign w:val="bottom"/>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57,522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26,848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110,414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85,119</w:t>
            </w:r>
          </w:p>
        </w:tc>
      </w:tr>
      <w:tr>
        <w:trPr>
          <w:trHeight w:val="153"/>
        </w:trPr>
        <w:tc>
          <w:tcPr>
            <w:tcW w:w="5300" w:type="dxa"/>
            <w:vAlign w:val="bottom"/>
          </w:tcPr>
          <w:p>
            <w:pPr>
              <w:spacing w:after="0"/>
              <w:rPr>
                <w:sz w:val="20"/>
                <w:szCs w:val="20"/>
                <w:color w:val="auto"/>
              </w:rPr>
            </w:pPr>
            <w:r>
              <w:rPr>
                <w:rFonts w:ascii="Arial" w:cs="Arial" w:eastAsia="Arial" w:hAnsi="Arial"/>
                <w:sz w:val="12"/>
                <w:szCs w:val="12"/>
                <w:color w:val="auto"/>
              </w:rPr>
              <w:t>Gain from change in fair value of warrant liability</w:t>
            </w:r>
          </w:p>
        </w:tc>
        <w:tc>
          <w:tcPr>
            <w:tcW w:w="9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(4,723)</w:t>
            </w:r>
          </w:p>
        </w:tc>
      </w:tr>
      <w:tr>
        <w:trPr>
          <w:trHeight w:val="142"/>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net income</w:t>
            </w:r>
          </w:p>
        </w:tc>
        <w:tc>
          <w:tcPr>
            <w:tcW w:w="920" w:type="dxa"/>
            <w:vAlign w:val="bottom"/>
            <w:tcBorders>
              <w:top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56,864</w:t>
            </w: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26,848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109,961</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80,396</w:t>
            </w:r>
          </w:p>
        </w:tc>
      </w:tr>
      <w:tr>
        <w:trPr>
          <w:trHeight w:val="171"/>
        </w:trPr>
        <w:tc>
          <w:tcPr>
            <w:tcW w:w="5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3"/>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Basic weighted average shares outstanding</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85,647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73,617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85,483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71,090</w:t>
            </w:r>
          </w:p>
        </w:tc>
      </w:tr>
      <w:tr>
        <w:trPr>
          <w:trHeight w:val="153"/>
        </w:trPr>
        <w:tc>
          <w:tcPr>
            <w:tcW w:w="5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Dilutive effect of issuable shares</w:t>
            </w:r>
          </w:p>
        </w:tc>
        <w:tc>
          <w:tcPr>
            <w:tcW w:w="9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1,172</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1,246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1,317</w:t>
            </w:r>
          </w:p>
        </w:tc>
      </w:tr>
      <w:tr>
        <w:trPr>
          <w:trHeight w:val="142"/>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shares outstanding</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86,819</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74,174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86,729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72,407</w:t>
            </w:r>
          </w:p>
        </w:tc>
      </w:tr>
      <w:tr>
        <w:trPr>
          <w:trHeight w:val="171"/>
        </w:trPr>
        <w:tc>
          <w:tcPr>
            <w:tcW w:w="5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58"/>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9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0.65</w:t>
            </w: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1.27</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1.11</w:t>
            </w:r>
          </w:p>
        </w:tc>
      </w:tr>
      <w:tr>
        <w:trPr>
          <w:trHeight w:val="153"/>
        </w:trPr>
        <w:tc>
          <w:tcPr>
            <w:tcW w:w="5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5300" w:type="dxa"/>
            <w:vAlign w:val="bottom"/>
            <w:shd w:val="clear" w:color="auto" w:fill="CCEEFF"/>
          </w:tcPr>
          <w:p>
            <w:pPr>
              <w:spacing w:after="0"/>
              <w:rPr>
                <w:sz w:val="20"/>
                <w:szCs w:val="20"/>
                <w:color w:val="auto"/>
              </w:rPr>
            </w:pPr>
            <w:r>
              <w:rPr>
                <w:rFonts w:ascii="Arial" w:cs="Arial" w:eastAsia="Arial" w:hAnsi="Arial"/>
                <w:sz w:val="12"/>
                <w:szCs w:val="12"/>
                <w:color w:val="auto"/>
              </w:rPr>
              <w:t>Anti-dilutive shares</w:t>
            </w: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w:t>
            </w: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Warrants</w:t>
      </w:r>
    </w:p>
    <w:p>
      <w:pPr>
        <w:spacing w:after="0" w:line="11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issued 992 thousand warrants in connection with a private placement of our common stock in April 2012, of which 271 thousand remained outstanding available for exercise at June 30, 2021. Each warrant gives the holder thereof the right to purchase one share of common stock at an exercise price equal to $10.00. The warrants were issued with an aggregate fair value of $5.1 million.</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three months ended June 30, 2021, 14 thousand warrants were exercised resulting in the issuance of eight thousand shares of common stock. Upon exercise, we reclassified approximately $0.2 million of warrant fair value from warrant liability to additional paid-in capital. During the six months ended June 30, 2021, 41 thousand warrants were exercised resulting in the issuance of 32 thousand shares of common stock. Upon exercise, we reclassified approximately $0.6 million of warrant fair value from warrant liability to additional paid-in capital.</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0"/>
          <w:szCs w:val="10"/>
          <w:color w:val="auto"/>
        </w:rPr>
        <w:t>During the three months ended June 30, 2020, no warrants were exercised. During the six months ended June 30, 2020, nine thousand warrants were exercised resulting in the issuance of six thousand shares of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Upon exercise, we reclassified approximately $0.2 million of warrant fair value from warrant liability to additional paid-in capital.</w:t>
      </w: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Income Taxes</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are a U.S. taxpayer and are subject to a statutory U.S. federal corporate income tax rate of 21%. NMIH files a consolidated U.S. federal and various state income tax returns on behalf of itself and its subsidiaries. Our effective tax rate on our pre-tax income was 21.9% and 21.8% for the three and six months ended June 30, 2021, respectively, compared to 23.2% and 20.5% for the three and six months ended June 30, 2020, respectively. Our provision for income taxes for interim reporting periods is established based on our estimated annual effective tax rate for a given year. Our effective tax rate may fluctuate between interim periods due to the impact of discrete items not included in our estimated annual effective tax rate, including the tax effects associated with the vesting of RSUs and exercise of options, and the change in fair value of our warrant liability. Such items are treated on a discrete basis in the reporting period in which they occur.</w:t>
      </w:r>
    </w:p>
    <w:p>
      <w:pPr>
        <w:spacing w:after="0" w:line="9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2021 represents a change in our net deferred tax liability. As of June 30, 2021 and December 31, 2020, we held $46.4 million of tax and loss bonds in "Other assets" on our condensed consolidated balance sheet.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jc w:val="center"/>
        <w:ind w:right="-7"/>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Premium Receivable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Premiums receivable consists of premiums due on our mortgage insurance policies. If a mortgage insurance premium is unpaid for more than 120 days, all associated receivables are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did not establish an allowance for credit loss at June 30, 2021 and December 31, 2020.</w:t>
      </w:r>
    </w:p>
    <w:p>
      <w:pPr>
        <w:spacing w:after="0" w:line="14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Premiums receivable may be written off prior to 120 days in the ordinary course of business for non-credit events including, but not limited to, the modification or refinancing of an underlying insured loan.</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establish a reserve for the write-off of premiums receivable based on historical experience. Our premium write-off reserve was not material at June 30, 2021 or December 31, 2020.</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Regulatory Information</w:t>
      </w:r>
    </w:p>
    <w:p>
      <w:pPr>
        <w:spacing w:after="0" w:line="118" w:lineRule="exact"/>
        <w:rPr>
          <w:sz w:val="20"/>
          <w:szCs w:val="20"/>
          <w:color w:val="auto"/>
        </w:rPr>
      </w:pPr>
    </w:p>
    <w:p>
      <w:pPr>
        <w:ind w:left="128"/>
        <w:spacing w:after="0"/>
        <w:rPr>
          <w:sz w:val="20"/>
          <w:szCs w:val="20"/>
          <w:color w:val="auto"/>
        </w:rPr>
      </w:pPr>
      <w:r>
        <w:rPr>
          <w:rFonts w:ascii="Arial" w:cs="Arial" w:eastAsia="Arial" w:hAnsi="Arial"/>
          <w:sz w:val="12"/>
          <w:szCs w:val="12"/>
          <w:i w:val="1"/>
          <w:iCs w:val="1"/>
          <w:color w:val="auto"/>
        </w:rPr>
        <w:t>Statutory Requirements</w:t>
      </w:r>
    </w:p>
    <w:p>
      <w:pPr>
        <w:spacing w:after="0" w:line="114"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69"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NMIC and Re One generated combined statutory net income of $8.8 million and $15.1 million for the three and six months ended June 30, 2021, respectively, and combined statutory net loss of $24.7 million and $17.0 million for the three and six months ended June 30, 2020, respectively.</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NMIC and Re One's combined statutory surplus, contingency reserve, statutory capital and risk-to-capital (RTC) ratio:</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040" w:type="dxa"/>
            <w:vAlign w:val="bottom"/>
          </w:tcPr>
          <w:p>
            <w:pPr>
              <w:spacing w:after="0"/>
              <w:rPr>
                <w:sz w:val="11"/>
                <w:szCs w:val="11"/>
                <w:color w:val="auto"/>
              </w:rPr>
            </w:pPr>
          </w:p>
        </w:tc>
        <w:tc>
          <w:tcPr>
            <w:tcW w:w="182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June 30, 2021</w:t>
            </w: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ind w:right="842"/>
              <w:spacing w:after="0"/>
              <w:rPr>
                <w:sz w:val="20"/>
                <w:szCs w:val="20"/>
                <w:color w:val="auto"/>
              </w:rPr>
            </w:pPr>
            <w:r>
              <w:rPr>
                <w:rFonts w:ascii="Arial" w:cs="Arial" w:eastAsia="Arial" w:hAnsi="Arial"/>
                <w:sz w:val="10"/>
                <w:szCs w:val="10"/>
                <w:b w:val="1"/>
                <w:bCs w:val="1"/>
                <w:color w:val="auto"/>
              </w:rPr>
              <w:t>December 31, 2020</w:t>
            </w:r>
          </w:p>
        </w:tc>
      </w:tr>
      <w:tr>
        <w:trPr>
          <w:trHeight w:val="117"/>
        </w:trPr>
        <w:tc>
          <w:tcPr>
            <w:tcW w:w="6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40" w:type="dxa"/>
            <w:vAlign w:val="bottom"/>
            <w:gridSpan w:val="3"/>
          </w:tcPr>
          <w:p>
            <w:pPr>
              <w:jc w:val="right"/>
              <w:ind w:right="292"/>
              <w:spacing w:after="0"/>
              <w:rPr>
                <w:sz w:val="20"/>
                <w:szCs w:val="20"/>
                <w:color w:val="auto"/>
              </w:rPr>
            </w:pPr>
            <w:r>
              <w:rPr>
                <w:rFonts w:ascii="Arial" w:cs="Arial" w:eastAsia="Arial" w:hAnsi="Arial"/>
                <w:sz w:val="10"/>
                <w:szCs w:val="10"/>
                <w:i w:val="1"/>
                <w:iCs w:val="1"/>
                <w:color w:val="auto"/>
              </w:rPr>
              <w:t>(In Thousands)</w:t>
            </w:r>
          </w:p>
        </w:tc>
        <w:tc>
          <w:tcPr>
            <w:tcW w:w="2000" w:type="dxa"/>
            <w:vAlign w:val="bottom"/>
          </w:tcPr>
          <w:p>
            <w:pPr>
              <w:spacing w:after="0"/>
              <w:rPr>
                <w:sz w:val="10"/>
                <w:szCs w:val="10"/>
                <w:color w:val="auto"/>
              </w:rPr>
            </w:pPr>
          </w:p>
        </w:tc>
      </w:tr>
      <w:tr>
        <w:trPr>
          <w:trHeight w:val="155"/>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Statutory surplus</w:t>
            </w:r>
          </w:p>
        </w:tc>
        <w:tc>
          <w:tcPr>
            <w:tcW w:w="1820" w:type="dxa"/>
            <w:vAlign w:val="bottom"/>
            <w:shd w:val="clear" w:color="auto" w:fill="CCEEFF"/>
          </w:tcPr>
          <w:p>
            <w:pPr>
              <w:jc w:val="right"/>
              <w:ind w:right="1684"/>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906,430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894,331</w:t>
            </w:r>
          </w:p>
        </w:tc>
      </w:tr>
      <w:tr>
        <w:trPr>
          <w:trHeight w:val="153"/>
        </w:trPr>
        <w:tc>
          <w:tcPr>
            <w:tcW w:w="6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Contingency reserve</w:t>
            </w:r>
          </w:p>
        </w:tc>
        <w:tc>
          <w:tcPr>
            <w:tcW w:w="1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899,246</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768,324</w:t>
            </w:r>
          </w:p>
        </w:tc>
      </w:tr>
      <w:tr>
        <w:trPr>
          <w:trHeight w:val="142"/>
        </w:trPr>
        <w:tc>
          <w:tcPr>
            <w:tcW w:w="6040" w:type="dxa"/>
            <w:vAlign w:val="bottom"/>
            <w:shd w:val="clear" w:color="auto" w:fill="CCEEFF"/>
          </w:tcPr>
          <w:p>
            <w:pPr>
              <w:spacing w:after="0" w:line="142" w:lineRule="exact"/>
              <w:rPr>
                <w:sz w:val="20"/>
                <w:szCs w:val="20"/>
                <w:color w:val="auto"/>
              </w:rPr>
            </w:pPr>
            <w:r>
              <w:rPr>
                <w:rFonts w:ascii="Arial" w:cs="Arial" w:eastAsia="Arial" w:hAnsi="Arial"/>
                <w:sz w:val="12"/>
                <w:szCs w:val="12"/>
                <w:color w:val="auto"/>
              </w:rPr>
              <w:t xml:space="preserve">Statutory capital </w:t>
            </w:r>
            <w:r>
              <w:rPr>
                <w:rFonts w:ascii="Arial" w:cs="Arial" w:eastAsia="Arial" w:hAnsi="Arial"/>
                <w:sz w:val="15"/>
                <w:szCs w:val="15"/>
                <w:color w:val="auto"/>
                <w:vertAlign w:val="superscript"/>
              </w:rPr>
              <w:t>(1)</w:t>
            </w:r>
          </w:p>
        </w:tc>
        <w:tc>
          <w:tcPr>
            <w:tcW w:w="1820" w:type="dxa"/>
            <w:vAlign w:val="bottom"/>
            <w:shd w:val="clear" w:color="auto" w:fill="CCEEFF"/>
          </w:tcPr>
          <w:p>
            <w:pPr>
              <w:jc w:val="right"/>
              <w:ind w:right="1684"/>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1,805,676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1,662,655</w:t>
            </w:r>
          </w:p>
        </w:tc>
      </w:tr>
      <w:tr>
        <w:trPr>
          <w:trHeight w:val="180"/>
        </w:trPr>
        <w:tc>
          <w:tcPr>
            <w:tcW w:w="6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53"/>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Risk-to-capital</w:t>
            </w:r>
          </w:p>
        </w:tc>
        <w:tc>
          <w:tcPr>
            <w:tcW w:w="18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w:t>
            </w:r>
          </w:p>
        </w:tc>
      </w:tr>
    </w:tbl>
    <w:p>
      <w:pPr>
        <w:spacing w:after="0" w:line="131"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Represents the total of the statutory surplus and contingency reserve.</w:t>
      </w:r>
    </w:p>
    <w:p>
      <w:pPr>
        <w:spacing w:after="0" w:line="99" w:lineRule="exact"/>
        <w:rPr>
          <w:sz w:val="20"/>
          <w:szCs w:val="20"/>
          <w:color w:val="auto"/>
        </w:rPr>
      </w:pPr>
    </w:p>
    <w:p>
      <w:pPr>
        <w:jc w:val="both"/>
        <w:ind w:left="8" w:firstLine="459"/>
        <w:spacing w:after="0" w:line="276" w:lineRule="auto"/>
        <w:rPr>
          <w:sz w:val="20"/>
          <w:szCs w:val="20"/>
          <w:color w:val="auto"/>
        </w:rPr>
      </w:pPr>
      <w:r>
        <w:rPr>
          <w:rFonts w:ascii="Arial" w:cs="Arial" w:eastAsia="Arial" w:hAnsi="Arial"/>
          <w:sz w:val="12"/>
          <w:szCs w:val="12"/>
          <w:color w:val="auto"/>
        </w:rPr>
        <w:t>NMIH is not subject to any limitations on its ability to pay dividends except those generally applicable to corporations that are incorporated in the State of Delaware. Delaware law provides that dividends are only payable out of a corporation's capital surplus or, subject to certain limitations, recent net profits.</w:t>
      </w:r>
    </w:p>
    <w:p>
      <w:pPr>
        <w:spacing w:after="0" w:line="79" w:lineRule="exact"/>
        <w:rPr>
          <w:sz w:val="20"/>
          <w:szCs w:val="20"/>
          <w:color w:val="auto"/>
        </w:rPr>
      </w:pPr>
    </w:p>
    <w:p>
      <w:pPr>
        <w:jc w:val="both"/>
        <w:ind w:left="8" w:firstLine="459"/>
        <w:spacing w:after="0" w:line="263" w:lineRule="auto"/>
        <w:rPr>
          <w:sz w:val="20"/>
          <w:szCs w:val="20"/>
          <w:color w:val="auto"/>
        </w:rPr>
      </w:pPr>
      <w:r>
        <w:rPr>
          <w:rFonts w:ascii="Arial" w:cs="Arial" w:eastAsia="Arial" w:hAnsi="Arial"/>
          <w:sz w:val="12"/>
          <w:szCs w:val="12"/>
          <w:color w:val="auto"/>
        </w:rPr>
        <w:t>NMIC and Re One are subject to certain rules and regulations prescribed by jurisdictions in which they are authorized to operate and the GSEs that may restrict their ability to pay dividends to NMIH.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color w:val="auto"/>
        </w:rPr>
        <w:t>NMI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NOTES TO CONDENSED CONSOLIDATED FINANCIAL STATEMENTS (UNAUDITED)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period ended December 31, 2021 without prior approval from the Wisconsin OCI. Neither Re One nor NMIC have ever paid dividends to NMIH.</w:t>
      </w:r>
    </w:p>
    <w:p>
      <w:pPr>
        <w:spacing w:after="0" w:line="11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under PMIERs, NMIC would generally be subject to prior GSE approval of its ability to pay dividends to NMIH if it failed to meet the financial requirements prescribed by PMIERs. In response to the COVID-19 pandemic, the GSEs issued temporary PMIERs guidance, effective for the period from June 30, 2020 to June 30, 2021, that requires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secure approval from the GSEs prior to paying any dividends, even if 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otherwise satisfies the financial requirements prescribed by PMIERs. On June 30, 2021, the GSEs updated the temporary PMIERs guidance to permit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pay dividends without securing prior approval if certain prescribed financial requirements are met during the period from July 1, 2021 to December 31, 2021.</w:t>
      </w: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18" w:lineRule="exact"/>
        <w:rPr>
          <w:sz w:val="20"/>
          <w:szCs w:val="20"/>
          <w:color w:val="auto"/>
        </w:rPr>
      </w:pPr>
    </w:p>
    <w:p>
      <w:pPr>
        <w:jc w:val="both"/>
        <w:ind w:firstLine="201"/>
        <w:spacing w:after="0" w:line="256" w:lineRule="auto"/>
        <w:rPr>
          <w:sz w:val="20"/>
          <w:szCs w:val="20"/>
          <w:color w:val="auto"/>
        </w:rPr>
      </w:pPr>
      <w:r>
        <w:rPr>
          <w:rFonts w:ascii="Arial" w:cs="Arial" w:eastAsia="Arial" w:hAnsi="Arial"/>
          <w:sz w:val="12"/>
          <w:szCs w:val="12"/>
          <w:i w:val="1"/>
          <w:iCs w:val="1"/>
          <w:color w:val="auto"/>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2020 10-K,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2020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We provide private MI through our wholly-owned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after giving effect to third-party reinsurance. Our subsidiary, NMIS, provides outsourced loan review services to mortgage loan originators.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1"/>
          <w:szCs w:val="11"/>
          <w:i w:val="1"/>
          <w:iCs w:val="1"/>
          <w:color w:val="auto"/>
        </w:rPr>
        <w:t>i.e.,</w:t>
      </w:r>
      <w:r>
        <w:rPr>
          <w:rFonts w:ascii="Arial" w:cs="Arial" w:eastAsia="Arial" w:hAnsi="Arial"/>
          <w:sz w:val="11"/>
          <w:szCs w:val="11"/>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2021, we had master policies with 1,656 customers, including national and regional mortgage banks, money center banks, credit unions, community banks, builder-owned mortgage lenders, internet-sourced lenders and other non-bank lenders. As of June 30, 2021, we had $138.1 billion of total insurance-in-force (IIF), including primary IIF of $136.6 billion, and $34.5 billion of gross RIF, including primary RIF of $34.4 billion.</w:t>
      </w:r>
    </w:p>
    <w:p>
      <w:pPr>
        <w:spacing w:after="0" w:line="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13"/>
          <w:szCs w:val="13"/>
          <w:color w:val="auto"/>
        </w:rPr>
        <w:t>®</w:t>
      </w:r>
      <w:r>
        <w:rPr>
          <w:rFonts w:ascii="Arial" w:cs="Arial" w:eastAsia="Arial" w:hAnsi="Arial"/>
          <w:sz w:val="12"/>
          <w:szCs w:val="12"/>
          <w:color w:val="auto"/>
        </w:rPr>
        <w:t xml:space="preserve"> pricing platform to dynamically evaluate risk and price our policies, and foster a culture of collaboration and excellence that helps us attract and retain experienced industry leaders.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jc w:val="both"/>
        <w:ind w:right="20" w:firstLine="432"/>
        <w:spacing w:after="0" w:line="276" w:lineRule="auto"/>
        <w:rPr>
          <w:sz w:val="20"/>
          <w:szCs w:val="20"/>
          <w:color w:val="auto"/>
        </w:rPr>
      </w:pPr>
      <w:r>
        <w:rPr>
          <w:rFonts w:ascii="Arial" w:cs="Arial" w:eastAsia="Arial" w:hAnsi="Arial"/>
          <w:sz w:val="12"/>
          <w:szCs w:val="12"/>
          <w:color w:val="auto"/>
        </w:rPr>
        <w:t xml:space="preserve">Our common stock trades on the NASDAQ under the symbol "NMIH." Our headquarters is located in Emeryville, California. As of June 30, 2021, we had 251 employees. Our corporate website is located at </w:t>
      </w:r>
      <w:r>
        <w:rPr>
          <w:rFonts w:ascii="Arial" w:cs="Arial" w:eastAsia="Arial" w:hAnsi="Arial"/>
          <w:sz w:val="12"/>
          <w:szCs w:val="12"/>
          <w:i w:val="1"/>
          <w:iCs w:val="1"/>
          <w:color w:val="auto"/>
        </w:rPr>
        <w:t>www.nationalmi.com</w:t>
      </w:r>
      <w:r>
        <w:rPr>
          <w:rFonts w:ascii="Arial" w:cs="Arial" w:eastAsia="Arial" w:hAnsi="Arial"/>
          <w:sz w:val="12"/>
          <w:szCs w:val="12"/>
          <w:color w:val="auto"/>
        </w:rPr>
        <w:t>. Our website and the information contained on or accessible through our website are not incorporated by reference into this report.</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Developments</w:t>
      </w:r>
    </w:p>
    <w:p>
      <w:pPr>
        <w:spacing w:after="0" w:line="11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January 30, 2020, the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of the increased level of macroeconomic volatility.</w:t>
      </w:r>
    </w:p>
    <w:p>
      <w:pPr>
        <w:spacing w:after="0" w:line="86"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The U.S. housing market demonstrated notable resiliency in the face of COVID stress, with significant purchase demand, record levels of mortgage origination activity and nationwide house price appreciation emerging shortly after the onset of the pandemic. More recently, the broad resumption of personal and business activity nationwide has prompted a sharp economic rebound and provided hope for a sustainable economic recovery.</w:t>
      </w:r>
    </w:p>
    <w:p>
      <w:pPr>
        <w:spacing w:after="0" w:line="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While there is increased optimism that the acute economic impact of COVID-19 has begun to recede, the pandemic continues to affect communities across the U.S. and poses significant risk globally. The path and pace of global economic recovery will depend, in large part, on the course of the virus (including the newly emergent Delta variant),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Potential Impact on the U.S. Housing Market and Mortgage Insurance Industry</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housing market demonstrated significant resiliency amidst the broader economic dislocation caused by the outbreak of COVID-19. Low interest rates helped to support housing affordability, medical concerns and lifestyle preferences drove people to move from densely populated urban areas to suburban communities where social distancing was more easily achieved, and shelter-in-place directives reinforced the value of homeownership – all of which contributed to an influx of new home buyers, record levels of purchase demand, and nationwide house price appreciation.</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While the possibility remains that the housing market will soften, we believe the general strength of the market coming into the COVID-19 crisis and demonstrated resiliency thus far through the pandemic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86" w:lineRule="exact"/>
        <w:rPr>
          <w:sz w:val="20"/>
          <w:szCs w:val="20"/>
          <w:color w:val="auto"/>
        </w:rPr>
      </w:pPr>
    </w:p>
    <w:p>
      <w:pPr>
        <w:ind w:left="860" w:hanging="436"/>
        <w:spacing w:after="0" w:line="276" w:lineRule="auto"/>
        <w:tabs>
          <w:tab w:leader="none" w:pos="694"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78" w:lineRule="exact"/>
        <w:rPr>
          <w:rFonts w:ascii="Arial" w:cs="Arial" w:eastAsia="Arial" w:hAnsi="Arial"/>
          <w:sz w:val="12"/>
          <w:szCs w:val="12"/>
          <w:color w:val="auto"/>
        </w:rPr>
      </w:pPr>
    </w:p>
    <w:p>
      <w:pPr>
        <w:ind w:left="700" w:hanging="276"/>
        <w:spacing w:after="0"/>
        <w:tabs>
          <w:tab w:leader="none" w:pos="7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lower concentration of higher risk loan structures, such as negative amortizing, interest-only or short-termed option adjustable-rate mortgages being originated and outstanding in the current market;</w:t>
      </w:r>
    </w:p>
    <w:p>
      <w:pPr>
        <w:spacing w:after="0" w:line="125" w:lineRule="exact"/>
        <w:rPr>
          <w:rFonts w:ascii="Arial" w:cs="Arial" w:eastAsia="Arial" w:hAnsi="Arial"/>
          <w:sz w:val="11"/>
          <w:szCs w:val="11"/>
          <w:color w:val="auto"/>
        </w:rPr>
      </w:pPr>
    </w:p>
    <w:p>
      <w:pPr>
        <w:ind w:left="860" w:hanging="436"/>
        <w:spacing w:after="0" w:line="276" w:lineRule="auto"/>
        <w:tabs>
          <w:tab w:leader="none" w:pos="769"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29" w:name="page30"/>
    <w:bookmarkEnd w:id="29"/>
    <w:p>
      <w:pPr>
        <w:ind w:left="860" w:hanging="436"/>
        <w:spacing w:after="0" w:line="276" w:lineRule="auto"/>
        <w:tabs>
          <w:tab w:leader="none" w:pos="783"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availability and immediate application by the government,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78" w:lineRule="exact"/>
        <w:rPr>
          <w:rFonts w:ascii="Arial" w:cs="Arial" w:eastAsia="Arial" w:hAnsi="Arial"/>
          <w:sz w:val="12"/>
          <w:szCs w:val="12"/>
          <w:color w:val="auto"/>
        </w:rPr>
      </w:pPr>
    </w:p>
    <w:p>
      <w:pPr>
        <w:ind w:left="860" w:hanging="436"/>
        <w:spacing w:after="0" w:line="263" w:lineRule="auto"/>
        <w:tabs>
          <w:tab w:leader="none" w:pos="734"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broader and equally immediate application of significant fiscal and monetary stimulus by the federal government under the CARES Act, and subsequently under the Consolidated Appropriations Act enacted on December 27, 2020 (the CAA) and the American Rescue Plan Act enacted on March 11, 2021 (the American Rescue Plan), as well as across a range of other programs designed to assist unemployed individuals and distressed businesses, and support the smooth functioning of various capital and risk markets.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also perceive the house price environment in the period leading up to the COVID crisis to be anchored by more balanced market fundamentals than that in the period leading up to the 2008 Financial Crisis. We believe the 2008 Financial Crisis was directly precipitated by irresponsible behavior in the housing market that drove home prices to unsustainable heights (a so-called "bubble"). We see a causal link between the housing market and the 2008 Financial Crisis that we do not see in the COVID-19 outbreak, and we believe this will further contribute to housing market stability in the current period.</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Purchase mortgage origination volume has increased significantly as factors related to the COVID-19 crisis have spurred significant incremental demand for homeownership. Refinancing origination volume has also grown dramatically as historically low mortgage rates have created refinancing opportunities for a large number of existing borrowers.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Growth in total mortgage origination volume increases the addressable market for the U.S. mortgage insurance industry, while accelerated refinancing activity increases prepayment speed on outstanding insured mortgages. In this context, total U.S. mortgage insurance industry new insurance written (NIW) volume increased to record levels following the onset of the COVID pandemic and the persistency of existing in-force insured risk across the industry declined meaningfully.</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While we currently observe broad resiliency in the housing and high-LTV mortgage markets and, for the reasons discussed above, expect this trend to continue in the near term, the ultimate impact of COVID-19 remains highly uncertain. See Item 1A of our 2020 10K</w:t>
      </w:r>
      <w:r>
        <w:rPr>
          <w:rFonts w:ascii="Arial" w:cs="Arial" w:eastAsia="Arial" w:hAnsi="Arial"/>
          <w:sz w:val="12"/>
          <w:szCs w:val="12"/>
          <w:i w:val="1"/>
          <w:iCs w:val="1"/>
          <w:color w:val="auto"/>
        </w:rPr>
        <w:t>, "Risk Factors - The COVID-19 outbreak may continue to materially adversely affect our business, results of operations and financial condition</w:t>
      </w:r>
      <w:r>
        <w:rPr>
          <w:rFonts w:ascii="Arial" w:cs="Arial" w:eastAsia="Arial" w:hAnsi="Arial"/>
          <w:sz w:val="12"/>
          <w:szCs w:val="12"/>
          <w:color w:val="auto"/>
        </w:rPr>
        <w: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Potential Impact on NMI's Business Performance and Financial Position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Operations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had 251 employees at June 30, 2021, including 86 who typically work at our corporate headquarters in Emeryville, CA and 165 who typically work from home in locations across the country. In response to the COVID-19 outbreak, we activated our business continuity program and instituted additional work-from-home practices for our Emeryville-based staff. We transitioned our operations seamlessly and have continued to positively engage with customers on a remote basis. Our IT environment, underwriting capabilities, policy servicing platform and risk architecture have continued without interruption, and our internal control environment is unchanged. We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While the broad COVID vaccination effort and relaxation of local restrictions on indoor business operation may allow for a general resumption of in-office activity for our headquarters-based employees, the success of our remote work experience through the pandemic has caused us to offer increased flexibility for employees who prefer a full-time or part-time distributed engagement. If we continue to offer such flexibility and a large enough number of employees elect such an approach, our office and real estate needs could evolve.</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New Business Production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NIW volume increased significantly following the onset of the COVID-19 pandemic driven by the broad resiliency of the housing market, growth in total mortgage origination volume and increasing size of the U.S.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mortgage insurance market, as well as the continued expansion of our customer franchise. We wrote $22.8 billion of NIW during the three months ended June 30, 2021, up 73% compared to the three months ended June 30, 2020.</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While we currently expect our new business production will remain elevated, the emergence of the Delta variant and potential onset of a new viral wave could prompt a reintroduction of broad-based shelter in place directives, increased unemployment or other potentially negative economic and societal outcomes that could cause a moderation or decline in our volume going forward.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0" w:name="page31"/>
    <w:bookmarkEnd w:id="30"/>
    <w:p>
      <w:pPr>
        <w:ind w:left="428"/>
        <w:spacing w:after="0"/>
        <w:rPr>
          <w:sz w:val="20"/>
          <w:szCs w:val="20"/>
          <w:color w:val="auto"/>
        </w:rPr>
      </w:pPr>
      <w:r>
        <w:rPr>
          <w:rFonts w:ascii="Arial" w:cs="Arial" w:eastAsia="Arial" w:hAnsi="Arial"/>
          <w:sz w:val="11"/>
          <w:szCs w:val="11"/>
          <w:color w:val="auto"/>
        </w:rPr>
        <w:t>We have broadly defined underwriting standards and loan-level eligibility criteria that are designed to limit our exposure to higher risk loans, and have used Rate GPS to actively shape the mix of our new business production</w:t>
      </w:r>
    </w:p>
    <w:p>
      <w:pPr>
        <w:spacing w:after="0" w:line="4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and insured portfolio by, among other risk factors, borrower FICO score, debt-to-income (DTI) ratio and LTV ratio. In the weeks following the outbreak of COVID-19, we adopted changes to our underwriting guidelines, including changes to our loan documentation requirements, asset reserve requirements, employment verification process and income continuance determinations, that further strengthened the credit risk profile of our NIW volume and IIF. At June 30, 2021, the weighted average FICO score of our RIF was 754 and we had a 3% mix of below 680 FICO score risk. Similarly, at June 30, 2021, the weighted average LTV ratio (at origination) of our insured portfolio was 92.4% and we had a 10% mix of 97% LTV risk.</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Delinquency Trends and Claims Expense</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At June 30, 2021 we had 8,764 defaulted loans in our primary insured portfolio, which represented a 1.86% default rate against our 471,794 total policies in-force, and identified 11,889 loans that were enrolled in a forbearance program, including 7,822 of those in default status.</w:t>
      </w:r>
    </w:p>
    <w:p>
      <w:pPr>
        <w:spacing w:after="0" w:line="79"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default population increased significantly following the outbreak of the pandemic as borrowers faced increased challenges related to COVID-19 and chose to access the forbearance program for federally backed loans codified under the CARES Act or other similar assistance programs made available by private lenders. After this significant initial spike our default experience has steadily improved as an increasing number of impacted borrowers have cured their delinquencies, and fewer new defaults have emerged.</w:t>
      </w:r>
    </w:p>
    <w:p>
      <w:pPr>
        <w:spacing w:after="0" w:line="86" w:lineRule="exact"/>
        <w:rPr>
          <w:sz w:val="20"/>
          <w:szCs w:val="20"/>
          <w:color w:val="auto"/>
        </w:rPr>
      </w:pPr>
    </w:p>
    <w:p>
      <w:pPr>
        <w:ind w:left="428" w:right="980"/>
        <w:spacing w:after="0" w:line="456" w:lineRule="auto"/>
        <w:rPr>
          <w:sz w:val="20"/>
          <w:szCs w:val="20"/>
          <w:color w:val="auto"/>
        </w:rPr>
      </w:pPr>
      <w:r>
        <w:rPr>
          <w:rFonts w:ascii="Arial" w:cs="Arial" w:eastAsia="Arial" w:hAnsi="Arial"/>
          <w:sz w:val="12"/>
          <w:szCs w:val="12"/>
          <w:color w:val="auto"/>
        </w:rPr>
        <w:t>Our total population of defaulted loans peaked in August 2020 and has declined every month since with consistency. As of July 31, 2021, our default population was 8,277, representing a 1.73% default rate. The table below highlights default and forbearance activity in our primary portfolio as of the dates indicated</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8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w w:val="94"/>
              </w:rPr>
              <w:t>Default and Forbearance Activity as of</w:t>
            </w:r>
          </w:p>
        </w:tc>
        <w:tc>
          <w:tcPr>
            <w:tcW w:w="9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119"/>
        </w:trPr>
        <w:tc>
          <w:tcPr>
            <w:tcW w:w="4800" w:type="dxa"/>
            <w:vAlign w:val="bottom"/>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5"/>
              </w:rPr>
              <w:t>6/30/2020</w:t>
            </w:r>
          </w:p>
        </w:tc>
        <w:tc>
          <w:tcPr>
            <w:tcW w:w="1000" w:type="dxa"/>
            <w:vAlign w:val="bottom"/>
            <w:tcBorders>
              <w:bottom w:val="single" w:sz="8" w:color="auto"/>
            </w:tcBorders>
            <w:shd w:val="clear" w:color="auto" w:fill="CCEEFF"/>
          </w:tcPr>
          <w:p>
            <w:pPr>
              <w:jc w:val="center"/>
              <w:ind w:left="222"/>
              <w:spacing w:after="0"/>
              <w:rPr>
                <w:sz w:val="20"/>
                <w:szCs w:val="20"/>
                <w:color w:val="auto"/>
              </w:rPr>
            </w:pPr>
            <w:r>
              <w:rPr>
                <w:rFonts w:ascii="Arial" w:cs="Arial" w:eastAsia="Arial" w:hAnsi="Arial"/>
                <w:sz w:val="10"/>
                <w:szCs w:val="10"/>
                <w:b w:val="1"/>
                <w:bCs w:val="1"/>
                <w:color w:val="auto"/>
                <w:w w:val="89"/>
              </w:rPr>
              <w:t>9/30/2020</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12/31/2020</w:t>
            </w:r>
          </w:p>
        </w:tc>
        <w:tc>
          <w:tcPr>
            <w:tcW w:w="980" w:type="dxa"/>
            <w:vAlign w:val="bottom"/>
            <w:tcBorders>
              <w:bottom w:val="single" w:sz="8" w:color="auto"/>
            </w:tcBorders>
            <w:shd w:val="clear" w:color="auto" w:fill="CCEEFF"/>
          </w:tcPr>
          <w:p>
            <w:pPr>
              <w:jc w:val="center"/>
              <w:ind w:right="262"/>
              <w:spacing w:after="0"/>
              <w:rPr>
                <w:sz w:val="20"/>
                <w:szCs w:val="20"/>
                <w:color w:val="auto"/>
              </w:rPr>
            </w:pPr>
            <w:r>
              <w:rPr>
                <w:rFonts w:ascii="Arial" w:cs="Arial" w:eastAsia="Arial" w:hAnsi="Arial"/>
                <w:sz w:val="10"/>
                <w:szCs w:val="10"/>
                <w:b w:val="1"/>
                <w:bCs w:val="1"/>
                <w:color w:val="auto"/>
                <w:w w:val="89"/>
              </w:rPr>
              <w:t>3/31/21</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3"/>
              </w:rPr>
              <w:t>6/30/21</w:t>
            </w:r>
          </w:p>
        </w:tc>
      </w:tr>
      <w:tr>
        <w:trPr>
          <w:trHeight w:val="142"/>
        </w:trPr>
        <w:tc>
          <w:tcPr>
            <w:tcW w:w="4800" w:type="dxa"/>
            <w:vAlign w:val="bottom"/>
          </w:tcPr>
          <w:p>
            <w:pPr>
              <w:spacing w:after="0"/>
              <w:rPr>
                <w:sz w:val="20"/>
                <w:szCs w:val="20"/>
                <w:color w:val="auto"/>
              </w:rPr>
            </w:pPr>
            <w:r>
              <w:rPr>
                <w:rFonts w:ascii="Arial" w:cs="Arial" w:eastAsia="Arial" w:hAnsi="Arial"/>
                <w:sz w:val="12"/>
                <w:szCs w:val="12"/>
                <w:color w:val="auto"/>
              </w:rPr>
              <w:t>Number of loans in default</w:t>
            </w:r>
          </w:p>
        </w:tc>
        <w:tc>
          <w:tcPr>
            <w:tcW w:w="1300" w:type="dxa"/>
            <w:vAlign w:val="bottom"/>
          </w:tcPr>
          <w:p>
            <w:pPr>
              <w:jc w:val="center"/>
              <w:spacing w:after="0"/>
              <w:rPr>
                <w:sz w:val="20"/>
                <w:szCs w:val="20"/>
                <w:color w:val="auto"/>
              </w:rPr>
            </w:pPr>
            <w:r>
              <w:rPr>
                <w:rFonts w:ascii="Arial" w:cs="Arial" w:eastAsia="Arial" w:hAnsi="Arial"/>
                <w:sz w:val="12"/>
                <w:szCs w:val="12"/>
                <w:color w:val="auto"/>
                <w:w w:val="92"/>
              </w:rPr>
              <w:t>10,816</w:t>
            </w:r>
          </w:p>
        </w:tc>
        <w:tc>
          <w:tcPr>
            <w:tcW w:w="1000" w:type="dxa"/>
            <w:vAlign w:val="bottom"/>
          </w:tcPr>
          <w:p>
            <w:pPr>
              <w:jc w:val="center"/>
              <w:ind w:left="222"/>
              <w:spacing w:after="0"/>
              <w:rPr>
                <w:sz w:val="20"/>
                <w:szCs w:val="20"/>
                <w:color w:val="auto"/>
              </w:rPr>
            </w:pPr>
            <w:r>
              <w:rPr>
                <w:rFonts w:ascii="Arial" w:cs="Arial" w:eastAsia="Arial" w:hAnsi="Arial"/>
                <w:sz w:val="12"/>
                <w:szCs w:val="12"/>
                <w:color w:val="auto"/>
                <w:w w:val="87"/>
              </w:rPr>
              <w:t>13,765</w:t>
            </w:r>
          </w:p>
        </w:tc>
        <w:tc>
          <w:tcPr>
            <w:tcW w:w="1900" w:type="dxa"/>
            <w:vAlign w:val="bottom"/>
          </w:tcPr>
          <w:p>
            <w:pPr>
              <w:jc w:val="center"/>
              <w:spacing w:after="0"/>
              <w:rPr>
                <w:sz w:val="20"/>
                <w:szCs w:val="20"/>
                <w:color w:val="auto"/>
              </w:rPr>
            </w:pPr>
            <w:r>
              <w:rPr>
                <w:rFonts w:ascii="Arial" w:cs="Arial" w:eastAsia="Arial" w:hAnsi="Arial"/>
                <w:sz w:val="12"/>
                <w:szCs w:val="12"/>
                <w:color w:val="auto"/>
                <w:w w:val="87"/>
              </w:rPr>
              <w:t>12,209</w:t>
            </w:r>
          </w:p>
        </w:tc>
        <w:tc>
          <w:tcPr>
            <w:tcW w:w="980" w:type="dxa"/>
            <w:vAlign w:val="bottom"/>
          </w:tcPr>
          <w:p>
            <w:pPr>
              <w:jc w:val="center"/>
              <w:ind w:right="242"/>
              <w:spacing w:after="0"/>
              <w:rPr>
                <w:sz w:val="20"/>
                <w:szCs w:val="20"/>
                <w:color w:val="auto"/>
              </w:rPr>
            </w:pPr>
            <w:r>
              <w:rPr>
                <w:rFonts w:ascii="Arial" w:cs="Arial" w:eastAsia="Arial" w:hAnsi="Arial"/>
                <w:sz w:val="12"/>
                <w:szCs w:val="12"/>
                <w:color w:val="auto"/>
                <w:w w:val="87"/>
              </w:rPr>
              <w:t>11,090</w:t>
            </w:r>
          </w:p>
        </w:tc>
        <w:tc>
          <w:tcPr>
            <w:tcW w:w="1320" w:type="dxa"/>
            <w:vAlign w:val="bottom"/>
          </w:tcPr>
          <w:p>
            <w:pPr>
              <w:jc w:val="center"/>
              <w:spacing w:after="0"/>
              <w:rPr>
                <w:sz w:val="20"/>
                <w:szCs w:val="20"/>
                <w:color w:val="auto"/>
              </w:rPr>
            </w:pPr>
            <w:r>
              <w:rPr>
                <w:rFonts w:ascii="Arial" w:cs="Arial" w:eastAsia="Arial" w:hAnsi="Arial"/>
                <w:sz w:val="12"/>
                <w:szCs w:val="12"/>
                <w:color w:val="auto"/>
                <w:w w:val="93"/>
              </w:rPr>
              <w:t>8,764</w:t>
            </w:r>
          </w:p>
        </w:tc>
      </w:tr>
      <w:tr>
        <w:trPr>
          <w:trHeight w:val="153"/>
        </w:trPr>
        <w:tc>
          <w:tcPr>
            <w:tcW w:w="480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2.90%</w:t>
            </w:r>
          </w:p>
        </w:tc>
        <w:tc>
          <w:tcPr>
            <w:tcW w:w="100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93"/>
              </w:rPr>
              <w:t>3.60%</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3.06%</w:t>
            </w:r>
          </w:p>
        </w:tc>
        <w:tc>
          <w:tcPr>
            <w:tcW w:w="980" w:type="dxa"/>
            <w:vAlign w:val="bottom"/>
            <w:shd w:val="clear" w:color="auto" w:fill="CCEEFF"/>
          </w:tcPr>
          <w:p>
            <w:pPr>
              <w:jc w:val="center"/>
              <w:ind w:right="262"/>
              <w:spacing w:after="0"/>
              <w:rPr>
                <w:sz w:val="20"/>
                <w:szCs w:val="20"/>
                <w:color w:val="auto"/>
              </w:rPr>
            </w:pPr>
            <w:r>
              <w:rPr>
                <w:rFonts w:ascii="Arial" w:cs="Arial" w:eastAsia="Arial" w:hAnsi="Arial"/>
                <w:sz w:val="12"/>
                <w:szCs w:val="12"/>
                <w:color w:val="auto"/>
                <w:w w:val="88"/>
              </w:rPr>
              <w:t>2.54%</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1.86%</w:t>
            </w:r>
          </w:p>
        </w:tc>
      </w:tr>
      <w:tr>
        <w:trPr>
          <w:trHeight w:val="153"/>
        </w:trPr>
        <w:tc>
          <w:tcPr>
            <w:tcW w:w="4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Number of loans in forbearance</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28,555</w:t>
            </w:r>
          </w:p>
        </w:tc>
        <w:tc>
          <w:tcPr>
            <w:tcW w:w="1000" w:type="dxa"/>
            <w:vAlign w:val="bottom"/>
            <w:shd w:val="clear" w:color="auto" w:fill="CCEEFF"/>
          </w:tcPr>
          <w:p>
            <w:pPr>
              <w:jc w:val="center"/>
              <w:ind w:left="222"/>
              <w:spacing w:after="0"/>
              <w:rPr>
                <w:sz w:val="20"/>
                <w:szCs w:val="20"/>
                <w:color w:val="auto"/>
              </w:rPr>
            </w:pPr>
            <w:r>
              <w:rPr>
                <w:rFonts w:ascii="Arial" w:cs="Arial" w:eastAsia="Arial" w:hAnsi="Arial"/>
                <w:sz w:val="12"/>
                <w:szCs w:val="12"/>
                <w:color w:val="auto"/>
                <w:w w:val="87"/>
              </w:rPr>
              <w:t>24,809</w:t>
            </w:r>
          </w:p>
        </w:tc>
        <w:tc>
          <w:tcPr>
            <w:tcW w:w="1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19,464</w:t>
            </w:r>
          </w:p>
        </w:tc>
        <w:tc>
          <w:tcPr>
            <w:tcW w:w="980" w:type="dxa"/>
            <w:vAlign w:val="bottom"/>
            <w:shd w:val="clear" w:color="auto" w:fill="CCEEFF"/>
          </w:tcPr>
          <w:p>
            <w:pPr>
              <w:jc w:val="center"/>
              <w:ind w:right="262"/>
              <w:spacing w:after="0"/>
              <w:rPr>
                <w:sz w:val="20"/>
                <w:szCs w:val="20"/>
                <w:color w:val="auto"/>
              </w:rPr>
            </w:pPr>
            <w:r>
              <w:rPr>
                <w:rFonts w:ascii="Arial" w:cs="Arial" w:eastAsia="Arial" w:hAnsi="Arial"/>
                <w:sz w:val="12"/>
                <w:szCs w:val="12"/>
                <w:color w:val="auto"/>
                <w:w w:val="92"/>
              </w:rPr>
              <w:t>14,805</w:t>
            </w: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11,889</w:t>
            </w:r>
          </w:p>
        </w:tc>
      </w:tr>
      <w:tr>
        <w:trPr>
          <w:trHeight w:val="207"/>
        </w:trPr>
        <w:tc>
          <w:tcPr>
            <w:tcW w:w="4800" w:type="dxa"/>
            <w:vAlign w:val="bottom"/>
          </w:tcPr>
          <w:p>
            <w:pPr>
              <w:spacing w:after="0"/>
              <w:rPr>
                <w:sz w:val="20"/>
                <w:szCs w:val="20"/>
                <w:color w:val="auto"/>
              </w:rPr>
            </w:pPr>
            <w:r>
              <w:rPr>
                <w:rFonts w:ascii="Arial" w:cs="Arial" w:eastAsia="Arial" w:hAnsi="Arial"/>
                <w:sz w:val="12"/>
                <w:szCs w:val="12"/>
                <w:color w:val="auto"/>
              </w:rPr>
              <w:t xml:space="preserve">Forbearance rate </w:t>
            </w:r>
            <w:r>
              <w:rPr>
                <w:rFonts w:ascii="Arial" w:cs="Arial" w:eastAsia="Arial" w:hAnsi="Arial"/>
                <w:sz w:val="15"/>
                <w:szCs w:val="15"/>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2"/>
                <w:szCs w:val="12"/>
                <w:color w:val="auto"/>
                <w:w w:val="88"/>
              </w:rPr>
              <w:t>7.66%</w:t>
            </w:r>
          </w:p>
        </w:tc>
        <w:tc>
          <w:tcPr>
            <w:tcW w:w="1000" w:type="dxa"/>
            <w:vAlign w:val="bottom"/>
          </w:tcPr>
          <w:p>
            <w:pPr>
              <w:jc w:val="center"/>
              <w:ind w:left="222"/>
              <w:spacing w:after="0"/>
              <w:rPr>
                <w:sz w:val="20"/>
                <w:szCs w:val="20"/>
                <w:color w:val="auto"/>
              </w:rPr>
            </w:pPr>
            <w:r>
              <w:rPr>
                <w:rFonts w:ascii="Arial" w:cs="Arial" w:eastAsia="Arial" w:hAnsi="Arial"/>
                <w:sz w:val="12"/>
                <w:szCs w:val="12"/>
                <w:color w:val="auto"/>
                <w:w w:val="93"/>
              </w:rPr>
              <w:t>6.50%</w:t>
            </w:r>
          </w:p>
        </w:tc>
        <w:tc>
          <w:tcPr>
            <w:tcW w:w="1900" w:type="dxa"/>
            <w:vAlign w:val="bottom"/>
          </w:tcPr>
          <w:p>
            <w:pPr>
              <w:jc w:val="center"/>
              <w:spacing w:after="0"/>
              <w:rPr>
                <w:sz w:val="20"/>
                <w:szCs w:val="20"/>
                <w:color w:val="auto"/>
              </w:rPr>
            </w:pPr>
            <w:r>
              <w:rPr>
                <w:rFonts w:ascii="Arial" w:cs="Arial" w:eastAsia="Arial" w:hAnsi="Arial"/>
                <w:sz w:val="12"/>
                <w:szCs w:val="12"/>
                <w:color w:val="auto"/>
                <w:w w:val="93"/>
              </w:rPr>
              <w:t>4.87%</w:t>
            </w:r>
          </w:p>
        </w:tc>
        <w:tc>
          <w:tcPr>
            <w:tcW w:w="980" w:type="dxa"/>
            <w:vAlign w:val="bottom"/>
          </w:tcPr>
          <w:p>
            <w:pPr>
              <w:jc w:val="center"/>
              <w:ind w:right="262"/>
              <w:spacing w:after="0"/>
              <w:rPr>
                <w:sz w:val="20"/>
                <w:szCs w:val="20"/>
                <w:color w:val="auto"/>
              </w:rPr>
            </w:pPr>
            <w:r>
              <w:rPr>
                <w:rFonts w:ascii="Arial" w:cs="Arial" w:eastAsia="Arial" w:hAnsi="Arial"/>
                <w:sz w:val="12"/>
                <w:szCs w:val="12"/>
                <w:color w:val="auto"/>
                <w:w w:val="88"/>
              </w:rPr>
              <w:t>3.39%</w:t>
            </w:r>
          </w:p>
        </w:tc>
        <w:tc>
          <w:tcPr>
            <w:tcW w:w="1320" w:type="dxa"/>
            <w:vAlign w:val="bottom"/>
          </w:tcPr>
          <w:p>
            <w:pPr>
              <w:jc w:val="center"/>
              <w:spacing w:after="0"/>
              <w:rPr>
                <w:sz w:val="20"/>
                <w:szCs w:val="20"/>
                <w:color w:val="auto"/>
              </w:rPr>
            </w:pPr>
            <w:r>
              <w:rPr>
                <w:rFonts w:ascii="Arial" w:cs="Arial" w:eastAsia="Arial" w:hAnsi="Arial"/>
                <w:sz w:val="12"/>
                <w:szCs w:val="12"/>
                <w:color w:val="auto"/>
                <w:w w:val="93"/>
              </w:rPr>
              <w:t>2.52%</w:t>
            </w:r>
          </w:p>
        </w:tc>
      </w:tr>
    </w:tbl>
    <w:p>
      <w:pPr>
        <w:spacing w:after="0" w:line="244" w:lineRule="exact"/>
        <w:rPr>
          <w:sz w:val="20"/>
          <w:szCs w:val="20"/>
          <w:color w:val="auto"/>
        </w:rPr>
      </w:pPr>
    </w:p>
    <w:p>
      <w:pPr>
        <w:ind w:left="128" w:hanging="128"/>
        <w:spacing w:after="0"/>
        <w:tabs>
          <w:tab w:leader="none" w:pos="128" w:val="left"/>
        </w:tabs>
        <w:numPr>
          <w:ilvl w:val="0"/>
          <w:numId w:val="13"/>
        </w:numPr>
        <w:rPr>
          <w:rFonts w:ascii="Arial" w:cs="Arial" w:eastAsia="Arial" w:hAnsi="Arial"/>
          <w:sz w:val="12"/>
          <w:szCs w:val="12"/>
          <w:color w:val="auto"/>
          <w:vertAlign w:val="superscript"/>
        </w:rPr>
      </w:pPr>
      <w:r>
        <w:rPr>
          <w:rFonts w:ascii="Arial" w:cs="Arial" w:eastAsia="Arial" w:hAnsi="Arial"/>
          <w:sz w:val="10"/>
          <w:szCs w:val="10"/>
          <w:color w:val="auto"/>
        </w:rPr>
        <w:t>Default rate is calculated as the number of loans in default divided by total polices in force</w:t>
      </w:r>
    </w:p>
    <w:p>
      <w:pPr>
        <w:ind w:left="168" w:hanging="168"/>
        <w:spacing w:after="0" w:line="197" w:lineRule="auto"/>
        <w:tabs>
          <w:tab w:leader="none" w:pos="168" w:val="left"/>
        </w:tabs>
        <w:numPr>
          <w:ilvl w:val="0"/>
          <w:numId w:val="13"/>
        </w:numPr>
        <w:rPr>
          <w:rFonts w:ascii="Arial" w:cs="Arial" w:eastAsia="Arial" w:hAnsi="Arial"/>
          <w:sz w:val="12"/>
          <w:szCs w:val="12"/>
          <w:color w:val="auto"/>
          <w:vertAlign w:val="superscript"/>
        </w:rPr>
      </w:pPr>
      <w:r>
        <w:rPr>
          <w:rFonts w:ascii="Arial" w:cs="Arial" w:eastAsia="Arial" w:hAnsi="Arial"/>
          <w:sz w:val="10"/>
          <w:szCs w:val="10"/>
          <w:color w:val="auto"/>
        </w:rPr>
        <w:t>Forbearance rate is calculated as the number of loans in forbearance divided by total polices in force.</w:t>
      </w:r>
    </w:p>
    <w:p>
      <w:pPr>
        <w:spacing w:after="0" w:line="15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While we are encouraged by the decline in our forbearance and default populations and optimistic that we will see continued improvement as the economic stress of the COVID crisis recedes, the emergence of the Delta variant or future viral waves could cause further social and economic dislocation and contribute to an increase in our forbearance and default counts in future periods.</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We establish reserves for claims and allocated claim expenses when we are notified that a borrower is in default. The size of the reserve we establish for each defaulted loan (and by extension our aggregate reserve and claims expense) reflects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8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outbreak, the GSEs have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June 30, 2021, we established lower reserves for defaults that we consider to be connected to the COVID-19</w:t>
      </w:r>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2"/>
          <w:szCs w:val="12"/>
          <w:color w:val="auto"/>
        </w:rPr>
        <w:t>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Master Policies require insureds to file a claim no later than 60-days after completion of a foreclosure, and in connection with the claim, the insured is generally entitled to include in the claim amount (i) up to three years of missed interest payments and (ii) certain advances, each as incurred through the date the claim is filed. Under our Master Policies, a national foreclosure moratorium of the type currently required will not limit the amount of accrued interest (subject to the three-year limit) or advances that may be included in the claim amount. In June, the GSEs extended their moratorium on the foreclosure of enterprise-backed single-family residential mortgages through September 30, 2021. If the duration of the current foreclosure moratorium mandated by the GSEs is further extended, loans in our default inventory, including those with defaults unrelated to the COVID-19 crisis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Regulatory Capital Position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an approved mortgage insurer and Wisconsin-domiciled carrier, we are required to satisfy financial and/or capitalization requirements stipulated by each of the GSEs and the Wisconsin OCI.</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financial requirements stipulated by the GSEs are outlined in the PMIERs. Under the PMIERs, we must maintain available assets that are equal to or exceed a minimum risk-based required asset amount, subject to a minimum floor of $400 million. At June 30, 2021, we reported $1,887 million available assets against $1,171 million risk-based required assets. Our “excess” funding position was $716 million.</w:t>
      </w:r>
    </w:p>
    <w:p>
      <w:pPr>
        <w:spacing w:after="0" w:line="7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eligible for Individual Assistance. In June 2020, the GSEs issued guidance (subsequently amended and restated in each of September 2020, December 2020 and June 2021) on the risk-based treatment of loans affected by the COVID-19 crisis and the reporting of non-performing loans by aging category.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7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Our PMIERs minimum risk-based required asset amount is also adjusted for our reinsurance transactions (as approved by the GSEs). Under our quota share reinsurance treaties, we receive credit for the PMIERs risk-based required asset amount on 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7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A Lock-Out Event was deemed to have occurred, effective June 25, 2020 for each of the 2017, 2018 and 2019 ILN Transactions (related to the default experience of the underlying reference pools for each respective transaction) and at inception of the 2021-1 ILN Transaction (related to the initial build of its target credit enhancement), and the amortization of reinsurance coverage, and distribution of collateral assets and amortization of insurance-linked notes was suspended for each such ILN Transaction. The amortization of reinsurance coverage, distribution of collateral assets and amortization of insurance-linked notes will remain suspended for the duration of the Lock-Out Event for each such ILN Transaction, and during such period the overcollateralization within and potential PMIERs capacity provided by each such ILN Transaction will grow as assets are preserved in the applicable reinsurance trust account.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2" w:name="page33"/>
    <w:bookmarkEnd w:id="32"/>
    <w:p>
      <w:pPr>
        <w:ind w:left="428"/>
        <w:spacing w:after="0"/>
        <w:rPr>
          <w:sz w:val="20"/>
          <w:szCs w:val="20"/>
          <w:color w:val="auto"/>
        </w:rPr>
      </w:pPr>
      <w:r>
        <w:rPr>
          <w:rFonts w:ascii="Arial" w:cs="Arial" w:eastAsia="Arial" w:hAnsi="Arial"/>
          <w:sz w:val="12"/>
          <w:szCs w:val="12"/>
          <w:color w:val="auto"/>
        </w:rPr>
        <w:t>The following table provides detail on the level of overcollateralization of each of our ILN Transactions at June 30, 2021:</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780" w:type="dxa"/>
            <w:vAlign w:val="bottom"/>
            <w:tcBorders>
              <w:bottom w:val="single" w:sz="8" w:color="A6A6A6"/>
            </w:tcBorders>
          </w:tcPr>
          <w:p>
            <w:pPr>
              <w:spacing w:after="0"/>
              <w:rPr>
                <w:sz w:val="20"/>
                <w:szCs w:val="20"/>
                <w:color w:val="auto"/>
              </w:rPr>
            </w:pPr>
            <w:r>
              <w:rPr>
                <w:rFonts w:ascii="Arial" w:cs="Arial" w:eastAsia="Arial" w:hAnsi="Arial"/>
                <w:sz w:val="10"/>
                <w:szCs w:val="10"/>
                <w:b w:val="1"/>
                <w:bCs w:val="1"/>
                <w:i w:val="1"/>
                <w:iCs w:val="1"/>
                <w:color w:val="auto"/>
              </w:rPr>
              <w:t>($ values in thousands)</w:t>
            </w: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7"/>
              </w:rPr>
              <w:t>2017 ILN Transaction</w:t>
            </w: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w w:val="99"/>
              </w:rPr>
              <w:t>2018 ILN Transaction</w:t>
            </w: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w w:val="99"/>
              </w:rPr>
              <w:t>2019 ILN Transaction</w:t>
            </w: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94"/>
              </w:rPr>
              <w:t>2020-1 ILN Transaction</w:t>
            </w: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98"/>
              </w:rPr>
              <w:t>2020-2 ILN Transaction</w:t>
            </w: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96"/>
              </w:rPr>
              <w:t>2021-1 ILN Transaction</w:t>
            </w:r>
          </w:p>
        </w:tc>
      </w:tr>
      <w:tr>
        <w:trPr>
          <w:trHeight w:val="164"/>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Ceded RIF</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1,409,721</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1,572,828</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1,848,885</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3,673,953</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5,133,512</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8,612,343</w:t>
            </w:r>
          </w:p>
        </w:tc>
      </w:tr>
      <w:tr>
        <w:trPr>
          <w:trHeight w:val="63"/>
        </w:trPr>
        <w:tc>
          <w:tcPr>
            <w:tcW w:w="2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171"/>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First Layer Retained Loss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121,234</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122,937</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122,757</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169,488</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121,177</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163,708</w:t>
            </w:r>
          </w:p>
        </w:tc>
      </w:tr>
      <w:tr>
        <w:trPr>
          <w:trHeight w:val="166"/>
        </w:trPr>
        <w:tc>
          <w:tcPr>
            <w:tcW w:w="2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Reinsurance Coverage</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40,226</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158,489</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231,877</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128,750</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205,846</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367,238</w:t>
            </w:r>
          </w:p>
        </w:tc>
      </w:tr>
      <w:tr>
        <w:trPr>
          <w:trHeight w:val="165"/>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Eligible Coverage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161,460</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281,426</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354,634</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298,238</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327,023</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530,946</w:t>
            </w:r>
          </w:p>
        </w:tc>
      </w:tr>
      <w:tr>
        <w:trPr>
          <w:trHeight w:val="171"/>
        </w:trPr>
        <w:tc>
          <w:tcPr>
            <w:tcW w:w="2780" w:type="dxa"/>
            <w:vAlign w:val="bottom"/>
          </w:tcPr>
          <w:p>
            <w:pPr>
              <w:spacing w:after="0" w:line="171" w:lineRule="exact"/>
              <w:rPr>
                <w:sz w:val="20"/>
                <w:szCs w:val="20"/>
                <w:color w:val="auto"/>
              </w:rPr>
            </w:pPr>
            <w:r>
              <w:rPr>
                <w:rFonts w:ascii="Arial" w:cs="Arial" w:eastAsia="Arial" w:hAnsi="Arial"/>
                <w:sz w:val="12"/>
                <w:szCs w:val="12"/>
                <w:color w:val="auto"/>
              </w:rPr>
              <w:t xml:space="preserve">Subordinated Coverage </w:t>
            </w:r>
            <w:r>
              <w:rPr>
                <w:rFonts w:ascii="Arial" w:cs="Arial" w:eastAsia="Arial" w:hAnsi="Arial"/>
                <w:sz w:val="15"/>
                <w:szCs w:val="15"/>
                <w:color w:val="auto"/>
                <w:vertAlign w:val="superscript"/>
              </w:rPr>
              <w:t>(1)</w:t>
            </w:r>
          </w:p>
        </w:tc>
        <w:tc>
          <w:tcPr>
            <w:tcW w:w="180" w:type="dxa"/>
            <w:vAlign w:val="bottom"/>
          </w:tcPr>
          <w:p>
            <w:pPr>
              <w:spacing w:after="0"/>
              <w:rPr>
                <w:sz w:val="14"/>
                <w:szCs w:val="14"/>
                <w:color w:val="auto"/>
              </w:rPr>
            </w:pPr>
          </w:p>
        </w:tc>
        <w:tc>
          <w:tcPr>
            <w:tcW w:w="1200" w:type="dxa"/>
            <w:vAlign w:val="bottom"/>
          </w:tcPr>
          <w:p>
            <w:pPr>
              <w:jc w:val="right"/>
              <w:ind w:right="21"/>
              <w:spacing w:after="0"/>
              <w:rPr>
                <w:sz w:val="20"/>
                <w:szCs w:val="20"/>
                <w:color w:val="auto"/>
              </w:rPr>
            </w:pPr>
            <w:r>
              <w:rPr>
                <w:rFonts w:ascii="Arial" w:cs="Arial" w:eastAsia="Arial" w:hAnsi="Arial"/>
                <w:sz w:val="12"/>
                <w:szCs w:val="12"/>
                <w:color w:val="auto"/>
              </w:rPr>
              <w:t>11.45%</w:t>
            </w:r>
          </w:p>
        </w:tc>
        <w:tc>
          <w:tcPr>
            <w:tcW w:w="180" w:type="dxa"/>
            <w:vAlign w:val="bottom"/>
          </w:tcPr>
          <w:p>
            <w:pPr>
              <w:spacing w:after="0"/>
              <w:rPr>
                <w:sz w:val="14"/>
                <w:szCs w:val="14"/>
                <w:color w:val="auto"/>
              </w:rPr>
            </w:pPr>
          </w:p>
        </w:tc>
        <w:tc>
          <w:tcPr>
            <w:tcW w:w="1200" w:type="dxa"/>
            <w:vAlign w:val="bottom"/>
          </w:tcPr>
          <w:p>
            <w:pPr>
              <w:jc w:val="right"/>
              <w:ind w:right="21"/>
              <w:spacing w:after="0"/>
              <w:rPr>
                <w:sz w:val="20"/>
                <w:szCs w:val="20"/>
                <w:color w:val="auto"/>
              </w:rPr>
            </w:pPr>
            <w:r>
              <w:rPr>
                <w:rFonts w:ascii="Arial" w:cs="Arial" w:eastAsia="Arial" w:hAnsi="Arial"/>
                <w:sz w:val="12"/>
                <w:szCs w:val="12"/>
                <w:color w:val="auto"/>
              </w:rPr>
              <w:t>17.89%</w:t>
            </w:r>
          </w:p>
        </w:tc>
        <w:tc>
          <w:tcPr>
            <w:tcW w:w="200" w:type="dxa"/>
            <w:vAlign w:val="bottom"/>
          </w:tcPr>
          <w:p>
            <w:pPr>
              <w:spacing w:after="0"/>
              <w:rPr>
                <w:sz w:val="14"/>
                <w:szCs w:val="14"/>
                <w:color w:val="auto"/>
              </w:rPr>
            </w:pPr>
          </w:p>
        </w:tc>
        <w:tc>
          <w:tcPr>
            <w:tcW w:w="1240" w:type="dxa"/>
            <w:vAlign w:val="bottom"/>
          </w:tcPr>
          <w:p>
            <w:pPr>
              <w:jc w:val="right"/>
              <w:ind w:right="21"/>
              <w:spacing w:after="0"/>
              <w:rPr>
                <w:sz w:val="20"/>
                <w:szCs w:val="20"/>
                <w:color w:val="auto"/>
              </w:rPr>
            </w:pPr>
            <w:r>
              <w:rPr>
                <w:rFonts w:ascii="Arial" w:cs="Arial" w:eastAsia="Arial" w:hAnsi="Arial"/>
                <w:sz w:val="12"/>
                <w:szCs w:val="12"/>
                <w:color w:val="auto"/>
              </w:rPr>
              <w:t>19.18%</w:t>
            </w:r>
          </w:p>
        </w:tc>
        <w:tc>
          <w:tcPr>
            <w:tcW w:w="180" w:type="dxa"/>
            <w:vAlign w:val="bottom"/>
          </w:tcPr>
          <w:p>
            <w:pPr>
              <w:spacing w:after="0"/>
              <w:rPr>
                <w:sz w:val="14"/>
                <w:szCs w:val="14"/>
                <w:color w:val="auto"/>
              </w:rPr>
            </w:pPr>
          </w:p>
        </w:tc>
        <w:tc>
          <w:tcPr>
            <w:tcW w:w="1220" w:type="dxa"/>
            <w:vAlign w:val="bottom"/>
          </w:tcPr>
          <w:p>
            <w:pPr>
              <w:ind w:left="840"/>
              <w:spacing w:after="0"/>
              <w:rPr>
                <w:sz w:val="20"/>
                <w:szCs w:val="20"/>
                <w:color w:val="auto"/>
              </w:rPr>
            </w:pPr>
            <w:r>
              <w:rPr>
                <w:rFonts w:ascii="Arial" w:cs="Arial" w:eastAsia="Arial" w:hAnsi="Arial"/>
                <w:sz w:val="12"/>
                <w:szCs w:val="12"/>
                <w:color w:val="auto"/>
              </w:rPr>
              <w:t>8.00%</w:t>
            </w:r>
          </w:p>
        </w:tc>
        <w:tc>
          <w:tcPr>
            <w:tcW w:w="180" w:type="dxa"/>
            <w:vAlign w:val="bottom"/>
          </w:tcPr>
          <w:p>
            <w:pPr>
              <w:spacing w:after="0"/>
              <w:rPr>
                <w:sz w:val="14"/>
                <w:szCs w:val="14"/>
                <w:color w:val="auto"/>
              </w:rPr>
            </w:pPr>
          </w:p>
        </w:tc>
        <w:tc>
          <w:tcPr>
            <w:tcW w:w="1260" w:type="dxa"/>
            <w:vAlign w:val="bottom"/>
          </w:tcPr>
          <w:p>
            <w:pPr>
              <w:ind w:left="880"/>
              <w:spacing w:after="0"/>
              <w:rPr>
                <w:sz w:val="20"/>
                <w:szCs w:val="20"/>
                <w:color w:val="auto"/>
              </w:rPr>
            </w:pPr>
            <w:r>
              <w:rPr>
                <w:rFonts w:ascii="Arial" w:cs="Arial" w:eastAsia="Arial" w:hAnsi="Arial"/>
                <w:sz w:val="12"/>
                <w:szCs w:val="12"/>
                <w:color w:val="auto"/>
              </w:rPr>
              <w:t>6.25%</w:t>
            </w:r>
          </w:p>
        </w:tc>
        <w:tc>
          <w:tcPr>
            <w:tcW w:w="200" w:type="dxa"/>
            <w:vAlign w:val="bottom"/>
          </w:tcPr>
          <w:p>
            <w:pPr>
              <w:spacing w:after="0"/>
              <w:rPr>
                <w:sz w:val="14"/>
                <w:szCs w:val="14"/>
                <w:color w:val="auto"/>
              </w:rPr>
            </w:pPr>
          </w:p>
        </w:tc>
        <w:tc>
          <w:tcPr>
            <w:tcW w:w="1280" w:type="dxa"/>
            <w:vAlign w:val="bottom"/>
          </w:tcPr>
          <w:p>
            <w:pPr>
              <w:ind w:left="880"/>
              <w:spacing w:after="0"/>
              <w:rPr>
                <w:sz w:val="20"/>
                <w:szCs w:val="20"/>
                <w:color w:val="auto"/>
              </w:rPr>
            </w:pPr>
            <w:r>
              <w:rPr>
                <w:rFonts w:ascii="Arial" w:cs="Arial" w:eastAsia="Arial" w:hAnsi="Arial"/>
                <w:sz w:val="12"/>
                <w:szCs w:val="12"/>
                <w:color w:val="auto"/>
              </w:rPr>
              <w:t>6.16%</w:t>
            </w:r>
          </w:p>
        </w:tc>
      </w:tr>
      <w:tr>
        <w:trPr>
          <w:trHeight w:val="99"/>
        </w:trPr>
        <w:tc>
          <w:tcPr>
            <w:tcW w:w="27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r>
        <w:trPr>
          <w:trHeight w:val="167"/>
        </w:trPr>
        <w:tc>
          <w:tcPr>
            <w:tcW w:w="2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PMIERs Charge on Ceded RIF</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6.64%</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8.67%</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8.35%</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2"/>
                <w:szCs w:val="12"/>
                <w:color w:val="auto"/>
              </w:rPr>
              <w:t>6.60%</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5.54%</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5.94%</w:t>
            </w:r>
          </w:p>
        </w:tc>
      </w:tr>
      <w:tr>
        <w:trPr>
          <w:trHeight w:val="155"/>
        </w:trPr>
        <w:tc>
          <w:tcPr>
            <w:tcW w:w="278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Overcollateralization </w:t>
            </w:r>
            <w:r>
              <w:rPr>
                <w:rFonts w:ascii="Arial" w:cs="Arial" w:eastAsia="Arial" w:hAnsi="Arial"/>
                <w:sz w:val="15"/>
                <w:szCs w:val="15"/>
                <w:color w:val="auto"/>
                <w:vertAlign w:val="superscript"/>
              </w:rPr>
              <w:t>(2) (4)</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145,009</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200,310</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55,877</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42,415</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19,796</w:t>
            </w:r>
          </w:p>
        </w:tc>
      </w:tr>
      <w:tr>
        <w:trPr>
          <w:trHeight w:val="99"/>
        </w:trPr>
        <w:tc>
          <w:tcPr>
            <w:tcW w:w="2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71"/>
        </w:trPr>
        <w:tc>
          <w:tcPr>
            <w:tcW w:w="2780" w:type="dxa"/>
            <w:vAlign w:val="bottom"/>
            <w:tcBorders>
              <w:bottom w:val="single" w:sz="8" w:color="A6A6A6"/>
            </w:tcBorders>
            <w:shd w:val="clear" w:color="auto" w:fill="CCEEFF"/>
          </w:tcPr>
          <w:p>
            <w:pPr>
              <w:spacing w:after="0" w:line="171" w:lineRule="exact"/>
              <w:rPr>
                <w:sz w:val="20"/>
                <w:szCs w:val="20"/>
                <w:color w:val="auto"/>
              </w:rPr>
            </w:pPr>
            <w:r>
              <w:rPr>
                <w:rFonts w:ascii="Arial" w:cs="Arial" w:eastAsia="Arial" w:hAnsi="Arial"/>
                <w:sz w:val="12"/>
                <w:szCs w:val="12"/>
                <w:color w:val="auto"/>
              </w:rPr>
              <w:t xml:space="preserve">Delinquency Trigger </w:t>
            </w:r>
            <w:r>
              <w:rPr>
                <w:rFonts w:ascii="Arial" w:cs="Arial" w:eastAsia="Arial" w:hAnsi="Arial"/>
                <w:sz w:val="15"/>
                <w:szCs w:val="15"/>
                <w:color w:val="auto"/>
                <w:vertAlign w:val="superscript"/>
              </w:rPr>
              <w:t>(3)</w:t>
            </w:r>
          </w:p>
        </w:tc>
        <w:tc>
          <w:tcPr>
            <w:tcW w:w="180" w:type="dxa"/>
            <w:vAlign w:val="bottom"/>
            <w:tcBorders>
              <w:bottom w:val="single" w:sz="8" w:color="A6A6A6"/>
            </w:tcBorders>
            <w:shd w:val="clear" w:color="auto" w:fill="CCEEFF"/>
          </w:tcPr>
          <w:p>
            <w:pPr>
              <w:spacing w:after="0"/>
              <w:rPr>
                <w:sz w:val="14"/>
                <w:szCs w:val="14"/>
                <w:color w:val="auto"/>
              </w:rPr>
            </w:pPr>
          </w:p>
        </w:tc>
        <w:tc>
          <w:tcPr>
            <w:tcW w:w="120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80" w:type="dxa"/>
            <w:vAlign w:val="bottom"/>
            <w:tcBorders>
              <w:bottom w:val="single" w:sz="8" w:color="A6A6A6"/>
            </w:tcBorders>
            <w:shd w:val="clear" w:color="auto" w:fill="CCEEFF"/>
          </w:tcPr>
          <w:p>
            <w:pPr>
              <w:spacing w:after="0"/>
              <w:rPr>
                <w:sz w:val="14"/>
                <w:szCs w:val="14"/>
                <w:color w:val="auto"/>
              </w:rPr>
            </w:pPr>
          </w:p>
        </w:tc>
        <w:tc>
          <w:tcPr>
            <w:tcW w:w="120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0" w:type="dxa"/>
            <w:vAlign w:val="bottom"/>
            <w:tcBorders>
              <w:bottom w:val="single" w:sz="8" w:color="A6A6A6"/>
            </w:tcBorders>
            <w:shd w:val="clear" w:color="auto" w:fill="CCEEFF"/>
          </w:tcPr>
          <w:p>
            <w:pPr>
              <w:spacing w:after="0"/>
              <w:rPr>
                <w:sz w:val="14"/>
                <w:szCs w:val="14"/>
                <w:color w:val="auto"/>
              </w:rPr>
            </w:pPr>
          </w:p>
        </w:tc>
        <w:tc>
          <w:tcPr>
            <w:tcW w:w="1240" w:type="dxa"/>
            <w:vAlign w:val="bottom"/>
            <w:tcBorders>
              <w:bottom w:val="single" w:sz="8" w:color="A6A6A6"/>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80" w:type="dxa"/>
            <w:vAlign w:val="bottom"/>
            <w:tcBorders>
              <w:bottom w:val="single" w:sz="8" w:color="A6A6A6"/>
            </w:tcBorders>
            <w:shd w:val="clear" w:color="auto" w:fill="CCEEFF"/>
          </w:tcPr>
          <w:p>
            <w:pPr>
              <w:spacing w:after="0"/>
              <w:rPr>
                <w:sz w:val="14"/>
                <w:szCs w:val="14"/>
                <w:color w:val="auto"/>
              </w:rPr>
            </w:pPr>
          </w:p>
        </w:tc>
        <w:tc>
          <w:tcPr>
            <w:tcW w:w="1220" w:type="dxa"/>
            <w:vAlign w:val="bottom"/>
            <w:tcBorders>
              <w:bottom w:val="single" w:sz="8" w:color="A6A6A6"/>
            </w:tcBorders>
            <w:shd w:val="clear" w:color="auto" w:fill="CCEEFF"/>
          </w:tcPr>
          <w:p>
            <w:pPr>
              <w:ind w:left="820"/>
              <w:spacing w:after="0"/>
              <w:rPr>
                <w:sz w:val="20"/>
                <w:szCs w:val="20"/>
                <w:color w:val="auto"/>
              </w:rPr>
            </w:pPr>
            <w:r>
              <w:rPr>
                <w:rFonts w:ascii="Arial" w:cs="Arial" w:eastAsia="Arial" w:hAnsi="Arial"/>
                <w:sz w:val="12"/>
                <w:szCs w:val="12"/>
                <w:color w:val="auto"/>
              </w:rPr>
              <w:t>6.0%</w:t>
            </w:r>
          </w:p>
        </w:tc>
        <w:tc>
          <w:tcPr>
            <w:tcW w:w="180" w:type="dxa"/>
            <w:vAlign w:val="bottom"/>
            <w:tcBorders>
              <w:bottom w:val="single" w:sz="8" w:color="A6A6A6"/>
            </w:tcBorders>
            <w:shd w:val="clear" w:color="auto" w:fill="CCEEFF"/>
          </w:tcPr>
          <w:p>
            <w:pPr>
              <w:spacing w:after="0"/>
              <w:rPr>
                <w:sz w:val="14"/>
                <w:szCs w:val="14"/>
                <w:color w:val="auto"/>
              </w:rPr>
            </w:pPr>
          </w:p>
        </w:tc>
        <w:tc>
          <w:tcPr>
            <w:tcW w:w="1260" w:type="dxa"/>
            <w:vAlign w:val="bottom"/>
            <w:tcBorders>
              <w:bottom w:val="single" w:sz="8" w:color="A6A6A6"/>
            </w:tcBorders>
            <w:shd w:val="clear" w:color="auto" w:fill="CCEEFF"/>
          </w:tcPr>
          <w:p>
            <w:pPr>
              <w:ind w:left="880"/>
              <w:spacing w:after="0"/>
              <w:rPr>
                <w:sz w:val="20"/>
                <w:szCs w:val="20"/>
                <w:color w:val="auto"/>
              </w:rPr>
            </w:pPr>
            <w:r>
              <w:rPr>
                <w:rFonts w:ascii="Arial" w:cs="Arial" w:eastAsia="Arial" w:hAnsi="Arial"/>
                <w:sz w:val="12"/>
                <w:szCs w:val="12"/>
                <w:color w:val="auto"/>
              </w:rPr>
              <w:t>4.7%</w:t>
            </w:r>
          </w:p>
        </w:tc>
        <w:tc>
          <w:tcPr>
            <w:tcW w:w="200" w:type="dxa"/>
            <w:vAlign w:val="bottom"/>
            <w:tcBorders>
              <w:bottom w:val="single" w:sz="8" w:color="A6A6A6"/>
            </w:tcBorders>
            <w:shd w:val="clear" w:color="auto" w:fill="CCEEFF"/>
          </w:tcPr>
          <w:p>
            <w:pPr>
              <w:spacing w:after="0"/>
              <w:rPr>
                <w:sz w:val="14"/>
                <w:szCs w:val="14"/>
                <w:color w:val="auto"/>
              </w:rPr>
            </w:pPr>
          </w:p>
        </w:tc>
        <w:tc>
          <w:tcPr>
            <w:tcW w:w="1280" w:type="dxa"/>
            <w:vAlign w:val="bottom"/>
            <w:tcBorders>
              <w:bottom w:val="single" w:sz="8" w:color="A6A6A6"/>
            </w:tcBorders>
            <w:shd w:val="clear" w:color="auto" w:fill="CCEEFF"/>
          </w:tcPr>
          <w:p>
            <w:pPr>
              <w:ind w:left="880"/>
              <w:spacing w:after="0"/>
              <w:rPr>
                <w:sz w:val="20"/>
                <w:szCs w:val="20"/>
                <w:color w:val="auto"/>
              </w:rPr>
            </w:pPr>
            <w:r>
              <w:rPr>
                <w:rFonts w:ascii="Arial" w:cs="Arial" w:eastAsia="Arial" w:hAnsi="Arial"/>
                <w:sz w:val="12"/>
                <w:szCs w:val="12"/>
                <w:color w:val="auto"/>
              </w:rPr>
              <w:t>4.6%</w:t>
            </w:r>
          </w:p>
        </w:tc>
      </w:tr>
    </w:tbl>
    <w:p>
      <w:pPr>
        <w:spacing w:after="0" w:line="321" w:lineRule="exact"/>
        <w:rPr>
          <w:sz w:val="20"/>
          <w:szCs w:val="20"/>
          <w:color w:val="auto"/>
        </w:rPr>
      </w:pPr>
    </w:p>
    <w:p>
      <w:pPr>
        <w:ind w:left="8" w:right="5520" w:hanging="8"/>
        <w:spacing w:after="0" w:line="233" w:lineRule="auto"/>
        <w:tabs>
          <w:tab w:leader="none" w:pos="96" w:val="left"/>
        </w:tabs>
        <w:numPr>
          <w:ilvl w:val="0"/>
          <w:numId w:val="14"/>
        </w:numPr>
        <w:rPr>
          <w:rFonts w:ascii="Arial" w:cs="Arial" w:eastAsia="Arial" w:hAnsi="Arial"/>
          <w:sz w:val="11"/>
          <w:szCs w:val="11"/>
          <w:color w:val="auto"/>
          <w:vertAlign w:val="superscript"/>
        </w:rPr>
      </w:pPr>
      <w:r>
        <w:rPr>
          <w:rFonts w:ascii="Arial" w:cs="Arial" w:eastAsia="Arial" w:hAnsi="Arial"/>
          <w:sz w:val="9"/>
          <w:szCs w:val="9"/>
          <w:color w:val="auto"/>
        </w:rPr>
        <w:t>Absent a delinquency trigger, the subordinated coverage is capped at 8.00%, 6.25% and 6.75% for the 2020-1, 2020-2 and 2021-1 ILN Transactions, respectively.</w:t>
      </w:r>
    </w:p>
    <w:p>
      <w:pPr>
        <w:ind w:left="128" w:hanging="128"/>
        <w:spacing w:after="0" w:line="187" w:lineRule="auto"/>
        <w:tabs>
          <w:tab w:leader="none" w:pos="128" w:val="left"/>
        </w:tabs>
        <w:numPr>
          <w:ilvl w:val="0"/>
          <w:numId w:val="14"/>
        </w:numPr>
        <w:rPr>
          <w:rFonts w:ascii="Arial" w:cs="Arial" w:eastAsia="Arial" w:hAnsi="Arial"/>
          <w:sz w:val="12"/>
          <w:szCs w:val="12"/>
          <w:color w:val="auto"/>
          <w:vertAlign w:val="superscript"/>
        </w:rPr>
      </w:pPr>
      <w:r>
        <w:rPr>
          <w:rFonts w:ascii="Arial" w:cs="Arial" w:eastAsia="Arial" w:hAnsi="Arial"/>
          <w:sz w:val="10"/>
          <w:szCs w:val="10"/>
          <w:color w:val="auto"/>
        </w:rPr>
        <w:t>Overcollateralization of the 2017 ILN Transaction is equal to its current reinsurance coverage as the PMIERs required asset amount on RIF ceded under the transaction is currently below the remaining first layer retained loss.</w:t>
      </w:r>
    </w:p>
    <w:p>
      <w:pPr>
        <w:ind w:left="208" w:right="140" w:hanging="208"/>
        <w:spacing w:after="0" w:line="250" w:lineRule="auto"/>
        <w:tabs>
          <w:tab w:leader="none" w:pos="80" w:val="left"/>
        </w:tabs>
        <w:numPr>
          <w:ilvl w:val="0"/>
          <w:numId w:val="14"/>
        </w:numPr>
        <w:rPr>
          <w:rFonts w:ascii="Arial" w:cs="Arial" w:eastAsia="Arial" w:hAnsi="Arial"/>
          <w:sz w:val="9"/>
          <w:szCs w:val="9"/>
          <w:color w:val="auto"/>
          <w:vertAlign w:val="superscript"/>
        </w:rPr>
      </w:pPr>
      <w:r>
        <w:rPr>
          <w:rFonts w:ascii="Arial" w:cs="Arial" w:eastAsia="Arial" w:hAnsi="Arial"/>
          <w:sz w:val="7"/>
          <w:szCs w:val="7"/>
          <w:color w:val="auto"/>
        </w:rPr>
        <w:t>Delinquency triggers for 2017, 2018, and 2019 ILN Transactions are set at a fixed 4.0% and assessed on a discrete monthly basis; delinquency triggers for the 2020-1, 2020-2 and 2021-1 ILN Transactions are equal to seventy-five percent of the subordinated coverage level and assessed on the basis of a three-month rolling average.</w:t>
      </w:r>
    </w:p>
    <w:p>
      <w:pPr>
        <w:spacing w:after="0" w:line="108" w:lineRule="exact"/>
        <w:rPr>
          <w:rFonts w:ascii="Arial" w:cs="Arial" w:eastAsia="Arial" w:hAnsi="Arial"/>
          <w:sz w:val="9"/>
          <w:szCs w:val="9"/>
          <w:color w:val="auto"/>
          <w:vertAlign w:val="superscript"/>
        </w:rPr>
      </w:pPr>
    </w:p>
    <w:p>
      <w:pPr>
        <w:ind w:left="88" w:hanging="88"/>
        <w:spacing w:after="0" w:line="236" w:lineRule="auto"/>
        <w:tabs>
          <w:tab w:leader="none" w:pos="88" w:val="left"/>
        </w:tabs>
        <w:numPr>
          <w:ilvl w:val="0"/>
          <w:numId w:val="14"/>
        </w:numPr>
        <w:rPr>
          <w:rFonts w:ascii="Arial" w:cs="Arial" w:eastAsia="Arial" w:hAnsi="Arial"/>
          <w:sz w:val="10"/>
          <w:szCs w:val="10"/>
          <w:color w:val="auto"/>
          <w:vertAlign w:val="superscript"/>
        </w:rPr>
      </w:pPr>
      <w:r>
        <w:rPr>
          <w:rFonts w:ascii="Arial" w:cs="Arial" w:eastAsia="Arial" w:hAnsi="Arial"/>
          <w:sz w:val="8"/>
          <w:szCs w:val="8"/>
          <w:color w:val="auto"/>
        </w:rPr>
        <w:t>May not be replicated based on the rounded figures presented in the table.</w:t>
      </w:r>
    </w:p>
    <w:p>
      <w:pPr>
        <w:spacing w:after="0" w:line="153"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At June 30, 2021, we had an aggregate $504 million of overcollateralization available across our ILN Transactions to absorb an increase in the PMIERs risk-based required asset amount on ceded RIF. Assuming the Lock-Out Events remain in effect for each of the 2017, 2018 and 2019 ILN Transactions and our underlying RIF continues to run-off at the same rate as it did during the three months ended June 30, 2021, we estimate that our total overcollateralization would increase by up to approximately $29 million per quarter.</w:t>
      </w:r>
    </w:p>
    <w:p>
      <w:pPr>
        <w:spacing w:after="0" w:line="86"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$716 million excess available asset position at June 30, 2021, the nationwide applicability of the 70% haircut on delinquent policies subject to a forbearance program accessed in response to a financial hardship related to the COVID-19 crisis, and the increasing PMIERs relief automatically provided under each of our quota share treaties and ILN Transactions.</w:t>
      </w:r>
    </w:p>
    <w:p>
      <w:pPr>
        <w:spacing w:after="0" w:line="8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generally treated the same as performing loans under the RTC framework. As such, the PMIERs generally imposes a stricter financial requirement than the state RTC standard, and we expect this to remain the case through the duration of and following the COVID-19 pandemic.</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Liquidity</w:t>
      </w:r>
    </w:p>
    <w:p>
      <w:pPr>
        <w:spacing w:after="0" w:line="114"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We evaluate our liquidity position at both a holding company (NMIH) and primary operating subsidiary (NMIC) level. As of June 30, 2021, we had $2.1 billion of consolidated cash and investments, including $81 million of cash and investments at NMIH.</w:t>
      </w:r>
    </w:p>
    <w:p>
      <w:pPr>
        <w:spacing w:after="0" w:line="79"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June 8, 2020, NMIH completed the sale of 15.9 million shares of common stock, including the exercise of a 15% overallotment option, and raised proceeds of approximately $220 million, net of underwriting discounts, commissions and other direct offering expenses. On June 19, 2020, NMIH also completed the sale of its $400 million aggregate principal amount of senior secured notes, raising net proceeds of $244 million after giving effect to offering expenses and the repayment of the $150 million principal amount outstanding under our 2018 Term Loan. NMIH contributed approximately $445 million of capital to NMIC following completion of its respective Notes and common stock offerings.</w:t>
      </w:r>
    </w:p>
    <w:p>
      <w:pPr>
        <w:spacing w:after="0" w:line="200" w:lineRule="exact"/>
        <w:rPr>
          <w:sz w:val="20"/>
          <w:szCs w:val="20"/>
          <w:color w:val="auto"/>
        </w:rPr>
      </w:pPr>
    </w:p>
    <w:p>
      <w:pPr>
        <w:spacing w:after="0" w:line="3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3" w:name="page34"/>
    <w:bookmarkEnd w:id="33"/>
    <w:p>
      <w:pPr>
        <w:jc w:val="both"/>
        <w:ind w:firstLine="432"/>
        <w:spacing w:after="0" w:line="263" w:lineRule="auto"/>
        <w:rPr>
          <w:sz w:val="20"/>
          <w:szCs w:val="20"/>
          <w:color w:val="auto"/>
        </w:rPr>
      </w:pPr>
      <w:r>
        <w:rPr>
          <w:rFonts w:ascii="Arial" w:cs="Arial" w:eastAsia="Arial" w:hAnsi="Arial"/>
          <w:sz w:val="12"/>
          <w:szCs w:val="12"/>
          <w:color w:val="auto"/>
        </w:rPr>
        <w:t>NMIH also has access to $110 million of undrawn revolving credit capacity (through the 2020 Revolving Credit Facility) and $1.6 million of ordinary course dividend capacity available from Re One without the prior approval of the Wisconsin OCI. Amounts drawn under the 2020 Revolving Credit Facility are available as directed for NMIH needs or may be down-streamed to support the requirements of our operating subsidiaries if we so decide. Item 1, "</w:t>
      </w:r>
      <w:r>
        <w:rPr>
          <w:rFonts w:ascii="Arial" w:cs="Arial" w:eastAsia="Arial" w:hAnsi="Arial"/>
          <w:sz w:val="12"/>
          <w:szCs w:val="12"/>
          <w:i w:val="1"/>
          <w:iCs w:val="1"/>
          <w:color w:val="auto"/>
        </w:rPr>
        <w:t>Financial Statements - Notes to Condensed Consolidated Financial Statements - Note 4, Debt.</w:t>
      </w:r>
    </w:p>
    <w:p>
      <w:pPr>
        <w:spacing w:after="0" w:line="8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receives cash proceeds upon the exercise of outstanding stock options,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has refreshed its approval of the debt service agreement providing for the additional reimbursement by NMIC of interest expense due on our newly issued Notes and 2020 Revolving Credit Facility.</w:t>
      </w:r>
    </w:p>
    <w:p>
      <w:pPr>
        <w:spacing w:after="0" w:line="92"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2021, NMIC had $1.9 billion of cash and investments, including $48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2021, NMIC generated $300 million of cash flow from operations and received an additional $150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1"/>
          <w:szCs w:val="11"/>
          <w:i w:val="1"/>
          <w:iCs w:val="1"/>
          <w:color w:val="auto"/>
        </w:rPr>
        <w:t>i.e.</w:t>
      </w:r>
      <w:r>
        <w:rPr>
          <w:rFonts w:ascii="Arial" w:cs="Arial" w:eastAsia="Arial" w:hAnsi="Arial"/>
          <w:sz w:val="11"/>
          <w:szCs w:val="11"/>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79"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Premiums paid to NMIC on monthly policies are generally collected and remitted by loan servicers. There was broad discussion at the onset of the COVID pandemic and concerns about potential liquidity challenges that servicers might face in the event of widespread borrower utilization of forbearance programs. These concerns have not materialized thus far and we do not believe that loan servicer liquidity constraints, should they arise in the future, would have a material impact on NMIC's premium receipts or liquidity profile. Loan servicers are contractually obligated to advance mortgage insurance premiums in a timely manner, even if the underlying borrowers fail to remit their monthly mortgage payments. In June 2020, the GSEs issued guidance to the PMIERs (subsequently amended and restated in each of September 2020, December 2020 and June 2021) that, among other items, requires us to notify them of our intent to cancel coverage on policies for which servicers have failed to make timely premium payments so that the GSEs can pay the premiums directly to us and preserve the mortgage insurance coverage. Through June 30, 2021, we did not see any notable changes in servicer payment practices, with servicers generally continuing to remit monthly premium payments as scheduled, including those for policies covering loans that are in a forbearance program.</w:t>
      </w:r>
    </w:p>
    <w:p>
      <w:pPr>
        <w:spacing w:after="0" w:line="22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Investment portfolio</w:t>
      </w:r>
    </w:p>
    <w:p>
      <w:pPr>
        <w:spacing w:after="0" w:line="11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At June 30, 2021, we had $2.1 billion of cash and invested assets. Our investment strategy equally prioritizes capital preservation alongside income generation, and we have a long-established investment policy that sets conservative limits for asset types, industry sectors, single issuers and instrument credit ratings. At June 30, 2021, our investment portfolio was comprised of 100% fixed income assets with 100% of our holdings rated investment grade and our portfolio having an average rating of "A+." At June 30, 2021, our portfolio was in a $40 million aggregate unrealized gain position; it was highly liquid and highly diversified with no Level 3 asset positions and no single issuer concentration greater than 1.4%. We did not record any allowance for credit losses in the portfolio during the three months ended June 30, 2021, as we expect to recover the amortized cost basis of all securities held.</w:t>
      </w:r>
    </w:p>
    <w:p>
      <w:pPr>
        <w:spacing w:after="0" w:line="7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The pre-tax book yield on our investment portfolio was 2.0% for the three months ended June 30, 2021. At the onset of the COVID-19 crisis, we decided to prioritize liquidity and increased our cash and equivalent holdings as a percentage of our total portfolio. We believe such action was prudent in light of the heightened market volatility and general uncertainty developing in the early stages of the COVID-19 pandemic. We have since redeployed much of our excess liquidity position.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4" w:name="page35"/>
    <w:bookmarkEnd w:id="34"/>
    <w:p>
      <w:pPr>
        <w:ind w:left="420"/>
        <w:spacing w:after="0"/>
        <w:rPr>
          <w:sz w:val="20"/>
          <w:szCs w:val="20"/>
          <w:color w:val="auto"/>
        </w:rPr>
      </w:pPr>
      <w:r>
        <w:rPr>
          <w:rFonts w:ascii="Arial" w:cs="Arial" w:eastAsia="Arial" w:hAnsi="Arial"/>
          <w:sz w:val="12"/>
          <w:szCs w:val="12"/>
          <w:i w:val="1"/>
          <w:iCs w:val="1"/>
          <w:color w:val="auto"/>
        </w:rPr>
        <w:t>Taxes</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CARES Act, CAA and American Rescue Plan include, among other items, provisions relating to refundable payroll tax credits, deferment of social security payments, net operating loss carryback periods, alternative minimum tax credit refunds, modifications to the net interest deduction limitations, increased limitations on qualified charitable contributions, technical corrections to tax depreciation methods for qualified improvement property, and temporary 100% deduction for business meals. We continue to monitor the impact that the CARES Act, CAA and American Rescue Plan may have on our business, financial condition and results of operations.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New Insurance Written, Insurance-In-Force and Risk-In-Force</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Premiums Written and Net Premiums Earned</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79" w:lineRule="exact"/>
        <w:rPr>
          <w:sz w:val="20"/>
          <w:szCs w:val="20"/>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NIW;</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premium rates and the mix of premium payment type, which are either single, monthly or annual premiums, as described below;</w:t>
      </w:r>
    </w:p>
    <w:p>
      <w:pPr>
        <w:spacing w:after="0" w:line="114"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cession of premiums under third-party reinsurance arrangements.</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2021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5" w:name="page36"/>
    <w:bookmarkEnd w:id="35"/>
    <w:p>
      <w:pPr>
        <w:jc w:val="both"/>
        <w:ind w:firstLine="432"/>
        <w:spacing w:after="0" w:line="283" w:lineRule="auto"/>
        <w:rPr>
          <w:sz w:val="20"/>
          <w:szCs w:val="20"/>
          <w:color w:val="auto"/>
        </w:rPr>
      </w:pPr>
      <w:r>
        <w:rPr>
          <w:rFonts w:ascii="Arial" w:cs="Arial" w:eastAsia="Arial" w:hAnsi="Arial"/>
          <w:sz w:val="11"/>
          <w:szCs w:val="11"/>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Effect of reinsurance on our results</w:t>
      </w:r>
    </w:p>
    <w:p>
      <w:pPr>
        <w:spacing w:after="0" w:line="11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Quota share reinsurance</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is a party to four outstanding quota share reinsurance treaties – the 2016 QSR Transaction, effective September 1, 2016, the 2018 QSR Transaction, effective January 1, 2018, the 2020 QSR Transaction, effective April 1, 2020 and the 2021 QSR Transaction, effective January 1, 2021.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S&amp;P, A.M. Best or both.</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8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terms of the 2021 QSR Transaction, NMIC cedes premiums earned related to 22.5% of the risk on eligible policies written in 2021 (subject to an aggregate risk written limit), in exchange for reimbursement of ceded claims and claim expenses on covered policies, a 20% ceding commission, and a profit commission of up to 57.5% that varies directly and inversely with ceded claims.</w:t>
      </w:r>
    </w:p>
    <w:p>
      <w:pPr>
        <w:spacing w:after="0" w:line="7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NMIC may elect to terminate its engagement with individual reinsurers on a run-off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reinsurers continue providing coverage on all risk ceded prior to the termination date, with no new cessions going forward) or cut-off basis (</w:t>
      </w:r>
      <w:r>
        <w:rPr>
          <w:rFonts w:ascii="Arial" w:cs="Arial" w:eastAsia="Arial" w:hAnsi="Arial"/>
          <w:sz w:val="11"/>
          <w:szCs w:val="11"/>
          <w:i w:val="1"/>
          <w:iCs w:val="1"/>
          <w:color w:val="auto"/>
        </w:rPr>
        <w:t>i.e.,</w:t>
      </w:r>
      <w:r>
        <w:rPr>
          <w:rFonts w:ascii="Arial" w:cs="Arial" w:eastAsia="Arial" w:hAnsi="Arial"/>
          <w:sz w:val="11"/>
          <w:szCs w:val="11"/>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6" w:name="page37"/>
    <w:bookmarkEnd w:id="36"/>
    <w:p>
      <w:pPr>
        <w:jc w:val="both"/>
        <w:ind w:left="8" w:firstLine="432"/>
        <w:spacing w:after="0" w:line="263" w:lineRule="auto"/>
        <w:rPr>
          <w:sz w:val="20"/>
          <w:szCs w:val="20"/>
          <w:color w:val="auto"/>
        </w:rPr>
      </w:pPr>
      <w:r>
        <w:rPr>
          <w:rFonts w:ascii="Arial" w:cs="Arial" w:eastAsia="Arial" w:hAnsi="Arial"/>
          <w:sz w:val="12"/>
          <w:szCs w:val="12"/>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Excess-of-loss reinsurance</w:t>
      </w:r>
    </w:p>
    <w:p>
      <w:pPr>
        <w:spacing w:after="0" w:line="114" w:lineRule="exact"/>
        <w:rPr>
          <w:sz w:val="20"/>
          <w:szCs w:val="20"/>
          <w:color w:val="auto"/>
        </w:rPr>
      </w:pPr>
    </w:p>
    <w:p>
      <w:pPr>
        <w:jc w:val="both"/>
        <w:ind w:left="8" w:right="120" w:firstLine="432"/>
        <w:spacing w:after="0" w:line="263" w:lineRule="auto"/>
        <w:rPr>
          <w:sz w:val="20"/>
          <w:szCs w:val="20"/>
          <w:color w:val="auto"/>
        </w:rPr>
      </w:pPr>
      <w:r>
        <w:rPr>
          <w:rFonts w:ascii="Arial" w:cs="Arial" w:eastAsia="Arial" w:hAnsi="Arial"/>
          <w:sz w:val="12"/>
          <w:szCs w:val="12"/>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86" w:lineRule="exact"/>
        <w:rPr>
          <w:sz w:val="20"/>
          <w:szCs w:val="20"/>
          <w:color w:val="auto"/>
        </w:rPr>
      </w:pPr>
    </w:p>
    <w:p>
      <w:pPr>
        <w:jc w:val="both"/>
        <w:ind w:left="8" w:firstLine="432"/>
        <w:spacing w:after="0" w:line="280" w:lineRule="auto"/>
        <w:rPr>
          <w:sz w:val="20"/>
          <w:szCs w:val="20"/>
          <w:color w:val="auto"/>
        </w:rPr>
      </w:pPr>
      <w:r>
        <w:rPr>
          <w:rFonts w:ascii="Arial" w:cs="Arial" w:eastAsia="Arial" w:hAnsi="Arial"/>
          <w:sz w:val="11"/>
          <w:szCs w:val="11"/>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 of the 2021-1 ILN Transaction (related to the initial build of its target credit enhancement),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w:t>
      </w:r>
    </w:p>
    <w:p>
      <w:pPr>
        <w:spacing w:after="0" w:line="79"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following table presents the inception date, covered production period, initial and current reinsurance coverage amount, and initial and current first layer retained aggregate loss under each of the ILN Transactions. Current amounts are presented as of June 30, 2021.</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480" w:type="dxa"/>
            <w:vAlign w:val="bottom"/>
            <w:gridSpan w:val="2"/>
            <w:vMerge w:val="restart"/>
          </w:tcPr>
          <w:p>
            <w:pPr>
              <w:spacing w:after="0"/>
              <w:rPr>
                <w:sz w:val="20"/>
                <w:szCs w:val="20"/>
                <w:color w:val="auto"/>
              </w:rPr>
            </w:pPr>
            <w:r>
              <w:rPr>
                <w:rFonts w:ascii="Arial" w:cs="Arial" w:eastAsia="Arial" w:hAnsi="Arial"/>
                <w:sz w:val="12"/>
                <w:szCs w:val="12"/>
                <w:i w:val="1"/>
                <w:iCs w:val="1"/>
                <w:color w:val="auto"/>
              </w:rPr>
              <w:t>(</w:t>
            </w:r>
            <w:r>
              <w:rPr>
                <w:rFonts w:ascii="Arial" w:cs="Arial" w:eastAsia="Arial" w:hAnsi="Arial"/>
                <w:sz w:val="9"/>
                <w:szCs w:val="9"/>
                <w:i w:val="1"/>
                <w:iCs w:val="1"/>
                <w:color w:val="auto"/>
              </w:rPr>
              <w:t>$ values in thousands)</w:t>
            </w:r>
          </w:p>
        </w:tc>
        <w:tc>
          <w:tcPr>
            <w:tcW w:w="16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Inception Date</w:t>
            </w:r>
          </w:p>
        </w:tc>
        <w:tc>
          <w:tcPr>
            <w:tcW w:w="100" w:type="dxa"/>
            <w:vAlign w:val="bottom"/>
            <w:vMerge w:val="restart"/>
          </w:tcPr>
          <w:p>
            <w:pPr>
              <w:spacing w:after="0"/>
              <w:rPr>
                <w:sz w:val="10"/>
                <w:szCs w:val="10"/>
                <w:color w:val="auto"/>
              </w:rPr>
            </w:pPr>
          </w:p>
        </w:tc>
        <w:tc>
          <w:tcPr>
            <w:tcW w:w="2300" w:type="dxa"/>
            <w:vAlign w:val="bottom"/>
            <w:vMerge w:val="restart"/>
          </w:tcPr>
          <w:p>
            <w:pPr>
              <w:ind w:left="740"/>
              <w:spacing w:after="0"/>
              <w:rPr>
                <w:sz w:val="20"/>
                <w:szCs w:val="20"/>
                <w:color w:val="auto"/>
              </w:rPr>
            </w:pPr>
            <w:r>
              <w:rPr>
                <w:rFonts w:ascii="Arial" w:cs="Arial" w:eastAsia="Arial" w:hAnsi="Arial"/>
                <w:sz w:val="10"/>
                <w:szCs w:val="10"/>
                <w:b w:val="1"/>
                <w:bCs w:val="1"/>
                <w:color w:val="auto"/>
              </w:rPr>
              <w:t>Covered Production</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b w:val="1"/>
                <w:bCs w:val="1"/>
                <w:color w:val="auto"/>
              </w:rPr>
              <w:t>Initial Reinsurance</w:t>
            </w:r>
          </w:p>
        </w:tc>
        <w:tc>
          <w:tcPr>
            <w:tcW w:w="80" w:type="dxa"/>
            <w:vAlign w:val="bottom"/>
          </w:tcPr>
          <w:p>
            <w:pPr>
              <w:spacing w:after="0"/>
              <w:rPr>
                <w:sz w:val="10"/>
                <w:szCs w:val="10"/>
                <w:color w:val="auto"/>
              </w:rPr>
            </w:pPr>
          </w:p>
        </w:tc>
        <w:tc>
          <w:tcPr>
            <w:tcW w:w="1080" w:type="dxa"/>
            <w:vAlign w:val="bottom"/>
            <w:gridSpan w:val="2"/>
          </w:tcPr>
          <w:p>
            <w:pPr>
              <w:ind w:left="20"/>
              <w:spacing w:after="0"/>
              <w:rPr>
                <w:sz w:val="20"/>
                <w:szCs w:val="20"/>
                <w:color w:val="auto"/>
              </w:rPr>
            </w:pPr>
            <w:r>
              <w:rPr>
                <w:rFonts w:ascii="Arial" w:cs="Arial" w:eastAsia="Arial" w:hAnsi="Arial"/>
                <w:sz w:val="10"/>
                <w:szCs w:val="10"/>
                <w:b w:val="1"/>
                <w:bCs w:val="1"/>
                <w:color w:val="auto"/>
              </w:rPr>
              <w:t>Current Reinsurance</w:t>
            </w:r>
          </w:p>
        </w:tc>
        <w:tc>
          <w:tcPr>
            <w:tcW w:w="1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Initial First Layer</w:t>
            </w:r>
          </w:p>
        </w:tc>
        <w:tc>
          <w:tcPr>
            <w:tcW w:w="120" w:type="dxa"/>
            <w:vAlign w:val="bottom"/>
          </w:tcPr>
          <w:p>
            <w:pPr>
              <w:spacing w:after="0"/>
              <w:rPr>
                <w:sz w:val="10"/>
                <w:szCs w:val="10"/>
                <w:color w:val="auto"/>
              </w:rPr>
            </w:pPr>
          </w:p>
        </w:tc>
        <w:tc>
          <w:tcPr>
            <w:tcW w:w="1040" w:type="dxa"/>
            <w:vAlign w:val="bottom"/>
          </w:tcPr>
          <w:p>
            <w:pPr>
              <w:jc w:val="right"/>
              <w:ind w:right="103"/>
              <w:spacing w:after="0"/>
              <w:rPr>
                <w:sz w:val="20"/>
                <w:szCs w:val="20"/>
                <w:color w:val="auto"/>
              </w:rPr>
            </w:pPr>
            <w:r>
              <w:rPr>
                <w:rFonts w:ascii="Arial" w:cs="Arial" w:eastAsia="Arial" w:hAnsi="Arial"/>
                <w:sz w:val="10"/>
                <w:szCs w:val="10"/>
                <w:b w:val="1"/>
                <w:bCs w:val="1"/>
                <w:color w:val="auto"/>
                <w:w w:val="95"/>
              </w:rPr>
              <w:t>Current First Layer</w:t>
            </w:r>
          </w:p>
        </w:tc>
        <w:tc>
          <w:tcPr>
            <w:tcW w:w="0" w:type="dxa"/>
            <w:vAlign w:val="bottom"/>
          </w:tcPr>
          <w:p>
            <w:pPr>
              <w:spacing w:after="0"/>
              <w:rPr>
                <w:sz w:val="1"/>
                <w:szCs w:val="1"/>
                <w:color w:val="auto"/>
              </w:rPr>
            </w:pPr>
          </w:p>
        </w:tc>
      </w:tr>
      <w:tr>
        <w:trPr>
          <w:trHeight w:val="126"/>
        </w:trPr>
        <w:tc>
          <w:tcPr>
            <w:tcW w:w="2480" w:type="dxa"/>
            <w:vAlign w:val="bottom"/>
            <w:tcBorders>
              <w:bottom w:val="single" w:sz="8" w:color="CCEEFF"/>
            </w:tcBorders>
            <w:gridSpan w:val="2"/>
            <w:vMerge w:val="continue"/>
          </w:tcPr>
          <w:p>
            <w:pPr>
              <w:spacing w:after="0"/>
              <w:rPr>
                <w:sz w:val="10"/>
                <w:szCs w:val="10"/>
                <w:color w:val="auto"/>
              </w:rPr>
            </w:pPr>
          </w:p>
        </w:tc>
        <w:tc>
          <w:tcPr>
            <w:tcW w:w="16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3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Coverage</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Coverage</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Retained Loss</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83"/>
              <w:spacing w:after="0" w:line="126" w:lineRule="exact"/>
              <w:rPr>
                <w:sz w:val="20"/>
                <w:szCs w:val="20"/>
                <w:color w:val="auto"/>
              </w:rPr>
            </w:pPr>
            <w:r>
              <w:rPr>
                <w:rFonts w:ascii="Arial" w:cs="Arial" w:eastAsia="Arial" w:hAnsi="Arial"/>
                <w:sz w:val="10"/>
                <w:szCs w:val="10"/>
                <w:b w:val="1"/>
                <w:bCs w:val="1"/>
                <w:color w:val="auto"/>
                <w:w w:val="96"/>
              </w:rPr>
              <w:t xml:space="preserve">Retained Loss </w:t>
            </w:r>
            <w:r>
              <w:rPr>
                <w:rFonts w:ascii="Arial" w:cs="Arial" w:eastAsia="Arial" w:hAnsi="Arial"/>
                <w:sz w:val="12"/>
                <w:szCs w:val="12"/>
                <w:b w:val="1"/>
                <w:bCs w:val="1"/>
                <w:color w:val="auto"/>
                <w:w w:val="96"/>
                <w:vertAlign w:val="superscript"/>
              </w:rPr>
              <w:t>(1)</w:t>
            </w:r>
          </w:p>
        </w:tc>
        <w:tc>
          <w:tcPr>
            <w:tcW w:w="0" w:type="dxa"/>
            <w:vAlign w:val="bottom"/>
          </w:tcPr>
          <w:p>
            <w:pPr>
              <w:spacing w:after="0"/>
              <w:rPr>
                <w:sz w:val="1"/>
                <w:szCs w:val="1"/>
                <w:color w:val="auto"/>
              </w:rPr>
            </w:pPr>
          </w:p>
        </w:tc>
      </w:tr>
      <w:tr>
        <w:trPr>
          <w:trHeight w:val="142"/>
        </w:trPr>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2017 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May 2, 2017</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1/1/2013 - 12/31/2016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211,320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126,793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121,234</w:t>
            </w: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Arial" w:cs="Arial" w:eastAsia="Arial" w:hAnsi="Arial"/>
                <w:sz w:val="12"/>
                <w:szCs w:val="12"/>
                <w:color w:val="auto"/>
              </w:rPr>
              <w:t>2018 ILN Transaction</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July 25, 2018</w:t>
            </w:r>
          </w:p>
        </w:tc>
        <w:tc>
          <w:tcPr>
            <w:tcW w:w="2300" w:type="dxa"/>
            <w:vAlign w:val="bottom"/>
          </w:tcPr>
          <w:p>
            <w:pPr>
              <w:jc w:val="center"/>
              <w:spacing w:after="0"/>
              <w:rPr>
                <w:sz w:val="20"/>
                <w:szCs w:val="20"/>
                <w:color w:val="auto"/>
              </w:rPr>
            </w:pPr>
            <w:r>
              <w:rPr>
                <w:rFonts w:ascii="Arial" w:cs="Arial" w:eastAsia="Arial" w:hAnsi="Arial"/>
                <w:sz w:val="12"/>
                <w:szCs w:val="12"/>
                <w:color w:val="auto"/>
                <w:w w:val="92"/>
              </w:rPr>
              <w:t>1/1/2017 - 5/31/2018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264,545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158,489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125,312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122,937</w:t>
            </w:r>
          </w:p>
        </w:tc>
        <w:tc>
          <w:tcPr>
            <w:tcW w:w="0" w:type="dxa"/>
            <w:vAlign w:val="bottom"/>
          </w:tcPr>
          <w:p>
            <w:pPr>
              <w:spacing w:after="0"/>
              <w:rPr>
                <w:sz w:val="1"/>
                <w:szCs w:val="1"/>
                <w:color w:val="auto"/>
              </w:rPr>
            </w:pPr>
          </w:p>
        </w:tc>
      </w:tr>
      <w:tr>
        <w:trPr>
          <w:trHeight w:val="153"/>
        </w:trPr>
        <w:tc>
          <w:tcPr>
            <w:tcW w:w="2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2019 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July 30, 2019</w:t>
            </w:r>
          </w:p>
        </w:tc>
        <w:tc>
          <w:tcPr>
            <w:tcW w:w="2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6/1/2018 - 6/30/2019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326,905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231,877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123,424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122,757</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20"/>
                <w:szCs w:val="20"/>
                <w:color w:val="auto"/>
              </w:rPr>
            </w:pPr>
            <w:r>
              <w:rPr>
                <w:rFonts w:ascii="Arial" w:cs="Arial" w:eastAsia="Arial" w:hAnsi="Arial"/>
                <w:sz w:val="12"/>
                <w:szCs w:val="12"/>
                <w:color w:val="auto"/>
                <w:w w:val="90"/>
              </w:rPr>
              <w:t>2020-1</w:t>
            </w:r>
          </w:p>
        </w:tc>
        <w:tc>
          <w:tcPr>
            <w:tcW w:w="2120" w:type="dxa"/>
            <w:vAlign w:val="bottom"/>
          </w:tcPr>
          <w:p>
            <w:pPr>
              <w:ind w:left="20"/>
              <w:spacing w:after="0"/>
              <w:rPr>
                <w:sz w:val="20"/>
                <w:szCs w:val="20"/>
                <w:color w:val="auto"/>
              </w:rPr>
            </w:pPr>
            <w:r>
              <w:rPr>
                <w:rFonts w:ascii="Arial" w:cs="Arial" w:eastAsia="Arial" w:hAnsi="Arial"/>
                <w:sz w:val="12"/>
                <w:szCs w:val="12"/>
                <w:color w:val="auto"/>
              </w:rPr>
              <w:t>ILN Transaction</w:t>
            </w:r>
          </w:p>
        </w:tc>
        <w:tc>
          <w:tcPr>
            <w:tcW w:w="17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July 30, 2020</w:t>
            </w:r>
          </w:p>
        </w:tc>
        <w:tc>
          <w:tcPr>
            <w:tcW w:w="2300" w:type="dxa"/>
            <w:vAlign w:val="bottom"/>
          </w:tcPr>
          <w:p>
            <w:pPr>
              <w:jc w:val="center"/>
              <w:spacing w:after="0"/>
              <w:rPr>
                <w:sz w:val="20"/>
                <w:szCs w:val="20"/>
                <w:color w:val="auto"/>
              </w:rPr>
            </w:pPr>
            <w:r>
              <w:rPr>
                <w:rFonts w:ascii="Arial" w:cs="Arial" w:eastAsia="Arial" w:hAnsi="Arial"/>
                <w:sz w:val="12"/>
                <w:szCs w:val="12"/>
                <w:color w:val="auto"/>
                <w:w w:val="92"/>
              </w:rPr>
              <w:t>7/1/2019 - 3/31/2020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322,076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128,750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169,514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169,488</w:t>
            </w:r>
          </w:p>
        </w:tc>
        <w:tc>
          <w:tcPr>
            <w:tcW w:w="0" w:type="dxa"/>
            <w:vAlign w:val="bottom"/>
          </w:tcPr>
          <w:p>
            <w:pPr>
              <w:spacing w:after="0"/>
              <w:rPr>
                <w:sz w:val="1"/>
                <w:szCs w:val="1"/>
                <w:color w:val="auto"/>
              </w:rPr>
            </w:pPr>
          </w:p>
        </w:tc>
      </w:tr>
      <w:tr>
        <w:trPr>
          <w:trHeight w:val="153"/>
        </w:trPr>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90"/>
              </w:rPr>
              <w:t>2020-2</w:t>
            </w:r>
          </w:p>
        </w:tc>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ILN Transaction</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October 29, 2020</w:t>
            </w:r>
          </w:p>
        </w:tc>
        <w:tc>
          <w:tcPr>
            <w:tcW w:w="230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90"/>
              </w:rPr>
              <w:t xml:space="preserve">4/1/2020 - 9/30/2020 </w:t>
            </w:r>
            <w:r>
              <w:rPr>
                <w:rFonts w:ascii="Arial" w:cs="Arial" w:eastAsia="Arial" w:hAnsi="Arial"/>
                <w:sz w:val="15"/>
                <w:szCs w:val="15"/>
                <w:color w:val="auto"/>
                <w:w w:val="90"/>
                <w:vertAlign w:val="superscript"/>
              </w:rPr>
              <w:t>(2)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242,351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205,846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121,777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121,177</w:t>
            </w:r>
          </w:p>
        </w:tc>
        <w:tc>
          <w:tcPr>
            <w:tcW w:w="0" w:type="dxa"/>
            <w:vAlign w:val="bottom"/>
          </w:tcPr>
          <w:p>
            <w:pPr>
              <w:spacing w:after="0"/>
              <w:rPr>
                <w:sz w:val="1"/>
                <w:szCs w:val="1"/>
                <w:color w:val="auto"/>
              </w:rPr>
            </w:pPr>
          </w:p>
        </w:tc>
      </w:tr>
      <w:tr>
        <w:trPr>
          <w:trHeight w:val="207"/>
        </w:trPr>
        <w:tc>
          <w:tcPr>
            <w:tcW w:w="360" w:type="dxa"/>
            <w:vAlign w:val="bottom"/>
          </w:tcPr>
          <w:p>
            <w:pPr>
              <w:spacing w:after="0"/>
              <w:rPr>
                <w:sz w:val="20"/>
                <w:szCs w:val="20"/>
                <w:color w:val="auto"/>
              </w:rPr>
            </w:pPr>
            <w:r>
              <w:rPr>
                <w:rFonts w:ascii="Arial" w:cs="Arial" w:eastAsia="Arial" w:hAnsi="Arial"/>
                <w:sz w:val="12"/>
                <w:szCs w:val="12"/>
                <w:color w:val="auto"/>
                <w:w w:val="90"/>
              </w:rPr>
              <w:t>2021-1</w:t>
            </w:r>
          </w:p>
        </w:tc>
        <w:tc>
          <w:tcPr>
            <w:tcW w:w="2120" w:type="dxa"/>
            <w:vAlign w:val="bottom"/>
          </w:tcPr>
          <w:p>
            <w:pPr>
              <w:ind w:left="20"/>
              <w:spacing w:after="0"/>
              <w:rPr>
                <w:sz w:val="20"/>
                <w:szCs w:val="20"/>
                <w:color w:val="auto"/>
              </w:rPr>
            </w:pPr>
            <w:r>
              <w:rPr>
                <w:rFonts w:ascii="Arial" w:cs="Arial" w:eastAsia="Arial" w:hAnsi="Arial"/>
                <w:sz w:val="12"/>
                <w:szCs w:val="12"/>
                <w:color w:val="auto"/>
              </w:rPr>
              <w:t xml:space="preserve">ILN Transaction </w:t>
            </w:r>
            <w:r>
              <w:rPr>
                <w:rFonts w:ascii="Arial" w:cs="Arial" w:eastAsia="Arial" w:hAnsi="Arial"/>
                <w:sz w:val="15"/>
                <w:szCs w:val="15"/>
                <w:color w:val="auto"/>
                <w:vertAlign w:val="superscript"/>
              </w:rPr>
              <w:t>(4)</w:t>
            </w:r>
          </w:p>
        </w:tc>
        <w:tc>
          <w:tcPr>
            <w:tcW w:w="174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April 27, 2021</w:t>
            </w:r>
          </w:p>
        </w:tc>
        <w:tc>
          <w:tcPr>
            <w:tcW w:w="2300" w:type="dxa"/>
            <w:vAlign w:val="bottom"/>
          </w:tcPr>
          <w:p>
            <w:pPr>
              <w:jc w:val="center"/>
              <w:spacing w:after="0"/>
              <w:rPr>
                <w:sz w:val="20"/>
                <w:szCs w:val="20"/>
                <w:color w:val="auto"/>
              </w:rPr>
            </w:pPr>
            <w:r>
              <w:rPr>
                <w:rFonts w:ascii="Arial" w:cs="Arial" w:eastAsia="Arial" w:hAnsi="Arial"/>
                <w:sz w:val="12"/>
                <w:szCs w:val="12"/>
                <w:color w:val="auto"/>
                <w:w w:val="90"/>
              </w:rPr>
              <w:t>10/1/2020 - 3/31/2021</w:t>
            </w:r>
            <w:r>
              <w:rPr>
                <w:rFonts w:ascii="Arial" w:cs="Arial" w:eastAsia="Arial" w:hAnsi="Arial"/>
                <w:sz w:val="15"/>
                <w:szCs w:val="15"/>
                <w:color w:val="auto"/>
                <w:w w:val="90"/>
                <w:vertAlign w:val="superscript"/>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367,238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367,238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Arial" w:cs="Arial" w:eastAsia="Arial" w:hAnsi="Arial"/>
                <w:sz w:val="12"/>
                <w:szCs w:val="12"/>
                <w:color w:val="auto"/>
              </w:rPr>
              <w:t>163,708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163,708</w:t>
            </w: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428" w:right="5140" w:hanging="428"/>
        <w:spacing w:after="0" w:line="216" w:lineRule="auto"/>
        <w:tabs>
          <w:tab w:leader="none" w:pos="164"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168" w:hanging="168"/>
        <w:spacing w:after="0" w:line="187" w:lineRule="auto"/>
        <w:tabs>
          <w:tab w:leader="none" w:pos="168"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2020-2 ILN Transaction has coverage reporting dates between July 1, 2019 and March 31, 2020.</w:t>
      </w:r>
    </w:p>
    <w:p>
      <w:pPr>
        <w:ind w:left="168" w:hanging="168"/>
        <w:spacing w:after="0" w:line="187" w:lineRule="auto"/>
        <w:tabs>
          <w:tab w:leader="none" w:pos="168" w:val="left"/>
        </w:tabs>
        <w:numPr>
          <w:ilvl w:val="0"/>
          <w:numId w:val="16"/>
        </w:numPr>
        <w:rPr>
          <w:rFonts w:ascii="Arial" w:cs="Arial" w:eastAsia="Arial" w:hAnsi="Arial"/>
          <w:sz w:val="12"/>
          <w:szCs w:val="12"/>
          <w:color w:val="auto"/>
          <w:vertAlign w:val="superscript"/>
        </w:rPr>
      </w:pPr>
      <w:r>
        <w:rPr>
          <w:rFonts w:ascii="Arial" w:cs="Arial" w:eastAsia="Arial" w:hAnsi="Arial"/>
          <w:sz w:val="10"/>
          <w:szCs w:val="10"/>
          <w:color w:val="auto"/>
        </w:rPr>
        <w:t>Approximately 1% of the production covered by the 2021-1 ILN Transaction has coverage reporting dates between July 1, 2019 and September 30,</w:t>
      </w:r>
    </w:p>
    <w:p>
      <w:pPr>
        <w:ind w:left="428"/>
        <w:spacing w:after="0" w:line="213" w:lineRule="auto"/>
        <w:rPr>
          <w:sz w:val="20"/>
          <w:szCs w:val="20"/>
          <w:color w:val="auto"/>
        </w:rPr>
      </w:pPr>
      <w:r>
        <w:rPr>
          <w:rFonts w:ascii="Arial" w:cs="Arial" w:eastAsia="Arial" w:hAnsi="Arial"/>
          <w:sz w:val="10"/>
          <w:szCs w:val="10"/>
          <w:color w:val="auto"/>
        </w:rPr>
        <w:t>2020.</w:t>
      </w:r>
    </w:p>
    <w:p>
      <w:pPr>
        <w:ind w:left="428" w:right="5640" w:hanging="428"/>
        <w:spacing w:after="0" w:line="237" w:lineRule="auto"/>
        <w:tabs>
          <w:tab w:leader="none" w:pos="193" w:val="left"/>
        </w:tabs>
        <w:numPr>
          <w:ilvl w:val="0"/>
          <w:numId w:val="17"/>
        </w:numPr>
        <w:rPr>
          <w:rFonts w:ascii="Arial" w:cs="Arial" w:eastAsia="Arial" w:hAnsi="Arial"/>
          <w:sz w:val="11"/>
          <w:szCs w:val="11"/>
          <w:color w:val="auto"/>
          <w:vertAlign w:val="superscript"/>
        </w:rPr>
      </w:pPr>
      <w:r>
        <w:rPr>
          <w:rFonts w:ascii="Arial" w:cs="Arial" w:eastAsia="Arial" w:hAnsi="Arial"/>
          <w:sz w:val="9"/>
          <w:szCs w:val="9"/>
          <w:color w:val="auto"/>
        </w:rPr>
        <w:t>As of June 30, 2021, the current reinsurance coverage amount on the 2021-1 ILN transaction is equal to the initial reinsurance coverage, as the reinsurance coverage provided by Oaktown Re will not decrease until its target credit enhancement is met.</w:t>
      </w:r>
    </w:p>
    <w:p>
      <w:pPr>
        <w:spacing w:after="0" w:line="15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See Item 1, "</w:t>
      </w:r>
      <w:r>
        <w:rPr>
          <w:rFonts w:ascii="Arial" w:cs="Arial" w:eastAsia="Arial" w:hAnsi="Arial"/>
          <w:sz w:val="12"/>
          <w:szCs w:val="12"/>
          <w:i w:val="1"/>
          <w:iCs w:val="1"/>
          <w:color w:val="auto"/>
        </w:rPr>
        <w:t>Financial Statements - Notes to Condensed Consolidated Financial Statements - Note 5, Reinsurance</w:t>
      </w:r>
      <w:r>
        <w:rPr>
          <w:rFonts w:ascii="Arial" w:cs="Arial" w:eastAsia="Arial" w:hAnsi="Arial"/>
          <w:sz w:val="12"/>
          <w:szCs w:val="12"/>
          <w:color w:val="auto"/>
        </w:rPr>
        <w:t>" for further discussion of these third-party reinsurance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i w:val="1"/>
          <w:iCs w:val="1"/>
          <w:color w:val="auto"/>
        </w:rPr>
        <w:t>Portfolio Data</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following table presents primary and pool NIW and IIF as of the dates and for the periods indicated. Unless otherwise noted, the tables below do not include the effects of our third-party reinsurance arrangements described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above.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300" w:type="dxa"/>
            <w:vAlign w:val="bottom"/>
          </w:tcPr>
          <w:p>
            <w:pPr>
              <w:spacing w:after="0"/>
              <w:rPr>
                <w:sz w:val="20"/>
                <w:szCs w:val="20"/>
                <w:color w:val="auto"/>
              </w:rPr>
            </w:pPr>
            <w:r>
              <w:rPr>
                <w:rFonts w:ascii="Arial" w:cs="Arial" w:eastAsia="Arial" w:hAnsi="Arial"/>
                <w:sz w:val="10"/>
                <w:szCs w:val="10"/>
                <w:b w:val="1"/>
                <w:bCs w:val="1"/>
                <w:color w:val="auto"/>
              </w:rPr>
              <w:t>Primary and pool IIF and NIW</w:t>
            </w: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0" w:type="dxa"/>
            <w:vAlign w:val="bottom"/>
            <w:gridSpan w:val="5"/>
          </w:tcPr>
          <w:p>
            <w:pPr>
              <w:ind w:left="160"/>
              <w:spacing w:after="0"/>
              <w:rPr>
                <w:sz w:val="20"/>
                <w:szCs w:val="20"/>
                <w:color w:val="auto"/>
              </w:rPr>
            </w:pPr>
            <w:r>
              <w:rPr>
                <w:rFonts w:ascii="Arial" w:cs="Arial" w:eastAsia="Arial" w:hAnsi="Arial"/>
                <w:sz w:val="10"/>
                <w:szCs w:val="10"/>
                <w:b w:val="1"/>
                <w:bCs w:val="1"/>
                <w:color w:val="auto"/>
              </w:rPr>
              <w:t>As of and for the three months ended</w:t>
            </w: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gridSpan w:val="4"/>
          </w:tcPr>
          <w:p>
            <w:pPr>
              <w:jc w:val="right"/>
              <w:ind w:right="682"/>
              <w:spacing w:after="0"/>
              <w:rPr>
                <w:sz w:val="20"/>
                <w:szCs w:val="20"/>
                <w:color w:val="auto"/>
              </w:rPr>
            </w:pPr>
            <w:r>
              <w:rPr>
                <w:rFonts w:ascii="Arial" w:cs="Arial" w:eastAsia="Arial" w:hAnsi="Arial"/>
                <w:sz w:val="10"/>
                <w:szCs w:val="10"/>
                <w:b w:val="1"/>
                <w:bCs w:val="1"/>
                <w:color w:val="auto"/>
              </w:rPr>
              <w:t>For the six months ended</w:t>
            </w:r>
          </w:p>
        </w:tc>
      </w:tr>
      <w:tr>
        <w:trPr>
          <w:trHeight w:val="130"/>
        </w:trPr>
        <w:tc>
          <w:tcPr>
            <w:tcW w:w="3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b w:val="1"/>
                <w:bCs w:val="1"/>
                <w:color w:val="auto"/>
              </w:rPr>
              <w:t>June 30, 2021</w:t>
            </w: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June 30, 2020</w:t>
            </w: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June 30, 2021</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June 30, 2020</w:t>
            </w:r>
          </w:p>
        </w:tc>
      </w:tr>
      <w:tr>
        <w:trPr>
          <w:trHeight w:val="118"/>
        </w:trPr>
        <w:tc>
          <w:tcPr>
            <w:tcW w:w="3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IIF</w:t>
            </w: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NIW</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IIF</w:t>
            </w: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NIW</w:t>
            </w: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NIW</w:t>
            </w:r>
          </w:p>
        </w:tc>
        <w:tc>
          <w:tcPr>
            <w:tcW w:w="1020" w:type="dxa"/>
            <w:vAlign w:val="bottom"/>
            <w:tcBorders>
              <w:bottom w:val="single" w:sz="8" w:color="auto"/>
            </w:tcBorders>
          </w:tcPr>
          <w:p>
            <w:pPr>
              <w:spacing w:after="0"/>
              <w:rPr>
                <w:sz w:val="10"/>
                <w:szCs w:val="10"/>
                <w:color w:val="auto"/>
              </w:rPr>
            </w:pPr>
          </w:p>
        </w:tc>
      </w:tr>
      <w:tr>
        <w:trPr>
          <w:trHeight w:val="114"/>
        </w:trPr>
        <w:tc>
          <w:tcPr>
            <w:tcW w:w="3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3"/>
          </w:tcPr>
          <w:p>
            <w:pPr>
              <w:jc w:val="right"/>
              <w:ind w:right="212"/>
              <w:spacing w:after="0"/>
              <w:rPr>
                <w:sz w:val="20"/>
                <w:szCs w:val="20"/>
                <w:color w:val="auto"/>
              </w:rPr>
            </w:pPr>
            <w:r>
              <w:rPr>
                <w:rFonts w:ascii="Arial" w:cs="Arial" w:eastAsia="Arial" w:hAnsi="Arial"/>
                <w:sz w:val="10"/>
                <w:szCs w:val="10"/>
                <w:i w:val="1"/>
                <w:iCs w:val="1"/>
                <w:color w:val="auto"/>
              </w:rPr>
              <w:t>(In Millions)</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5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Monthly</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117,629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19,422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82,848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43,186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22,346</w:t>
            </w:r>
          </w:p>
        </w:tc>
      </w:tr>
      <w:tr>
        <w:trPr>
          <w:trHeight w:val="153"/>
        </w:trPr>
        <w:tc>
          <w:tcPr>
            <w:tcW w:w="33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Single</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18,969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16,057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5,962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2,075</w:t>
            </w:r>
          </w:p>
        </w:tc>
      </w:tr>
      <w:tr>
        <w:trPr>
          <w:trHeight w:val="142"/>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Primary</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136,598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22,751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98,905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49,148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24,421</w:t>
            </w:r>
          </w:p>
        </w:tc>
      </w:tr>
      <w:tr>
        <w:trPr>
          <w:trHeight w:val="72"/>
        </w:trPr>
        <w:tc>
          <w:tcPr>
            <w:tcW w:w="3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53"/>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Pool</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3300" w:type="dxa"/>
            <w:vAlign w:val="bottom"/>
          </w:tcPr>
          <w:p>
            <w:pPr>
              <w:spacing w:after="0"/>
              <w:rPr>
                <w:sz w:val="20"/>
                <w:szCs w:val="20"/>
                <w:color w:val="auto"/>
              </w:rPr>
            </w:pPr>
            <w:r>
              <w:rPr>
                <w:rFonts w:ascii="Arial" w:cs="Arial" w:eastAsia="Arial" w:hAnsi="Arial"/>
                <w:sz w:val="12"/>
                <w:szCs w:val="12"/>
                <w:color w:val="auto"/>
              </w:rPr>
              <w:t>Total</w:t>
            </w: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138,058</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22,751</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101,245</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13,124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rPr>
              <w:t>49,148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24,421</w:t>
            </w:r>
          </w:p>
        </w:tc>
      </w:tr>
      <w:tr>
        <w:trPr>
          <w:trHeight w:val="20"/>
        </w:trPr>
        <w:tc>
          <w:tcPr>
            <w:tcW w:w="3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For the three and six months ended June 30, 2021, NIW increased 73% and 101%, respectively, compared to the three and six months ended June 30, 2020, driven by growth in our monthly and single premium policy production tied to the increased penetration of existing customer accounts and new customer account activations, as well as growth in the size of the total mortgage insurance market.</w:t>
      </w:r>
    </w:p>
    <w:p>
      <w:pPr>
        <w:spacing w:after="0" w:line="7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For the three months ended June 30, 2021, monthly premium polices accounted for 85% of our NIW, compared to 91% for the three months ended June 30, 2020. As of June 30, 2021, monthly premium policies accounted for 86% of our primary IIF, compared to 84% at June 30, 2020.</w:t>
      </w:r>
    </w:p>
    <w:p>
      <w:pPr>
        <w:spacing w:after="0" w:line="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Total IIF increased 36% at June 30, 2021 compared to June 30, 2020, primarily due to the NIW generated between such measurement dates, partially offset by the run-off of in-force policies. Our persistency rate decreased to 54% at June 30, 2021 from 64% at June 30, 2020, reflecting the impact of increased refinancing activity during the intervening twelve-month period.</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net premiums written and earned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240" w:type="dxa"/>
            <w:vAlign w:val="bottom"/>
          </w:tcPr>
          <w:p>
            <w:pPr>
              <w:spacing w:after="0"/>
              <w:rPr>
                <w:sz w:val="20"/>
                <w:szCs w:val="20"/>
                <w:color w:val="auto"/>
              </w:rPr>
            </w:pPr>
            <w:r>
              <w:rPr>
                <w:rFonts w:ascii="Arial" w:cs="Arial" w:eastAsia="Arial" w:hAnsi="Arial"/>
                <w:sz w:val="10"/>
                <w:szCs w:val="10"/>
                <w:b w:val="1"/>
                <w:bCs w:val="1"/>
                <w:color w:val="auto"/>
              </w:rPr>
              <w:t>Primary and pool premiums written and earned</w:t>
            </w:r>
          </w:p>
        </w:tc>
        <w:tc>
          <w:tcPr>
            <w:tcW w:w="3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For the three months ended</w:t>
            </w: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5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June 30, 2021</w:t>
            </w:r>
          </w:p>
        </w:tc>
        <w:tc>
          <w:tcPr>
            <w:tcW w:w="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w w:val="86"/>
              </w:rPr>
              <w:t>June 30, 2020</w:t>
            </w: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46"/>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gridSpan w:val="2"/>
          </w:tcPr>
          <w:p>
            <w:pPr>
              <w:ind w:left="480"/>
              <w:spacing w:after="0"/>
              <w:rPr>
                <w:sz w:val="20"/>
                <w:szCs w:val="20"/>
                <w:color w:val="auto"/>
              </w:rPr>
            </w:pPr>
            <w:r>
              <w:rPr>
                <w:rFonts w:ascii="Arial" w:cs="Arial" w:eastAsia="Arial" w:hAnsi="Arial"/>
                <w:sz w:val="10"/>
                <w:szCs w:val="10"/>
                <w:i w:val="1"/>
                <w:iCs w:val="1"/>
                <w:color w:val="auto"/>
                <w:w w:val="95"/>
              </w:rPr>
              <w:t>(In Thousands)</w:t>
            </w: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55"/>
        </w:trPr>
        <w:tc>
          <w:tcPr>
            <w:tcW w:w="5240" w:type="dxa"/>
            <w:vAlign w:val="bottom"/>
            <w:shd w:val="clear" w:color="auto" w:fill="CCEEFF"/>
          </w:tcPr>
          <w:p>
            <w:pPr>
              <w:spacing w:after="0"/>
              <w:rPr>
                <w:sz w:val="20"/>
                <w:szCs w:val="20"/>
                <w:color w:val="auto"/>
              </w:rPr>
            </w:pPr>
            <w:r>
              <w:rPr>
                <w:rFonts w:ascii="Arial" w:cs="Arial" w:eastAsia="Arial" w:hAnsi="Arial"/>
                <w:sz w:val="12"/>
                <w:szCs w:val="12"/>
                <w:color w:val="auto"/>
              </w:rPr>
              <w:t>Net premiums written</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126,642</w:t>
            </w: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90,109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242,457</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181,480</w:t>
            </w:r>
          </w:p>
        </w:tc>
      </w:tr>
      <w:tr>
        <w:trPr>
          <w:trHeight w:val="153"/>
        </w:trPr>
        <w:tc>
          <w:tcPr>
            <w:tcW w:w="5240" w:type="dxa"/>
            <w:vAlign w:val="bottom"/>
          </w:tcPr>
          <w:p>
            <w:pPr>
              <w:spacing w:after="0"/>
              <w:rPr>
                <w:sz w:val="20"/>
                <w:szCs w:val="20"/>
                <w:color w:val="auto"/>
              </w:rPr>
            </w:pPr>
            <w:r>
              <w:rPr>
                <w:rFonts w:ascii="Arial" w:cs="Arial" w:eastAsia="Arial" w:hAnsi="Arial"/>
                <w:sz w:val="12"/>
                <w:szCs w:val="12"/>
                <w:color w:val="auto"/>
              </w:rPr>
              <w:t>Net premiums earned</w:t>
            </w:r>
          </w:p>
        </w:tc>
        <w:tc>
          <w:tcPr>
            <w:tcW w:w="340" w:type="dxa"/>
            <w:vAlign w:val="bottom"/>
          </w:tcPr>
          <w:p>
            <w:pPr>
              <w:spacing w:after="0"/>
              <w:rPr>
                <w:sz w:val="13"/>
                <w:szCs w:val="13"/>
                <w:color w:val="auto"/>
              </w:rPr>
            </w:pPr>
          </w:p>
        </w:tc>
        <w:tc>
          <w:tcPr>
            <w:tcW w:w="1420" w:type="dxa"/>
            <w:vAlign w:val="bottom"/>
          </w:tcPr>
          <w:p>
            <w:pPr>
              <w:jc w:val="right"/>
              <w:ind w:right="26"/>
              <w:spacing w:after="0"/>
              <w:rPr>
                <w:sz w:val="20"/>
                <w:szCs w:val="20"/>
                <w:color w:val="auto"/>
              </w:rPr>
            </w:pPr>
            <w:r>
              <w:rPr>
                <w:rFonts w:ascii="Arial" w:cs="Arial" w:eastAsia="Arial" w:hAnsi="Arial"/>
                <w:sz w:val="12"/>
                <w:szCs w:val="12"/>
                <w:color w:val="auto"/>
              </w:rPr>
              <w:t>110,888</w:t>
            </w: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98,944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6"/>
              <w:spacing w:after="0"/>
              <w:rPr>
                <w:sz w:val="20"/>
                <w:szCs w:val="20"/>
                <w:color w:val="auto"/>
              </w:rPr>
            </w:pPr>
            <w:r>
              <w:rPr>
                <w:rFonts w:ascii="Arial" w:cs="Arial" w:eastAsia="Arial" w:hAnsi="Arial"/>
                <w:sz w:val="12"/>
                <w:szCs w:val="12"/>
                <w:color w:val="auto"/>
              </w:rPr>
              <w:t>216,767</w:t>
            </w:r>
          </w:p>
        </w:tc>
        <w:tc>
          <w:tcPr>
            <w:tcW w:w="28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197,661</w:t>
            </w:r>
          </w:p>
        </w:tc>
      </w:tr>
    </w:tbl>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For the three and six months ended June 30, 2021, net premiums written increased 41% and 34%, respectively, and net premiums earned increased 12% and 10%, respectively, compared to the three and six months ended June 30, 2020. The growth in net premiums written and earned were primarily due to the growth of our IIF and increased monthly policy production, partially offset by increased cessions under the QSR and ILN Transactions. Net premiums written grew at an accelerated rate compared to net premiums earned due to an increase in the volume and mix of our single premium policy production and decline in the contribution of single premium policy cancellations during the three and six months ended June 30, 2021.</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Pool premiums written and earned for the three and six months ended June 30, 2021 and 2020, were $0.4 million and $0.9 million, and $0.7 million and $1.4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12"/>
          <w:szCs w:val="12"/>
          <w:b w:val="1"/>
          <w:bCs w:val="1"/>
          <w:i w:val="1"/>
          <w:iCs w:val="1"/>
          <w:color w:val="auto"/>
        </w:rPr>
        <w:t>Portfolio Statistics</w:t>
      </w:r>
    </w:p>
    <w:p>
      <w:pPr>
        <w:spacing w:after="0" w:line="114"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080" w:type="dxa"/>
            <w:vAlign w:val="bottom"/>
          </w:tcPr>
          <w:p>
            <w:pPr>
              <w:spacing w:after="0"/>
              <w:rPr>
                <w:sz w:val="20"/>
                <w:szCs w:val="20"/>
                <w:color w:val="auto"/>
              </w:rPr>
            </w:pPr>
            <w:r>
              <w:rPr>
                <w:rFonts w:ascii="Arial" w:cs="Arial" w:eastAsia="Arial" w:hAnsi="Arial"/>
                <w:sz w:val="10"/>
                <w:szCs w:val="10"/>
                <w:b w:val="1"/>
                <w:bCs w:val="1"/>
                <w:color w:val="auto"/>
              </w:rPr>
              <w:t>Primary portfolio trends</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As of and for the three months ended</w:t>
            </w: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30"/>
        </w:trPr>
        <w:tc>
          <w:tcPr>
            <w:tcW w:w="40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June 30, 2021</w:t>
            </w: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March 31, 2021</w:t>
            </w: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w w:val="95"/>
              </w:rPr>
              <w:t>December 31, 2020</w:t>
            </w: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w w:val="94"/>
              </w:rPr>
              <w:t>September 30, 2020</w:t>
            </w: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June 30, 2020</w:t>
            </w:r>
          </w:p>
        </w:tc>
      </w:tr>
      <w:tr>
        <w:trPr>
          <w:trHeight w:val="117"/>
        </w:trPr>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60" w:type="dxa"/>
            <w:vAlign w:val="bottom"/>
            <w:gridSpan w:val="4"/>
          </w:tcPr>
          <w:p>
            <w:pPr>
              <w:jc w:val="right"/>
              <w:ind w:right="20"/>
              <w:spacing w:after="0"/>
              <w:rPr>
                <w:sz w:val="20"/>
                <w:szCs w:val="20"/>
                <w:color w:val="auto"/>
              </w:rPr>
            </w:pPr>
            <w:r>
              <w:rPr>
                <w:rFonts w:ascii="Arial" w:cs="Arial" w:eastAsia="Arial" w:hAnsi="Arial"/>
                <w:sz w:val="10"/>
                <w:szCs w:val="10"/>
                <w:i w:val="1"/>
                <w:iCs w:val="1"/>
                <w:color w:val="auto"/>
              </w:rPr>
              <w:t>($ Values In Millions, except as noted below)</w:t>
            </w: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5"/>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New insurance written</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22,751</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26,397</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19,782</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18,499</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13,124</w:t>
            </w:r>
          </w:p>
        </w:tc>
      </w:tr>
      <w:tr>
        <w:trPr>
          <w:trHeight w:val="153"/>
        </w:trPr>
        <w:tc>
          <w:tcPr>
            <w:tcW w:w="408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2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85 %</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90 %</w:t>
            </w:r>
          </w:p>
        </w:tc>
        <w:tc>
          <w:tcPr>
            <w:tcW w:w="300" w:type="dxa"/>
            <w:vAlign w:val="bottom"/>
          </w:tcPr>
          <w:p>
            <w:pPr>
              <w:spacing w:after="0"/>
              <w:rPr>
                <w:sz w:val="13"/>
                <w:szCs w:val="13"/>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90 %</w:t>
            </w:r>
          </w:p>
        </w:tc>
        <w:tc>
          <w:tcPr>
            <w:tcW w:w="1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89 %</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91 %</w:t>
            </w:r>
          </w:p>
        </w:tc>
      </w:tr>
      <w:tr>
        <w:trPr>
          <w:trHeight w:val="153"/>
        </w:trPr>
        <w:tc>
          <w:tcPr>
            <w:tcW w:w="40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10 %</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11 %</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New risk written</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5,650</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6,531</w:t>
            </w: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61"/>
              <w:spacing w:after="0"/>
              <w:rPr>
                <w:sz w:val="20"/>
                <w:szCs w:val="20"/>
                <w:color w:val="auto"/>
              </w:rPr>
            </w:pPr>
            <w:r>
              <w:rPr>
                <w:rFonts w:ascii="Arial" w:cs="Arial" w:eastAsia="Arial" w:hAnsi="Arial"/>
                <w:sz w:val="12"/>
                <w:szCs w:val="12"/>
                <w:color w:val="auto"/>
              </w:rPr>
              <w:t>4,868</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41"/>
              <w:spacing w:after="0"/>
              <w:rPr>
                <w:sz w:val="20"/>
                <w:szCs w:val="20"/>
                <w:color w:val="auto"/>
              </w:rPr>
            </w:pPr>
            <w:r>
              <w:rPr>
                <w:rFonts w:ascii="Arial" w:cs="Arial" w:eastAsia="Arial" w:hAnsi="Arial"/>
                <w:sz w:val="12"/>
                <w:szCs w:val="12"/>
                <w:color w:val="auto"/>
              </w:rPr>
              <w:t>4,577</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81"/>
              <w:spacing w:after="0"/>
              <w:rPr>
                <w:sz w:val="20"/>
                <w:szCs w:val="20"/>
                <w:color w:val="auto"/>
              </w:rPr>
            </w:pPr>
            <w:r>
              <w:rPr>
                <w:rFonts w:ascii="Arial" w:cs="Arial" w:eastAsia="Arial" w:hAnsi="Arial"/>
                <w:sz w:val="12"/>
                <w:szCs w:val="12"/>
                <w:color w:val="auto"/>
              </w:rPr>
              <w:t>3,260</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Insurance-in-force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136,598</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123,777</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111,252</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104,494</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98,905</w:t>
            </w:r>
          </w:p>
        </w:tc>
      </w:tr>
      <w:tr>
        <w:trPr>
          <w:trHeight w:val="153"/>
        </w:trPr>
        <w:tc>
          <w:tcPr>
            <w:tcW w:w="4080" w:type="dxa"/>
            <w:vAlign w:val="bottom"/>
          </w:tcPr>
          <w:p>
            <w:pPr>
              <w:ind w:left="440"/>
              <w:spacing w:after="0"/>
              <w:rPr>
                <w:sz w:val="20"/>
                <w:szCs w:val="20"/>
                <w:color w:val="auto"/>
              </w:rPr>
            </w:pPr>
            <w:r>
              <w:rPr>
                <w:rFonts w:ascii="Arial" w:cs="Arial" w:eastAsia="Arial" w:hAnsi="Arial"/>
                <w:sz w:val="12"/>
                <w:szCs w:val="12"/>
                <w:color w:val="auto"/>
              </w:rPr>
              <w:t>Percentage of monthly premium</w:t>
            </w:r>
          </w:p>
        </w:tc>
        <w:tc>
          <w:tcPr>
            <w:tcW w:w="2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86 %</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86 %</w:t>
            </w:r>
          </w:p>
        </w:tc>
        <w:tc>
          <w:tcPr>
            <w:tcW w:w="300" w:type="dxa"/>
            <w:vAlign w:val="bottom"/>
          </w:tcPr>
          <w:p>
            <w:pPr>
              <w:spacing w:after="0"/>
              <w:rPr>
                <w:sz w:val="13"/>
                <w:szCs w:val="13"/>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86 %</w:t>
            </w:r>
          </w:p>
        </w:tc>
        <w:tc>
          <w:tcPr>
            <w:tcW w:w="1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85 %</w:t>
            </w: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84 %</w:t>
            </w:r>
          </w:p>
        </w:tc>
      </w:tr>
      <w:tr>
        <w:trPr>
          <w:trHeight w:val="153"/>
        </w:trPr>
        <w:tc>
          <w:tcPr>
            <w:tcW w:w="40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Percentage of single premium</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14 %</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15 %</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w:t>
            </w:r>
            <w:r>
              <w:rPr>
                <w:rFonts w:ascii="Arial" w:cs="Arial" w:eastAsia="Arial" w:hAnsi="Arial"/>
                <w:sz w:val="15"/>
                <w:szCs w:val="15"/>
                <w:color w:val="auto"/>
                <w:vertAlign w:val="superscript"/>
              </w:rPr>
              <w:t>(1)</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34,366</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31,206</w:t>
            </w: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61"/>
              <w:spacing w:after="0"/>
              <w:rPr>
                <w:sz w:val="20"/>
                <w:szCs w:val="20"/>
                <w:color w:val="auto"/>
              </w:rPr>
            </w:pPr>
            <w:r>
              <w:rPr>
                <w:rFonts w:ascii="Arial" w:cs="Arial" w:eastAsia="Arial" w:hAnsi="Arial"/>
                <w:sz w:val="12"/>
                <w:szCs w:val="12"/>
                <w:color w:val="auto"/>
              </w:rPr>
              <w:t>28,164</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41"/>
              <w:spacing w:after="0"/>
              <w:rPr>
                <w:sz w:val="20"/>
                <w:szCs w:val="20"/>
                <w:color w:val="auto"/>
              </w:rPr>
            </w:pPr>
            <w:r>
              <w:rPr>
                <w:rFonts w:ascii="Arial" w:cs="Arial" w:eastAsia="Arial" w:hAnsi="Arial"/>
                <w:sz w:val="12"/>
                <w:szCs w:val="12"/>
                <w:color w:val="auto"/>
              </w:rPr>
              <w:t>26,568</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81"/>
              <w:spacing w:after="0"/>
              <w:rPr>
                <w:sz w:val="20"/>
                <w:szCs w:val="20"/>
                <w:color w:val="auto"/>
              </w:rPr>
            </w:pPr>
            <w:r>
              <w:rPr>
                <w:rFonts w:ascii="Arial" w:cs="Arial" w:eastAsia="Arial" w:hAnsi="Arial"/>
                <w:sz w:val="12"/>
                <w:szCs w:val="12"/>
                <w:color w:val="auto"/>
              </w:rPr>
              <w:t>25,238</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Policies in force (count)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471,794</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436,652</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399,429</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381,899</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372,934</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Average loan size </w:t>
            </w:r>
            <w:r>
              <w:rPr>
                <w:rFonts w:ascii="Arial" w:cs="Arial" w:eastAsia="Arial" w:hAnsi="Arial"/>
                <w:sz w:val="9"/>
                <w:szCs w:val="9"/>
                <w:i w:val="1"/>
                <w:iCs w:val="1"/>
                <w:color w:val="auto"/>
              </w:rPr>
              <w:t>($ value in thousands)</w:t>
            </w:r>
            <w:r>
              <w:rPr>
                <w:rFonts w:ascii="Arial" w:cs="Arial" w:eastAsia="Arial" w:hAnsi="Arial"/>
                <w:sz w:val="12"/>
                <w:szCs w:val="12"/>
                <w:color w:val="auto"/>
              </w:rPr>
              <w:t xml:space="preserve"> </w:t>
            </w:r>
            <w:r>
              <w:rPr>
                <w:rFonts w:ascii="Arial" w:cs="Arial" w:eastAsia="Arial" w:hAnsi="Arial"/>
                <w:sz w:val="15"/>
                <w:szCs w:val="15"/>
                <w:color w:val="auto"/>
                <w:vertAlign w:val="superscript"/>
              </w:rPr>
              <w:t>(1)</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290</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283</w:t>
            </w: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61"/>
              <w:spacing w:after="0"/>
              <w:rPr>
                <w:sz w:val="20"/>
                <w:szCs w:val="20"/>
                <w:color w:val="auto"/>
              </w:rPr>
            </w:pPr>
            <w:r>
              <w:rPr>
                <w:rFonts w:ascii="Arial" w:cs="Arial" w:eastAsia="Arial" w:hAnsi="Arial"/>
                <w:sz w:val="12"/>
                <w:szCs w:val="12"/>
                <w:color w:val="auto"/>
              </w:rPr>
              <w:t>279</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41"/>
              <w:spacing w:after="0"/>
              <w:rPr>
                <w:sz w:val="20"/>
                <w:szCs w:val="20"/>
                <w:color w:val="auto"/>
              </w:rPr>
            </w:pPr>
            <w:r>
              <w:rPr>
                <w:rFonts w:ascii="Arial" w:cs="Arial" w:eastAsia="Arial" w:hAnsi="Arial"/>
                <w:sz w:val="12"/>
                <w:szCs w:val="12"/>
                <w:color w:val="auto"/>
              </w:rPr>
              <w:t>274</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81"/>
              <w:spacing w:after="0"/>
              <w:rPr>
                <w:sz w:val="20"/>
                <w:szCs w:val="20"/>
                <w:color w:val="auto"/>
              </w:rPr>
            </w:pPr>
            <w:r>
              <w:rPr>
                <w:rFonts w:ascii="Arial" w:cs="Arial" w:eastAsia="Arial" w:hAnsi="Arial"/>
                <w:sz w:val="12"/>
                <w:szCs w:val="12"/>
                <w:color w:val="auto"/>
              </w:rPr>
              <w:t>265</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Coverage percentage </w:t>
            </w:r>
            <w:r>
              <w:rPr>
                <w:rFonts w:ascii="Arial" w:cs="Arial" w:eastAsia="Arial" w:hAnsi="Arial"/>
                <w:sz w:val="15"/>
                <w:szCs w:val="15"/>
                <w:color w:val="auto"/>
                <w:vertAlign w:val="superscript"/>
              </w:rPr>
              <w:t>(2)</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25.2 %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25.2 %</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25.3 %</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25.4 %</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25.5 %</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Loans in default (count) </w:t>
            </w:r>
            <w:r>
              <w:rPr>
                <w:rFonts w:ascii="Arial" w:cs="Arial" w:eastAsia="Arial" w:hAnsi="Arial"/>
                <w:sz w:val="15"/>
                <w:szCs w:val="15"/>
                <w:color w:val="auto"/>
                <w:vertAlign w:val="superscript"/>
              </w:rPr>
              <w:t>(1)</w:t>
            </w:r>
          </w:p>
        </w:tc>
        <w:tc>
          <w:tcPr>
            <w:tcW w:w="240" w:type="dxa"/>
            <w:vAlign w:val="bottom"/>
          </w:tcPr>
          <w:p>
            <w:pPr>
              <w:spacing w:after="0"/>
              <w:rPr>
                <w:sz w:val="13"/>
                <w:szCs w:val="13"/>
                <w:color w:val="auto"/>
              </w:rPr>
            </w:pP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8,764</w:t>
            </w:r>
          </w:p>
        </w:tc>
        <w:tc>
          <w:tcPr>
            <w:tcW w:w="260" w:type="dxa"/>
            <w:vAlign w:val="bottom"/>
          </w:tcPr>
          <w:p>
            <w:pPr>
              <w:spacing w:after="0"/>
              <w:rPr>
                <w:sz w:val="13"/>
                <w:szCs w:val="13"/>
                <w:color w:val="auto"/>
              </w:rPr>
            </w:pP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11,090</w:t>
            </w:r>
          </w:p>
        </w:tc>
        <w:tc>
          <w:tcPr>
            <w:tcW w:w="300" w:type="dxa"/>
            <w:vAlign w:val="bottom"/>
          </w:tcPr>
          <w:p>
            <w:pPr>
              <w:spacing w:after="0"/>
              <w:rPr>
                <w:sz w:val="13"/>
                <w:szCs w:val="13"/>
                <w:color w:val="auto"/>
              </w:rPr>
            </w:pPr>
          </w:p>
        </w:tc>
        <w:tc>
          <w:tcPr>
            <w:tcW w:w="1240" w:type="dxa"/>
            <w:vAlign w:val="bottom"/>
          </w:tcPr>
          <w:p>
            <w:pPr>
              <w:jc w:val="right"/>
              <w:ind w:right="161"/>
              <w:spacing w:after="0"/>
              <w:rPr>
                <w:sz w:val="20"/>
                <w:szCs w:val="20"/>
                <w:color w:val="auto"/>
              </w:rPr>
            </w:pPr>
            <w:r>
              <w:rPr>
                <w:rFonts w:ascii="Arial" w:cs="Arial" w:eastAsia="Arial" w:hAnsi="Arial"/>
                <w:sz w:val="12"/>
                <w:szCs w:val="12"/>
                <w:color w:val="auto"/>
              </w:rPr>
              <w:t>12,209</w:t>
            </w:r>
          </w:p>
        </w:tc>
        <w:tc>
          <w:tcPr>
            <w:tcW w:w="180" w:type="dxa"/>
            <w:vAlign w:val="bottom"/>
          </w:tcPr>
          <w:p>
            <w:pPr>
              <w:spacing w:after="0"/>
              <w:rPr>
                <w:sz w:val="13"/>
                <w:szCs w:val="13"/>
                <w:color w:val="auto"/>
              </w:rPr>
            </w:pPr>
          </w:p>
        </w:tc>
        <w:tc>
          <w:tcPr>
            <w:tcW w:w="1220" w:type="dxa"/>
            <w:vAlign w:val="bottom"/>
          </w:tcPr>
          <w:p>
            <w:pPr>
              <w:jc w:val="right"/>
              <w:ind w:right="141"/>
              <w:spacing w:after="0"/>
              <w:rPr>
                <w:sz w:val="20"/>
                <w:szCs w:val="20"/>
                <w:color w:val="auto"/>
              </w:rPr>
            </w:pPr>
            <w:r>
              <w:rPr>
                <w:rFonts w:ascii="Arial" w:cs="Arial" w:eastAsia="Arial" w:hAnsi="Arial"/>
                <w:sz w:val="12"/>
                <w:szCs w:val="12"/>
                <w:color w:val="auto"/>
              </w:rPr>
              <w:t>13,765</w:t>
            </w:r>
          </w:p>
        </w:tc>
        <w:tc>
          <w:tcPr>
            <w:tcW w:w="280" w:type="dxa"/>
            <w:vAlign w:val="bottom"/>
          </w:tcPr>
          <w:p>
            <w:pPr>
              <w:spacing w:after="0"/>
              <w:rPr>
                <w:sz w:val="13"/>
                <w:szCs w:val="13"/>
                <w:color w:val="auto"/>
              </w:rPr>
            </w:pPr>
          </w:p>
        </w:tc>
        <w:tc>
          <w:tcPr>
            <w:tcW w:w="1100" w:type="dxa"/>
            <w:vAlign w:val="bottom"/>
          </w:tcPr>
          <w:p>
            <w:pPr>
              <w:jc w:val="right"/>
              <w:ind w:right="81"/>
              <w:spacing w:after="0"/>
              <w:rPr>
                <w:sz w:val="20"/>
                <w:szCs w:val="20"/>
                <w:color w:val="auto"/>
              </w:rPr>
            </w:pPr>
            <w:r>
              <w:rPr>
                <w:rFonts w:ascii="Arial" w:cs="Arial" w:eastAsia="Arial" w:hAnsi="Arial"/>
                <w:sz w:val="12"/>
                <w:szCs w:val="12"/>
                <w:color w:val="auto"/>
              </w:rPr>
              <w:t>10,816</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Default rate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1.86 %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2.54 %</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3.06 %</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3.60 %</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2.90 %</w:t>
            </w:r>
          </w:p>
        </w:tc>
      </w:tr>
      <w:tr>
        <w:trPr>
          <w:trHeight w:val="153"/>
        </w:trPr>
        <w:tc>
          <w:tcPr>
            <w:tcW w:w="4080" w:type="dxa"/>
            <w:vAlign w:val="bottom"/>
          </w:tcPr>
          <w:p>
            <w:pPr>
              <w:ind w:left="140"/>
              <w:spacing w:after="0" w:line="153" w:lineRule="exact"/>
              <w:rPr>
                <w:sz w:val="20"/>
                <w:szCs w:val="20"/>
                <w:color w:val="auto"/>
              </w:rPr>
            </w:pPr>
            <w:r>
              <w:rPr>
                <w:rFonts w:ascii="Arial" w:cs="Arial" w:eastAsia="Arial" w:hAnsi="Arial"/>
                <w:sz w:val="12"/>
                <w:szCs w:val="12"/>
                <w:color w:val="auto"/>
              </w:rPr>
              <w:t xml:space="preserve">Risk-in-force on defaulted loans </w:t>
            </w:r>
            <w:r>
              <w:rPr>
                <w:rFonts w:ascii="Arial" w:cs="Arial" w:eastAsia="Arial" w:hAnsi="Arial"/>
                <w:sz w:val="15"/>
                <w:szCs w:val="15"/>
                <w:color w:val="auto"/>
                <w:vertAlign w:val="superscript"/>
              </w:rPr>
              <w:t>(1)</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625</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785</w:t>
            </w: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61"/>
              <w:spacing w:after="0"/>
              <w:rPr>
                <w:sz w:val="20"/>
                <w:szCs w:val="20"/>
                <w:color w:val="auto"/>
              </w:rPr>
            </w:pPr>
            <w:r>
              <w:rPr>
                <w:rFonts w:ascii="Arial" w:cs="Arial" w:eastAsia="Arial" w:hAnsi="Arial"/>
                <w:sz w:val="12"/>
                <w:szCs w:val="12"/>
                <w:color w:val="auto"/>
              </w:rPr>
              <w:t>874</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41"/>
              <w:spacing w:after="0"/>
              <w:rPr>
                <w:sz w:val="20"/>
                <w:szCs w:val="20"/>
                <w:color w:val="auto"/>
              </w:rPr>
            </w:pPr>
            <w:r>
              <w:rPr>
                <w:rFonts w:ascii="Arial" w:cs="Arial" w:eastAsia="Arial" w:hAnsi="Arial"/>
                <w:sz w:val="12"/>
                <w:szCs w:val="12"/>
                <w:color w:val="auto"/>
              </w:rPr>
              <w:t>1,008</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81"/>
              <w:spacing w:after="0"/>
              <w:rPr>
                <w:sz w:val="20"/>
                <w:szCs w:val="20"/>
                <w:color w:val="auto"/>
              </w:rPr>
            </w:pPr>
            <w:r>
              <w:rPr>
                <w:rFonts w:ascii="Arial" w:cs="Arial" w:eastAsia="Arial" w:hAnsi="Arial"/>
                <w:sz w:val="12"/>
                <w:szCs w:val="12"/>
                <w:color w:val="auto"/>
              </w:rPr>
              <w:t>799</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Net premium yield </w:t>
            </w:r>
            <w:r>
              <w:rPr>
                <w:rFonts w:ascii="Arial" w:cs="Arial" w:eastAsia="Arial" w:hAnsi="Arial"/>
                <w:sz w:val="15"/>
                <w:szCs w:val="15"/>
                <w:color w:val="auto"/>
                <w:vertAlign w:val="superscript"/>
              </w:rPr>
              <w:t>(3)</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0.34 %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0.36 %</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0.37 %</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0.39 %</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0.40 %</w:t>
            </w:r>
          </w:p>
        </w:tc>
      </w:tr>
      <w:tr>
        <w:trPr>
          <w:trHeight w:val="153"/>
        </w:trPr>
        <w:tc>
          <w:tcPr>
            <w:tcW w:w="4080" w:type="dxa"/>
            <w:vAlign w:val="bottom"/>
          </w:tcPr>
          <w:p>
            <w:pPr>
              <w:ind w:left="140"/>
              <w:spacing w:after="0"/>
              <w:rPr>
                <w:sz w:val="20"/>
                <w:szCs w:val="20"/>
                <w:color w:val="auto"/>
              </w:rPr>
            </w:pPr>
            <w:r>
              <w:rPr>
                <w:rFonts w:ascii="Arial" w:cs="Arial" w:eastAsia="Arial" w:hAnsi="Arial"/>
                <w:sz w:val="12"/>
                <w:szCs w:val="12"/>
                <w:color w:val="auto"/>
              </w:rPr>
              <w:t>Earnings from cancellations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7.0</w:t>
            </w: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101"/>
              <w:spacing w:after="0"/>
              <w:rPr>
                <w:sz w:val="20"/>
                <w:szCs w:val="20"/>
                <w:color w:val="auto"/>
              </w:rPr>
            </w:pPr>
            <w:r>
              <w:rPr>
                <w:rFonts w:ascii="Arial" w:cs="Arial" w:eastAsia="Arial" w:hAnsi="Arial"/>
                <w:sz w:val="12"/>
                <w:szCs w:val="12"/>
                <w:color w:val="auto"/>
              </w:rPr>
              <w:t>9.9</w:t>
            </w:r>
          </w:p>
        </w:tc>
        <w:tc>
          <w:tcPr>
            <w:tcW w:w="3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161"/>
              <w:spacing w:after="0"/>
              <w:rPr>
                <w:sz w:val="20"/>
                <w:szCs w:val="20"/>
                <w:color w:val="auto"/>
              </w:rPr>
            </w:pPr>
            <w:r>
              <w:rPr>
                <w:rFonts w:ascii="Arial" w:cs="Arial" w:eastAsia="Arial" w:hAnsi="Arial"/>
                <w:sz w:val="12"/>
                <w:szCs w:val="12"/>
                <w:color w:val="auto"/>
              </w:rPr>
              <w:t>11.7</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41"/>
              <w:spacing w:after="0"/>
              <w:rPr>
                <w:sz w:val="20"/>
                <w:szCs w:val="20"/>
                <w:color w:val="auto"/>
              </w:rPr>
            </w:pPr>
            <w:r>
              <w:rPr>
                <w:rFonts w:ascii="Arial" w:cs="Arial" w:eastAsia="Arial" w:hAnsi="Arial"/>
                <w:sz w:val="12"/>
                <w:szCs w:val="12"/>
                <w:color w:val="auto"/>
              </w:rPr>
              <w:t>12.6</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81"/>
              <w:spacing w:after="0"/>
              <w:rPr>
                <w:sz w:val="20"/>
                <w:szCs w:val="20"/>
                <w:color w:val="auto"/>
              </w:rPr>
            </w:pPr>
            <w:r>
              <w:rPr>
                <w:rFonts w:ascii="Arial" w:cs="Arial" w:eastAsia="Arial" w:hAnsi="Arial"/>
                <w:sz w:val="12"/>
                <w:szCs w:val="12"/>
                <w:color w:val="auto"/>
              </w:rPr>
              <w:t>15.5</w:t>
            </w:r>
          </w:p>
        </w:tc>
      </w:tr>
      <w:tr>
        <w:trPr>
          <w:trHeight w:val="153"/>
        </w:trPr>
        <w:tc>
          <w:tcPr>
            <w:tcW w:w="4080" w:type="dxa"/>
            <w:vAlign w:val="bottom"/>
            <w:shd w:val="clear" w:color="auto" w:fill="CCEEFF"/>
          </w:tcPr>
          <w:p>
            <w:pPr>
              <w:ind w:left="140"/>
              <w:spacing w:after="0" w:line="153" w:lineRule="exact"/>
              <w:rPr>
                <w:sz w:val="20"/>
                <w:szCs w:val="20"/>
                <w:color w:val="auto"/>
              </w:rPr>
            </w:pPr>
            <w:r>
              <w:rPr>
                <w:rFonts w:ascii="Arial" w:cs="Arial" w:eastAsia="Arial" w:hAnsi="Arial"/>
                <w:sz w:val="12"/>
                <w:szCs w:val="12"/>
                <w:color w:val="auto"/>
              </w:rPr>
              <w:t xml:space="preserve">Annual persistency </w:t>
            </w:r>
            <w:r>
              <w:rPr>
                <w:rFonts w:ascii="Arial" w:cs="Arial" w:eastAsia="Arial" w:hAnsi="Arial"/>
                <w:sz w:val="15"/>
                <w:szCs w:val="15"/>
                <w:color w:val="auto"/>
                <w:vertAlign w:val="superscript"/>
              </w:rPr>
              <w:t>(4)</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53.9 %</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51.9 %</w:t>
            </w:r>
          </w:p>
        </w:tc>
        <w:tc>
          <w:tcPr>
            <w:tcW w:w="3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55.9 %</w:t>
            </w: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60.0 %</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64.1 %</w:t>
            </w:r>
          </w:p>
        </w:tc>
      </w:tr>
      <w:tr>
        <w:trPr>
          <w:trHeight w:val="207"/>
        </w:trPr>
        <w:tc>
          <w:tcPr>
            <w:tcW w:w="4080" w:type="dxa"/>
            <w:vAlign w:val="bottom"/>
          </w:tcPr>
          <w:p>
            <w:pPr>
              <w:ind w:left="140"/>
              <w:spacing w:after="0"/>
              <w:rPr>
                <w:sz w:val="20"/>
                <w:szCs w:val="20"/>
                <w:color w:val="auto"/>
              </w:rPr>
            </w:pPr>
            <w:r>
              <w:rPr>
                <w:rFonts w:ascii="Arial" w:cs="Arial" w:eastAsia="Arial" w:hAnsi="Arial"/>
                <w:sz w:val="12"/>
                <w:szCs w:val="12"/>
                <w:color w:val="auto"/>
              </w:rPr>
              <w:t xml:space="preserve">Quarterly run-off </w:t>
            </w:r>
            <w:r>
              <w:rPr>
                <w:rFonts w:ascii="Arial" w:cs="Arial" w:eastAsia="Arial" w:hAnsi="Arial"/>
                <w:sz w:val="15"/>
                <w:szCs w:val="15"/>
                <w:color w:val="auto"/>
                <w:vertAlign w:val="superscript"/>
              </w:rPr>
              <w:t>(5)</w:t>
            </w:r>
          </w:p>
        </w:tc>
        <w:tc>
          <w:tcPr>
            <w:tcW w:w="2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8.0 %</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12.5 %</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12.5 %</w:t>
            </w:r>
          </w:p>
        </w:tc>
        <w:tc>
          <w:tcPr>
            <w:tcW w:w="1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13.1 %</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12.9 %</w:t>
            </w:r>
          </w:p>
        </w:tc>
      </w:tr>
    </w:tbl>
    <w:p>
      <w:pPr>
        <w:spacing w:after="0" w:line="82" w:lineRule="exact"/>
        <w:rPr>
          <w:sz w:val="20"/>
          <w:szCs w:val="20"/>
          <w:color w:val="auto"/>
        </w:rPr>
      </w:pPr>
    </w:p>
    <w:p>
      <w:pPr>
        <w:ind w:left="128" w:hanging="128"/>
        <w:spacing w:after="0"/>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Reported as of the end of the period.</w:t>
      </w:r>
    </w:p>
    <w:p>
      <w:pPr>
        <w:ind w:left="128" w:hanging="128"/>
        <w:spacing w:after="0" w:line="18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Calculated as end of period RIF divided by end of period IIF.</w:t>
      </w:r>
    </w:p>
    <w:p>
      <w:pPr>
        <w:ind w:left="128" w:hanging="128"/>
        <w:spacing w:after="0" w:line="18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Calculated as net premiums earned divided by average primary IIF for the period, annualized.</w:t>
      </w:r>
    </w:p>
    <w:p>
      <w:pPr>
        <w:ind w:left="128" w:hanging="128"/>
        <w:spacing w:after="0" w:line="18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Defined as the percentage of IIF that remains on our books after a given twelve-month period.</w:t>
      </w:r>
    </w:p>
    <w:p>
      <w:pPr>
        <w:ind w:left="128" w:hanging="128"/>
        <w:spacing w:after="0" w:line="197" w:lineRule="auto"/>
        <w:tabs>
          <w:tab w:leader="none" w:pos="128" w:val="left"/>
        </w:tabs>
        <w:numPr>
          <w:ilvl w:val="0"/>
          <w:numId w:val="18"/>
        </w:numPr>
        <w:rPr>
          <w:rFonts w:ascii="Arial" w:cs="Arial" w:eastAsia="Arial" w:hAnsi="Arial"/>
          <w:sz w:val="12"/>
          <w:szCs w:val="12"/>
          <w:color w:val="auto"/>
          <w:vertAlign w:val="superscript"/>
        </w:rPr>
      </w:pPr>
      <w:r>
        <w:rPr>
          <w:rFonts w:ascii="Arial" w:cs="Arial" w:eastAsia="Arial" w:hAnsi="Arial"/>
          <w:sz w:val="10"/>
          <w:szCs w:val="10"/>
          <w:color w:val="auto"/>
        </w:rPr>
        <w:t>Defined as the percentage of IIF that is no longer on our books after a given three-month period.</w:t>
      </w:r>
    </w:p>
    <w:p>
      <w:pPr>
        <w:spacing w:after="0" w:line="98" w:lineRule="exact"/>
        <w:rPr>
          <w:sz w:val="20"/>
          <w:szCs w:val="20"/>
          <w:color w:val="auto"/>
        </w:rPr>
      </w:pPr>
    </w:p>
    <w:p>
      <w:pPr>
        <w:ind w:left="548"/>
        <w:spacing w:after="0"/>
        <w:rPr>
          <w:sz w:val="20"/>
          <w:szCs w:val="20"/>
          <w:color w:val="auto"/>
        </w:rPr>
      </w:pPr>
      <w:r>
        <w:rPr>
          <w:rFonts w:ascii="Arial" w:cs="Arial" w:eastAsia="Arial" w:hAnsi="Arial"/>
          <w:sz w:val="12"/>
          <w:szCs w:val="12"/>
          <w:color w:val="auto"/>
        </w:rPr>
        <w:t>The table below presents a summary of the change in total primary IIF for the dates and periods indicated.</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220" w:type="dxa"/>
            <w:vAlign w:val="bottom"/>
          </w:tcPr>
          <w:p>
            <w:pPr>
              <w:spacing w:after="0"/>
              <w:rPr>
                <w:sz w:val="20"/>
                <w:szCs w:val="20"/>
                <w:color w:val="auto"/>
              </w:rPr>
            </w:pPr>
            <w:r>
              <w:rPr>
                <w:rFonts w:ascii="Arial" w:cs="Arial" w:eastAsia="Arial" w:hAnsi="Arial"/>
                <w:sz w:val="10"/>
                <w:szCs w:val="10"/>
                <w:b w:val="1"/>
                <w:bCs w:val="1"/>
                <w:color w:val="auto"/>
              </w:rPr>
              <w:t>Primary IIF</w:t>
            </w: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5"/>
          </w:tcPr>
          <w:p>
            <w:pPr>
              <w:ind w:left="520"/>
              <w:spacing w:after="0"/>
              <w:rPr>
                <w:sz w:val="20"/>
                <w:szCs w:val="20"/>
                <w:color w:val="auto"/>
              </w:rPr>
            </w:pPr>
            <w:r>
              <w:rPr>
                <w:rFonts w:ascii="Arial" w:cs="Arial" w:eastAsia="Arial" w:hAnsi="Arial"/>
                <w:sz w:val="10"/>
                <w:szCs w:val="10"/>
                <w:b w:val="1"/>
                <w:bCs w:val="1"/>
                <w:color w:val="auto"/>
              </w:rPr>
              <w:t>For the three months ended</w:t>
            </w:r>
          </w:p>
        </w:tc>
        <w:tc>
          <w:tcPr>
            <w:tcW w:w="300" w:type="dxa"/>
            <w:vAlign w:val="bottom"/>
          </w:tcPr>
          <w:p>
            <w:pPr>
              <w:spacing w:after="0"/>
              <w:rPr>
                <w:sz w:val="11"/>
                <w:szCs w:val="11"/>
                <w:color w:val="auto"/>
              </w:rPr>
            </w:pPr>
          </w:p>
        </w:tc>
        <w:tc>
          <w:tcPr>
            <w:tcW w:w="2340" w:type="dxa"/>
            <w:vAlign w:val="bottom"/>
            <w:gridSpan w:val="4"/>
          </w:tcPr>
          <w:p>
            <w:pPr>
              <w:ind w:left="500"/>
              <w:spacing w:after="0"/>
              <w:rPr>
                <w:sz w:val="20"/>
                <w:szCs w:val="20"/>
                <w:color w:val="auto"/>
              </w:rPr>
            </w:pPr>
            <w:r>
              <w:rPr>
                <w:rFonts w:ascii="Arial" w:cs="Arial" w:eastAsia="Arial" w:hAnsi="Arial"/>
                <w:sz w:val="10"/>
                <w:szCs w:val="10"/>
                <w:b w:val="1"/>
                <w:bCs w:val="1"/>
                <w:color w:val="auto"/>
              </w:rPr>
              <w:t>For the six months ended</w:t>
            </w: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June 30, 2021</w:t>
            </w:r>
          </w:p>
        </w:tc>
        <w:tc>
          <w:tcPr>
            <w:tcW w:w="2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0"/>
                <w:szCs w:val="10"/>
                <w:b w:val="1"/>
                <w:bCs w:val="1"/>
                <w:color w:val="auto"/>
              </w:rPr>
              <w:t>June 30, 2020</w:t>
            </w:r>
          </w:p>
        </w:tc>
        <w:tc>
          <w:tcPr>
            <w:tcW w:w="60" w:type="dxa"/>
            <w:vAlign w:val="bottom"/>
            <w:tcBorders>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June 30, 2021</w:t>
            </w:r>
          </w:p>
        </w:tc>
        <w:tc>
          <w:tcPr>
            <w:tcW w:w="2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0"/>
                <w:szCs w:val="10"/>
                <w:b w:val="1"/>
                <w:bCs w:val="1"/>
                <w:color w:val="auto"/>
              </w:rPr>
              <w:t>June 30, 2020</w:t>
            </w:r>
          </w:p>
        </w:tc>
        <w:tc>
          <w:tcPr>
            <w:tcW w:w="0" w:type="dxa"/>
            <w:vAlign w:val="bottom"/>
          </w:tcPr>
          <w:p>
            <w:pPr>
              <w:spacing w:after="0"/>
              <w:rPr>
                <w:sz w:val="1"/>
                <w:szCs w:val="1"/>
                <w:color w:val="auto"/>
              </w:rPr>
            </w:pPr>
          </w:p>
        </w:tc>
      </w:tr>
      <w:tr>
        <w:trPr>
          <w:trHeight w:val="114"/>
        </w:trPr>
        <w:tc>
          <w:tcPr>
            <w:tcW w:w="4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0"/>
                <w:szCs w:val="10"/>
                <w:i w:val="1"/>
                <w:iCs w:val="1"/>
                <w:color w:val="auto"/>
              </w:rPr>
              <w:t>(In Millions)</w:t>
            </w: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IIF, beginning of period</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123,777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center"/>
              <w:ind w:left="524"/>
              <w:spacing w:after="0"/>
              <w:rPr>
                <w:sz w:val="20"/>
                <w:szCs w:val="20"/>
                <w:color w:val="auto"/>
              </w:rPr>
            </w:pPr>
            <w:r>
              <w:rPr>
                <w:rFonts w:ascii="Arial" w:cs="Arial" w:eastAsia="Arial" w:hAnsi="Arial"/>
                <w:sz w:val="12"/>
                <w:szCs w:val="12"/>
                <w:color w:val="auto"/>
                <w:w w:val="87"/>
              </w:rPr>
              <w:t>98,494</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center"/>
              <w:ind w:left="522"/>
              <w:spacing w:after="0"/>
              <w:rPr>
                <w:sz w:val="20"/>
                <w:szCs w:val="20"/>
                <w:color w:val="auto"/>
              </w:rPr>
            </w:pPr>
            <w:r>
              <w:rPr>
                <w:rFonts w:ascii="Arial" w:cs="Arial" w:eastAsia="Arial" w:hAnsi="Arial"/>
                <w:sz w:val="12"/>
                <w:szCs w:val="12"/>
                <w:color w:val="auto"/>
                <w:w w:val="87"/>
              </w:rPr>
              <w:t>94,754</w:t>
            </w:r>
          </w:p>
        </w:tc>
        <w:tc>
          <w:tcPr>
            <w:tcW w:w="0" w:type="dxa"/>
            <w:vAlign w:val="bottom"/>
          </w:tcPr>
          <w:p>
            <w:pPr>
              <w:spacing w:after="0"/>
              <w:rPr>
                <w:sz w:val="1"/>
                <w:szCs w:val="1"/>
                <w:color w:val="auto"/>
              </w:rPr>
            </w:pPr>
          </w:p>
        </w:tc>
      </w:tr>
      <w:tr>
        <w:trPr>
          <w:trHeight w:val="153"/>
        </w:trPr>
        <w:tc>
          <w:tcPr>
            <w:tcW w:w="4220" w:type="dxa"/>
            <w:vAlign w:val="bottom"/>
          </w:tcPr>
          <w:p>
            <w:pPr>
              <w:ind w:left="140"/>
              <w:spacing w:after="0"/>
              <w:rPr>
                <w:sz w:val="20"/>
                <w:szCs w:val="20"/>
                <w:color w:val="auto"/>
              </w:rPr>
            </w:pPr>
            <w:r>
              <w:rPr>
                <w:rFonts w:ascii="Arial" w:cs="Arial" w:eastAsia="Arial" w:hAnsi="Arial"/>
                <w:sz w:val="12"/>
                <w:szCs w:val="12"/>
                <w:color w:val="auto"/>
              </w:rPr>
              <w:t>NIW</w:t>
            </w: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22,751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left="524"/>
              <w:spacing w:after="0"/>
              <w:rPr>
                <w:sz w:val="20"/>
                <w:szCs w:val="20"/>
                <w:color w:val="auto"/>
              </w:rPr>
            </w:pPr>
            <w:r>
              <w:rPr>
                <w:rFonts w:ascii="Arial" w:cs="Arial" w:eastAsia="Arial" w:hAnsi="Arial"/>
                <w:sz w:val="12"/>
                <w:szCs w:val="12"/>
                <w:color w:val="auto"/>
                <w:w w:val="87"/>
              </w:rPr>
              <w:t>13,124</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49,148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left="522"/>
              <w:spacing w:after="0"/>
              <w:rPr>
                <w:sz w:val="20"/>
                <w:szCs w:val="20"/>
                <w:color w:val="auto"/>
              </w:rPr>
            </w:pPr>
            <w:r>
              <w:rPr>
                <w:rFonts w:ascii="Arial" w:cs="Arial" w:eastAsia="Arial" w:hAnsi="Arial"/>
                <w:sz w:val="12"/>
                <w:szCs w:val="12"/>
                <w:color w:val="auto"/>
                <w:w w:val="87"/>
              </w:rPr>
              <w:t>24,421</w:t>
            </w:r>
          </w:p>
        </w:tc>
        <w:tc>
          <w:tcPr>
            <w:tcW w:w="0" w:type="dxa"/>
            <w:vAlign w:val="bottom"/>
          </w:tcPr>
          <w:p>
            <w:pPr>
              <w:spacing w:after="0"/>
              <w:rPr>
                <w:sz w:val="1"/>
                <w:szCs w:val="1"/>
                <w:color w:val="auto"/>
              </w:rPr>
            </w:pPr>
          </w:p>
        </w:tc>
      </w:tr>
      <w:tr>
        <w:trPr>
          <w:trHeight w:val="153"/>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Cancellations, principal repayments and other reductions</w:t>
            </w:r>
          </w:p>
        </w:tc>
        <w:tc>
          <w:tcPr>
            <w:tcW w:w="17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(9,930)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center"/>
              <w:ind w:left="504"/>
              <w:spacing w:after="0"/>
              <w:rPr>
                <w:sz w:val="20"/>
                <w:szCs w:val="20"/>
                <w:color w:val="auto"/>
              </w:rPr>
            </w:pPr>
            <w:r>
              <w:rPr>
                <w:rFonts w:ascii="Arial" w:cs="Arial" w:eastAsia="Arial" w:hAnsi="Arial"/>
                <w:sz w:val="12"/>
                <w:szCs w:val="12"/>
                <w:color w:val="auto"/>
                <w:w w:val="93"/>
              </w:rPr>
              <w:t>(12,713)</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(23,802)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center"/>
              <w:ind w:left="502"/>
              <w:spacing w:after="0"/>
              <w:rPr>
                <w:sz w:val="20"/>
                <w:szCs w:val="20"/>
                <w:color w:val="auto"/>
              </w:rPr>
            </w:pPr>
            <w:r>
              <w:rPr>
                <w:rFonts w:ascii="Arial" w:cs="Arial" w:eastAsia="Arial" w:hAnsi="Arial"/>
                <w:sz w:val="12"/>
                <w:szCs w:val="12"/>
                <w:color w:val="auto"/>
                <w:w w:val="93"/>
              </w:rPr>
              <w:t>(20,270)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20"/>
                <w:szCs w:val="20"/>
                <w:color w:val="auto"/>
              </w:rPr>
            </w:pPr>
            <w:r>
              <w:rPr>
                <w:rFonts w:ascii="Arial" w:cs="Arial" w:eastAsia="Arial" w:hAnsi="Arial"/>
                <w:sz w:val="12"/>
                <w:szCs w:val="12"/>
                <w:color w:val="auto"/>
              </w:rPr>
              <w:t>IIF, end of period</w:t>
            </w:r>
          </w:p>
        </w:tc>
        <w:tc>
          <w:tcPr>
            <w:tcW w:w="1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136,598</w:t>
            </w:r>
          </w:p>
        </w:tc>
        <w:tc>
          <w:tcPr>
            <w:tcW w:w="8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center"/>
              <w:ind w:left="524"/>
              <w:spacing w:after="0"/>
              <w:rPr>
                <w:sz w:val="20"/>
                <w:szCs w:val="20"/>
                <w:color w:val="auto"/>
              </w:rPr>
            </w:pPr>
            <w:r>
              <w:rPr>
                <w:rFonts w:ascii="Arial" w:cs="Arial" w:eastAsia="Arial" w:hAnsi="Arial"/>
                <w:sz w:val="12"/>
                <w:szCs w:val="12"/>
                <w:color w:val="auto"/>
                <w:w w:val="87"/>
              </w:rPr>
              <w:t>98,905</w:t>
            </w:r>
          </w:p>
        </w:tc>
        <w:tc>
          <w:tcPr>
            <w:tcW w:w="6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136,598</w:t>
            </w:r>
          </w:p>
        </w:tc>
        <w:tc>
          <w:tcPr>
            <w:tcW w:w="8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center"/>
              <w:ind w:left="522"/>
              <w:spacing w:after="0"/>
              <w:rPr>
                <w:sz w:val="20"/>
                <w:szCs w:val="20"/>
                <w:color w:val="auto"/>
              </w:rPr>
            </w:pPr>
            <w:r>
              <w:rPr>
                <w:rFonts w:ascii="Arial" w:cs="Arial" w:eastAsia="Arial" w:hAnsi="Arial"/>
                <w:sz w:val="12"/>
                <w:szCs w:val="12"/>
                <w:color w:val="auto"/>
                <w:w w:val="87"/>
              </w:rPr>
              <w:t>98,905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20" w:type="dxa"/>
            <w:vAlign w:val="bottom"/>
            <w:vMerge w:val="restart"/>
          </w:tcPr>
          <w:p>
            <w:pPr>
              <w:jc w:val="right"/>
              <w:ind w:right="180"/>
              <w:spacing w:after="0"/>
              <w:rPr>
                <w:sz w:val="20"/>
                <w:szCs w:val="20"/>
                <w:color w:val="auto"/>
              </w:rPr>
            </w:pPr>
            <w:r>
              <w:rPr>
                <w:rFonts w:ascii="Arial" w:cs="Arial" w:eastAsia="Arial" w:hAnsi="Arial"/>
                <w:sz w:val="12"/>
                <w:szCs w:val="12"/>
                <w:color w:val="auto"/>
              </w:rPr>
              <w:t>39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2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2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39" w:name="page40"/>
    <w:bookmarkEnd w:id="39"/>
    <w:p>
      <w:pPr>
        <w:jc w:val="both"/>
        <w:ind w:firstLine="432"/>
        <w:spacing w:after="0" w:line="259" w:lineRule="auto"/>
        <w:rPr>
          <w:sz w:val="20"/>
          <w:szCs w:val="20"/>
          <w:color w:val="auto"/>
        </w:rPr>
      </w:pPr>
      <w:r>
        <w:rPr>
          <w:rFonts w:ascii="Arial" w:cs="Arial" w:eastAsia="Arial" w:hAnsi="Arial"/>
          <w:sz w:val="12"/>
          <w:szCs w:val="12"/>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presents a summary of our primary IIF and RIF by book year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40" w:type="dxa"/>
            <w:vAlign w:val="bottom"/>
          </w:tcPr>
          <w:p>
            <w:pPr>
              <w:spacing w:after="0"/>
              <w:rPr>
                <w:sz w:val="20"/>
                <w:szCs w:val="20"/>
                <w:color w:val="auto"/>
              </w:rPr>
            </w:pPr>
            <w:r>
              <w:rPr>
                <w:rFonts w:ascii="Arial" w:cs="Arial" w:eastAsia="Arial" w:hAnsi="Arial"/>
                <w:sz w:val="10"/>
                <w:szCs w:val="10"/>
                <w:b w:val="1"/>
                <w:bCs w:val="1"/>
                <w:color w:val="auto"/>
              </w:rPr>
              <w:t>Primary IIF and RIF</w:t>
            </w:r>
          </w:p>
        </w:tc>
        <w:tc>
          <w:tcPr>
            <w:tcW w:w="10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0"/>
                <w:szCs w:val="10"/>
                <w:b w:val="1"/>
                <w:bCs w:val="1"/>
                <w:color w:val="auto"/>
              </w:rPr>
              <w:t>As of June 30, 2021</w:t>
            </w: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As of June 30, 2020</w:t>
            </w:r>
          </w:p>
        </w:tc>
        <w:tc>
          <w:tcPr>
            <w:tcW w:w="1120" w:type="dxa"/>
            <w:vAlign w:val="bottom"/>
            <w:tcBorders>
              <w:bottom w:val="single" w:sz="8" w:color="auto"/>
            </w:tcBorders>
          </w:tcPr>
          <w:p>
            <w:pPr>
              <w:spacing w:after="0"/>
              <w:rPr>
                <w:sz w:val="11"/>
                <w:szCs w:val="11"/>
                <w:color w:val="auto"/>
              </w:rPr>
            </w:pPr>
          </w:p>
        </w:tc>
      </w:tr>
      <w:tr>
        <w:trPr>
          <w:trHeight w:val="118"/>
        </w:trPr>
        <w:tc>
          <w:tcPr>
            <w:tcW w:w="4240" w:type="dxa"/>
            <w:vAlign w:val="bottom"/>
          </w:tcPr>
          <w:p>
            <w:pPr>
              <w:spacing w:after="0"/>
              <w:rPr>
                <w:sz w:val="10"/>
                <w:szCs w:val="1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IIF</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683"/>
              <w:spacing w:after="0"/>
              <w:rPr>
                <w:sz w:val="20"/>
                <w:szCs w:val="20"/>
                <w:color w:val="auto"/>
              </w:rPr>
            </w:pPr>
            <w:r>
              <w:rPr>
                <w:rFonts w:ascii="Arial" w:cs="Arial" w:eastAsia="Arial" w:hAnsi="Arial"/>
                <w:sz w:val="10"/>
                <w:szCs w:val="10"/>
                <w:b w:val="1"/>
                <w:bCs w:val="1"/>
                <w:color w:val="auto"/>
              </w:rPr>
              <w:t>RIF</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IIF</w:t>
            </w:r>
          </w:p>
        </w:tc>
        <w:tc>
          <w:tcPr>
            <w:tcW w:w="5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RIF</w:t>
            </w:r>
          </w:p>
        </w:tc>
      </w:tr>
      <w:tr>
        <w:trPr>
          <w:trHeight w:val="114"/>
        </w:trPr>
        <w:tc>
          <w:tcPr>
            <w:tcW w:w="4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0"/>
                <w:szCs w:val="10"/>
                <w:i w:val="1"/>
                <w:iCs w:val="1"/>
                <w:color w:val="auto"/>
              </w:rPr>
              <w:t>(In Millions)</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5"/>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June 30, 2021</w:t>
            </w: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48,314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2020</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51,100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12,792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23,949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6,039</w:t>
            </w:r>
          </w:p>
        </w:tc>
      </w:tr>
      <w:tr>
        <w:trPr>
          <w:trHeight w:val="153"/>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34,658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9,017</w:t>
            </w:r>
          </w:p>
        </w:tc>
      </w:tr>
      <w:tr>
        <w:trPr>
          <w:trHeight w:val="153"/>
        </w:trPr>
        <w:tc>
          <w:tcPr>
            <w:tcW w:w="4240" w:type="dxa"/>
            <w:vAlign w:val="bottom"/>
          </w:tcPr>
          <w:p>
            <w:pPr>
              <w:spacing w:after="0"/>
              <w:rPr>
                <w:sz w:val="20"/>
                <w:szCs w:val="20"/>
                <w:color w:val="auto"/>
              </w:rPr>
            </w:pPr>
            <w:r>
              <w:rPr>
                <w:rFonts w:ascii="Arial" w:cs="Arial" w:eastAsia="Arial" w:hAnsi="Arial"/>
                <w:sz w:val="12"/>
                <w:szCs w:val="12"/>
                <w:color w:val="auto"/>
              </w:rPr>
              <w:t>2018</w:t>
            </w:r>
          </w:p>
        </w:tc>
        <w:tc>
          <w:tcPr>
            <w:tcW w:w="10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6,745</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2"/>
                <w:szCs w:val="12"/>
                <w:color w:val="auto"/>
              </w:rPr>
              <w:t>14,322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3,643</w:t>
            </w:r>
          </w:p>
        </w:tc>
      </w:tr>
      <w:tr>
        <w:trPr>
          <w:trHeight w:val="153"/>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11,548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2,877</w:t>
            </w:r>
          </w:p>
        </w:tc>
      </w:tr>
      <w:tr>
        <w:trPr>
          <w:trHeight w:val="153"/>
        </w:trPr>
        <w:tc>
          <w:tcPr>
            <w:tcW w:w="4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2016 and before</w:t>
            </w: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7,473</w:t>
            </w: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1,918</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14,428</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3,662</w:t>
            </w:r>
          </w:p>
        </w:tc>
      </w:tr>
      <w:tr>
        <w:trPr>
          <w:trHeight w:val="142"/>
        </w:trPr>
        <w:tc>
          <w:tcPr>
            <w:tcW w:w="4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136,598</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34,366</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98,905</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25,238</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0" w:name="page41"/>
    <w:bookmarkEnd w:id="40"/>
    <w:p>
      <w:pPr>
        <w:ind w:firstLine="432"/>
        <w:spacing w:after="0" w:line="276" w:lineRule="auto"/>
        <w:rPr>
          <w:sz w:val="20"/>
          <w:szCs w:val="20"/>
          <w:color w:val="auto"/>
        </w:rPr>
      </w:pPr>
      <w:r>
        <w:rPr>
          <w:rFonts w:ascii="Arial" w:cs="Arial" w:eastAsia="Arial" w:hAnsi="Arial"/>
          <w:sz w:val="12"/>
          <w:szCs w:val="12"/>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80" w:type="dxa"/>
            <w:vAlign w:val="bottom"/>
          </w:tcPr>
          <w:p>
            <w:pPr>
              <w:spacing w:after="0"/>
              <w:rPr>
                <w:sz w:val="20"/>
                <w:szCs w:val="20"/>
                <w:color w:val="auto"/>
              </w:rPr>
            </w:pPr>
            <w:r>
              <w:rPr>
                <w:rFonts w:ascii="Arial" w:cs="Arial" w:eastAsia="Arial" w:hAnsi="Arial"/>
                <w:sz w:val="10"/>
                <w:szCs w:val="10"/>
                <w:b w:val="1"/>
                <w:bCs w:val="1"/>
                <w:color w:val="auto"/>
              </w:rPr>
              <w:t>Primary NIW by FICO</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6"/>
          </w:tcPr>
          <w:p>
            <w:pPr>
              <w:jc w:val="right"/>
              <w:ind w:right="825"/>
              <w:spacing w:after="0"/>
              <w:rPr>
                <w:sz w:val="20"/>
                <w:szCs w:val="20"/>
                <w:color w:val="auto"/>
              </w:rPr>
            </w:pPr>
            <w:r>
              <w:rPr>
                <w:rFonts w:ascii="Arial" w:cs="Arial" w:eastAsia="Arial" w:hAnsi="Arial"/>
                <w:sz w:val="10"/>
                <w:szCs w:val="10"/>
                <w:b w:val="1"/>
                <w:bCs w:val="1"/>
                <w:color w:val="auto"/>
              </w:rPr>
              <w:t>For the three months ended</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gridSpan w:val="7"/>
          </w:tcPr>
          <w:p>
            <w:pPr>
              <w:jc w:val="right"/>
              <w:ind w:right="982"/>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0"/>
                <w:szCs w:val="10"/>
                <w:b w:val="1"/>
                <w:bCs w:val="1"/>
                <w:color w:val="auto"/>
              </w:rPr>
              <w:t>June 30, 2021</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205"/>
              <w:spacing w:after="0"/>
              <w:rPr>
                <w:sz w:val="20"/>
                <w:szCs w:val="20"/>
                <w:color w:val="auto"/>
              </w:rPr>
            </w:pPr>
            <w:r>
              <w:rPr>
                <w:rFonts w:ascii="Arial" w:cs="Arial" w:eastAsia="Arial" w:hAnsi="Arial"/>
                <w:sz w:val="10"/>
                <w:szCs w:val="10"/>
                <w:b w:val="1"/>
                <w:bCs w:val="1"/>
                <w:color w:val="auto"/>
              </w:rPr>
              <w:t>June 30, 2020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June 30, 2021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w w:val="92"/>
              </w:rPr>
              <w:t>June 30, 2020</w:t>
            </w:r>
          </w:p>
        </w:tc>
      </w:tr>
      <w:tr>
        <w:trPr>
          <w:trHeight w:val="114"/>
        </w:trPr>
        <w:tc>
          <w:tcPr>
            <w:tcW w:w="4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tcPr>
          <w:p>
            <w:pPr>
              <w:ind w:left="960"/>
              <w:spacing w:after="0"/>
              <w:rPr>
                <w:sz w:val="20"/>
                <w:szCs w:val="20"/>
                <w:color w:val="auto"/>
              </w:rPr>
            </w:pPr>
            <w:r>
              <w:rPr>
                <w:rFonts w:ascii="Arial" w:cs="Arial" w:eastAsia="Arial" w:hAnsi="Arial"/>
                <w:sz w:val="10"/>
                <w:szCs w:val="10"/>
                <w:i w:val="1"/>
                <w:iCs w:val="1"/>
                <w:color w:val="auto"/>
                <w:w w:val="97"/>
              </w:rPr>
              <w:t>(In Millions)</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55"/>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1220" w:type="dxa"/>
            <w:vAlign w:val="bottom"/>
            <w:gridSpan w:val="3"/>
            <w:shd w:val="clear" w:color="auto" w:fill="CCEEFF"/>
          </w:tcPr>
          <w:p>
            <w:pPr>
              <w:jc w:val="right"/>
              <w:ind w:right="832"/>
              <w:spacing w:after="0"/>
              <w:rPr>
                <w:sz w:val="20"/>
                <w:szCs w:val="20"/>
                <w:color w:val="auto"/>
              </w:rPr>
            </w:pPr>
            <w:r>
              <w:rPr>
                <w:rFonts w:ascii="Arial" w:cs="Arial" w:eastAsia="Arial" w:hAnsi="Arial"/>
                <w:sz w:val="12"/>
                <w:szCs w:val="12"/>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11,390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6"/>
              </w:rPr>
              <w:t>8,052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24,304</w:t>
            </w:r>
          </w:p>
        </w:tc>
        <w:tc>
          <w:tcPr>
            <w:tcW w:w="48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14,342</w:t>
            </w:r>
          </w:p>
        </w:tc>
      </w:tr>
      <w:tr>
        <w:trPr>
          <w:trHeight w:val="153"/>
        </w:trPr>
        <w:tc>
          <w:tcPr>
            <w:tcW w:w="4280" w:type="dxa"/>
            <w:vAlign w:val="bottom"/>
          </w:tcPr>
          <w:p>
            <w:pPr>
              <w:ind w:left="140"/>
              <w:spacing w:after="0"/>
              <w:rPr>
                <w:sz w:val="20"/>
                <w:szCs w:val="20"/>
                <w:color w:val="auto"/>
              </w:rPr>
            </w:pPr>
            <w:r>
              <w:rPr>
                <w:rFonts w:ascii="Arial" w:cs="Arial" w:eastAsia="Arial" w:hAnsi="Arial"/>
                <w:sz w:val="12"/>
                <w:szCs w:val="12"/>
                <w:color w:val="auto"/>
              </w:rPr>
              <w:t>740-759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4,246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w w:val="86"/>
              </w:rPr>
              <w:t>1,866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9,558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3,481</w:t>
            </w:r>
          </w:p>
        </w:tc>
      </w:tr>
      <w:tr>
        <w:trPr>
          <w:trHeight w:val="153"/>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3,152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6"/>
              </w:rPr>
              <w:t>1,607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7,115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3,186</w:t>
            </w:r>
          </w:p>
        </w:tc>
      </w:tr>
      <w:tr>
        <w:trPr>
          <w:trHeight w:val="153"/>
        </w:trPr>
        <w:tc>
          <w:tcPr>
            <w:tcW w:w="4280" w:type="dxa"/>
            <w:vAlign w:val="bottom"/>
          </w:tcPr>
          <w:p>
            <w:pPr>
              <w:ind w:left="140"/>
              <w:spacing w:after="0"/>
              <w:rPr>
                <w:sz w:val="20"/>
                <w:szCs w:val="20"/>
                <w:color w:val="auto"/>
              </w:rPr>
            </w:pPr>
            <w:r>
              <w:rPr>
                <w:rFonts w:ascii="Arial" w:cs="Arial" w:eastAsia="Arial" w:hAnsi="Arial"/>
                <w:sz w:val="12"/>
                <w:szCs w:val="12"/>
                <w:color w:val="auto"/>
              </w:rPr>
              <w:t>700-719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1,798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959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4,156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1,997</w:t>
            </w:r>
          </w:p>
        </w:tc>
      </w:tr>
      <w:tr>
        <w:trPr>
          <w:trHeight w:val="153"/>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1,292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514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2,652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1,079</w:t>
            </w:r>
          </w:p>
        </w:tc>
      </w:tr>
      <w:tr>
        <w:trPr>
          <w:trHeight w:val="15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79"/>
              </w:rPr>
              <w:t>873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126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1,363</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336</w:t>
            </w:r>
          </w:p>
        </w:tc>
      </w:tr>
      <w:tr>
        <w:trPr>
          <w:trHeight w:val="142"/>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220" w:type="dxa"/>
            <w:vAlign w:val="bottom"/>
            <w:gridSpan w:val="3"/>
            <w:shd w:val="clear" w:color="auto" w:fill="CCEEFF"/>
          </w:tcPr>
          <w:p>
            <w:pPr>
              <w:jc w:val="right"/>
              <w:ind w:right="832"/>
              <w:spacing w:after="0"/>
              <w:rPr>
                <w:sz w:val="20"/>
                <w:szCs w:val="20"/>
                <w:color w:val="auto"/>
              </w:rPr>
            </w:pPr>
            <w:r>
              <w:rPr>
                <w:rFonts w:ascii="Arial" w:cs="Arial" w:eastAsia="Arial" w:hAnsi="Arial"/>
                <w:sz w:val="12"/>
                <w:szCs w:val="12"/>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22,751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13,124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49,148</w:t>
            </w:r>
          </w:p>
        </w:tc>
        <w:tc>
          <w:tcPr>
            <w:tcW w:w="480" w:type="dxa"/>
            <w:vAlign w:val="bottom"/>
            <w:gridSpan w:val="4"/>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24,421</w:t>
            </w:r>
          </w:p>
        </w:tc>
      </w:tr>
      <w:tr>
        <w:trPr>
          <w:trHeight w:val="142"/>
        </w:trPr>
        <w:tc>
          <w:tcPr>
            <w:tcW w:w="4280" w:type="dxa"/>
            <w:vAlign w:val="bottom"/>
          </w:tcPr>
          <w:p>
            <w:pPr>
              <w:spacing w:after="0"/>
              <w:rPr>
                <w:sz w:val="20"/>
                <w:szCs w:val="20"/>
                <w:color w:val="auto"/>
              </w:rPr>
            </w:pPr>
            <w:r>
              <w:rPr>
                <w:rFonts w:ascii="Arial" w:cs="Arial" w:eastAsia="Arial" w:hAnsi="Arial"/>
                <w:sz w:val="12"/>
                <w:szCs w:val="12"/>
                <w:color w:val="auto"/>
              </w:rPr>
              <w:t>Weighted average FICO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79"/>
              </w:rPr>
              <w:t>754</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762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755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760</w:t>
            </w: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7"/>
        </w:trPr>
        <w:tc>
          <w:tcPr>
            <w:tcW w:w="4280" w:type="dxa"/>
            <w:vAlign w:val="bottom"/>
          </w:tcPr>
          <w:p>
            <w:pPr>
              <w:spacing w:after="0"/>
              <w:rPr>
                <w:sz w:val="20"/>
                <w:szCs w:val="20"/>
                <w:color w:val="auto"/>
              </w:rPr>
            </w:pPr>
            <w:r>
              <w:rPr>
                <w:rFonts w:ascii="Arial" w:cs="Arial" w:eastAsia="Arial" w:hAnsi="Arial"/>
                <w:sz w:val="10"/>
                <w:szCs w:val="10"/>
                <w:b w:val="1"/>
                <w:bCs w:val="1"/>
                <w:color w:val="auto"/>
              </w:rPr>
              <w:t>Primary NIW by LTV</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0"/>
                <w:szCs w:val="10"/>
                <w:b w:val="1"/>
                <w:bCs w:val="1"/>
                <w:color w:val="auto"/>
                <w:w w:val="86"/>
              </w:rPr>
              <w:t>For the three months ended</w:t>
            </w: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0"/>
                <w:szCs w:val="10"/>
                <w:b w:val="1"/>
                <w:bCs w:val="1"/>
                <w:color w:val="auto"/>
              </w:rPr>
              <w:t>For the six months ended</w:t>
            </w:r>
          </w:p>
        </w:tc>
        <w:tc>
          <w:tcPr>
            <w:tcW w:w="1100" w:type="dxa"/>
            <w:vAlign w:val="bottom"/>
            <w:tcBorders>
              <w:bottom w:val="single" w:sz="8" w:color="auto"/>
            </w:tcBorders>
          </w:tcPr>
          <w:p>
            <w:pPr>
              <w:spacing w:after="0"/>
              <w:rPr>
                <w:sz w:val="24"/>
                <w:szCs w:val="24"/>
                <w:color w:val="auto"/>
              </w:rPr>
            </w:pPr>
          </w:p>
        </w:tc>
      </w:tr>
      <w:tr>
        <w:trPr>
          <w:trHeight w:val="118"/>
        </w:trPr>
        <w:tc>
          <w:tcPr>
            <w:tcW w:w="42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w w:val="89"/>
              </w:rPr>
              <w:t>June 30, 2020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0"/>
                <w:szCs w:val="10"/>
                <w:b w:val="1"/>
                <w:bCs w:val="1"/>
                <w:color w:val="auto"/>
              </w:rPr>
              <w:t>June 30, 2021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w w:val="89"/>
              </w:rPr>
              <w:t>June 30, 2020</w:t>
            </w:r>
          </w:p>
        </w:tc>
      </w:tr>
      <w:tr>
        <w:trPr>
          <w:trHeight w:val="114"/>
        </w:trPr>
        <w:tc>
          <w:tcPr>
            <w:tcW w:w="4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tcPr>
          <w:p>
            <w:pPr>
              <w:ind w:left="820"/>
              <w:spacing w:after="0"/>
              <w:rPr>
                <w:sz w:val="20"/>
                <w:szCs w:val="20"/>
                <w:color w:val="auto"/>
              </w:rPr>
            </w:pPr>
            <w:r>
              <w:rPr>
                <w:rFonts w:ascii="Arial" w:cs="Arial" w:eastAsia="Arial" w:hAnsi="Arial"/>
                <w:sz w:val="10"/>
                <w:szCs w:val="10"/>
                <w:i w:val="1"/>
                <w:iCs w:val="1"/>
                <w:color w:val="auto"/>
              </w:rPr>
              <w:t>(In Millions)</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55"/>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2,177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4,628</w:t>
            </w:r>
          </w:p>
        </w:tc>
        <w:tc>
          <w:tcPr>
            <w:tcW w:w="140" w:type="dxa"/>
            <w:vAlign w:val="bottom"/>
            <w:shd w:val="clear" w:color="auto" w:fill="CCEEFF"/>
          </w:tcPr>
          <w:p>
            <w:pPr>
              <w:spacing w:after="0"/>
              <w:rPr>
                <w:sz w:val="13"/>
                <w:szCs w:val="13"/>
                <w:color w:val="auto"/>
              </w:rPr>
            </w:pPr>
          </w:p>
        </w:tc>
        <w:tc>
          <w:tcPr>
            <w:tcW w:w="480" w:type="dxa"/>
            <w:vAlign w:val="bottom"/>
            <w:gridSpan w:val="4"/>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1,268</w:t>
            </w:r>
          </w:p>
        </w:tc>
      </w:tr>
      <w:tr>
        <w:trPr>
          <w:trHeight w:val="153"/>
        </w:trPr>
        <w:tc>
          <w:tcPr>
            <w:tcW w:w="428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9,941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5,385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2"/>
                <w:szCs w:val="12"/>
                <w:color w:val="auto"/>
              </w:rPr>
              <w:t>20,992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jc w:val="right"/>
              <w:ind w:right="102"/>
              <w:spacing w:after="0"/>
              <w:rPr>
                <w:sz w:val="20"/>
                <w:szCs w:val="20"/>
                <w:color w:val="auto"/>
              </w:rPr>
            </w:pPr>
            <w:r>
              <w:rPr>
                <w:rFonts w:ascii="Arial" w:cs="Arial" w:eastAsia="Arial" w:hAnsi="Arial"/>
                <w:sz w:val="12"/>
                <w:szCs w:val="12"/>
                <w:color w:val="auto"/>
              </w:rPr>
              <w:t>10,394</w:t>
            </w:r>
          </w:p>
        </w:tc>
      </w:tr>
      <w:tr>
        <w:trPr>
          <w:trHeight w:val="153"/>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6,262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14,110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9,149</w:t>
            </w:r>
          </w:p>
        </w:tc>
      </w:tr>
      <w:tr>
        <w:trPr>
          <w:trHeight w:val="15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4,371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9,418</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3,610</w:t>
            </w:r>
          </w:p>
        </w:tc>
      </w:tr>
      <w:tr>
        <w:trPr>
          <w:trHeight w:val="142"/>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22,751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13,124</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49,148</w:t>
            </w:r>
          </w:p>
        </w:tc>
        <w:tc>
          <w:tcPr>
            <w:tcW w:w="14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24,421</w:t>
            </w:r>
          </w:p>
        </w:tc>
      </w:tr>
      <w:tr>
        <w:trPr>
          <w:trHeight w:val="142"/>
        </w:trPr>
        <w:tc>
          <w:tcPr>
            <w:tcW w:w="4280" w:type="dxa"/>
            <w:vAlign w:val="bottom"/>
          </w:tcPr>
          <w:p>
            <w:pPr>
              <w:spacing w:after="0"/>
              <w:rPr>
                <w:sz w:val="20"/>
                <w:szCs w:val="20"/>
                <w:color w:val="auto"/>
              </w:rPr>
            </w:pPr>
            <w:r>
              <w:rPr>
                <w:rFonts w:ascii="Arial" w:cs="Arial" w:eastAsia="Arial" w:hAnsi="Arial"/>
                <w:sz w:val="12"/>
                <w:szCs w:val="12"/>
                <w:color w:val="auto"/>
              </w:rPr>
              <w:t>Weighted average LTV</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91.3 %</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90.7 %</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91.1 %</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91.0 %</w:t>
            </w:r>
          </w:p>
        </w:tc>
      </w:tr>
      <w:tr>
        <w:trPr>
          <w:trHeight w:val="20"/>
        </w:trPr>
        <w:tc>
          <w:tcPr>
            <w:tcW w:w="4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r>
      <w:tr>
        <w:trPr>
          <w:trHeight w:val="287"/>
        </w:trPr>
        <w:tc>
          <w:tcPr>
            <w:tcW w:w="4280" w:type="dxa"/>
            <w:vAlign w:val="bottom"/>
          </w:tcPr>
          <w:p>
            <w:pPr>
              <w:spacing w:after="0"/>
              <w:rPr>
                <w:sz w:val="20"/>
                <w:szCs w:val="20"/>
                <w:color w:val="auto"/>
              </w:rPr>
            </w:pPr>
            <w:r>
              <w:rPr>
                <w:rFonts w:ascii="Arial" w:cs="Arial" w:eastAsia="Arial" w:hAnsi="Arial"/>
                <w:sz w:val="10"/>
                <w:szCs w:val="10"/>
                <w:b w:val="1"/>
                <w:bCs w:val="1"/>
                <w:color w:val="auto"/>
              </w:rPr>
              <w:t>Primary NIW by purchase/refinance mix</w:t>
            </w: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945"/>
              <w:spacing w:after="0"/>
              <w:rPr>
                <w:sz w:val="20"/>
                <w:szCs w:val="20"/>
                <w:color w:val="auto"/>
              </w:rPr>
            </w:pPr>
            <w:r>
              <w:rPr>
                <w:rFonts w:ascii="Arial" w:cs="Arial" w:eastAsia="Arial" w:hAnsi="Arial"/>
                <w:sz w:val="10"/>
                <w:szCs w:val="10"/>
                <w:b w:val="1"/>
                <w:bCs w:val="1"/>
                <w:color w:val="auto"/>
                <w:w w:val="95"/>
              </w:rPr>
              <w:t>For the three months ended</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982"/>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325"/>
              <w:spacing w:after="0"/>
              <w:rPr>
                <w:sz w:val="20"/>
                <w:szCs w:val="20"/>
                <w:color w:val="auto"/>
              </w:rPr>
            </w:pPr>
            <w:r>
              <w:rPr>
                <w:rFonts w:ascii="Arial" w:cs="Arial" w:eastAsia="Arial" w:hAnsi="Arial"/>
                <w:sz w:val="10"/>
                <w:szCs w:val="10"/>
                <w:b w:val="1"/>
                <w:bCs w:val="1"/>
                <w:color w:val="auto"/>
              </w:rPr>
              <w:t>June 30, 2020</w:t>
            </w: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June 30, 2021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w w:val="92"/>
              </w:rPr>
              <w:t>June 30, 2020</w:t>
            </w:r>
          </w:p>
        </w:tc>
      </w:tr>
      <w:tr>
        <w:trPr>
          <w:trHeight w:val="114"/>
        </w:trPr>
        <w:tc>
          <w:tcPr>
            <w:tcW w:w="4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5"/>
          </w:tcPr>
          <w:p>
            <w:pPr>
              <w:ind w:left="840"/>
              <w:spacing w:after="0"/>
              <w:rPr>
                <w:sz w:val="20"/>
                <w:szCs w:val="20"/>
                <w:color w:val="auto"/>
              </w:rPr>
            </w:pPr>
            <w:r>
              <w:rPr>
                <w:rFonts w:ascii="Arial" w:cs="Arial" w:eastAsia="Arial" w:hAnsi="Arial"/>
                <w:sz w:val="10"/>
                <w:szCs w:val="10"/>
                <w:i w:val="1"/>
                <w:iCs w:val="1"/>
                <w:color w:val="auto"/>
              </w:rPr>
              <w:t>(In Millions)</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55"/>
        </w:trPr>
        <w:tc>
          <w:tcPr>
            <w:tcW w:w="42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Purchase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86"/>
              </w:rPr>
              <w:t>7,776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36,820</w:t>
            </w:r>
          </w:p>
        </w:tc>
        <w:tc>
          <w:tcPr>
            <w:tcW w:w="48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15,767</w:t>
            </w:r>
          </w:p>
        </w:tc>
      </w:tr>
      <w:tr>
        <w:trPr>
          <w:trHeight w:val="15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Refinance</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3,840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w w:val="86"/>
              </w:rPr>
              <w:t>5,348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12,328</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8,654</w:t>
            </w:r>
          </w:p>
        </w:tc>
      </w:tr>
      <w:tr>
        <w:trPr>
          <w:trHeight w:val="15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22,751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13,124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49,148</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4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24,421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1" w:name="page42"/>
    <w:bookmarkEnd w:id="41"/>
    <w:p>
      <w:pPr>
        <w:ind w:left="420"/>
        <w:spacing w:after="0"/>
        <w:rPr>
          <w:sz w:val="20"/>
          <w:szCs w:val="20"/>
          <w:color w:val="auto"/>
        </w:rPr>
      </w:pPr>
      <w:r>
        <w:rPr>
          <w:rFonts w:ascii="Arial" w:cs="Arial" w:eastAsia="Arial" w:hAnsi="Arial"/>
          <w:sz w:val="12"/>
          <w:szCs w:val="12"/>
          <w:color w:val="auto"/>
        </w:rPr>
        <w:t>The tables below present our total primary IIF and RIF by FICO and LTV, and total primary RIF by loan type as of the dates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IIF by FICO</w:t>
            </w:r>
          </w:p>
        </w:tc>
        <w:tc>
          <w:tcPr>
            <w:tcW w:w="4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ind w:left="880"/>
              <w:spacing w:after="0"/>
              <w:rPr>
                <w:sz w:val="20"/>
                <w:szCs w:val="20"/>
                <w:color w:val="auto"/>
              </w:rPr>
            </w:pPr>
            <w:r>
              <w:rPr>
                <w:rFonts w:ascii="Arial" w:cs="Arial" w:eastAsia="Arial" w:hAnsi="Arial"/>
                <w:sz w:val="10"/>
                <w:szCs w:val="10"/>
                <w:b w:val="1"/>
                <w:bCs w:val="1"/>
                <w:color w:val="auto"/>
              </w:rPr>
              <w:t>June 30, 2021</w:t>
            </w: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rPr>
              <w:t>June 30, 2020</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6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70,583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48,898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740-759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23,175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15,764</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18,857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13,882</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700-719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12,230</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10,228</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6,657</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3,826</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3,476</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r>
      <w:tr>
        <w:trPr>
          <w:trHeight w:val="149"/>
        </w:trPr>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136,598</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98,905</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r>
      <w:tr>
        <w:trPr>
          <w:trHeight w:val="20"/>
        </w:trPr>
        <w:tc>
          <w:tcPr>
            <w:tcW w:w="48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2"/>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RIF by FICO</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ind w:left="880"/>
              <w:spacing w:after="0"/>
              <w:rPr>
                <w:sz w:val="20"/>
                <w:szCs w:val="20"/>
                <w:color w:val="auto"/>
              </w:rPr>
            </w:pPr>
            <w:r>
              <w:rPr>
                <w:rFonts w:ascii="Arial" w:cs="Arial" w:eastAsia="Arial" w:hAnsi="Arial"/>
                <w:sz w:val="10"/>
                <w:szCs w:val="10"/>
                <w:b w:val="1"/>
                <w:bCs w:val="1"/>
                <w:color w:val="auto"/>
              </w:rPr>
              <w:t>June 30, 2021</w:t>
            </w: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rPr>
              <w:t>June 30, 2020</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6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&gt;= 760</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17,531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740-759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5,873</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4,031</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720-739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4,798</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700-719</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3,161</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2,625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680-699</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1,706</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&lt;=679</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858</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r>
      <w:tr>
        <w:trPr>
          <w:trHeight w:val="158"/>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34,366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25,238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293"/>
        </w:trPr>
        <w:tc>
          <w:tcPr>
            <w:tcW w:w="4860" w:type="dxa"/>
            <w:vAlign w:val="bottom"/>
            <w:tcBorders>
              <w:top w:val="single" w:sz="8" w:color="CCEEFF"/>
            </w:tcBorders>
          </w:tcPr>
          <w:p>
            <w:pPr>
              <w:spacing w:after="0"/>
              <w:rPr>
                <w:sz w:val="20"/>
                <w:szCs w:val="20"/>
                <w:color w:val="auto"/>
              </w:rPr>
            </w:pPr>
            <w:r>
              <w:rPr>
                <w:rFonts w:ascii="Arial" w:cs="Arial" w:eastAsia="Arial" w:hAnsi="Arial"/>
                <w:sz w:val="10"/>
                <w:szCs w:val="10"/>
                <w:b w:val="1"/>
                <w:bCs w:val="1"/>
                <w:color w:val="auto"/>
              </w:rPr>
              <w:t>Primary IIF by LTV</w:t>
            </w:r>
          </w:p>
        </w:tc>
        <w:tc>
          <w:tcPr>
            <w:tcW w:w="4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ind w:left="880"/>
              <w:spacing w:after="0"/>
              <w:rPr>
                <w:sz w:val="20"/>
                <w:szCs w:val="20"/>
                <w:color w:val="auto"/>
              </w:rPr>
            </w:pPr>
            <w:r>
              <w:rPr>
                <w:rFonts w:ascii="Arial" w:cs="Arial" w:eastAsia="Arial" w:hAnsi="Arial"/>
                <w:sz w:val="10"/>
                <w:szCs w:val="10"/>
                <w:b w:val="1"/>
                <w:bCs w:val="1"/>
                <w:color w:val="auto"/>
              </w:rPr>
              <w:t>June 30, 2021</w:t>
            </w: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rPr>
              <w:t>June 30, 2020</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6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60,358</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45,862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43,064</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32,603</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21,150</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15</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11,987</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r>
      <w:tr>
        <w:trPr>
          <w:trHeight w:val="158"/>
        </w:trPr>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136,598</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98,905</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284"/>
        </w:trPr>
        <w:tc>
          <w:tcPr>
            <w:tcW w:w="4860" w:type="dxa"/>
            <w:vAlign w:val="bottom"/>
          </w:tcPr>
          <w:p>
            <w:pPr>
              <w:spacing w:after="0"/>
              <w:rPr>
                <w:sz w:val="20"/>
                <w:szCs w:val="20"/>
                <w:color w:val="auto"/>
              </w:rPr>
            </w:pPr>
            <w:r>
              <w:rPr>
                <w:rFonts w:ascii="Arial" w:cs="Arial" w:eastAsia="Arial" w:hAnsi="Arial"/>
                <w:sz w:val="10"/>
                <w:szCs w:val="10"/>
                <w:b w:val="1"/>
                <w:bCs w:val="1"/>
                <w:color w:val="auto"/>
              </w:rPr>
              <w:t>Primary RIF by LTV</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0"/>
                <w:szCs w:val="10"/>
                <w:b w:val="1"/>
                <w:bCs w:val="1"/>
                <w:color w:val="auto"/>
                <w:w w:val="79"/>
              </w:rPr>
              <w:t>As of</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8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ind w:left="880"/>
              <w:spacing w:after="0"/>
              <w:rPr>
                <w:sz w:val="20"/>
                <w:szCs w:val="20"/>
                <w:color w:val="auto"/>
              </w:rPr>
            </w:pPr>
            <w:r>
              <w:rPr>
                <w:rFonts w:ascii="Arial" w:cs="Arial" w:eastAsia="Arial" w:hAnsi="Arial"/>
                <w:sz w:val="10"/>
                <w:szCs w:val="10"/>
                <w:b w:val="1"/>
                <w:bCs w:val="1"/>
                <w:color w:val="auto"/>
              </w:rPr>
              <w:t>June 30, 2021</w:t>
            </w: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rPr>
              <w:t>June 30, 2020</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4"/>
        </w:trPr>
        <w:tc>
          <w:tcPr>
            <w:tcW w:w="4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60" w:type="dxa"/>
            <w:vAlign w:val="bottom"/>
            <w:gridSpan w:val="3"/>
          </w:tcPr>
          <w:p>
            <w:pPr>
              <w:jc w:val="center"/>
              <w:ind w:left="43"/>
              <w:spacing w:after="0"/>
              <w:rPr>
                <w:sz w:val="20"/>
                <w:szCs w:val="20"/>
                <w:color w:val="auto"/>
              </w:rPr>
            </w:pPr>
            <w:r>
              <w:rPr>
                <w:rFonts w:ascii="Arial" w:cs="Arial" w:eastAsia="Arial" w:hAnsi="Arial"/>
                <w:sz w:val="10"/>
                <w:szCs w:val="10"/>
                <w:i w:val="1"/>
                <w:iCs w:val="1"/>
                <w:color w:val="auto"/>
                <w:w w:val="90"/>
              </w:rPr>
              <w:t>($ Values In Millions)</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95.01% and above</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2,387</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tcPr>
          <w:p>
            <w:pPr>
              <w:spacing w:after="0"/>
              <w:rPr>
                <w:sz w:val="13"/>
                <w:szCs w:val="13"/>
                <w:color w:val="auto"/>
              </w:rPr>
            </w:pPr>
          </w:p>
        </w:tc>
      </w:tr>
      <w:tr>
        <w:trPr>
          <w:trHeight w:val="153"/>
        </w:trPr>
        <w:tc>
          <w:tcPr>
            <w:tcW w:w="4860" w:type="dxa"/>
            <w:vAlign w:val="bottom"/>
          </w:tcPr>
          <w:p>
            <w:pPr>
              <w:ind w:left="140"/>
              <w:spacing w:after="0"/>
              <w:rPr>
                <w:sz w:val="20"/>
                <w:szCs w:val="20"/>
                <w:color w:val="auto"/>
              </w:rPr>
            </w:pPr>
            <w:r>
              <w:rPr>
                <w:rFonts w:ascii="Arial" w:cs="Arial" w:eastAsia="Arial" w:hAnsi="Arial"/>
                <w:sz w:val="12"/>
                <w:szCs w:val="12"/>
                <w:color w:val="auto"/>
              </w:rPr>
              <w:t>90.01% to 95.00%</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17,774</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ind w:right="103"/>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13,463</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3"/>
                <w:szCs w:val="13"/>
                <w:color w:val="auto"/>
              </w:rPr>
            </w:pPr>
          </w:p>
        </w:tc>
      </w:tr>
      <w:tr>
        <w:trPr>
          <w:trHeight w:val="153"/>
        </w:trPr>
        <w:tc>
          <w:tcPr>
            <w:tcW w:w="48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85.01% to 90.00%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10,555</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7,985</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r>
      <w:tr>
        <w:trPr>
          <w:trHeight w:val="15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85.00% and below</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2,485</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1,403</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8"/>
        </w:trPr>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34,366</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25,238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3"/>
                <w:szCs w:val="13"/>
                <w:color w:val="auto"/>
              </w:rPr>
            </w:pPr>
          </w:p>
        </w:tc>
      </w:tr>
      <w:tr>
        <w:trPr>
          <w:trHeight w:val="747"/>
        </w:trPr>
        <w:tc>
          <w:tcPr>
            <w:tcW w:w="486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562"/>
              <w:spacing w:after="0"/>
              <w:rPr>
                <w:sz w:val="20"/>
                <w:szCs w:val="20"/>
                <w:color w:val="auto"/>
              </w:rPr>
            </w:pPr>
            <w:r>
              <w:rPr>
                <w:rFonts w:ascii="Arial" w:cs="Arial" w:eastAsia="Arial" w:hAnsi="Arial"/>
                <w:sz w:val="12"/>
                <w:szCs w:val="12"/>
                <w:color w:val="auto"/>
              </w:rPr>
              <w:t>42</w:t>
            </w: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2"/>
        </w:trPr>
        <w:tc>
          <w:tcPr>
            <w:tcW w:w="48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2" w:name="page43"/>
    <w:bookmarkEnd w:id="42"/>
    <w:tbl>
      <w:tblPr>
        <w:tblLayout w:type="fixed"/>
        <w:tblInd w:w="8" w:type="dxa"/>
        <w:tblCellMar>
          <w:top w:w="0" w:type="dxa"/>
          <w:left w:w="0" w:type="dxa"/>
          <w:bottom w:w="0" w:type="dxa"/>
          <w:right w:w="0" w:type="dxa"/>
        </w:tblCellMar>
      </w:tblPr>
      <w:tr>
        <w:trPr>
          <w:trHeight w:val="127"/>
        </w:trPr>
        <w:tc>
          <w:tcPr>
            <w:tcW w:w="8920" w:type="dxa"/>
            <w:vAlign w:val="bottom"/>
            <w:gridSpan w:val="2"/>
          </w:tcPr>
          <w:p>
            <w:pPr>
              <w:spacing w:after="0"/>
              <w:rPr>
                <w:sz w:val="20"/>
                <w:szCs w:val="20"/>
                <w:color w:val="auto"/>
              </w:rPr>
            </w:pPr>
            <w:r>
              <w:rPr>
                <w:rFonts w:ascii="Arial" w:cs="Arial" w:eastAsia="Arial" w:hAnsi="Arial"/>
                <w:sz w:val="10"/>
                <w:szCs w:val="10"/>
                <w:b w:val="1"/>
                <w:bCs w:val="1"/>
                <w:color w:val="auto"/>
              </w:rPr>
              <w:t>Primary RIF by Loan Type</w:t>
            </w:r>
          </w:p>
        </w:tc>
        <w:tc>
          <w:tcPr>
            <w:tcW w:w="920" w:type="dxa"/>
            <w:vAlign w:val="bottom"/>
            <w:gridSpan w:val="3"/>
          </w:tcPr>
          <w:p>
            <w:pPr>
              <w:ind w:left="420"/>
              <w:spacing w:after="0"/>
              <w:rPr>
                <w:sz w:val="20"/>
                <w:szCs w:val="20"/>
                <w:color w:val="auto"/>
              </w:rPr>
            </w:pPr>
            <w:r>
              <w:rPr>
                <w:rFonts w:ascii="Arial" w:cs="Arial" w:eastAsia="Arial" w:hAnsi="Arial"/>
                <w:sz w:val="10"/>
                <w:szCs w:val="10"/>
                <w:b w:val="1"/>
                <w:bCs w:val="1"/>
                <w:color w:val="auto"/>
              </w:rPr>
              <w:t>As of</w:t>
            </w:r>
          </w:p>
        </w:tc>
        <w:tc>
          <w:tcPr>
            <w:tcW w:w="1460" w:type="dxa"/>
            <w:vAlign w:val="bottom"/>
          </w:tcPr>
          <w:p>
            <w:pPr>
              <w:spacing w:after="0"/>
              <w:rPr>
                <w:sz w:val="11"/>
                <w:szCs w:val="11"/>
                <w:color w:val="auto"/>
              </w:rPr>
            </w:pPr>
          </w:p>
        </w:tc>
      </w:tr>
      <w:tr>
        <w:trPr>
          <w:trHeight w:val="118"/>
        </w:trPr>
        <w:tc>
          <w:tcPr>
            <w:tcW w:w="7580" w:type="dxa"/>
            <w:vAlign w:val="bottom"/>
          </w:tcPr>
          <w:p>
            <w:pPr>
              <w:spacing w:after="0"/>
              <w:rPr>
                <w:sz w:val="10"/>
                <w:szCs w:val="10"/>
                <w:color w:val="auto"/>
              </w:rPr>
            </w:pPr>
          </w:p>
        </w:tc>
        <w:tc>
          <w:tcPr>
            <w:tcW w:w="13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0"/>
                <w:szCs w:val="10"/>
                <w:b w:val="1"/>
                <w:bCs w:val="1"/>
                <w:color w:val="auto"/>
              </w:rPr>
              <w:t>June 30, 2021</w:t>
            </w:r>
          </w:p>
        </w:tc>
        <w:tc>
          <w:tcPr>
            <w:tcW w:w="4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4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June 30, 2020</w:t>
            </w:r>
          </w:p>
        </w:tc>
      </w:tr>
      <w:tr>
        <w:trPr>
          <w:trHeight w:val="161"/>
        </w:trPr>
        <w:tc>
          <w:tcPr>
            <w:tcW w:w="7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3"/>
        </w:trPr>
        <w:tc>
          <w:tcPr>
            <w:tcW w:w="89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Fixed</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98 %</w:t>
            </w:r>
          </w:p>
        </w:tc>
      </w:tr>
      <w:tr>
        <w:trPr>
          <w:trHeight w:val="153"/>
        </w:trPr>
        <w:tc>
          <w:tcPr>
            <w:tcW w:w="8920" w:type="dxa"/>
            <w:vAlign w:val="bottom"/>
            <w:gridSpan w:val="2"/>
          </w:tcPr>
          <w:p>
            <w:pPr>
              <w:ind w:left="80"/>
              <w:spacing w:after="0"/>
              <w:rPr>
                <w:sz w:val="20"/>
                <w:szCs w:val="20"/>
                <w:color w:val="auto"/>
              </w:rPr>
            </w:pPr>
            <w:r>
              <w:rPr>
                <w:rFonts w:ascii="Arial" w:cs="Arial" w:eastAsia="Arial" w:hAnsi="Arial"/>
                <w:sz w:val="12"/>
                <w:szCs w:val="12"/>
                <w:color w:val="auto"/>
              </w:rPr>
              <w:t>Adjustable rate mortgages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89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Less than five years</w:t>
            </w:r>
          </w:p>
        </w:tc>
        <w:tc>
          <w:tcPr>
            <w:tcW w:w="92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r>
      <w:tr>
        <w:trPr>
          <w:trHeight w:val="15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Five years and longer</w:t>
            </w:r>
          </w:p>
        </w:tc>
        <w:tc>
          <w:tcPr>
            <w:tcW w:w="1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w:t>
            </w:r>
          </w:p>
        </w:tc>
      </w:tr>
      <w:tr>
        <w:trPr>
          <w:trHeight w:val="15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3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bl>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table below presents selected primary portfolio statistics, by book year, as of June 30, 2021.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ind w:left="740"/>
              <w:spacing w:after="0"/>
              <w:rPr>
                <w:sz w:val="20"/>
                <w:szCs w:val="20"/>
                <w:color w:val="auto"/>
              </w:rPr>
            </w:pPr>
            <w:r>
              <w:rPr>
                <w:rFonts w:ascii="Arial" w:cs="Arial" w:eastAsia="Arial" w:hAnsi="Arial"/>
                <w:sz w:val="10"/>
                <w:szCs w:val="10"/>
                <w:b w:val="1"/>
                <w:bCs w:val="1"/>
                <w:color w:val="auto"/>
              </w:rPr>
              <w:t>As of June 30, 2021</w:t>
            </w: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vMerge w:val="restart"/>
          </w:tcPr>
          <w:p>
            <w:pPr>
              <w:ind w:left="440"/>
              <w:spacing w:after="0"/>
              <w:rPr>
                <w:sz w:val="20"/>
                <w:szCs w:val="20"/>
                <w:color w:val="auto"/>
              </w:rPr>
            </w:pPr>
            <w:r>
              <w:rPr>
                <w:rFonts w:ascii="Arial" w:cs="Arial" w:eastAsia="Arial" w:hAnsi="Arial"/>
                <w:sz w:val="10"/>
                <w:szCs w:val="10"/>
                <w:b w:val="1"/>
                <w:bCs w:val="1"/>
                <w:color w:val="auto"/>
                <w:w w:val="95"/>
              </w:rPr>
              <w:t>Book</w:t>
            </w:r>
          </w:p>
        </w:tc>
        <w:tc>
          <w:tcPr>
            <w:tcW w:w="500" w:type="dxa"/>
            <w:vAlign w:val="bottom"/>
          </w:tcPr>
          <w:p>
            <w:pPr>
              <w:spacing w:after="0"/>
              <w:rPr>
                <w:sz w:val="7"/>
                <w:szCs w:val="7"/>
                <w:color w:val="auto"/>
              </w:rPr>
            </w:pPr>
          </w:p>
        </w:tc>
        <w:tc>
          <w:tcPr>
            <w:tcW w:w="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Original Insurance</w:t>
            </w:r>
          </w:p>
        </w:tc>
        <w:tc>
          <w:tcPr>
            <w:tcW w:w="13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Remaining Insurance</w:t>
            </w:r>
          </w:p>
        </w:tc>
        <w:tc>
          <w:tcPr>
            <w:tcW w:w="124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w w:val="95"/>
              </w:rPr>
              <w:t>% Remaining of</w:t>
            </w:r>
          </w:p>
        </w:tc>
        <w:tc>
          <w:tcPr>
            <w:tcW w:w="94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Policies</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Number</w:t>
            </w:r>
          </w:p>
        </w:tc>
        <w:tc>
          <w:tcPr>
            <w:tcW w:w="860" w:type="dxa"/>
            <w:vAlign w:val="bottom"/>
            <w:gridSpan w:val="2"/>
          </w:tcPr>
          <w:p>
            <w:pPr>
              <w:ind w:left="440"/>
              <w:spacing w:after="0" w:line="83" w:lineRule="exact"/>
              <w:rPr>
                <w:sz w:val="20"/>
                <w:szCs w:val="20"/>
                <w:color w:val="auto"/>
              </w:rPr>
            </w:pPr>
            <w:r>
              <w:rPr>
                <w:rFonts w:ascii="Arial" w:cs="Arial" w:eastAsia="Arial" w:hAnsi="Arial"/>
                <w:sz w:val="8"/>
                <w:szCs w:val="8"/>
                <w:b w:val="1"/>
                <w:bCs w:val="1"/>
                <w:color w:val="auto"/>
              </w:rPr>
              <w:t>Number</w:t>
            </w: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 of</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Incurred Loss</w:t>
            </w:r>
          </w:p>
        </w:tc>
        <w:tc>
          <w:tcPr>
            <w:tcW w:w="9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Cumulative</w:t>
            </w:r>
          </w:p>
        </w:tc>
        <w:tc>
          <w:tcPr>
            <w:tcW w:w="36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Curr</w:t>
            </w: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6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6"/>
              </w:rPr>
              <w:t>of Loans in</w:t>
            </w:r>
          </w:p>
        </w:tc>
        <w:tc>
          <w:tcPr>
            <w:tcW w:w="6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20"/>
                <w:szCs w:val="20"/>
                <w:color w:val="auto"/>
              </w:rPr>
            </w:pPr>
            <w:r>
              <w:rPr>
                <w:rFonts w:ascii="Arial" w:cs="Arial" w:eastAsia="Arial" w:hAnsi="Arial"/>
                <w:sz w:val="10"/>
                <w:szCs w:val="10"/>
                <w:b w:val="1"/>
                <w:bCs w:val="1"/>
                <w:color w:val="auto"/>
              </w:rPr>
              <w:t>Year</w:t>
            </w:r>
          </w:p>
        </w:tc>
        <w:tc>
          <w:tcPr>
            <w:tcW w:w="5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Written</w:t>
            </w:r>
          </w:p>
        </w:tc>
        <w:tc>
          <w:tcPr>
            <w:tcW w:w="5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w w:val="82"/>
              </w:rPr>
              <w:t>in Force</w:t>
            </w: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w w:val="88"/>
              </w:rPr>
              <w:t>Original Insurance</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Ever in Force</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87"/>
              </w:rPr>
              <w:t>of Policies in Force</w:t>
            </w:r>
          </w:p>
        </w:tc>
        <w:tc>
          <w:tcPr>
            <w:tcW w:w="8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0"/>
                <w:szCs w:val="10"/>
                <w:b w:val="1"/>
                <w:bCs w:val="1"/>
                <w:color w:val="auto"/>
                <w:w w:val="94"/>
              </w:rPr>
              <w:t>Default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98"/>
              </w:rPr>
              <w:t>Claims Paid</w:t>
            </w:r>
          </w:p>
        </w:tc>
        <w:tc>
          <w:tcPr>
            <w:tcW w:w="1440" w:type="dxa"/>
            <w:vAlign w:val="bottom"/>
            <w:tcBorders>
              <w:bottom w:val="single" w:sz="8" w:color="auto"/>
            </w:tcBorders>
            <w:gridSpan w:val="2"/>
          </w:tcPr>
          <w:p>
            <w:pPr>
              <w:jc w:val="right"/>
              <w:ind w:right="160"/>
              <w:spacing w:after="0" w:line="126" w:lineRule="exact"/>
              <w:rPr>
                <w:sz w:val="20"/>
                <w:szCs w:val="20"/>
                <w:color w:val="auto"/>
              </w:rPr>
            </w:pPr>
            <w:r>
              <w:rPr>
                <w:rFonts w:ascii="Arial" w:cs="Arial" w:eastAsia="Arial" w:hAnsi="Arial"/>
                <w:sz w:val="10"/>
                <w:szCs w:val="10"/>
                <w:b w:val="1"/>
                <w:bCs w:val="1"/>
                <w:color w:val="auto"/>
                <w:w w:val="93"/>
              </w:rPr>
              <w:t xml:space="preserve">Ratio (Inception to Date) </w:t>
            </w:r>
            <w:r>
              <w:rPr>
                <w:rFonts w:ascii="Arial" w:cs="Arial" w:eastAsia="Arial" w:hAnsi="Arial"/>
                <w:sz w:val="12"/>
                <w:szCs w:val="12"/>
                <w:b w:val="1"/>
                <w:bCs w:val="1"/>
                <w:color w:val="auto"/>
                <w:w w:val="93"/>
                <w:vertAlign w:val="superscript"/>
              </w:rPr>
              <w:t>(1)</w:t>
            </w:r>
          </w:p>
        </w:tc>
        <w:tc>
          <w:tcPr>
            <w:tcW w:w="940" w:type="dxa"/>
            <w:vAlign w:val="bottom"/>
            <w:tcBorders>
              <w:bottom w:val="single" w:sz="8" w:color="auto"/>
            </w:tcBorders>
          </w:tcPr>
          <w:p>
            <w:pPr>
              <w:jc w:val="right"/>
              <w:ind w:right="102"/>
              <w:spacing w:after="0" w:line="126" w:lineRule="exact"/>
              <w:rPr>
                <w:sz w:val="20"/>
                <w:szCs w:val="20"/>
                <w:color w:val="auto"/>
              </w:rPr>
            </w:pPr>
            <w:r>
              <w:rPr>
                <w:rFonts w:ascii="Arial" w:cs="Arial" w:eastAsia="Arial" w:hAnsi="Arial"/>
                <w:sz w:val="10"/>
                <w:szCs w:val="10"/>
                <w:b w:val="1"/>
                <w:bCs w:val="1"/>
                <w:color w:val="auto"/>
              </w:rPr>
              <w:t xml:space="preserve">Default Rate </w:t>
            </w:r>
            <w:r>
              <w:rPr>
                <w:rFonts w:ascii="Arial" w:cs="Arial" w:eastAsia="Arial" w:hAnsi="Arial"/>
                <w:sz w:val="12"/>
                <w:szCs w:val="12"/>
                <w:b w:val="1"/>
                <w:bCs w:val="1"/>
                <w:color w:val="auto"/>
                <w:vertAlign w:val="superscript"/>
              </w:rPr>
              <w:t>(2)</w:t>
            </w: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0"/>
                <w:szCs w:val="10"/>
                <w:b w:val="1"/>
                <w:bCs w:val="1"/>
                <w:color w:val="auto"/>
              </w:rPr>
              <w:t xml:space="preserve">Rate </w:t>
            </w:r>
            <w:r>
              <w:rPr>
                <w:rFonts w:ascii="Arial" w:cs="Arial" w:eastAsia="Arial" w:hAnsi="Arial"/>
                <w:sz w:val="12"/>
                <w:szCs w:val="12"/>
                <w:b w:val="1"/>
                <w:bCs w:val="1"/>
                <w:color w:val="auto"/>
                <w:vertAlign w:val="superscript"/>
              </w:rPr>
              <w:t>(</w:t>
            </w: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4"/>
          </w:tcPr>
          <w:p>
            <w:pPr>
              <w:ind w:left="400"/>
              <w:spacing w:after="0" w:line="113" w:lineRule="exact"/>
              <w:rPr>
                <w:sz w:val="20"/>
                <w:szCs w:val="20"/>
                <w:color w:val="auto"/>
              </w:rPr>
            </w:pPr>
            <w:r>
              <w:rPr>
                <w:rFonts w:ascii="Arial" w:cs="Arial" w:eastAsia="Arial" w:hAnsi="Arial"/>
                <w:sz w:val="10"/>
                <w:szCs w:val="10"/>
                <w:i w:val="1"/>
                <w:iCs w:val="1"/>
                <w:color w:val="auto"/>
              </w:rPr>
              <w:t>($ Values in Millions)</w:t>
            </w: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655</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0.3</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0.5</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2014</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3,451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357</w:t>
            </w:r>
          </w:p>
        </w:tc>
        <w:tc>
          <w:tcPr>
            <w:tcW w:w="1040" w:type="dxa"/>
            <w:vAlign w:val="bottom"/>
          </w:tcPr>
          <w:p>
            <w:pPr>
              <w:ind w:left="500"/>
              <w:spacing w:after="0"/>
              <w:rPr>
                <w:sz w:val="20"/>
                <w:szCs w:val="20"/>
                <w:color w:val="auto"/>
              </w:rPr>
            </w:pPr>
            <w:r>
              <w:rPr>
                <w:rFonts w:ascii="Arial" w:cs="Arial" w:eastAsia="Arial" w:hAnsi="Arial"/>
                <w:sz w:val="12"/>
                <w:szCs w:val="12"/>
                <w:color w:val="auto"/>
              </w:rPr>
              <w:t>10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14,786</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2,159</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77</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4.2</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0.8</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2015</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12,422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2,186</w:t>
            </w:r>
          </w:p>
        </w:tc>
        <w:tc>
          <w:tcPr>
            <w:tcW w:w="10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52,548</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11,723</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3.2</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1.0</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2016</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21,187</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4,922</w:t>
            </w:r>
          </w:p>
        </w:tc>
        <w:tc>
          <w:tcPr>
            <w:tcW w:w="1040" w:type="dxa"/>
            <w:vAlign w:val="bottom"/>
          </w:tcPr>
          <w:p>
            <w:pPr>
              <w:ind w:left="500"/>
              <w:spacing w:after="0"/>
              <w:rPr>
                <w:sz w:val="20"/>
                <w:szCs w:val="20"/>
                <w:color w:val="auto"/>
              </w:rPr>
            </w:pPr>
            <w:r>
              <w:rPr>
                <w:rFonts w:ascii="Arial" w:cs="Arial" w:eastAsia="Arial" w:hAnsi="Arial"/>
                <w:sz w:val="12"/>
                <w:szCs w:val="12"/>
                <w:color w:val="auto"/>
              </w:rPr>
              <w:t>23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83,626</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23,999</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965</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2.9</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1.3</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2017</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21,582</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5,687</w:t>
            </w:r>
          </w:p>
        </w:tc>
        <w:tc>
          <w:tcPr>
            <w:tcW w:w="10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85,897</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28,150</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1,539</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4.5</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1.9</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2018</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27,295</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6,745</w:t>
            </w:r>
          </w:p>
        </w:tc>
        <w:tc>
          <w:tcPr>
            <w:tcW w:w="1040" w:type="dxa"/>
            <w:vAlign w:val="bottom"/>
          </w:tcPr>
          <w:p>
            <w:pPr>
              <w:ind w:left="500"/>
              <w:spacing w:after="0"/>
              <w:rPr>
                <w:sz w:val="20"/>
                <w:szCs w:val="20"/>
                <w:color w:val="auto"/>
              </w:rPr>
            </w:pPr>
            <w:r>
              <w:rPr>
                <w:rFonts w:ascii="Arial" w:cs="Arial" w:eastAsia="Arial" w:hAnsi="Arial"/>
                <w:sz w:val="12"/>
                <w:szCs w:val="12"/>
                <w:color w:val="auto"/>
              </w:rPr>
              <w:t>25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104,043</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32,452</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2,039</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8.5</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2.0</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2019</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45,141</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17,279</w:t>
            </w:r>
          </w:p>
        </w:tc>
        <w:tc>
          <w:tcPr>
            <w:tcW w:w="10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38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148,423</w:t>
            </w: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67,015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2,505</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13.5</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1.7</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3"/>
        </w:trPr>
        <w:tc>
          <w:tcPr>
            <w:tcW w:w="700" w:type="dxa"/>
            <w:vAlign w:val="bottom"/>
          </w:tcPr>
          <w:p>
            <w:pPr>
              <w:ind w:left="440"/>
              <w:spacing w:after="0"/>
              <w:rPr>
                <w:sz w:val="20"/>
                <w:szCs w:val="20"/>
                <w:color w:val="auto"/>
              </w:rPr>
            </w:pPr>
            <w:r>
              <w:rPr>
                <w:rFonts w:ascii="Arial" w:cs="Arial" w:eastAsia="Arial" w:hAnsi="Arial"/>
                <w:sz w:val="12"/>
                <w:szCs w:val="12"/>
                <w:color w:val="auto"/>
                <w:w w:val="89"/>
              </w:rPr>
              <w:t>2020</w:t>
            </w:r>
          </w:p>
        </w:tc>
        <w:tc>
          <w:tcPr>
            <w:tcW w:w="50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62,702</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51,100</w:t>
            </w:r>
          </w:p>
        </w:tc>
        <w:tc>
          <w:tcPr>
            <w:tcW w:w="1040" w:type="dxa"/>
            <w:vAlign w:val="bottom"/>
          </w:tcPr>
          <w:p>
            <w:pPr>
              <w:ind w:left="500"/>
              <w:spacing w:after="0"/>
              <w:rPr>
                <w:sz w:val="20"/>
                <w:szCs w:val="20"/>
                <w:color w:val="auto"/>
              </w:rPr>
            </w:pPr>
            <w:r>
              <w:rPr>
                <w:rFonts w:ascii="Arial" w:cs="Arial" w:eastAsia="Arial" w:hAnsi="Arial"/>
                <w:sz w:val="12"/>
                <w:szCs w:val="12"/>
                <w:color w:val="auto"/>
              </w:rPr>
              <w:t>81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186,174</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157,288</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1,171</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7.5</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02"/>
              <w:spacing w:after="0"/>
              <w:rPr>
                <w:sz w:val="20"/>
                <w:szCs w:val="20"/>
                <w:color w:val="auto"/>
              </w:rPr>
            </w:pPr>
            <w:r>
              <w:rPr>
                <w:rFonts w:ascii="Arial" w:cs="Arial" w:eastAsia="Arial" w:hAnsi="Arial"/>
                <w:sz w:val="12"/>
                <w:szCs w:val="12"/>
                <w:color w:val="auto"/>
              </w:rPr>
              <w:t>0.6</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tcPr>
          <w:p>
            <w:pPr>
              <w:jc w:val="right"/>
              <w:ind w:right="42"/>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3"/>
        </w:trPr>
        <w:tc>
          <w:tcPr>
            <w:tcW w:w="700" w:type="dxa"/>
            <w:vAlign w:val="bottom"/>
            <w:shd w:val="clear" w:color="auto" w:fill="CCEEFF"/>
          </w:tcPr>
          <w:p>
            <w:pPr>
              <w:ind w:left="440"/>
              <w:spacing w:after="0"/>
              <w:rPr>
                <w:sz w:val="20"/>
                <w:szCs w:val="20"/>
                <w:color w:val="auto"/>
              </w:rPr>
            </w:pPr>
            <w:r>
              <w:rPr>
                <w:rFonts w:ascii="Arial" w:cs="Arial" w:eastAsia="Arial" w:hAnsi="Arial"/>
                <w:sz w:val="12"/>
                <w:szCs w:val="12"/>
                <w:color w:val="auto"/>
                <w:w w:val="89"/>
              </w:rPr>
              <w:t>2021</w:t>
            </w:r>
          </w:p>
        </w:tc>
        <w:tc>
          <w:tcPr>
            <w:tcW w:w="5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49,148</w:t>
            </w:r>
          </w:p>
        </w:tc>
        <w:tc>
          <w:tcPr>
            <w:tcW w:w="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48,314</w:t>
            </w:r>
          </w:p>
        </w:tc>
        <w:tc>
          <w:tcPr>
            <w:tcW w:w="1040" w:type="dxa"/>
            <w:vAlign w:val="bottom"/>
            <w:shd w:val="clear" w:color="auto" w:fill="CCEEFF"/>
          </w:tcPr>
          <w:p>
            <w:pPr>
              <w:ind w:left="500"/>
              <w:spacing w:after="0"/>
              <w:rPr>
                <w:sz w:val="20"/>
                <w:szCs w:val="20"/>
                <w:color w:val="auto"/>
              </w:rPr>
            </w:pPr>
            <w:r>
              <w:rPr>
                <w:rFonts w:ascii="Arial" w:cs="Arial" w:eastAsia="Arial" w:hAnsi="Arial"/>
                <w:sz w:val="12"/>
                <w:szCs w:val="12"/>
                <w:color w:val="auto"/>
              </w:rPr>
              <w:t>98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150,923</w:t>
            </w:r>
          </w:p>
        </w:tc>
        <w:tc>
          <w:tcPr>
            <w:tcW w:w="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148,952</w:t>
            </w:r>
          </w:p>
        </w:tc>
        <w:tc>
          <w:tcPr>
            <w:tcW w:w="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0.5</w:t>
            </w: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02"/>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c>
          <w:tcPr>
            <w:tcW w:w="5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00" w:type="dxa"/>
            <w:vAlign w:val="bottom"/>
          </w:tcPr>
          <w:p>
            <w:pPr>
              <w:ind w:left="440"/>
              <w:spacing w:after="0"/>
              <w:rPr>
                <w:sz w:val="20"/>
                <w:szCs w:val="20"/>
                <w:color w:val="auto"/>
              </w:rPr>
            </w:pPr>
            <w:r>
              <w:rPr>
                <w:rFonts w:ascii="Arial" w:cs="Arial" w:eastAsia="Arial" w:hAnsi="Arial"/>
                <w:sz w:val="12"/>
                <w:szCs w:val="12"/>
                <w:color w:val="auto"/>
                <w:w w:val="89"/>
              </w:rPr>
              <w:t>Total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243,090</w:t>
            </w:r>
          </w:p>
        </w:tc>
        <w:tc>
          <w:tcPr>
            <w:tcW w:w="4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136,598</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827,075</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471,794</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8,764</w:t>
            </w: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128" w:hanging="128"/>
        <w:spacing w:after="0"/>
        <w:tabs>
          <w:tab w:leader="none" w:pos="128" w:val="left"/>
        </w:tabs>
        <w:numPr>
          <w:ilvl w:val="0"/>
          <w:numId w:val="19"/>
        </w:numPr>
        <w:rPr>
          <w:rFonts w:ascii="Arial" w:cs="Arial" w:eastAsia="Arial" w:hAnsi="Arial"/>
          <w:sz w:val="12"/>
          <w:szCs w:val="12"/>
          <w:color w:val="auto"/>
          <w:vertAlign w:val="superscript"/>
        </w:rPr>
      </w:pPr>
      <w:r>
        <w:rPr>
          <w:rFonts w:ascii="Arial" w:cs="Arial" w:eastAsia="Arial" w:hAnsi="Arial"/>
          <w:sz w:val="10"/>
          <w:szCs w:val="10"/>
          <w:color w:val="auto"/>
        </w:rPr>
        <w:t>Calculated as total claims incurred (paid and reserved) divided by cumulative premiums earned, net of reinsurance.</w:t>
      </w:r>
    </w:p>
    <w:p>
      <w:pPr>
        <w:ind w:left="128" w:hanging="128"/>
        <w:spacing w:after="0" w:line="187" w:lineRule="auto"/>
        <w:tabs>
          <w:tab w:leader="none" w:pos="128" w:val="left"/>
        </w:tabs>
        <w:numPr>
          <w:ilvl w:val="0"/>
          <w:numId w:val="19"/>
        </w:numPr>
        <w:rPr>
          <w:rFonts w:ascii="Arial" w:cs="Arial" w:eastAsia="Arial" w:hAnsi="Arial"/>
          <w:sz w:val="12"/>
          <w:szCs w:val="12"/>
          <w:color w:val="auto"/>
          <w:vertAlign w:val="superscript"/>
        </w:rPr>
      </w:pPr>
      <w:r>
        <w:rPr>
          <w:rFonts w:ascii="Arial" w:cs="Arial" w:eastAsia="Arial" w:hAnsi="Arial"/>
          <w:sz w:val="10"/>
          <w:szCs w:val="10"/>
          <w:color w:val="auto"/>
        </w:rPr>
        <w:t>Calculated as the sum of the number of claims paid ever to date and number of loans in default divided by policies ever in force.</w:t>
      </w:r>
    </w:p>
    <w:p>
      <w:pPr>
        <w:ind w:left="128" w:hanging="128"/>
        <w:spacing w:after="0" w:line="197" w:lineRule="auto"/>
        <w:tabs>
          <w:tab w:leader="none" w:pos="128" w:val="left"/>
        </w:tabs>
        <w:numPr>
          <w:ilvl w:val="0"/>
          <w:numId w:val="19"/>
        </w:numPr>
        <w:rPr>
          <w:rFonts w:ascii="Arial" w:cs="Arial" w:eastAsia="Arial" w:hAnsi="Arial"/>
          <w:sz w:val="12"/>
          <w:szCs w:val="12"/>
          <w:color w:val="auto"/>
          <w:vertAlign w:val="superscript"/>
        </w:rPr>
      </w:pPr>
      <w:r>
        <w:rPr>
          <w:rFonts w:ascii="Arial" w:cs="Arial" w:eastAsia="Arial" w:hAnsi="Arial"/>
          <w:sz w:val="10"/>
          <w:szCs w:val="10"/>
          <w:color w:val="auto"/>
        </w:rPr>
        <w:t>Calculated as the number of loans in default divided by number of policies in force.</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Geographic Dispersion</w:t>
      </w:r>
    </w:p>
    <w:p>
      <w:pPr>
        <w:spacing w:after="0" w:line="114" w:lineRule="exact"/>
        <w:rPr>
          <w:sz w:val="20"/>
          <w:szCs w:val="20"/>
          <w:color w:val="auto"/>
        </w:rPr>
      </w:pPr>
    </w:p>
    <w:p>
      <w:pPr>
        <w:ind w:left="8" w:right="60" w:firstLine="432"/>
        <w:spacing w:after="0" w:line="276" w:lineRule="auto"/>
        <w:rPr>
          <w:sz w:val="20"/>
          <w:szCs w:val="20"/>
          <w:color w:val="auto"/>
        </w:rPr>
      </w:pPr>
      <w:r>
        <w:rPr>
          <w:rFonts w:ascii="Arial" w:cs="Arial" w:eastAsia="Arial" w:hAnsi="Arial"/>
          <w:sz w:val="12"/>
          <w:szCs w:val="12"/>
          <w:color w:val="auto"/>
        </w:rPr>
        <w:t>The following table shows the distribution by state of our primary RIF as of the periods indicated. The distribution of our primary RIF as of June 30, 2021 is not necessarily representative of the geographic distribution we expect in the future.</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900" w:type="dxa"/>
            <w:vAlign w:val="bottom"/>
            <w:gridSpan w:val="2"/>
          </w:tcPr>
          <w:p>
            <w:pPr>
              <w:spacing w:after="0"/>
              <w:rPr>
                <w:sz w:val="20"/>
                <w:szCs w:val="20"/>
                <w:color w:val="auto"/>
              </w:rPr>
            </w:pPr>
            <w:r>
              <w:rPr>
                <w:rFonts w:ascii="Arial" w:cs="Arial" w:eastAsia="Arial" w:hAnsi="Arial"/>
                <w:sz w:val="10"/>
                <w:szCs w:val="10"/>
                <w:b w:val="1"/>
                <w:bCs w:val="1"/>
                <w:color w:val="auto"/>
              </w:rPr>
              <w:t>Top 10 primary RIF by state</w:t>
            </w:r>
          </w:p>
        </w:tc>
        <w:tc>
          <w:tcPr>
            <w:tcW w:w="940" w:type="dxa"/>
            <w:vAlign w:val="bottom"/>
            <w:gridSpan w:val="3"/>
          </w:tcPr>
          <w:p>
            <w:pPr>
              <w:ind w:left="440"/>
              <w:spacing w:after="0"/>
              <w:rPr>
                <w:sz w:val="20"/>
                <w:szCs w:val="20"/>
                <w:color w:val="auto"/>
              </w:rPr>
            </w:pPr>
            <w:r>
              <w:rPr>
                <w:rFonts w:ascii="Arial" w:cs="Arial" w:eastAsia="Arial" w:hAnsi="Arial"/>
                <w:sz w:val="10"/>
                <w:szCs w:val="10"/>
                <w:b w:val="1"/>
                <w:bCs w:val="1"/>
                <w:color w:val="auto"/>
              </w:rPr>
              <w:t>As of</w:t>
            </w:r>
          </w:p>
        </w:tc>
        <w:tc>
          <w:tcPr>
            <w:tcW w:w="1460" w:type="dxa"/>
            <w:vAlign w:val="bottom"/>
          </w:tcPr>
          <w:p>
            <w:pPr>
              <w:spacing w:after="0"/>
              <w:rPr>
                <w:sz w:val="11"/>
                <w:szCs w:val="11"/>
                <w:color w:val="auto"/>
              </w:rPr>
            </w:pPr>
          </w:p>
        </w:tc>
      </w:tr>
      <w:tr>
        <w:trPr>
          <w:trHeight w:val="118"/>
        </w:trPr>
        <w:tc>
          <w:tcPr>
            <w:tcW w:w="7580" w:type="dxa"/>
            <w:vAlign w:val="bottom"/>
            <w:tcBorders>
              <w:bottom w:val="single" w:sz="8" w:color="CCEEFF"/>
            </w:tcBorders>
          </w:tcPr>
          <w:p>
            <w:pPr>
              <w:spacing w:after="0"/>
              <w:rPr>
                <w:sz w:val="10"/>
                <w:szCs w:val="10"/>
                <w:color w:val="auto"/>
              </w:rPr>
            </w:pPr>
          </w:p>
        </w:tc>
        <w:tc>
          <w:tcPr>
            <w:tcW w:w="13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0"/>
                <w:szCs w:val="10"/>
                <w:b w:val="1"/>
                <w:bCs w:val="1"/>
                <w:color w:val="auto"/>
              </w:rPr>
              <w:t>June 30, 2021</w:t>
            </w:r>
          </w:p>
        </w:tc>
        <w:tc>
          <w:tcPr>
            <w:tcW w:w="5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4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June 30, 2020</w:t>
            </w:r>
          </w:p>
        </w:tc>
      </w:tr>
      <w:tr>
        <w:trPr>
          <w:trHeight w:val="143"/>
        </w:trPr>
        <w:tc>
          <w:tcPr>
            <w:tcW w:w="8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California</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10.3 %</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11.3 %</w:t>
            </w:r>
          </w:p>
        </w:tc>
      </w:tr>
      <w:tr>
        <w:trPr>
          <w:trHeight w:val="153"/>
        </w:trPr>
        <w:tc>
          <w:tcPr>
            <w:tcW w:w="8900" w:type="dxa"/>
            <w:vAlign w:val="bottom"/>
            <w:gridSpan w:val="2"/>
          </w:tcPr>
          <w:p>
            <w:pPr>
              <w:spacing w:after="0"/>
              <w:rPr>
                <w:sz w:val="20"/>
                <w:szCs w:val="20"/>
                <w:color w:val="auto"/>
              </w:rPr>
            </w:pPr>
            <w:r>
              <w:rPr>
                <w:rFonts w:ascii="Arial" w:cs="Arial" w:eastAsia="Arial" w:hAnsi="Arial"/>
                <w:sz w:val="12"/>
                <w:szCs w:val="12"/>
                <w:color w:val="auto"/>
              </w:rPr>
              <w:t>Texas</w:t>
            </w:r>
          </w:p>
        </w:tc>
        <w:tc>
          <w:tcPr>
            <w:tcW w:w="500" w:type="dxa"/>
            <w:vAlign w:val="bottom"/>
          </w:tcPr>
          <w:p>
            <w:pPr>
              <w:jc w:val="right"/>
              <w:ind w:right="81"/>
              <w:spacing w:after="0"/>
              <w:rPr>
                <w:sz w:val="20"/>
                <w:szCs w:val="20"/>
                <w:color w:val="auto"/>
              </w:rPr>
            </w:pPr>
            <w:r>
              <w:rPr>
                <w:rFonts w:ascii="Arial" w:cs="Arial" w:eastAsia="Arial" w:hAnsi="Arial"/>
                <w:sz w:val="12"/>
                <w:szCs w:val="12"/>
                <w:color w:val="auto"/>
              </w:rPr>
              <w:t>9.8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8.1</w:t>
            </w:r>
          </w:p>
        </w:tc>
      </w:tr>
      <w:tr>
        <w:trPr>
          <w:trHeight w:val="153"/>
        </w:trPr>
        <w:tc>
          <w:tcPr>
            <w:tcW w:w="8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Florida</w:t>
            </w:r>
          </w:p>
        </w:tc>
        <w:tc>
          <w:tcPr>
            <w:tcW w:w="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6.2</w:t>
            </w:r>
          </w:p>
        </w:tc>
      </w:tr>
      <w:tr>
        <w:trPr>
          <w:trHeight w:val="153"/>
        </w:trPr>
        <w:tc>
          <w:tcPr>
            <w:tcW w:w="8900" w:type="dxa"/>
            <w:vAlign w:val="bottom"/>
            <w:gridSpan w:val="2"/>
          </w:tcPr>
          <w:p>
            <w:pPr>
              <w:spacing w:after="0"/>
              <w:rPr>
                <w:sz w:val="20"/>
                <w:szCs w:val="20"/>
                <w:color w:val="auto"/>
              </w:rPr>
            </w:pPr>
            <w:r>
              <w:rPr>
                <w:rFonts w:ascii="Arial" w:cs="Arial" w:eastAsia="Arial" w:hAnsi="Arial"/>
                <w:sz w:val="12"/>
                <w:szCs w:val="12"/>
                <w:color w:val="auto"/>
              </w:rPr>
              <w:t>Virginia</w:t>
            </w:r>
          </w:p>
        </w:tc>
        <w:tc>
          <w:tcPr>
            <w:tcW w:w="500" w:type="dxa"/>
            <w:vAlign w:val="bottom"/>
          </w:tcPr>
          <w:p>
            <w:pPr>
              <w:jc w:val="right"/>
              <w:ind w:right="81"/>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5.4</w:t>
            </w:r>
          </w:p>
        </w:tc>
      </w:tr>
      <w:tr>
        <w:trPr>
          <w:trHeight w:val="153"/>
        </w:trPr>
        <w:tc>
          <w:tcPr>
            <w:tcW w:w="8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Colorado</w:t>
            </w:r>
          </w:p>
        </w:tc>
        <w:tc>
          <w:tcPr>
            <w:tcW w:w="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3.8</w:t>
            </w:r>
          </w:p>
        </w:tc>
      </w:tr>
      <w:tr>
        <w:trPr>
          <w:trHeight w:val="153"/>
        </w:trPr>
        <w:tc>
          <w:tcPr>
            <w:tcW w:w="8900" w:type="dxa"/>
            <w:vAlign w:val="bottom"/>
            <w:gridSpan w:val="2"/>
          </w:tcPr>
          <w:p>
            <w:pPr>
              <w:spacing w:after="0"/>
              <w:rPr>
                <w:sz w:val="20"/>
                <w:szCs w:val="20"/>
                <w:color w:val="auto"/>
              </w:rPr>
            </w:pPr>
            <w:r>
              <w:rPr>
                <w:rFonts w:ascii="Arial" w:cs="Arial" w:eastAsia="Arial" w:hAnsi="Arial"/>
                <w:sz w:val="12"/>
                <w:szCs w:val="12"/>
                <w:color w:val="auto"/>
              </w:rPr>
              <w:t>Maryland</w:t>
            </w:r>
          </w:p>
        </w:tc>
        <w:tc>
          <w:tcPr>
            <w:tcW w:w="500" w:type="dxa"/>
            <w:vAlign w:val="bottom"/>
          </w:tcPr>
          <w:p>
            <w:pPr>
              <w:jc w:val="right"/>
              <w:ind w:right="81"/>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3.5</w:t>
            </w:r>
          </w:p>
        </w:tc>
      </w:tr>
      <w:tr>
        <w:trPr>
          <w:trHeight w:val="153"/>
        </w:trPr>
        <w:tc>
          <w:tcPr>
            <w:tcW w:w="8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Illinois</w:t>
            </w:r>
          </w:p>
        </w:tc>
        <w:tc>
          <w:tcPr>
            <w:tcW w:w="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4.0</w:t>
            </w:r>
          </w:p>
        </w:tc>
      </w:tr>
      <w:tr>
        <w:trPr>
          <w:trHeight w:val="153"/>
        </w:trPr>
        <w:tc>
          <w:tcPr>
            <w:tcW w:w="8900" w:type="dxa"/>
            <w:vAlign w:val="bottom"/>
            <w:gridSpan w:val="2"/>
          </w:tcPr>
          <w:p>
            <w:pPr>
              <w:spacing w:after="0"/>
              <w:rPr>
                <w:sz w:val="20"/>
                <w:szCs w:val="20"/>
                <w:color w:val="auto"/>
              </w:rPr>
            </w:pPr>
            <w:r>
              <w:rPr>
                <w:rFonts w:ascii="Arial" w:cs="Arial" w:eastAsia="Arial" w:hAnsi="Arial"/>
                <w:sz w:val="12"/>
                <w:szCs w:val="12"/>
                <w:color w:val="auto"/>
              </w:rPr>
              <w:t>Washington</w:t>
            </w:r>
          </w:p>
        </w:tc>
        <w:tc>
          <w:tcPr>
            <w:tcW w:w="500" w:type="dxa"/>
            <w:vAlign w:val="bottom"/>
          </w:tcPr>
          <w:p>
            <w:pPr>
              <w:jc w:val="right"/>
              <w:ind w:right="81"/>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Pr>
          <w:p>
            <w:pPr>
              <w:jc w:val="right"/>
              <w:ind w:right="101"/>
              <w:spacing w:after="0"/>
              <w:rPr>
                <w:sz w:val="20"/>
                <w:szCs w:val="20"/>
                <w:color w:val="auto"/>
              </w:rPr>
            </w:pPr>
            <w:r>
              <w:rPr>
                <w:rFonts w:ascii="Arial" w:cs="Arial" w:eastAsia="Arial" w:hAnsi="Arial"/>
                <w:sz w:val="12"/>
                <w:szCs w:val="12"/>
                <w:color w:val="auto"/>
              </w:rPr>
              <w:t>3.4</w:t>
            </w:r>
          </w:p>
        </w:tc>
      </w:tr>
      <w:tr>
        <w:trPr>
          <w:trHeight w:val="153"/>
        </w:trPr>
        <w:tc>
          <w:tcPr>
            <w:tcW w:w="8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Georgia</w:t>
            </w:r>
          </w:p>
        </w:tc>
        <w:tc>
          <w:tcPr>
            <w:tcW w:w="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w:t>
            </w:r>
          </w:p>
        </w:tc>
      </w:tr>
      <w:tr>
        <w:trPr>
          <w:trHeight w:val="153"/>
        </w:trPr>
        <w:tc>
          <w:tcPr>
            <w:tcW w:w="7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Pennsylvania</w:t>
            </w:r>
          </w:p>
        </w:tc>
        <w:tc>
          <w:tcPr>
            <w:tcW w:w="1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3.6</w:t>
            </w:r>
          </w:p>
        </w:tc>
      </w:tr>
      <w:tr>
        <w:trPr>
          <w:trHeight w:val="15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55.5 %</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863"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2"/>
          <w:szCs w:val="12"/>
          <w:b w:val="1"/>
          <w:bCs w:val="1"/>
          <w:i w:val="1"/>
          <w:iCs w:val="1"/>
          <w:color w:val="auto"/>
        </w:rPr>
        <w:t>Insurance Claims and Claim 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spacing w:after="0" w:line="8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7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w:t>
      </w:r>
    </w:p>
    <w:p>
      <w:pPr>
        <w:spacing w:after="0" w:line="6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response to the COVID-19 outbreak,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June 30, 2020 and 2021, we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4" w:name="page45"/>
    <w:bookmarkEnd w:id="44"/>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gross reserve balances for primary insurance claims and claim expenses.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180" w:type="dxa"/>
            <w:vAlign w:val="bottom"/>
          </w:tcPr>
          <w:p>
            <w:pPr>
              <w:spacing w:after="0"/>
              <w:rPr>
                <w:sz w:val="11"/>
                <w:szCs w:val="11"/>
                <w:color w:val="auto"/>
              </w:rPr>
            </w:pPr>
          </w:p>
        </w:tc>
        <w:tc>
          <w:tcPr>
            <w:tcW w:w="27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0"/>
                <w:szCs w:val="10"/>
                <w:b w:val="1"/>
                <w:bCs w:val="1"/>
                <w:color w:val="auto"/>
              </w:rPr>
              <w:t>For the three months ended</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5180" w:type="dxa"/>
            <w:vAlign w:val="bottom"/>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June 30, 2021</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5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gridSpan w:val="3"/>
          </w:tcPr>
          <w:p>
            <w:pPr>
              <w:spacing w:after="0"/>
              <w:rPr>
                <w:sz w:val="20"/>
                <w:szCs w:val="20"/>
                <w:color w:val="auto"/>
              </w:rPr>
            </w:pPr>
            <w:r>
              <w:rPr>
                <w:rFonts w:ascii="Arial" w:cs="Arial" w:eastAsia="Arial" w:hAnsi="Arial"/>
                <w:sz w:val="10"/>
                <w:szCs w:val="10"/>
                <w:i w:val="1"/>
                <w:iCs w:val="1"/>
                <w:color w:val="auto"/>
                <w:w w:val="86"/>
              </w:rPr>
              <w:t>(In Thousands)</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5"/>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140" w:type="dxa"/>
            <w:vAlign w:val="bottom"/>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96,103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29,479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23,752</w:t>
            </w:r>
          </w:p>
        </w:tc>
      </w:tr>
      <w:tr>
        <w:trPr>
          <w:trHeight w:val="153"/>
        </w:trPr>
        <w:tc>
          <w:tcPr>
            <w:tcW w:w="51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 xml:space="preserve">Less reinsurance recoverables </w:t>
            </w:r>
            <w:r>
              <w:rPr>
                <w:rFonts w:ascii="Arial" w:cs="Arial" w:eastAsia="Arial" w:hAnsi="Arial"/>
                <w:sz w:val="15"/>
                <w:szCs w:val="15"/>
                <w:color w:val="auto"/>
                <w:vertAlign w:val="superscript"/>
              </w:rPr>
              <w:t>(1)</w:t>
            </w: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(18,686)</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(6,193)</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(17,608)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(4,939)</w:t>
            </w: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 net of reinsurance recoverables</w:t>
            </w:r>
          </w:p>
        </w:tc>
        <w:tc>
          <w:tcPr>
            <w:tcW w:w="1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77,417</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23,286</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72,959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18,813</w:t>
            </w:r>
          </w:p>
        </w:tc>
      </w:tr>
      <w:tr>
        <w:trPr>
          <w:trHeight w:val="160"/>
        </w:trPr>
        <w:tc>
          <w:tcPr>
            <w:tcW w:w="5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Add claims incurred:</w:t>
            </w:r>
          </w:p>
        </w:tc>
        <w:tc>
          <w:tcPr>
            <w:tcW w:w="1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5180" w:type="dxa"/>
            <w:vAlign w:val="bottom"/>
          </w:tcPr>
          <w:p>
            <w:pPr>
              <w:ind w:left="140"/>
              <w:spacing w:after="0"/>
              <w:rPr>
                <w:sz w:val="20"/>
                <w:szCs w:val="20"/>
                <w:color w:val="auto"/>
              </w:rPr>
            </w:pPr>
            <w:r>
              <w:rPr>
                <w:rFonts w:ascii="Arial" w:cs="Arial" w:eastAsia="Arial" w:hAnsi="Arial"/>
                <w:sz w:val="12"/>
                <w:szCs w:val="12"/>
                <w:color w:val="auto"/>
              </w:rPr>
              <w:t>Claims and claim expenses incurred:</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518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34,958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42,516</w:t>
            </w:r>
          </w:p>
        </w:tc>
      </w:tr>
      <w:tr>
        <w:trPr>
          <w:trHeight w:val="153"/>
        </w:trPr>
        <w:tc>
          <w:tcPr>
            <w:tcW w:w="518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(2,485)</w:t>
            </w:r>
          </w:p>
        </w:tc>
      </w:tr>
      <w:tr>
        <w:trPr>
          <w:trHeight w:val="142"/>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incurred</w:t>
            </w:r>
          </w:p>
        </w:tc>
        <w:tc>
          <w:tcPr>
            <w:tcW w:w="1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4,640</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34,334</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9,602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40,031</w:t>
            </w:r>
          </w:p>
        </w:tc>
      </w:tr>
      <w:tr>
        <w:trPr>
          <w:trHeight w:val="160"/>
        </w:trPr>
        <w:tc>
          <w:tcPr>
            <w:tcW w:w="5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Less claims paid:</w:t>
            </w:r>
          </w:p>
        </w:tc>
        <w:tc>
          <w:tcPr>
            <w:tcW w:w="1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5180" w:type="dxa"/>
            <w:vAlign w:val="bottom"/>
          </w:tcPr>
          <w:p>
            <w:pPr>
              <w:ind w:left="140"/>
              <w:spacing w:after="0"/>
              <w:rPr>
                <w:sz w:val="20"/>
                <w:szCs w:val="20"/>
                <w:color w:val="auto"/>
              </w:rPr>
            </w:pPr>
            <w:r>
              <w:rPr>
                <w:rFonts w:ascii="Arial" w:cs="Arial" w:eastAsia="Arial" w:hAnsi="Arial"/>
                <w:sz w:val="12"/>
                <w:szCs w:val="12"/>
                <w:color w:val="auto"/>
              </w:rPr>
              <w:t>Claims and claim expenses paid:</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518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 xml:space="preserve">Current year </w:t>
            </w:r>
            <w:r>
              <w:rPr>
                <w:rFonts w:ascii="Arial" w:cs="Arial" w:eastAsia="Arial" w:hAnsi="Arial"/>
                <w:sz w:val="15"/>
                <w:szCs w:val="15"/>
                <w:color w:val="auto"/>
                <w:vertAlign w:val="superscript"/>
              </w:rPr>
              <w:t>(2)</w:t>
            </w:r>
          </w:p>
        </w:tc>
        <w:tc>
          <w:tcPr>
            <w:tcW w:w="1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w:t>
            </w:r>
          </w:p>
        </w:tc>
      </w:tr>
      <w:tr>
        <w:trPr>
          <w:trHeight w:val="153"/>
        </w:trPr>
        <w:tc>
          <w:tcPr>
            <w:tcW w:w="5180" w:type="dxa"/>
            <w:vAlign w:val="bottom"/>
            <w:tcBorders>
              <w:bottom w:val="single" w:sz="8" w:color="CCEEFF"/>
            </w:tcBorders>
          </w:tcPr>
          <w:p>
            <w:pPr>
              <w:ind w:left="300"/>
              <w:spacing w:after="0" w:line="153" w:lineRule="exact"/>
              <w:rPr>
                <w:sz w:val="20"/>
                <w:szCs w:val="20"/>
                <w:color w:val="auto"/>
              </w:rPr>
            </w:pPr>
            <w:r>
              <w:rPr>
                <w:rFonts w:ascii="Arial" w:cs="Arial" w:eastAsia="Arial" w:hAnsi="Arial"/>
                <w:sz w:val="12"/>
                <w:szCs w:val="12"/>
                <w:color w:val="auto"/>
              </w:rPr>
              <w:t xml:space="preserve">Prior years </w:t>
            </w:r>
            <w:r>
              <w:rPr>
                <w:rFonts w:ascii="Arial" w:cs="Arial" w:eastAsia="Arial" w:hAnsi="Arial"/>
                <w:sz w:val="15"/>
                <w:szCs w:val="15"/>
                <w:color w:val="auto"/>
                <w:vertAlign w:val="superscript"/>
              </w:rPr>
              <w:t>(3)</w:t>
            </w: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1,985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3,209</w:t>
            </w:r>
          </w:p>
        </w:tc>
      </w:tr>
      <w:tr>
        <w:trPr>
          <w:trHeight w:val="142"/>
        </w:trPr>
        <w:tc>
          <w:tcPr>
            <w:tcW w:w="5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claims and claim expenses paid</w:t>
            </w:r>
          </w:p>
        </w:tc>
        <w:tc>
          <w:tcPr>
            <w:tcW w:w="1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2,024</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3,248</w:t>
            </w:r>
          </w:p>
        </w:tc>
      </w:tr>
      <w:tr>
        <w:trPr>
          <w:trHeight w:val="160"/>
        </w:trPr>
        <w:tc>
          <w:tcPr>
            <w:tcW w:w="51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2"/>
        </w:trPr>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Reserve at end of period, net of reinsurance recoverables</w:t>
            </w:r>
          </w:p>
        </w:tc>
        <w:tc>
          <w:tcPr>
            <w:tcW w:w="1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81,509</w:t>
            </w:r>
          </w:p>
        </w:tc>
        <w:tc>
          <w:tcPr>
            <w:tcW w:w="10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55,596</w:t>
            </w: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81,509</w:t>
            </w:r>
          </w:p>
        </w:tc>
        <w:tc>
          <w:tcPr>
            <w:tcW w:w="1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55,596</w:t>
            </w:r>
          </w:p>
        </w:tc>
      </w:tr>
      <w:tr>
        <w:trPr>
          <w:trHeight w:val="142"/>
        </w:trPr>
        <w:tc>
          <w:tcPr>
            <w:tcW w:w="5180" w:type="dxa"/>
            <w:vAlign w:val="bottom"/>
          </w:tcPr>
          <w:p>
            <w:pPr>
              <w:spacing w:after="0" w:line="142" w:lineRule="exact"/>
              <w:rPr>
                <w:sz w:val="20"/>
                <w:szCs w:val="20"/>
                <w:color w:val="auto"/>
              </w:rPr>
            </w:pPr>
            <w:r>
              <w:rPr>
                <w:rFonts w:ascii="Arial" w:cs="Arial" w:eastAsia="Arial" w:hAnsi="Arial"/>
                <w:sz w:val="12"/>
                <w:szCs w:val="12"/>
                <w:color w:val="auto"/>
              </w:rPr>
              <w:t xml:space="preserve">Add reinsurance recoverables </w:t>
            </w:r>
            <w:r>
              <w:rPr>
                <w:rFonts w:ascii="Arial" w:cs="Arial" w:eastAsia="Arial" w:hAnsi="Arial"/>
                <w:sz w:val="15"/>
                <w:szCs w:val="15"/>
                <w:color w:val="auto"/>
                <w:vertAlign w:val="superscript"/>
              </w:rPr>
              <w:t>(1)</w:t>
            </w:r>
          </w:p>
        </w:tc>
        <w:tc>
          <w:tcPr>
            <w:tcW w:w="1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14,307</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14,307</w:t>
            </w:r>
          </w:p>
        </w:tc>
      </w:tr>
      <w:tr>
        <w:trPr>
          <w:trHeight w:val="158"/>
        </w:trPr>
        <w:tc>
          <w:tcPr>
            <w:tcW w:w="5180" w:type="dxa"/>
            <w:vAlign w:val="bottom"/>
          </w:tcPr>
          <w:p>
            <w:pPr>
              <w:spacing w:after="0"/>
              <w:rPr>
                <w:sz w:val="20"/>
                <w:szCs w:val="20"/>
                <w:color w:val="auto"/>
              </w:rPr>
            </w:pPr>
            <w:r>
              <w:rPr>
                <w:rFonts w:ascii="Arial" w:cs="Arial" w:eastAsia="Arial" w:hAnsi="Arial"/>
                <w:sz w:val="12"/>
                <w:szCs w:val="12"/>
                <w:color w:val="auto"/>
              </w:rPr>
              <w:t>Ending balance</w:t>
            </w:r>
          </w:p>
        </w:tc>
        <w:tc>
          <w:tcPr>
            <w:tcW w:w="1140" w:type="dxa"/>
            <w:vAlign w:val="bottom"/>
            <w:tcBorders>
              <w:bottom w:val="single" w:sz="8" w:color="auto"/>
            </w:tcBorders>
            <w:shd w:val="clear" w:color="auto" w:fill="CCEEFF"/>
          </w:tcPr>
          <w:p>
            <w:pPr>
              <w:jc w:val="right"/>
              <w:ind w:right="1006"/>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101,235</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69,903</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101,235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69,903</w:t>
            </w:r>
          </w:p>
        </w:tc>
      </w:tr>
    </w:tbl>
    <w:p>
      <w:pPr>
        <w:spacing w:after="0" w:line="137" w:lineRule="exact"/>
        <w:rPr>
          <w:sz w:val="20"/>
          <w:szCs w:val="20"/>
          <w:color w:val="auto"/>
        </w:rPr>
      </w:pPr>
    </w:p>
    <w:p>
      <w:pPr>
        <w:ind w:left="128" w:hanging="128"/>
        <w:spacing w:after="0"/>
        <w:tabs>
          <w:tab w:leader="none" w:pos="128"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Related to ceded losses recoverable under the QSR Transactions. See Item 1, "</w:t>
      </w:r>
      <w:r>
        <w:rPr>
          <w:rFonts w:ascii="Arial" w:cs="Arial" w:eastAsia="Arial" w:hAnsi="Arial"/>
          <w:sz w:val="10"/>
          <w:szCs w:val="10"/>
          <w:i w:val="1"/>
          <w:iCs w:val="1"/>
          <w:color w:val="auto"/>
        </w:rPr>
        <w:t>Financial Statements - Notes to Condensed Consolidated Financial Statements - Note 5, Reinsurance</w:t>
      </w:r>
      <w:r>
        <w:rPr>
          <w:rFonts w:ascii="Arial" w:cs="Arial" w:eastAsia="Arial" w:hAnsi="Arial"/>
          <w:sz w:val="10"/>
          <w:szCs w:val="10"/>
          <w:color w:val="auto"/>
        </w:rPr>
        <w:t>" for additional information.</w:t>
      </w:r>
    </w:p>
    <w:p>
      <w:pPr>
        <w:ind w:left="208" w:hanging="208"/>
        <w:spacing w:after="0" w:line="211" w:lineRule="auto"/>
        <w:tabs>
          <w:tab w:leader="none" w:pos="145"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 and included $9.8 million attributed to net case reserves and $5.6 million attributed to net IBNR reserves for the six months ended June 30, 2021 and $34.7 million attributed to net case reserves and $7.1 million attributed to net IBNR reserves for the six months ended June 30, 2020.</w:t>
      </w:r>
    </w:p>
    <w:p>
      <w:pPr>
        <w:ind w:left="208" w:hanging="208"/>
        <w:spacing w:after="0" w:line="210" w:lineRule="auto"/>
        <w:tabs>
          <w:tab w:leader="none" w:pos="127" w:val="left"/>
        </w:tabs>
        <w:numPr>
          <w:ilvl w:val="0"/>
          <w:numId w:val="20"/>
        </w:numPr>
        <w:rPr>
          <w:rFonts w:ascii="Arial" w:cs="Arial" w:eastAsia="Arial" w:hAnsi="Arial"/>
          <w:sz w:val="12"/>
          <w:szCs w:val="12"/>
          <w:color w:val="auto"/>
          <w:vertAlign w:val="superscript"/>
        </w:rPr>
      </w:pPr>
      <w:r>
        <w:rPr>
          <w:rFonts w:ascii="Arial" w:cs="Arial" w:eastAsia="Arial" w:hAnsi="Arial"/>
          <w:sz w:val="10"/>
          <w:szCs w:val="10"/>
          <w:color w:val="auto"/>
        </w:rPr>
        <w:t>Related to insured loans with defaults occurring in prior years, which have been continuously in default before the start of the current year. Amounts are presented net of reinsurance and included $1.1 million attributed to net case reserves and $5.0 million attributed to net IBNR reserves for the six months ended June 30, 2021 and $1.1 million attributed to net case reserves and $1.3 million attributed to net IBNR reserves for the six months ended June 30, 2020.</w:t>
      </w:r>
    </w:p>
    <w:p>
      <w:pPr>
        <w:spacing w:after="0" w:line="260"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$81.8 million related to prior year defaults remained as of June 30, 2021.</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5" w:name="page46"/>
    <w:bookmarkEnd w:id="45"/>
    <w:p>
      <w:pPr>
        <w:ind w:left="428"/>
        <w:spacing w:after="0"/>
        <w:rPr>
          <w:sz w:val="20"/>
          <w:szCs w:val="20"/>
          <w:color w:val="auto"/>
        </w:rPr>
      </w:pPr>
      <w:r>
        <w:rPr>
          <w:rFonts w:ascii="Arial" w:cs="Arial" w:eastAsia="Arial" w:hAnsi="Arial"/>
          <w:sz w:val="12"/>
          <w:szCs w:val="12"/>
          <w:color w:val="auto"/>
        </w:rPr>
        <w:t>The following table provides a reconciliation of the beginning and ending count of loans in default.</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860" w:type="dxa"/>
            <w:vAlign w:val="bottom"/>
          </w:tcPr>
          <w:p>
            <w:pPr>
              <w:spacing w:after="0"/>
              <w:rPr>
                <w:sz w:val="11"/>
                <w:szCs w:val="11"/>
                <w:color w:val="auto"/>
              </w:rPr>
            </w:pPr>
          </w:p>
        </w:tc>
        <w:tc>
          <w:tcPr>
            <w:tcW w:w="2400" w:type="dxa"/>
            <w:vAlign w:val="bottom"/>
            <w:tcBorders>
              <w:bottom w:val="single" w:sz="8" w:color="auto"/>
            </w:tcBorders>
            <w:gridSpan w:val="3"/>
          </w:tcPr>
          <w:p>
            <w:pPr>
              <w:ind w:left="1220"/>
              <w:spacing w:after="0"/>
              <w:rPr>
                <w:sz w:val="20"/>
                <w:szCs w:val="20"/>
                <w:color w:val="auto"/>
              </w:rPr>
            </w:pPr>
            <w:r>
              <w:rPr>
                <w:rFonts w:ascii="Arial" w:cs="Arial" w:eastAsia="Arial" w:hAnsi="Arial"/>
                <w:sz w:val="10"/>
                <w:szCs w:val="10"/>
                <w:b w:val="1"/>
                <w:bCs w:val="1"/>
                <w:color w:val="auto"/>
                <w:w w:val="87"/>
              </w:rPr>
              <w:t>For the three months ended</w:t>
            </w: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4860" w:type="dxa"/>
            <w:vAlign w:val="bottom"/>
          </w:tcPr>
          <w:p>
            <w:pPr>
              <w:spacing w:after="0"/>
              <w:rPr>
                <w:sz w:val="10"/>
                <w:szCs w:val="10"/>
                <w:color w:val="auto"/>
              </w:rPr>
            </w:pPr>
          </w:p>
        </w:tc>
        <w:tc>
          <w:tcPr>
            <w:tcW w:w="2400" w:type="dxa"/>
            <w:vAlign w:val="bottom"/>
            <w:gridSpan w:val="3"/>
          </w:tcPr>
          <w:p>
            <w:pPr>
              <w:ind w:left="600"/>
              <w:spacing w:after="0"/>
              <w:rPr>
                <w:sz w:val="20"/>
                <w:szCs w:val="20"/>
                <w:color w:val="auto"/>
              </w:rPr>
            </w:pPr>
            <w:r>
              <w:rPr>
                <w:rFonts w:ascii="Arial" w:cs="Arial" w:eastAsia="Arial" w:hAnsi="Arial"/>
                <w:sz w:val="10"/>
                <w:szCs w:val="10"/>
                <w:b w:val="1"/>
                <w:bCs w:val="1"/>
                <w:color w:val="auto"/>
              </w:rPr>
              <w:t>June 30, 2021</w:t>
            </w:r>
          </w:p>
        </w:tc>
        <w:tc>
          <w:tcPr>
            <w:tcW w:w="1180" w:type="dxa"/>
            <w:vAlign w:val="bottom"/>
          </w:tcPr>
          <w:p>
            <w:pPr>
              <w:jc w:val="right"/>
              <w:ind w:right="542"/>
              <w:spacing w:after="0"/>
              <w:rPr>
                <w:sz w:val="20"/>
                <w:szCs w:val="20"/>
                <w:color w:val="auto"/>
              </w:rPr>
            </w:pPr>
            <w:r>
              <w:rPr>
                <w:rFonts w:ascii="Arial" w:cs="Arial" w:eastAsia="Arial" w:hAnsi="Arial"/>
                <w:sz w:val="10"/>
                <w:szCs w:val="10"/>
                <w:b w:val="1"/>
                <w:bCs w:val="1"/>
                <w:color w:val="auto"/>
                <w:w w:val="86"/>
              </w:rPr>
              <w:t>June 30, 2020</w:t>
            </w:r>
          </w:p>
        </w:tc>
        <w:tc>
          <w:tcPr>
            <w:tcW w:w="80" w:type="dxa"/>
            <w:vAlign w:val="bottom"/>
          </w:tcPr>
          <w:p>
            <w:pPr>
              <w:spacing w:after="0"/>
              <w:rPr>
                <w:sz w:val="10"/>
                <w:szCs w:val="10"/>
                <w:color w:val="auto"/>
              </w:rPr>
            </w:pPr>
          </w:p>
        </w:tc>
        <w:tc>
          <w:tcPr>
            <w:tcW w:w="1440" w:type="dxa"/>
            <w:vAlign w:val="bottom"/>
            <w:gridSpan w:val="2"/>
          </w:tcPr>
          <w:p>
            <w:pPr>
              <w:ind w:left="400"/>
              <w:spacing w:after="0"/>
              <w:rPr>
                <w:sz w:val="20"/>
                <w:szCs w:val="20"/>
                <w:color w:val="auto"/>
              </w:rPr>
            </w:pPr>
            <w:r>
              <w:rPr>
                <w:rFonts w:ascii="Arial" w:cs="Arial" w:eastAsia="Arial" w:hAnsi="Arial"/>
                <w:sz w:val="10"/>
                <w:szCs w:val="10"/>
                <w:b w:val="1"/>
                <w:bCs w:val="1"/>
                <w:color w:val="auto"/>
              </w:rPr>
              <w:t>June 30, 2021</w:t>
            </w:r>
          </w:p>
        </w:tc>
        <w:tc>
          <w:tcPr>
            <w:tcW w:w="1340" w:type="dxa"/>
            <w:vAlign w:val="bottom"/>
          </w:tcPr>
          <w:p>
            <w:pPr>
              <w:jc w:val="right"/>
              <w:ind w:right="342"/>
              <w:spacing w:after="0"/>
              <w:rPr>
                <w:sz w:val="20"/>
                <w:szCs w:val="20"/>
                <w:color w:val="auto"/>
              </w:rPr>
            </w:pPr>
            <w:r>
              <w:rPr>
                <w:rFonts w:ascii="Arial" w:cs="Arial" w:eastAsia="Arial" w:hAnsi="Arial"/>
                <w:sz w:val="10"/>
                <w:szCs w:val="10"/>
                <w:b w:val="1"/>
                <w:bCs w:val="1"/>
                <w:color w:val="auto"/>
              </w:rPr>
              <w:t>June 30, 2020</w:t>
            </w:r>
          </w:p>
        </w:tc>
      </w:tr>
      <w:tr>
        <w:trPr>
          <w:trHeight w:val="143"/>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Beginning default inventory</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11,090</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1,449</w:t>
            </w:r>
          </w:p>
        </w:tc>
        <w:tc>
          <w:tcPr>
            <w:tcW w:w="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12,209</w:t>
            </w: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1,448</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Plus: new defaults</w:t>
            </w:r>
          </w:p>
        </w:tc>
        <w:tc>
          <w:tcPr>
            <w:tcW w:w="1740" w:type="dxa"/>
            <w:vAlign w:val="bottom"/>
          </w:tcPr>
          <w:p>
            <w:pPr>
              <w:jc w:val="right"/>
              <w:spacing w:after="0"/>
              <w:rPr>
                <w:sz w:val="20"/>
                <w:szCs w:val="20"/>
                <w:color w:val="auto"/>
              </w:rPr>
            </w:pPr>
            <w:r>
              <w:rPr>
                <w:rFonts w:ascii="Arial" w:cs="Arial" w:eastAsia="Arial" w:hAnsi="Arial"/>
                <w:sz w:val="12"/>
                <w:szCs w:val="12"/>
                <w:color w:val="auto"/>
              </w:rPr>
              <w:t>1,095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9,770</w:t>
            </w: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2,862</w:t>
            </w: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Arial" w:cs="Arial" w:eastAsia="Arial" w:hAnsi="Arial"/>
                <w:sz w:val="12"/>
                <w:szCs w:val="12"/>
                <w:color w:val="auto"/>
              </w:rPr>
              <w:t>10,282</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Less: cures</w:t>
            </w:r>
          </w:p>
        </w:tc>
        <w:tc>
          <w:tcPr>
            <w:tcW w:w="1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(6,270)</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(828)</w:t>
            </w:r>
          </w:p>
        </w:tc>
      </w:tr>
      <w:tr>
        <w:trPr>
          <w:trHeight w:val="153"/>
        </w:trPr>
        <w:tc>
          <w:tcPr>
            <w:tcW w:w="4860" w:type="dxa"/>
            <w:vAlign w:val="bottom"/>
          </w:tcPr>
          <w:p>
            <w:pPr>
              <w:spacing w:after="0"/>
              <w:rPr>
                <w:sz w:val="20"/>
                <w:szCs w:val="20"/>
                <w:color w:val="auto"/>
              </w:rPr>
            </w:pPr>
            <w:r>
              <w:rPr>
                <w:rFonts w:ascii="Arial" w:cs="Arial" w:eastAsia="Arial" w:hAnsi="Arial"/>
                <w:sz w:val="12"/>
                <w:szCs w:val="12"/>
                <w:color w:val="auto"/>
              </w:rPr>
              <w:t>Less: claims paid</w:t>
            </w:r>
          </w:p>
        </w:tc>
        <w:tc>
          <w:tcPr>
            <w:tcW w:w="174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53"/>
        </w:trPr>
        <w:tc>
          <w:tcPr>
            <w:tcW w:w="4860" w:type="dxa"/>
            <w:vAlign w:val="bottom"/>
            <w:shd w:val="clear" w:color="auto" w:fill="CCEEFF"/>
          </w:tcPr>
          <w:p>
            <w:pPr>
              <w:spacing w:after="0"/>
              <w:rPr>
                <w:sz w:val="20"/>
                <w:szCs w:val="20"/>
                <w:color w:val="auto"/>
              </w:rPr>
            </w:pPr>
            <w:r>
              <w:rPr>
                <w:rFonts w:ascii="Arial" w:cs="Arial" w:eastAsia="Arial" w:hAnsi="Arial"/>
                <w:sz w:val="12"/>
                <w:szCs w:val="12"/>
                <w:color w:val="auto"/>
              </w:rPr>
              <w:t>Less: claims denied</w:t>
            </w:r>
          </w:p>
        </w:tc>
        <w:tc>
          <w:tcPr>
            <w:tcW w:w="2400" w:type="dxa"/>
            <w:vAlign w:val="bottom"/>
            <w:gridSpan w:val="3"/>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42"/>
        </w:trPr>
        <w:tc>
          <w:tcPr>
            <w:tcW w:w="4860" w:type="dxa"/>
            <w:vAlign w:val="bottom"/>
          </w:tcPr>
          <w:p>
            <w:pPr>
              <w:spacing w:after="0"/>
              <w:rPr>
                <w:sz w:val="20"/>
                <w:szCs w:val="20"/>
                <w:color w:val="auto"/>
              </w:rPr>
            </w:pPr>
            <w:r>
              <w:rPr>
                <w:rFonts w:ascii="Arial" w:cs="Arial" w:eastAsia="Arial" w:hAnsi="Arial"/>
                <w:sz w:val="12"/>
                <w:szCs w:val="12"/>
                <w:color w:val="auto"/>
              </w:rPr>
              <w:t>Ending default inventory</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8,764</w:t>
            </w: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10,816</w:t>
            </w:r>
          </w:p>
        </w:tc>
        <w:tc>
          <w:tcPr>
            <w:tcW w:w="8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8,764</w:t>
            </w:r>
          </w:p>
        </w:tc>
        <w:tc>
          <w:tcPr>
            <w:tcW w:w="10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10,816</w:t>
            </w:r>
          </w:p>
        </w:tc>
      </w:tr>
    </w:tbl>
    <w:p>
      <w:pPr>
        <w:spacing w:after="0" w:line="270" w:lineRule="exact"/>
        <w:rPr>
          <w:sz w:val="20"/>
          <w:szCs w:val="20"/>
          <w:color w:val="auto"/>
        </w:rPr>
      </w:pPr>
    </w:p>
    <w:p>
      <w:pPr>
        <w:jc w:val="both"/>
        <w:ind w:left="8" w:right="20" w:firstLine="432"/>
        <w:spacing w:after="0" w:line="255" w:lineRule="auto"/>
        <w:rPr>
          <w:sz w:val="20"/>
          <w:szCs w:val="20"/>
          <w:color w:val="auto"/>
        </w:rPr>
      </w:pPr>
      <w:r>
        <w:rPr>
          <w:rFonts w:ascii="Arial" w:cs="Arial" w:eastAsia="Arial" w:hAnsi="Arial"/>
          <w:sz w:val="11"/>
          <w:szCs w:val="11"/>
          <w:color w:val="auto"/>
        </w:rPr>
        <w:t>Ending default inventory declined from June 30, 2020 to June 30, 2021 as an increased number of borrowers impacted by the COVID-19 pandemic cured their delinquencies, and fewer new defaults emerged as the acute economic stress of the pandemic crisis began to recede. While our default population declined from June 30, 2020 to June 30, 2021, our default inventory remains elevated compared to historical experience due to the continued challenges certain borrowers are facing related to the COVID-19 outbreak and their decision to access the forbearance program for federally backed loans codified under the Coronavirus Aid, Relief and Economic Security (CARES) Act or similar programs made available by private lenders. As of June 30, 2021, 7,822 of our 8,764 defaulted loans were in a COVID-19 related forbearance program.</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details of our claims paid, before giving effect to claims ceded under the QSR Transactions and ILN Transactions, for the periods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6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jc w:val="right"/>
              <w:ind w:right="626"/>
              <w:spacing w:after="0"/>
              <w:rPr>
                <w:sz w:val="20"/>
                <w:szCs w:val="20"/>
                <w:color w:val="auto"/>
              </w:rPr>
            </w:pPr>
            <w:r>
              <w:rPr>
                <w:rFonts w:ascii="Arial" w:cs="Arial" w:eastAsia="Arial" w:hAnsi="Arial"/>
                <w:sz w:val="10"/>
                <w:szCs w:val="10"/>
                <w:b w:val="1"/>
                <w:bCs w:val="1"/>
                <w:color w:val="auto"/>
                <w:w w:val="87"/>
              </w:rPr>
              <w:t>For the three months ended</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3"/>
          </w:tcPr>
          <w:p>
            <w:pPr>
              <w:jc w:val="right"/>
              <w:ind w:right="882"/>
              <w:spacing w:after="0"/>
              <w:rPr>
                <w:sz w:val="20"/>
                <w:szCs w:val="20"/>
                <w:color w:val="auto"/>
              </w:rPr>
            </w:pPr>
            <w:r>
              <w:rPr>
                <w:rFonts w:ascii="Arial" w:cs="Arial" w:eastAsia="Arial" w:hAnsi="Arial"/>
                <w:sz w:val="10"/>
                <w:szCs w:val="10"/>
                <w:b w:val="1"/>
                <w:bCs w:val="1"/>
                <w:color w:val="auto"/>
              </w:rPr>
              <w:t>For the six months ended</w:t>
            </w:r>
          </w:p>
        </w:tc>
      </w:tr>
      <w:tr>
        <w:trPr>
          <w:trHeight w:val="118"/>
        </w:trPr>
        <w:tc>
          <w:tcPr>
            <w:tcW w:w="4660" w:type="dxa"/>
            <w:vAlign w:val="bottom"/>
          </w:tcPr>
          <w:p>
            <w:pPr>
              <w:spacing w:after="0"/>
              <w:rPr>
                <w:sz w:val="10"/>
                <w:szCs w:val="10"/>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June 30, 2021</w:t>
            </w:r>
          </w:p>
        </w:tc>
        <w:tc>
          <w:tcPr>
            <w:tcW w:w="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2020</w:t>
            </w: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June 30, 2021</w:t>
            </w: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4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Arial" w:cs="Arial" w:eastAsia="Arial" w:hAnsi="Arial"/>
                <w:sz w:val="10"/>
                <w:szCs w:val="10"/>
                <w:i w:val="1"/>
                <w:iCs w:val="1"/>
                <w:color w:val="auto"/>
              </w:rPr>
              <w:t>($</w:t>
            </w:r>
          </w:p>
        </w:tc>
        <w:tc>
          <w:tcPr>
            <w:tcW w:w="660" w:type="dxa"/>
            <w:vAlign w:val="bottom"/>
            <w:gridSpan w:val="2"/>
          </w:tcPr>
          <w:p>
            <w:pPr>
              <w:ind w:left="20"/>
              <w:spacing w:after="0"/>
              <w:rPr>
                <w:sz w:val="20"/>
                <w:szCs w:val="20"/>
                <w:color w:val="auto"/>
              </w:rPr>
            </w:pPr>
            <w:r>
              <w:rPr>
                <w:rFonts w:ascii="Arial" w:cs="Arial" w:eastAsia="Arial" w:hAnsi="Arial"/>
                <w:sz w:val="10"/>
                <w:szCs w:val="10"/>
                <w:i w:val="1"/>
                <w:iCs w:val="1"/>
                <w:color w:val="auto"/>
                <w:w w:val="96"/>
              </w:rPr>
              <w:t>In Thousands)</w:t>
            </w: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55"/>
        </w:trPr>
        <w:tc>
          <w:tcPr>
            <w:tcW w:w="46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Number of claims paid </w:t>
            </w:r>
            <w:r>
              <w:rPr>
                <w:rFonts w:ascii="Arial" w:cs="Arial" w:eastAsia="Arial" w:hAnsi="Arial"/>
                <w:sz w:val="15"/>
                <w:szCs w:val="15"/>
                <w:color w:val="auto"/>
                <w:vertAlign w:val="superscript"/>
              </w:rPr>
              <w:t>(1)</w:t>
            </w:r>
          </w:p>
        </w:tc>
        <w:tc>
          <w:tcPr>
            <w:tcW w:w="1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w:t>
            </w:r>
          </w:p>
        </w:tc>
        <w:tc>
          <w:tcPr>
            <w:tcW w:w="12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35</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83</w:t>
            </w:r>
          </w:p>
        </w:tc>
      </w:tr>
      <w:tr>
        <w:trPr>
          <w:trHeight w:val="153"/>
        </w:trPr>
        <w:tc>
          <w:tcPr>
            <w:tcW w:w="4660" w:type="dxa"/>
            <w:vAlign w:val="bottom"/>
          </w:tcPr>
          <w:p>
            <w:pPr>
              <w:spacing w:after="0"/>
              <w:rPr>
                <w:sz w:val="20"/>
                <w:szCs w:val="20"/>
                <w:color w:val="auto"/>
              </w:rPr>
            </w:pPr>
            <w:r>
              <w:rPr>
                <w:rFonts w:ascii="Arial" w:cs="Arial" w:eastAsia="Arial" w:hAnsi="Arial"/>
                <w:sz w:val="12"/>
                <w:szCs w:val="12"/>
                <w:color w:val="auto"/>
              </w:rPr>
              <w:t>Total amount paid for claims</w:t>
            </w:r>
          </w:p>
        </w:tc>
        <w:tc>
          <w:tcPr>
            <w:tcW w:w="1220" w:type="dxa"/>
            <w:vAlign w:val="bottom"/>
          </w:tcPr>
          <w:p>
            <w:pPr>
              <w:jc w:val="right"/>
              <w:ind w:right="1084"/>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142"/>
              <w:spacing w:after="0"/>
              <w:rPr>
                <w:sz w:val="20"/>
                <w:szCs w:val="20"/>
                <w:color w:val="auto"/>
              </w:rPr>
            </w:pPr>
            <w:r>
              <w:rPr>
                <w:rFonts w:ascii="Arial" w:cs="Arial" w:eastAsia="Arial" w:hAnsi="Arial"/>
                <w:sz w:val="12"/>
                <w:szCs w:val="12"/>
                <w:color w:val="auto"/>
              </w:rPr>
              <w:t>702</w:t>
            </w:r>
          </w:p>
        </w:tc>
        <w:tc>
          <w:tcPr>
            <w:tcW w:w="1260" w:type="dxa"/>
            <w:vAlign w:val="bottom"/>
          </w:tcPr>
          <w:p>
            <w:pPr>
              <w:jc w:val="right"/>
              <w:ind w:right="1086"/>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82"/>
              <w:spacing w:after="0"/>
              <w:rPr>
                <w:sz w:val="20"/>
                <w:szCs w:val="20"/>
                <w:color w:val="auto"/>
              </w:rPr>
            </w:pPr>
            <w:r>
              <w:rPr>
                <w:rFonts w:ascii="Arial" w:cs="Arial" w:eastAsia="Arial" w:hAnsi="Arial"/>
                <w:sz w:val="12"/>
                <w:szCs w:val="12"/>
                <w:color w:val="auto"/>
              </w:rPr>
              <w:t>2,578</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124"/>
              <w:spacing w:after="0"/>
              <w:rPr>
                <w:sz w:val="20"/>
                <w:szCs w:val="20"/>
                <w:color w:val="auto"/>
              </w:rPr>
            </w:pPr>
            <w:r>
              <w:rPr>
                <w:rFonts w:ascii="Arial" w:cs="Arial" w:eastAsia="Arial" w:hAnsi="Arial"/>
                <w:sz w:val="12"/>
                <w:szCs w:val="12"/>
                <w:color w:val="auto"/>
              </w:rPr>
              <w:t>1,308</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2"/>
              <w:spacing w:after="0"/>
              <w:rPr>
                <w:sz w:val="20"/>
                <w:szCs w:val="20"/>
                <w:color w:val="auto"/>
              </w:rPr>
            </w:pPr>
            <w:r>
              <w:rPr>
                <w:rFonts w:ascii="Arial" w:cs="Arial" w:eastAsia="Arial" w:hAnsi="Arial"/>
                <w:sz w:val="12"/>
                <w:szCs w:val="12"/>
                <w:color w:val="auto"/>
              </w:rPr>
              <w:t>4,081</w:t>
            </w:r>
          </w:p>
        </w:tc>
      </w:tr>
      <w:tr>
        <w:trPr>
          <w:trHeight w:val="153"/>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Average amount paid per claim</w:t>
            </w:r>
          </w:p>
        </w:tc>
        <w:tc>
          <w:tcPr>
            <w:tcW w:w="1220" w:type="dxa"/>
            <w:vAlign w:val="bottom"/>
            <w:shd w:val="clear" w:color="auto" w:fill="CCEEFF"/>
          </w:tcPr>
          <w:p>
            <w:pPr>
              <w:jc w:val="right"/>
              <w:ind w:right="1084"/>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37</w:t>
            </w:r>
          </w:p>
        </w:tc>
        <w:tc>
          <w:tcPr>
            <w:tcW w:w="1260" w:type="dxa"/>
            <w:vAlign w:val="bottom"/>
            <w:shd w:val="clear" w:color="auto" w:fill="CCEEFF"/>
          </w:tcPr>
          <w:p>
            <w:pPr>
              <w:jc w:val="right"/>
              <w:ind w:right="1086"/>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124"/>
              <w:spacing w:after="0"/>
              <w:rPr>
                <w:sz w:val="20"/>
                <w:szCs w:val="20"/>
                <w:color w:val="auto"/>
              </w:rPr>
            </w:pPr>
            <w:r>
              <w:rPr>
                <w:rFonts w:ascii="Arial" w:cs="Arial" w:eastAsia="Arial" w:hAnsi="Arial"/>
                <w:sz w:val="12"/>
                <w:szCs w:val="12"/>
                <w:color w:val="auto"/>
              </w:rPr>
              <w:t>37</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49</w:t>
            </w:r>
          </w:p>
        </w:tc>
      </w:tr>
      <w:tr>
        <w:trPr>
          <w:trHeight w:val="202"/>
        </w:trPr>
        <w:tc>
          <w:tcPr>
            <w:tcW w:w="4660" w:type="dxa"/>
            <w:vAlign w:val="bottom"/>
          </w:tcPr>
          <w:p>
            <w:pPr>
              <w:spacing w:after="0"/>
              <w:rPr>
                <w:sz w:val="20"/>
                <w:szCs w:val="20"/>
                <w:color w:val="auto"/>
              </w:rPr>
            </w:pPr>
            <w:r>
              <w:rPr>
                <w:rFonts w:ascii="Arial" w:cs="Arial" w:eastAsia="Arial" w:hAnsi="Arial"/>
                <w:sz w:val="12"/>
                <w:szCs w:val="12"/>
                <w:color w:val="auto"/>
              </w:rPr>
              <w:t xml:space="preserve">Severity </w:t>
            </w:r>
            <w:r>
              <w:rPr>
                <w:rFonts w:ascii="Arial" w:cs="Arial" w:eastAsia="Arial" w:hAnsi="Arial"/>
                <w:sz w:val="15"/>
                <w:szCs w:val="15"/>
                <w:color w:val="auto"/>
                <w:vertAlign w:val="superscript"/>
              </w:rPr>
              <w:t>(2)</w:t>
            </w:r>
          </w:p>
        </w:tc>
        <w:tc>
          <w:tcPr>
            <w:tcW w:w="12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66 %</w:t>
            </w:r>
          </w:p>
        </w:tc>
        <w:tc>
          <w:tcPr>
            <w:tcW w:w="1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64 %</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87 %</w:t>
            </w:r>
          </w:p>
        </w:tc>
      </w:tr>
    </w:tbl>
    <w:p>
      <w:pPr>
        <w:spacing w:after="0" w:line="120" w:lineRule="exact"/>
        <w:rPr>
          <w:sz w:val="20"/>
          <w:szCs w:val="20"/>
          <w:color w:val="auto"/>
        </w:rPr>
      </w:pPr>
    </w:p>
    <w:p>
      <w:pPr>
        <w:ind w:left="168" w:hanging="168"/>
        <w:spacing w:after="0"/>
        <w:tabs>
          <w:tab w:leader="none" w:pos="168" w:val="left"/>
        </w:tabs>
        <w:numPr>
          <w:ilvl w:val="0"/>
          <w:numId w:val="21"/>
        </w:numPr>
        <w:rPr>
          <w:rFonts w:ascii="Arial" w:cs="Arial" w:eastAsia="Arial" w:hAnsi="Arial"/>
          <w:sz w:val="12"/>
          <w:szCs w:val="12"/>
          <w:color w:val="auto"/>
          <w:vertAlign w:val="superscript"/>
        </w:rPr>
      </w:pPr>
      <w:r>
        <w:rPr>
          <w:rFonts w:ascii="Arial" w:cs="Arial" w:eastAsia="Arial" w:hAnsi="Arial"/>
          <w:sz w:val="10"/>
          <w:szCs w:val="10"/>
          <w:color w:val="auto"/>
        </w:rPr>
        <w:t>Count includes three and four claims settled without payment during the three and six months ended June 30, 2021, respectively, and one and two claims settled without payment during the three and six months ended 2020, respectively.</w:t>
      </w:r>
    </w:p>
    <w:p>
      <w:pPr>
        <w:spacing w:after="0" w:line="37" w:lineRule="exact"/>
        <w:rPr>
          <w:rFonts w:ascii="Arial" w:cs="Arial" w:eastAsia="Arial" w:hAnsi="Arial"/>
          <w:sz w:val="12"/>
          <w:szCs w:val="12"/>
          <w:color w:val="auto"/>
          <w:vertAlign w:val="superscript"/>
        </w:rPr>
      </w:pPr>
    </w:p>
    <w:p>
      <w:pPr>
        <w:ind w:left="168" w:hanging="168"/>
        <w:spacing w:after="0" w:line="201" w:lineRule="auto"/>
        <w:tabs>
          <w:tab w:leader="none" w:pos="168" w:val="left"/>
        </w:tabs>
        <w:numPr>
          <w:ilvl w:val="0"/>
          <w:numId w:val="21"/>
        </w:numPr>
        <w:rPr>
          <w:rFonts w:ascii="Arial" w:cs="Arial" w:eastAsia="Arial" w:hAnsi="Arial"/>
          <w:sz w:val="12"/>
          <w:szCs w:val="12"/>
          <w:color w:val="auto"/>
          <w:vertAlign w:val="superscript"/>
        </w:rPr>
      </w:pPr>
      <w:r>
        <w:rPr>
          <w:rFonts w:ascii="Arial" w:cs="Arial" w:eastAsia="Arial" w:hAnsi="Arial"/>
          <w:sz w:val="10"/>
          <w:szCs w:val="10"/>
          <w:color w:val="auto"/>
        </w:rPr>
        <w:t>Severity represents the total amount of claims paid including claim expenses divided by the related RIF on the loan at the time the claim is perfected, and is calculated including claims settled without payment.</w:t>
      </w:r>
    </w:p>
    <w:p>
      <w:pPr>
        <w:spacing w:after="0" w:line="152" w:lineRule="exact"/>
        <w:rPr>
          <w:sz w:val="20"/>
          <w:szCs w:val="20"/>
          <w:color w:val="auto"/>
        </w:rPr>
      </w:pPr>
    </w:p>
    <w:p>
      <w:pPr>
        <w:jc w:val="both"/>
        <w:ind w:left="8" w:firstLine="432"/>
        <w:spacing w:after="0" w:line="328" w:lineRule="auto"/>
        <w:rPr>
          <w:sz w:val="20"/>
          <w:szCs w:val="20"/>
          <w:color w:val="auto"/>
        </w:rPr>
      </w:pPr>
      <w:r>
        <w:rPr>
          <w:rFonts w:ascii="Arial" w:cs="Arial" w:eastAsia="Arial" w:hAnsi="Arial"/>
          <w:sz w:val="10"/>
          <w:szCs w:val="10"/>
          <w:color w:val="auto"/>
        </w:rPr>
        <w:t>The number of claims paid during the three and six months ended June 30, 2021 decreased compared to the three and six months ended June 30, 2020, despite the growth and seasoning of our insured portfolio, and elevated level of defaults (compared to pre-COVID historical experience), primarily as a result of the forbearance program and foreclosure moratorium implemented by the GSEs in response to the COVID outbreak and codified under the</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CARES Act. Such forbearance and foreclosure programs have extended, and may ultimately interrupt, the timeline over which loans would otherwise progress through the default cycle to a paid claim.</w:t>
      </w:r>
    </w:p>
    <w:p>
      <w:pPr>
        <w:spacing w:after="0" w:line="11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claims severity for the three and six months ended June 30, 2021 was 66% and 64%, respectively, compared to 89% and 87% for the three and six months ended June 30, 2020, respectively. Claims severity for the three and six months ended June 30, 2021 benefited from the resiliency of the housing market and broad national house price appreciation.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6" w:name="page47"/>
    <w:bookmarkEnd w:id="46"/>
    <w:p>
      <w:pPr>
        <w:ind w:left="428"/>
        <w:spacing w:after="0"/>
        <w:rPr>
          <w:sz w:val="20"/>
          <w:szCs w:val="20"/>
          <w:color w:val="auto"/>
        </w:rPr>
      </w:pPr>
      <w:r>
        <w:rPr>
          <w:rFonts w:ascii="Arial" w:cs="Arial" w:eastAsia="Arial" w:hAnsi="Arial"/>
          <w:sz w:val="12"/>
          <w:szCs w:val="12"/>
          <w:color w:val="auto"/>
        </w:rPr>
        <w:t>The following table provides detail on our average reserve per default, before giving effect to reserves ceded under the QSR Transactions, as of the dates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860" w:type="dxa"/>
            <w:vAlign w:val="bottom"/>
          </w:tcPr>
          <w:p>
            <w:pPr>
              <w:spacing w:after="0"/>
              <w:rPr>
                <w:sz w:val="20"/>
                <w:szCs w:val="20"/>
                <w:color w:val="auto"/>
              </w:rPr>
            </w:pPr>
            <w:r>
              <w:rPr>
                <w:rFonts w:ascii="Arial" w:cs="Arial" w:eastAsia="Arial" w:hAnsi="Arial"/>
                <w:sz w:val="10"/>
                <w:szCs w:val="10"/>
                <w:b w:val="1"/>
                <w:bCs w:val="1"/>
                <w:color w:val="auto"/>
              </w:rPr>
              <w:t>Average reserve per default:</w:t>
            </w:r>
          </w:p>
        </w:tc>
        <w:tc>
          <w:tcPr>
            <w:tcW w:w="3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As of June 30, 2021</w:t>
            </w:r>
          </w:p>
        </w:tc>
        <w:tc>
          <w:tcPr>
            <w:tcW w:w="4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As of June 30, 2020</w:t>
            </w:r>
          </w:p>
        </w:tc>
      </w:tr>
      <w:tr>
        <w:trPr>
          <w:trHeight w:val="117"/>
        </w:trPr>
        <w:tc>
          <w:tcPr>
            <w:tcW w:w="6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gridSpan w:val="3"/>
          </w:tcPr>
          <w:p>
            <w:pPr>
              <w:jc w:val="right"/>
              <w:ind w:right="160"/>
              <w:spacing w:after="0"/>
              <w:rPr>
                <w:sz w:val="20"/>
                <w:szCs w:val="20"/>
                <w:color w:val="auto"/>
              </w:rPr>
            </w:pPr>
            <w:r>
              <w:rPr>
                <w:rFonts w:ascii="Arial" w:cs="Arial" w:eastAsia="Arial" w:hAnsi="Arial"/>
                <w:sz w:val="10"/>
                <w:szCs w:val="10"/>
                <w:i w:val="1"/>
                <w:iCs w:val="1"/>
                <w:color w:val="auto"/>
              </w:rPr>
              <w:t>(In Thousands)</w:t>
            </w:r>
          </w:p>
        </w:tc>
        <w:tc>
          <w:tcPr>
            <w:tcW w:w="1700" w:type="dxa"/>
            <w:vAlign w:val="bottom"/>
          </w:tcPr>
          <w:p>
            <w:pPr>
              <w:spacing w:after="0"/>
              <w:rPr>
                <w:sz w:val="10"/>
                <w:szCs w:val="10"/>
                <w:color w:val="auto"/>
              </w:rPr>
            </w:pPr>
          </w:p>
        </w:tc>
      </w:tr>
      <w:tr>
        <w:trPr>
          <w:trHeight w:val="155"/>
        </w:trPr>
        <w:tc>
          <w:tcPr>
            <w:tcW w:w="6860" w:type="dxa"/>
            <w:vAlign w:val="bottom"/>
            <w:shd w:val="clear" w:color="auto" w:fill="CCEEFF"/>
          </w:tcPr>
          <w:p>
            <w:pPr>
              <w:spacing w:after="0" w:line="156" w:lineRule="exact"/>
              <w:rPr>
                <w:sz w:val="20"/>
                <w:szCs w:val="20"/>
                <w:color w:val="auto"/>
              </w:rPr>
            </w:pPr>
            <w:r>
              <w:rPr>
                <w:rFonts w:ascii="Arial" w:cs="Arial" w:eastAsia="Arial" w:hAnsi="Arial"/>
                <w:sz w:val="12"/>
                <w:szCs w:val="12"/>
                <w:color w:val="auto"/>
              </w:rPr>
              <w:t xml:space="preserve">Case </w:t>
            </w:r>
            <w:r>
              <w:rPr>
                <w:rFonts w:ascii="Arial" w:cs="Arial" w:eastAsia="Arial" w:hAnsi="Arial"/>
                <w:sz w:val="15"/>
                <w:szCs w:val="15"/>
                <w:color w:val="auto"/>
                <w:vertAlign w:val="superscript"/>
              </w:rPr>
              <w:t>(1)</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r>
      <w:tr>
        <w:trPr>
          <w:trHeight w:val="153"/>
        </w:trPr>
        <w:tc>
          <w:tcPr>
            <w:tcW w:w="6860" w:type="dxa"/>
            <w:vAlign w:val="bottom"/>
            <w:tcBorders>
              <w:bottom w:val="single" w:sz="8" w:color="CCEEFF"/>
            </w:tcBorders>
          </w:tcPr>
          <w:p>
            <w:pPr>
              <w:spacing w:after="0" w:line="153" w:lineRule="exact"/>
              <w:rPr>
                <w:sz w:val="20"/>
                <w:szCs w:val="20"/>
                <w:color w:val="auto"/>
              </w:rPr>
            </w:pPr>
            <w:r>
              <w:rPr>
                <w:rFonts w:ascii="Arial" w:cs="Arial" w:eastAsia="Arial" w:hAnsi="Arial"/>
                <w:sz w:val="17"/>
                <w:szCs w:val="17"/>
                <w:color w:val="auto"/>
                <w:vertAlign w:val="subscript"/>
              </w:rPr>
              <w:t>IBNR</w:t>
            </w:r>
            <w:r>
              <w:rPr>
                <w:rFonts w:ascii="Arial" w:cs="Arial" w:eastAsia="Arial" w:hAnsi="Arial"/>
                <w:sz w:val="7"/>
                <w:szCs w:val="7"/>
                <w:color w:val="auto"/>
              </w:rPr>
              <w:t xml:space="preserve"> (1)(2)</w:t>
            </w:r>
          </w:p>
        </w:tc>
        <w:tc>
          <w:tcPr>
            <w:tcW w:w="3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0.9</w:t>
            </w:r>
          </w:p>
        </w:tc>
      </w:tr>
      <w:tr>
        <w:trPr>
          <w:trHeight w:val="142"/>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r>
    </w:tbl>
    <w:p>
      <w:pPr>
        <w:spacing w:after="0" w:line="137" w:lineRule="exact"/>
        <w:rPr>
          <w:sz w:val="20"/>
          <w:szCs w:val="20"/>
          <w:color w:val="auto"/>
        </w:rPr>
      </w:pPr>
    </w:p>
    <w:p>
      <w:pPr>
        <w:ind w:left="128" w:hanging="128"/>
        <w:spacing w:after="0"/>
        <w:tabs>
          <w:tab w:leader="none" w:pos="128" w:val="left"/>
        </w:tabs>
        <w:numPr>
          <w:ilvl w:val="0"/>
          <w:numId w:val="22"/>
        </w:numPr>
        <w:rPr>
          <w:rFonts w:ascii="Arial" w:cs="Arial" w:eastAsia="Arial" w:hAnsi="Arial"/>
          <w:sz w:val="12"/>
          <w:szCs w:val="12"/>
          <w:color w:val="auto"/>
          <w:vertAlign w:val="superscript"/>
        </w:rPr>
      </w:pPr>
      <w:r>
        <w:rPr>
          <w:rFonts w:ascii="Arial" w:cs="Arial" w:eastAsia="Arial" w:hAnsi="Arial"/>
          <w:sz w:val="10"/>
          <w:szCs w:val="10"/>
          <w:color w:val="auto"/>
        </w:rPr>
        <w:t>Defined as the gross reserve per insured loan in default.</w:t>
      </w:r>
    </w:p>
    <w:p>
      <w:pPr>
        <w:ind w:left="128" w:hanging="128"/>
        <w:spacing w:after="0" w:line="197" w:lineRule="auto"/>
        <w:tabs>
          <w:tab w:leader="none" w:pos="128" w:val="left"/>
        </w:tabs>
        <w:numPr>
          <w:ilvl w:val="0"/>
          <w:numId w:val="22"/>
        </w:numPr>
        <w:rPr>
          <w:rFonts w:ascii="Arial" w:cs="Arial" w:eastAsia="Arial" w:hAnsi="Arial"/>
          <w:sz w:val="12"/>
          <w:szCs w:val="12"/>
          <w:color w:val="auto"/>
          <w:vertAlign w:val="superscript"/>
        </w:rPr>
      </w:pPr>
      <w:r>
        <w:rPr>
          <w:rFonts w:ascii="Arial" w:cs="Arial" w:eastAsia="Arial" w:hAnsi="Arial"/>
          <w:sz w:val="10"/>
          <w:szCs w:val="10"/>
          <w:color w:val="auto"/>
        </w:rPr>
        <w:t>Amount includes claims adjustment expenses.</w:t>
      </w:r>
    </w:p>
    <w:p>
      <w:pPr>
        <w:spacing w:after="0" w:line="98"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2"/>
          <w:szCs w:val="12"/>
          <w:color w:val="auto"/>
        </w:rPr>
        <w:t>Average reserve per default increased from June 30, 2020 to June 30, 2021, primarily due to the “aging” of early COVID-related defaults. While we have established lower reserves for defaults that we consider to be connected to the COVID-19 outbreak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generally increased such reserves over time as individual defaults remain outstanding or “age.” The growth in our average reserve per default from June 30, 2020 to June 30, 2021 far exceeded the growth in our aggregate gross reserve position in the intervening period as the impact of the increase in our average reserve per default was largely offset by the decline in our total default inventory.</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GSE Oversight</w:t>
      </w:r>
    </w:p>
    <w:p>
      <w:pPr>
        <w:spacing w:after="0" w:line="114" w:lineRule="exact"/>
        <w:rPr>
          <w:sz w:val="20"/>
          <w:szCs w:val="20"/>
          <w:color w:val="auto"/>
        </w:rPr>
      </w:pPr>
    </w:p>
    <w:p>
      <w:pPr>
        <w:jc w:val="both"/>
        <w:ind w:left="8" w:firstLine="459"/>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NMIC is subject to ongoing compliance with the PMIERs established by each of the GSEs (</w:t>
      </w:r>
      <w:r>
        <w:rPr>
          <w:rFonts w:ascii="Arial" w:cs="Arial" w:eastAsia="Arial" w:hAnsi="Arial"/>
          <w:sz w:val="12"/>
          <w:szCs w:val="12"/>
          <w:i w:val="1"/>
          <w:iCs w:val="1"/>
          <w:color w:val="auto"/>
        </w:rPr>
        <w:t>italicized</w:t>
      </w:r>
      <w:r>
        <w:rPr>
          <w:rFonts w:ascii="Arial" w:cs="Arial" w:eastAsia="Arial" w:hAnsi="Arial"/>
          <w:sz w:val="12"/>
          <w:szCs w:val="12"/>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2"/>
          <w:szCs w:val="12"/>
          <w:i w:val="1"/>
          <w:iCs w:val="1"/>
          <w:color w:val="auto"/>
        </w:rPr>
        <w:t>approved insurers</w:t>
      </w:r>
      <w:r>
        <w:rPr>
          <w:rFonts w:ascii="Arial" w:cs="Arial" w:eastAsia="Arial" w:hAnsi="Arial"/>
          <w:sz w:val="12"/>
          <w:szCs w:val="12"/>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2"/>
          <w:szCs w:val="12"/>
          <w:i w:val="1"/>
          <w:iCs w:val="1"/>
          <w:color w:val="auto"/>
        </w:rPr>
        <w:t>i.e.,</w:t>
      </w:r>
      <w:r>
        <w:rPr>
          <w:rFonts w:ascii="Arial" w:cs="Arial" w:eastAsia="Arial" w:hAnsi="Arial"/>
          <w:sz w:val="12"/>
          <w:szCs w:val="12"/>
          <w:color w:val="auto"/>
        </w:rPr>
        <w:t xml:space="preserve"> current vs. delinquent), LTV ratio and other risk features. In general, higher quality loans carry lower asset charges.</w:t>
      </w:r>
    </w:p>
    <w:p>
      <w:pPr>
        <w:spacing w:after="0" w:line="88" w:lineRule="exact"/>
        <w:rPr>
          <w:sz w:val="20"/>
          <w:szCs w:val="20"/>
          <w:color w:val="auto"/>
        </w:rPr>
      </w:pPr>
    </w:p>
    <w:p>
      <w:pPr>
        <w:jc w:val="both"/>
        <w:ind w:left="8" w:firstLine="459"/>
        <w:spacing w:after="0" w:line="256" w:lineRule="auto"/>
        <w:rPr>
          <w:sz w:val="20"/>
          <w:szCs w:val="20"/>
          <w:color w:val="auto"/>
        </w:rPr>
      </w:pPr>
      <w:r>
        <w:rPr>
          <w:rFonts w:ascii="Arial" w:cs="Arial" w:eastAsia="Arial" w:hAnsi="Arial"/>
          <w:sz w:val="12"/>
          <w:szCs w:val="12"/>
          <w:color w:val="auto"/>
        </w:rPr>
        <w:t xml:space="preserve">Under the PMIERs,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must maintain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that equal or exceed </w:t>
      </w:r>
      <w:r>
        <w:rPr>
          <w:rFonts w:ascii="Arial" w:cs="Arial" w:eastAsia="Arial" w:hAnsi="Arial"/>
          <w:sz w:val="12"/>
          <w:szCs w:val="12"/>
          <w:i w:val="1"/>
          <w:iCs w:val="1"/>
          <w:color w:val="auto"/>
        </w:rPr>
        <w:t>minimum required assets</w:t>
      </w:r>
      <w:r>
        <w:rPr>
          <w:rFonts w:ascii="Arial" w:cs="Arial" w:eastAsia="Arial" w:hAnsi="Arial"/>
          <w:sz w:val="12"/>
          <w:szCs w:val="12"/>
          <w:color w:val="auto"/>
        </w:rPr>
        <w:t xml:space="preserve">, which is an amount equal to the greater of (i) $400 million or (ii) a total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is a function of the risk profile of an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RIF, assessed on a loan-by-loan basis and considered against certain risk-based factors derived from tables set out in the PMIERs, which is then adjusted on an aggregate basis for reinsurance transactions approved by the GSEs, such as with respect to our ILN Transactions and QSR Transactions. The </w:t>
      </w:r>
      <w:r>
        <w:rPr>
          <w:rFonts w:ascii="Arial" w:cs="Arial" w:eastAsia="Arial" w:hAnsi="Arial"/>
          <w:sz w:val="12"/>
          <w:szCs w:val="12"/>
          <w:i w:val="1"/>
          <w:iCs w:val="1"/>
          <w:color w:val="auto"/>
        </w:rPr>
        <w:t>aggregate gross risk-based required asset amount</w:t>
      </w:r>
      <w:r>
        <w:rPr>
          <w:rFonts w:ascii="Arial" w:cs="Arial" w:eastAsia="Arial" w:hAnsi="Arial"/>
          <w:sz w:val="12"/>
          <w:szCs w:val="12"/>
          <w:color w:val="auto"/>
        </w:rPr>
        <w:t xml:space="preserve"> for performing, primary insurance is subject to a floor of 5.6% of </w:t>
      </w:r>
      <w:r>
        <w:rPr>
          <w:rFonts w:ascii="Arial" w:cs="Arial" w:eastAsia="Arial" w:hAnsi="Arial"/>
          <w:sz w:val="12"/>
          <w:szCs w:val="12"/>
          <w:i w:val="1"/>
          <w:iCs w:val="1"/>
          <w:color w:val="auto"/>
        </w:rPr>
        <w:t>performing primary adjusted RIF</w:t>
      </w:r>
      <w:r>
        <w:rPr>
          <w:rFonts w:ascii="Arial" w:cs="Arial" w:eastAsia="Arial" w:hAnsi="Arial"/>
          <w:sz w:val="12"/>
          <w:szCs w:val="12"/>
          <w:color w:val="auto"/>
        </w:rPr>
        <w:t xml:space="preserve">, and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for pool insurance considers both factors in the PMIERs tables and the </w:t>
      </w:r>
      <w:r>
        <w:rPr>
          <w:rFonts w:ascii="Arial" w:cs="Arial" w:eastAsia="Arial" w:hAnsi="Arial"/>
          <w:sz w:val="12"/>
          <w:szCs w:val="12"/>
          <w:i w:val="1"/>
          <w:iCs w:val="1"/>
          <w:color w:val="auto"/>
        </w:rPr>
        <w:t>net remaining stop loss</w:t>
      </w:r>
      <w:r>
        <w:rPr>
          <w:rFonts w:ascii="Arial" w:cs="Arial" w:eastAsia="Arial" w:hAnsi="Arial"/>
          <w:sz w:val="12"/>
          <w:szCs w:val="12"/>
          <w:color w:val="auto"/>
        </w:rPr>
        <w:t xml:space="preserve"> for each pool insurance policy.</w:t>
      </w:r>
    </w:p>
    <w:p>
      <w:pPr>
        <w:spacing w:after="0" w:line="9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By April 15th of each year, NMIC must certify it met all PMIERs requirements as of December 31st of the prior year. We certified to the GSEs by April 15, 2021 that NMIC was in full compliance with the PMIERs as of December 31, 2020. NMIC also has an ongoing obligation to immediately notify the GSEs in writing upon discovery of a failure to meet one or more of the PMIERs requirements. We continuously monitor NMIC's compliance with the PMIERs.</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The following table provides a comparison of the PMIERs </w:t>
      </w:r>
      <w:r>
        <w:rPr>
          <w:rFonts w:ascii="Arial" w:cs="Arial" w:eastAsia="Arial" w:hAnsi="Arial"/>
          <w:sz w:val="12"/>
          <w:szCs w:val="12"/>
          <w:i w:val="1"/>
          <w:iCs w:val="1"/>
          <w:color w:val="auto"/>
        </w:rPr>
        <w:t>available assets</w:t>
      </w:r>
      <w:r>
        <w:rPr>
          <w:rFonts w:ascii="Arial" w:cs="Arial" w:eastAsia="Arial" w:hAnsi="Arial"/>
          <w:sz w:val="12"/>
          <w:szCs w:val="12"/>
          <w:color w:val="auto"/>
        </w:rPr>
        <w:t xml:space="preserve"> and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as reported by NMIC as of the dates indicated.</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6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left="86"/>
              <w:spacing w:after="0"/>
              <w:rPr>
                <w:sz w:val="20"/>
                <w:szCs w:val="20"/>
                <w:color w:val="auto"/>
              </w:rPr>
            </w:pPr>
            <w:r>
              <w:rPr>
                <w:rFonts w:ascii="Arial" w:cs="Arial" w:eastAsia="Arial" w:hAnsi="Arial"/>
                <w:sz w:val="10"/>
                <w:szCs w:val="10"/>
                <w:b w:val="1"/>
                <w:bCs w:val="1"/>
                <w:color w:val="auto"/>
                <w:w w:val="87"/>
              </w:rPr>
              <w:t>As of</w:t>
            </w:r>
          </w:p>
        </w:tc>
        <w:tc>
          <w:tcPr>
            <w:tcW w:w="1300" w:type="dxa"/>
            <w:vAlign w:val="bottom"/>
            <w:tcBorders>
              <w:bottom w:val="single" w:sz="8" w:color="auto"/>
            </w:tcBorders>
          </w:tcPr>
          <w:p>
            <w:pPr>
              <w:spacing w:after="0"/>
              <w:rPr>
                <w:sz w:val="11"/>
                <w:szCs w:val="11"/>
                <w:color w:val="auto"/>
              </w:rPr>
            </w:pPr>
          </w:p>
        </w:tc>
      </w:tr>
      <w:tr>
        <w:trPr>
          <w:trHeight w:val="118"/>
        </w:trPr>
        <w:tc>
          <w:tcPr>
            <w:tcW w:w="7660" w:type="dxa"/>
            <w:vAlign w:val="bottom"/>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2021</w:t>
            </w: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June 30, 2020</w:t>
            </w:r>
          </w:p>
        </w:tc>
      </w:tr>
      <w:tr>
        <w:trPr>
          <w:trHeight w:val="114"/>
        </w:trPr>
        <w:tc>
          <w:tcPr>
            <w:tcW w:w="7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40" w:type="dxa"/>
            <w:vAlign w:val="bottom"/>
            <w:gridSpan w:val="2"/>
          </w:tcPr>
          <w:p>
            <w:pPr>
              <w:jc w:val="center"/>
              <w:ind w:left="86"/>
              <w:spacing w:after="0"/>
              <w:rPr>
                <w:sz w:val="20"/>
                <w:szCs w:val="20"/>
                <w:color w:val="auto"/>
              </w:rPr>
            </w:pPr>
            <w:r>
              <w:rPr>
                <w:rFonts w:ascii="Arial" w:cs="Arial" w:eastAsia="Arial" w:hAnsi="Arial"/>
                <w:sz w:val="10"/>
                <w:szCs w:val="10"/>
                <w:i w:val="1"/>
                <w:iCs w:val="1"/>
                <w:color w:val="auto"/>
                <w:w w:val="86"/>
              </w:rPr>
              <w:t>(In Thousands)</w:t>
            </w:r>
          </w:p>
        </w:tc>
        <w:tc>
          <w:tcPr>
            <w:tcW w:w="1300" w:type="dxa"/>
            <w:vAlign w:val="bottom"/>
          </w:tcPr>
          <w:p>
            <w:pPr>
              <w:spacing w:after="0"/>
              <w:rPr>
                <w:sz w:val="9"/>
                <w:szCs w:val="9"/>
                <w:color w:val="auto"/>
              </w:rPr>
            </w:pPr>
          </w:p>
        </w:tc>
      </w:tr>
      <w:tr>
        <w:trPr>
          <w:trHeight w:val="155"/>
        </w:trPr>
        <w:tc>
          <w:tcPr>
            <w:tcW w:w="7660" w:type="dxa"/>
            <w:vAlign w:val="bottom"/>
            <w:shd w:val="clear" w:color="auto" w:fill="CCEEFF"/>
          </w:tcPr>
          <w:p>
            <w:pPr>
              <w:spacing w:after="0"/>
              <w:rPr>
                <w:sz w:val="20"/>
                <w:szCs w:val="20"/>
                <w:color w:val="auto"/>
              </w:rPr>
            </w:pPr>
            <w:r>
              <w:rPr>
                <w:rFonts w:ascii="Arial" w:cs="Arial" w:eastAsia="Arial" w:hAnsi="Arial"/>
                <w:sz w:val="12"/>
                <w:szCs w:val="12"/>
                <w:color w:val="auto"/>
              </w:rPr>
              <w:t>Available assets</w:t>
            </w:r>
          </w:p>
        </w:tc>
        <w:tc>
          <w:tcPr>
            <w:tcW w:w="1160" w:type="dxa"/>
            <w:vAlign w:val="bottom"/>
            <w:shd w:val="clear" w:color="auto" w:fill="CCEEFF"/>
          </w:tcPr>
          <w:p>
            <w:pPr>
              <w:jc w:val="right"/>
              <w:ind w:right="1026"/>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w w:val="89"/>
              </w:rPr>
              <w:t>1,886,993</w:t>
            </w:r>
          </w:p>
        </w:tc>
        <w:tc>
          <w:tcPr>
            <w:tcW w:w="4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1,656,426</w:t>
            </w:r>
          </w:p>
        </w:tc>
      </w:tr>
      <w:tr>
        <w:trPr>
          <w:trHeight w:val="153"/>
        </w:trPr>
        <w:tc>
          <w:tcPr>
            <w:tcW w:w="7660" w:type="dxa"/>
            <w:vAlign w:val="bottom"/>
          </w:tcPr>
          <w:p>
            <w:pPr>
              <w:spacing w:after="0"/>
              <w:rPr>
                <w:sz w:val="20"/>
                <w:szCs w:val="20"/>
                <w:color w:val="auto"/>
              </w:rPr>
            </w:pPr>
            <w:r>
              <w:rPr>
                <w:rFonts w:ascii="Arial" w:cs="Arial" w:eastAsia="Arial" w:hAnsi="Arial"/>
                <w:sz w:val="12"/>
                <w:szCs w:val="12"/>
                <w:color w:val="auto"/>
              </w:rPr>
              <w:t>Risk-based required assets</w:t>
            </w:r>
          </w:p>
        </w:tc>
        <w:tc>
          <w:tcPr>
            <w:tcW w:w="1160" w:type="dxa"/>
            <w:vAlign w:val="bottom"/>
          </w:tcPr>
          <w:p>
            <w:pPr>
              <w:spacing w:after="0"/>
              <w:rPr>
                <w:sz w:val="13"/>
                <w:szCs w:val="13"/>
                <w:color w:val="auto"/>
              </w:rPr>
            </w:pPr>
          </w:p>
        </w:tc>
        <w:tc>
          <w:tcPr>
            <w:tcW w:w="580" w:type="dxa"/>
            <w:vAlign w:val="bottom"/>
          </w:tcPr>
          <w:p>
            <w:pPr>
              <w:jc w:val="right"/>
              <w:ind w:right="26"/>
              <w:spacing w:after="0"/>
              <w:rPr>
                <w:sz w:val="20"/>
                <w:szCs w:val="20"/>
                <w:color w:val="auto"/>
              </w:rPr>
            </w:pPr>
            <w:r>
              <w:rPr>
                <w:rFonts w:ascii="Arial" w:cs="Arial" w:eastAsia="Arial" w:hAnsi="Arial"/>
                <w:sz w:val="12"/>
                <w:szCs w:val="12"/>
                <w:color w:val="auto"/>
                <w:w w:val="89"/>
              </w:rPr>
              <w:t>1,170,854</w:t>
            </w:r>
          </w:p>
        </w:tc>
        <w:tc>
          <w:tcPr>
            <w:tcW w:w="4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1,047,619</w:t>
            </w:r>
          </w:p>
        </w:tc>
      </w:tr>
    </w:tbl>
    <w:p>
      <w:pPr>
        <w:spacing w:after="0" w:line="324"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i w:val="1"/>
          <w:iCs w:val="1"/>
          <w:color w:val="auto"/>
        </w:rPr>
        <w:t xml:space="preserve">Available assets </w:t>
      </w:r>
      <w:r>
        <w:rPr>
          <w:rFonts w:ascii="Arial" w:cs="Arial" w:eastAsia="Arial" w:hAnsi="Arial"/>
          <w:sz w:val="12"/>
          <w:szCs w:val="12"/>
          <w:color w:val="auto"/>
        </w:rPr>
        <w:t>were $1.9 billion at June 30, 2021, compared to $1.7 billion at June 30, 2020. The $231 million increase in</w:t>
      </w:r>
      <w:r>
        <w:rPr>
          <w:rFonts w:ascii="Arial" w:cs="Arial" w:eastAsia="Arial" w:hAnsi="Arial"/>
          <w:sz w:val="12"/>
          <w:szCs w:val="12"/>
          <w:i w:val="1"/>
          <w:iCs w:val="1"/>
          <w:color w:val="auto"/>
        </w:rPr>
        <w:t xml:space="preserve"> available assets </w:t>
      </w:r>
      <w:r>
        <w:rPr>
          <w:rFonts w:ascii="Arial" w:cs="Arial" w:eastAsia="Arial" w:hAnsi="Arial"/>
          <w:sz w:val="12"/>
          <w:szCs w:val="12"/>
          <w:color w:val="auto"/>
        </w:rPr>
        <w:t>between the dates presented was primarily driven by NMIC's positive cash flow from</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during the intervening period.</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47" w:name="page48"/>
    <w:bookmarkEnd w:id="47"/>
    <w:p>
      <w:pPr>
        <w:ind w:left="420" w:right="80"/>
        <w:spacing w:after="0" w:line="438" w:lineRule="auto"/>
        <w:rPr>
          <w:sz w:val="20"/>
          <w:szCs w:val="20"/>
          <w:color w:val="auto"/>
        </w:rPr>
      </w:pPr>
      <w:r>
        <w:rPr>
          <w:rFonts w:ascii="Arial" w:cs="Arial" w:eastAsia="Arial" w:hAnsi="Arial"/>
          <w:sz w:val="12"/>
          <w:szCs w:val="12"/>
          <w:color w:val="auto"/>
        </w:rPr>
        <w:t xml:space="preserve">The increase in the </w:t>
      </w:r>
      <w:r>
        <w:rPr>
          <w:rFonts w:ascii="Arial" w:cs="Arial" w:eastAsia="Arial" w:hAnsi="Arial"/>
          <w:sz w:val="12"/>
          <w:szCs w:val="12"/>
          <w:i w:val="1"/>
          <w:iCs w:val="1"/>
          <w:color w:val="auto"/>
        </w:rPr>
        <w:t>risk-based required asset amount</w:t>
      </w:r>
      <w:r>
        <w:rPr>
          <w:rFonts w:ascii="Arial" w:cs="Arial" w:eastAsia="Arial" w:hAnsi="Arial"/>
          <w:sz w:val="12"/>
          <w:szCs w:val="12"/>
          <w:color w:val="auto"/>
        </w:rPr>
        <w:t xml:space="preserve"> between the dates presented was primarily due to the growth of our gross RIF, partially offset by an increase in the risk ceded under our third-party reinsurance agreements. </w:t>
      </w:r>
      <w:r>
        <w:rPr>
          <w:rFonts w:ascii="Arial" w:cs="Arial" w:eastAsia="Arial" w:hAnsi="Arial"/>
          <w:sz w:val="12"/>
          <w:szCs w:val="12"/>
          <w:b w:val="1"/>
          <w:bCs w:val="1"/>
          <w:i w:val="1"/>
          <w:iCs w:val="1"/>
          <w:color w:val="auto"/>
        </w:rPr>
        <w:t>Competition</w:t>
      </w:r>
    </w:p>
    <w:p>
      <w:pPr>
        <w:jc w:val="both"/>
        <w:ind w:firstLine="432"/>
        <w:spacing w:after="0" w:line="263" w:lineRule="auto"/>
        <w:rPr>
          <w:sz w:val="20"/>
          <w:szCs w:val="20"/>
          <w:color w:val="auto"/>
        </w:rPr>
      </w:pPr>
      <w:r>
        <w:rPr>
          <w:rFonts w:ascii="Arial" w:cs="Arial" w:eastAsia="Arial" w:hAnsi="Arial"/>
          <w:sz w:val="12"/>
          <w:szCs w:val="12"/>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LIBOR Transition</w:t>
      </w:r>
    </w:p>
    <w:p>
      <w:pPr>
        <w:spacing w:after="0" w:line="11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("FCA"),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our 2020 Revolving Credit Facility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cannot currently estimate the impact such transition will have on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8" w:name="page49"/>
    <w:bookmarkEnd w:id="48"/>
    <w:p>
      <w:pPr>
        <w:ind w:left="80"/>
        <w:spacing w:after="0"/>
        <w:rPr>
          <w:sz w:val="20"/>
          <w:szCs w:val="20"/>
          <w:color w:val="auto"/>
        </w:rPr>
      </w:pPr>
      <w:r>
        <w:rPr>
          <w:rFonts w:ascii="Arial" w:cs="Arial" w:eastAsia="Arial" w:hAnsi="Arial"/>
          <w:sz w:val="12"/>
          <w:szCs w:val="12"/>
          <w:b w:val="1"/>
          <w:bCs w:val="1"/>
          <w:color w:val="auto"/>
        </w:rPr>
        <w:t>Consolidated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0" w:type="dxa"/>
            <w:vAlign w:val="bottom"/>
          </w:tcPr>
          <w:p>
            <w:pPr>
              <w:spacing w:after="0"/>
              <w:rPr>
                <w:sz w:val="11"/>
                <w:szCs w:val="11"/>
                <w:color w:val="auto"/>
              </w:rPr>
            </w:pPr>
          </w:p>
        </w:tc>
        <w:tc>
          <w:tcPr>
            <w:tcW w:w="4600" w:type="dxa"/>
            <w:vAlign w:val="bottom"/>
          </w:tcPr>
          <w:p>
            <w:pPr>
              <w:spacing w:after="0"/>
              <w:rPr>
                <w:sz w:val="20"/>
                <w:szCs w:val="20"/>
                <w:color w:val="auto"/>
              </w:rPr>
            </w:pPr>
            <w:r>
              <w:rPr>
                <w:rFonts w:ascii="Arial" w:cs="Arial" w:eastAsia="Arial" w:hAnsi="Arial"/>
                <w:sz w:val="10"/>
                <w:szCs w:val="10"/>
                <w:b w:val="1"/>
                <w:bCs w:val="1"/>
                <w:color w:val="auto"/>
              </w:rPr>
              <w:t>Consolidated statements of operations</w:t>
            </w:r>
          </w:p>
        </w:tc>
        <w:tc>
          <w:tcPr>
            <w:tcW w:w="2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0"/>
                <w:szCs w:val="10"/>
                <w:b w:val="1"/>
                <w:bCs w:val="1"/>
                <w:color w:val="auto"/>
              </w:rPr>
              <w:t>Six months ended</w:t>
            </w:r>
          </w:p>
        </w:tc>
      </w:tr>
      <w:tr>
        <w:trPr>
          <w:trHeight w:val="118"/>
        </w:trPr>
        <w:tc>
          <w:tcPr>
            <w:tcW w:w="80" w:type="dxa"/>
            <w:vAlign w:val="bottom"/>
          </w:tcPr>
          <w:p>
            <w:pPr>
              <w:spacing w:after="0"/>
              <w:rPr>
                <w:sz w:val="10"/>
                <w:szCs w:val="10"/>
                <w:color w:val="auto"/>
              </w:rPr>
            </w:pPr>
          </w:p>
        </w:tc>
        <w:tc>
          <w:tcPr>
            <w:tcW w:w="46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0"/>
                <w:szCs w:val="10"/>
                <w:b w:val="1"/>
                <w:bCs w:val="1"/>
                <w:color w:val="auto"/>
              </w:rPr>
              <w:t>June 30, 2021</w:t>
            </w: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0"/>
                <w:szCs w:val="10"/>
                <w:b w:val="1"/>
                <w:bCs w:val="1"/>
                <w:color w:val="auto"/>
              </w:rPr>
              <w:t>June 30, 2020</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June 30, 2021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June 30, 2020</w:t>
            </w:r>
          </w:p>
        </w:tc>
      </w:tr>
      <w:tr>
        <w:trPr>
          <w:trHeight w:val="134"/>
        </w:trPr>
        <w:tc>
          <w:tcPr>
            <w:tcW w:w="80" w:type="dxa"/>
            <w:vAlign w:val="bottom"/>
          </w:tcPr>
          <w:p>
            <w:pPr>
              <w:spacing w:after="0"/>
              <w:rPr>
                <w:sz w:val="11"/>
                <w:szCs w:val="11"/>
                <w:color w:val="auto"/>
              </w:rPr>
            </w:pPr>
          </w:p>
        </w:tc>
        <w:tc>
          <w:tcPr>
            <w:tcW w:w="46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920" w:type="dxa"/>
            <w:vAlign w:val="bottom"/>
            <w:gridSpan w:val="6"/>
            <w:shd w:val="clear" w:color="auto" w:fill="CCEEFF"/>
          </w:tcPr>
          <w:p>
            <w:pPr>
              <w:jc w:val="right"/>
              <w:ind w:right="942"/>
              <w:spacing w:after="0"/>
              <w:rPr>
                <w:sz w:val="20"/>
                <w:szCs w:val="20"/>
                <w:color w:val="auto"/>
              </w:rPr>
            </w:pPr>
            <w:r>
              <w:rPr>
                <w:rFonts w:ascii="Arial" w:cs="Arial" w:eastAsia="Arial" w:hAnsi="Arial"/>
                <w:sz w:val="10"/>
                <w:szCs w:val="10"/>
                <w:i w:val="1"/>
                <w:iCs w:val="1"/>
                <w:color w:val="auto"/>
              </w:rPr>
              <w:t>($ in thousands, except for per share data)</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3"/>
        </w:trPr>
        <w:tc>
          <w:tcPr>
            <w:tcW w:w="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2"/>
                <w:szCs w:val="12"/>
                <w:color w:val="auto"/>
              </w:rPr>
              <w:t>Net premiums earned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102"/>
              <w:spacing w:after="0"/>
              <w:rPr>
                <w:sz w:val="20"/>
                <w:szCs w:val="20"/>
                <w:color w:val="auto"/>
              </w:rPr>
            </w:pPr>
            <w:r>
              <w:rPr>
                <w:rFonts w:ascii="Arial" w:cs="Arial" w:eastAsia="Arial" w:hAnsi="Arial"/>
                <w:sz w:val="12"/>
                <w:szCs w:val="12"/>
                <w:color w:val="auto"/>
              </w:rPr>
              <w:t>110,888</w:t>
            </w:r>
          </w:p>
        </w:tc>
        <w:tc>
          <w:tcPr>
            <w:tcW w:w="6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98,944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82"/>
              <w:spacing w:after="0"/>
              <w:rPr>
                <w:sz w:val="20"/>
                <w:szCs w:val="20"/>
                <w:color w:val="auto"/>
              </w:rPr>
            </w:pPr>
            <w:r>
              <w:rPr>
                <w:rFonts w:ascii="Arial" w:cs="Arial" w:eastAsia="Arial" w:hAnsi="Arial"/>
                <w:sz w:val="12"/>
                <w:szCs w:val="12"/>
                <w:color w:val="auto"/>
              </w:rPr>
              <w:t>216,767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197,661</w:t>
            </w: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investment income</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9,382</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7,070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18,196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15,174</w:t>
            </w:r>
          </w:p>
        </w:tc>
      </w:tr>
      <w:tr>
        <w:trPr>
          <w:trHeight w:val="153"/>
        </w:trPr>
        <w:tc>
          <w:tcPr>
            <w:tcW w:w="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2"/>
                <w:szCs w:val="12"/>
                <w:color w:val="auto"/>
              </w:rPr>
              <w:t>Net realized investment gains</w:t>
            </w:r>
          </w:p>
        </w:tc>
        <w:tc>
          <w:tcPr>
            <w:tcW w:w="220" w:type="dxa"/>
            <w:vAlign w:val="bottom"/>
          </w:tcPr>
          <w:p>
            <w:pPr>
              <w:spacing w:after="0"/>
              <w:rPr>
                <w:sz w:val="13"/>
                <w:szCs w:val="13"/>
                <w:color w:val="auto"/>
              </w:rPr>
            </w:pPr>
          </w:p>
        </w:tc>
        <w:tc>
          <w:tcPr>
            <w:tcW w:w="1580" w:type="dxa"/>
            <w:vAlign w:val="bottom"/>
          </w:tcPr>
          <w:p>
            <w:pPr>
              <w:jc w:val="right"/>
              <w:ind w:right="102"/>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711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82"/>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639</w:t>
            </w: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revenues</w:t>
            </w:r>
          </w:p>
        </w:tc>
        <w:tc>
          <w:tcPr>
            <w:tcW w:w="2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483</w:t>
            </w:r>
          </w:p>
        </w:tc>
        <w:tc>
          <w:tcPr>
            <w:tcW w:w="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1,223</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984</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2,123</w:t>
            </w:r>
          </w:p>
        </w:tc>
      </w:tr>
      <w:tr>
        <w:trPr>
          <w:trHeight w:val="142"/>
        </w:trPr>
        <w:tc>
          <w:tcPr>
            <w:tcW w:w="80" w:type="dxa"/>
            <w:vAlign w:val="bottom"/>
          </w:tcPr>
          <w:p>
            <w:pPr>
              <w:spacing w:after="0"/>
              <w:rPr>
                <w:sz w:val="12"/>
                <w:szCs w:val="12"/>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revenues</w:t>
            </w: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120,765</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107,948</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235,959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215,597</w:t>
            </w:r>
          </w:p>
        </w:tc>
      </w:tr>
      <w:tr>
        <w:trPr>
          <w:trHeight w:val="133"/>
        </w:trPr>
        <w:tc>
          <w:tcPr>
            <w:tcW w:w="80" w:type="dxa"/>
            <w:vAlign w:val="bottom"/>
          </w:tcPr>
          <w:p>
            <w:pPr>
              <w:spacing w:after="0"/>
              <w:rPr>
                <w:sz w:val="11"/>
                <w:szCs w:val="11"/>
                <w:color w:val="auto"/>
              </w:rPr>
            </w:pPr>
          </w:p>
        </w:tc>
        <w:tc>
          <w:tcPr>
            <w:tcW w:w="4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Expenses</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53"/>
        </w:trPr>
        <w:tc>
          <w:tcPr>
            <w:tcW w:w="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2"/>
                <w:szCs w:val="12"/>
                <w:color w:val="auto"/>
              </w:rPr>
              <w:t>Insurance claims and claim expenses</w:t>
            </w:r>
          </w:p>
        </w:tc>
        <w:tc>
          <w:tcPr>
            <w:tcW w:w="220" w:type="dxa"/>
            <w:vAlign w:val="bottom"/>
          </w:tcPr>
          <w:p>
            <w:pPr>
              <w:spacing w:after="0"/>
              <w:rPr>
                <w:sz w:val="13"/>
                <w:szCs w:val="13"/>
                <w:color w:val="auto"/>
              </w:rPr>
            </w:pPr>
          </w:p>
        </w:tc>
        <w:tc>
          <w:tcPr>
            <w:tcW w:w="1580" w:type="dxa"/>
            <w:vAlign w:val="bottom"/>
          </w:tcPr>
          <w:p>
            <w:pPr>
              <w:jc w:val="right"/>
              <w:ind w:right="102"/>
              <w:spacing w:after="0"/>
              <w:rPr>
                <w:sz w:val="20"/>
                <w:szCs w:val="20"/>
                <w:color w:val="auto"/>
              </w:rPr>
            </w:pPr>
            <w:r>
              <w:rPr>
                <w:rFonts w:ascii="Arial" w:cs="Arial" w:eastAsia="Arial" w:hAnsi="Arial"/>
                <w:sz w:val="12"/>
                <w:szCs w:val="12"/>
                <w:color w:val="auto"/>
              </w:rPr>
              <w:t>4,640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34,334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82"/>
              <w:spacing w:after="0"/>
              <w:rPr>
                <w:sz w:val="20"/>
                <w:szCs w:val="20"/>
                <w:color w:val="auto"/>
              </w:rPr>
            </w:pPr>
            <w:r>
              <w:rPr>
                <w:rFonts w:ascii="Arial" w:cs="Arial" w:eastAsia="Arial" w:hAnsi="Arial"/>
                <w:sz w:val="12"/>
                <w:szCs w:val="12"/>
                <w:color w:val="auto"/>
              </w:rPr>
              <w:t>9,602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40,031</w:t>
            </w: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Underwriting and operating expenses</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34,725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30,370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68,790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62,647</w:t>
            </w:r>
          </w:p>
        </w:tc>
      </w:tr>
      <w:tr>
        <w:trPr>
          <w:trHeight w:val="153"/>
        </w:trPr>
        <w:tc>
          <w:tcPr>
            <w:tcW w:w="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2"/>
                <w:szCs w:val="12"/>
                <w:color w:val="auto"/>
              </w:rPr>
              <w:t>Service expenses</w:t>
            </w:r>
          </w:p>
        </w:tc>
        <w:tc>
          <w:tcPr>
            <w:tcW w:w="220" w:type="dxa"/>
            <w:vAlign w:val="bottom"/>
          </w:tcPr>
          <w:p>
            <w:pPr>
              <w:spacing w:after="0"/>
              <w:rPr>
                <w:sz w:val="13"/>
                <w:szCs w:val="13"/>
                <w:color w:val="auto"/>
              </w:rPr>
            </w:pPr>
          </w:p>
        </w:tc>
        <w:tc>
          <w:tcPr>
            <w:tcW w:w="1580" w:type="dxa"/>
            <w:vAlign w:val="bottom"/>
          </w:tcPr>
          <w:p>
            <w:pPr>
              <w:jc w:val="right"/>
              <w:ind w:right="102"/>
              <w:spacing w:after="0"/>
              <w:rPr>
                <w:sz w:val="20"/>
                <w:szCs w:val="20"/>
                <w:color w:val="auto"/>
              </w:rPr>
            </w:pPr>
            <w:r>
              <w:rPr>
                <w:rFonts w:ascii="Arial" w:cs="Arial" w:eastAsia="Arial" w:hAnsi="Arial"/>
                <w:sz w:val="12"/>
                <w:szCs w:val="12"/>
                <w:color w:val="auto"/>
              </w:rPr>
              <w:t>481</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1,090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82"/>
              <w:spacing w:after="0"/>
              <w:rPr>
                <w:sz w:val="20"/>
                <w:szCs w:val="20"/>
                <w:color w:val="auto"/>
              </w:rPr>
            </w:pPr>
            <w:r>
              <w:rPr>
                <w:rFonts w:ascii="Arial" w:cs="Arial" w:eastAsia="Arial" w:hAnsi="Arial"/>
                <w:sz w:val="12"/>
                <w:szCs w:val="12"/>
                <w:color w:val="auto"/>
              </w:rPr>
              <w:t>1,072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1,824</w:t>
            </w: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7,922</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5,941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15,837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8,685</w:t>
            </w:r>
          </w:p>
        </w:tc>
      </w:tr>
      <w:tr>
        <w:trPr>
          <w:trHeight w:val="153"/>
        </w:trPr>
        <w:tc>
          <w:tcPr>
            <w:tcW w:w="80" w:type="dxa"/>
            <w:vAlign w:val="bottom"/>
          </w:tcPr>
          <w:p>
            <w:pPr>
              <w:spacing w:after="0"/>
              <w:rPr>
                <w:sz w:val="13"/>
                <w:szCs w:val="13"/>
                <w:color w:val="auto"/>
              </w:rPr>
            </w:pPr>
          </w:p>
        </w:tc>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(Gain) loss from change in fair value of warrant liability</w:t>
            </w: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(658)</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1,236</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(453)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(4,723)</w:t>
            </w:r>
          </w:p>
        </w:tc>
      </w:tr>
      <w:tr>
        <w:trPr>
          <w:trHeight w:val="142"/>
        </w:trPr>
        <w:tc>
          <w:tcPr>
            <w:tcW w:w="80" w:type="dxa"/>
            <w:vAlign w:val="bottom"/>
          </w:tcPr>
          <w:p>
            <w:pPr>
              <w:spacing w:after="0"/>
              <w:rPr>
                <w:sz w:val="12"/>
                <w:szCs w:val="12"/>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Total expenses</w:t>
            </w:r>
          </w:p>
        </w:tc>
        <w:tc>
          <w:tcPr>
            <w:tcW w:w="22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47,110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72,971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94,848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108,464</w:t>
            </w:r>
          </w:p>
        </w:tc>
      </w:tr>
      <w:tr>
        <w:trPr>
          <w:trHeight w:val="180"/>
        </w:trPr>
        <w:tc>
          <w:tcPr>
            <w:tcW w:w="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22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73,655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34,977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141,111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107,133</w:t>
            </w:r>
          </w:p>
        </w:tc>
      </w:tr>
      <w:tr>
        <w:trPr>
          <w:trHeight w:val="153"/>
        </w:trPr>
        <w:tc>
          <w:tcPr>
            <w:tcW w:w="80" w:type="dxa"/>
            <w:vAlign w:val="bottom"/>
          </w:tcPr>
          <w:p>
            <w:pPr>
              <w:spacing w:after="0"/>
              <w:rPr>
                <w:sz w:val="13"/>
                <w:szCs w:val="13"/>
                <w:color w:val="auto"/>
              </w:rPr>
            </w:pPr>
          </w:p>
        </w:tc>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Income tax expense</w:t>
            </w:r>
          </w:p>
        </w:tc>
        <w:tc>
          <w:tcPr>
            <w:tcW w:w="2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16,133</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8,129</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30,697</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22,014</w:t>
            </w:r>
          </w:p>
        </w:tc>
      </w:tr>
      <w:tr>
        <w:trPr>
          <w:trHeight w:val="158"/>
        </w:trPr>
        <w:tc>
          <w:tcPr>
            <w:tcW w:w="80" w:type="dxa"/>
            <w:vAlign w:val="bottom"/>
          </w:tcPr>
          <w:p>
            <w:pPr>
              <w:spacing w:after="0"/>
              <w:rPr>
                <w:sz w:val="13"/>
                <w:szCs w:val="13"/>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57,522</w:t>
            </w: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26,848</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110,414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85,119</w:t>
            </w:r>
          </w:p>
        </w:tc>
      </w:tr>
      <w:tr>
        <w:trPr>
          <w:trHeight w:val="90"/>
        </w:trPr>
        <w:tc>
          <w:tcPr>
            <w:tcW w:w="80" w:type="dxa"/>
            <w:vAlign w:val="bottom"/>
          </w:tcPr>
          <w:p>
            <w:pPr>
              <w:spacing w:after="0"/>
              <w:rPr>
                <w:sz w:val="7"/>
                <w:szCs w:val="7"/>
                <w:color w:val="auto"/>
              </w:rPr>
            </w:pPr>
          </w:p>
        </w:tc>
        <w:tc>
          <w:tcPr>
            <w:tcW w:w="4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Earnings per share - Basic</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0.67</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0.36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1.20</w:t>
            </w:r>
          </w:p>
        </w:tc>
      </w:tr>
      <w:tr>
        <w:trPr>
          <w:trHeight w:val="153"/>
        </w:trPr>
        <w:tc>
          <w:tcPr>
            <w:tcW w:w="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Earnings per share - Diluted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102"/>
              <w:spacing w:after="0"/>
              <w:rPr>
                <w:sz w:val="20"/>
                <w:szCs w:val="20"/>
                <w:color w:val="auto"/>
              </w:rPr>
            </w:pPr>
            <w:r>
              <w:rPr>
                <w:rFonts w:ascii="Arial" w:cs="Arial" w:eastAsia="Arial" w:hAnsi="Arial"/>
                <w:sz w:val="12"/>
                <w:szCs w:val="12"/>
                <w:color w:val="auto"/>
              </w:rPr>
              <w:t>0.65</w:t>
            </w:r>
          </w:p>
        </w:tc>
        <w:tc>
          <w:tcPr>
            <w:tcW w:w="6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0.36</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7"/>
                <w:szCs w:val="7"/>
                <w:color w:val="auto"/>
                <w:w w:val="92"/>
              </w:rPr>
              <w:t>(2)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82"/>
              <w:spacing w:after="0"/>
              <w:rPr>
                <w:sz w:val="20"/>
                <w:szCs w:val="20"/>
                <w:color w:val="auto"/>
              </w:rPr>
            </w:pPr>
            <w:r>
              <w:rPr>
                <w:rFonts w:ascii="Arial" w:cs="Arial" w:eastAsia="Arial" w:hAnsi="Arial"/>
                <w:sz w:val="12"/>
                <w:szCs w:val="12"/>
                <w:color w:val="auto"/>
              </w:rPr>
              <w:t>1.27</w:t>
            </w:r>
          </w:p>
        </w:tc>
        <w:tc>
          <w:tcPr>
            <w:tcW w:w="100" w:type="dxa"/>
            <w:vAlign w:val="bottom"/>
          </w:tcPr>
          <w:p>
            <w:pPr>
              <w:jc w:val="right"/>
              <w:spacing w:after="0"/>
              <w:rPr>
                <w:sz w:val="20"/>
                <w:szCs w:val="20"/>
                <w:color w:val="auto"/>
              </w:rPr>
            </w:pPr>
            <w:r>
              <w:rPr>
                <w:rFonts w:ascii="Arial" w:cs="Arial" w:eastAsia="Arial" w:hAnsi="Arial"/>
                <w:sz w:val="7"/>
                <w:szCs w:val="7"/>
                <w:color w:val="auto"/>
                <w:w w:val="92"/>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1.11</w:t>
            </w:r>
          </w:p>
        </w:tc>
      </w:tr>
      <w:tr>
        <w:trPr>
          <w:trHeight w:val="108"/>
        </w:trPr>
        <w:tc>
          <w:tcPr>
            <w:tcW w:w="80" w:type="dxa"/>
            <w:vAlign w:val="bottom"/>
          </w:tcPr>
          <w:p>
            <w:pPr>
              <w:spacing w:after="0"/>
              <w:rPr>
                <w:sz w:val="9"/>
                <w:szCs w:val="9"/>
                <w:color w:val="auto"/>
              </w:rPr>
            </w:pPr>
          </w:p>
        </w:tc>
        <w:tc>
          <w:tcPr>
            <w:tcW w:w="4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r>
      <w:tr>
        <w:trPr>
          <w:trHeight w:val="153"/>
        </w:trPr>
        <w:tc>
          <w:tcPr>
            <w:tcW w:w="80" w:type="dxa"/>
            <w:vAlign w:val="bottom"/>
          </w:tcPr>
          <w:p>
            <w:pPr>
              <w:spacing w:after="0"/>
              <w:rPr>
                <w:sz w:val="13"/>
                <w:szCs w:val="13"/>
                <w:color w:val="auto"/>
              </w:rPr>
            </w:pPr>
          </w:p>
        </w:tc>
        <w:tc>
          <w:tcPr>
            <w:tcW w:w="4600" w:type="dxa"/>
            <w:vAlign w:val="bottom"/>
          </w:tcPr>
          <w:p>
            <w:pPr>
              <w:spacing w:after="0" w:line="153" w:lineRule="exact"/>
              <w:rPr>
                <w:sz w:val="20"/>
                <w:szCs w:val="20"/>
                <w:color w:val="auto"/>
              </w:rPr>
            </w:pPr>
            <w:r>
              <w:rPr>
                <w:rFonts w:ascii="Arial" w:cs="Arial" w:eastAsia="Arial" w:hAnsi="Arial"/>
                <w:sz w:val="12"/>
                <w:szCs w:val="12"/>
                <w:color w:val="auto"/>
              </w:rPr>
              <w:t>Loss ratio</w:t>
            </w:r>
            <w:r>
              <w:rPr>
                <w:rFonts w:ascii="Arial" w:cs="Arial" w:eastAsia="Arial" w:hAnsi="Arial"/>
                <w:sz w:val="15"/>
                <w:szCs w:val="15"/>
                <w:color w:val="auto"/>
                <w:vertAlign w:val="superscript"/>
              </w:rPr>
              <w:t>(1)</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4.2 %</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34.7 %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4.4 %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2"/>
                <w:szCs w:val="12"/>
                <w:color w:val="auto"/>
              </w:rPr>
              <w:t>20.3 %</w:t>
            </w: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Expense ratio</w:t>
            </w:r>
            <w:r>
              <w:rPr>
                <w:rFonts w:ascii="Arial" w:cs="Arial" w:eastAsia="Arial" w:hAnsi="Arial"/>
                <w:sz w:val="15"/>
                <w:szCs w:val="15"/>
                <w:color w:val="auto"/>
                <w:vertAlign w:val="superscript"/>
              </w:rPr>
              <w:t>(2)</w:t>
            </w:r>
          </w:p>
        </w:tc>
        <w:tc>
          <w:tcPr>
            <w:tcW w:w="2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31.3 %</w:t>
            </w:r>
          </w:p>
        </w:tc>
        <w:tc>
          <w:tcPr>
            <w:tcW w:w="6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30.7 %</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31.7 %</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31.7 %</w:t>
            </w:r>
          </w:p>
        </w:tc>
      </w:tr>
      <w:tr>
        <w:trPr>
          <w:trHeight w:val="196"/>
        </w:trPr>
        <w:tc>
          <w:tcPr>
            <w:tcW w:w="8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2"/>
                <w:szCs w:val="12"/>
                <w:color w:val="auto"/>
              </w:rPr>
              <w:t xml:space="preserve">Combined ratio </w:t>
            </w:r>
            <w:r>
              <w:rPr>
                <w:rFonts w:ascii="Arial" w:cs="Arial" w:eastAsia="Arial" w:hAnsi="Arial"/>
                <w:sz w:val="15"/>
                <w:szCs w:val="15"/>
                <w:color w:val="auto"/>
                <w:vertAlign w:val="superscript"/>
              </w:rPr>
              <w:t>(3)</w:t>
            </w: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35.5 %</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65.4 %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36.2 %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2"/>
                <w:szCs w:val="12"/>
                <w:color w:val="auto"/>
              </w:rPr>
              <w:t>51.9 %</w:t>
            </w:r>
          </w:p>
        </w:tc>
      </w:tr>
      <w:tr>
        <w:trPr>
          <w:trHeight w:val="257"/>
        </w:trPr>
        <w:tc>
          <w:tcPr>
            <w:tcW w:w="80" w:type="dxa"/>
            <w:vAlign w:val="bottom"/>
          </w:tcPr>
          <w:p>
            <w:pPr>
              <w:spacing w:after="0"/>
              <w:rPr>
                <w:sz w:val="22"/>
                <w:szCs w:val="22"/>
                <w:color w:val="auto"/>
              </w:rPr>
            </w:pPr>
          </w:p>
        </w:tc>
        <w:tc>
          <w:tcPr>
            <w:tcW w:w="4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Three months ended</w:t>
            </w: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Six months ended</w:t>
            </w: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119"/>
        </w:trPr>
        <w:tc>
          <w:tcPr>
            <w:tcW w:w="80" w:type="dxa"/>
            <w:vAlign w:val="bottom"/>
          </w:tcPr>
          <w:p>
            <w:pPr>
              <w:spacing w:after="0"/>
              <w:rPr>
                <w:sz w:val="20"/>
                <w:szCs w:val="20"/>
                <w:color w:val="auto"/>
              </w:rPr>
            </w:pPr>
            <w:r>
              <w:rPr>
                <w:rFonts w:ascii="Arial" w:cs="Arial" w:eastAsia="Arial" w:hAnsi="Arial"/>
                <w:sz w:val="8"/>
                <w:szCs w:val="8"/>
                <w:b w:val="1"/>
                <w:bCs w:val="1"/>
                <w:color w:val="auto"/>
                <w:w w:val="78"/>
              </w:rPr>
              <w:t>n-</w:t>
            </w:r>
          </w:p>
        </w:tc>
        <w:tc>
          <w:tcPr>
            <w:tcW w:w="4600" w:type="dxa"/>
            <w:vAlign w:val="bottom"/>
            <w:shd w:val="clear" w:color="auto" w:fill="CCEEFF"/>
          </w:tcPr>
          <w:p>
            <w:pPr>
              <w:spacing w:after="0" w:line="119" w:lineRule="exact"/>
              <w:rPr>
                <w:sz w:val="20"/>
                <w:szCs w:val="20"/>
                <w:color w:val="auto"/>
              </w:rPr>
            </w:pPr>
            <w:r>
              <w:rPr>
                <w:rFonts w:ascii="Arial" w:cs="Arial" w:eastAsia="Arial" w:hAnsi="Arial"/>
                <w:sz w:val="10"/>
                <w:szCs w:val="10"/>
                <w:b w:val="1"/>
                <w:bCs w:val="1"/>
                <w:color w:val="auto"/>
              </w:rPr>
              <w:t xml:space="preserve">GAAP financial measures </w:t>
            </w:r>
            <w:r>
              <w:rPr>
                <w:rFonts w:ascii="Arial" w:cs="Arial" w:eastAsia="Arial" w:hAnsi="Arial"/>
                <w:sz w:val="12"/>
                <w:szCs w:val="12"/>
                <w:b w:val="1"/>
                <w:bCs w:val="1"/>
                <w:color w:val="auto"/>
                <w:vertAlign w:val="superscript"/>
              </w:rPr>
              <w:t>(4)</w:t>
            </w:r>
          </w:p>
        </w:tc>
        <w:tc>
          <w:tcPr>
            <w:tcW w:w="220" w:type="dxa"/>
            <w:vAlign w:val="bottom"/>
            <w:shd w:val="clear" w:color="auto" w:fill="CCEEFF"/>
          </w:tcPr>
          <w:p>
            <w:pPr>
              <w:spacing w:after="0"/>
              <w:rPr>
                <w:sz w:val="10"/>
                <w:szCs w:val="10"/>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0"/>
                <w:szCs w:val="10"/>
                <w:b w:val="1"/>
                <w:bCs w:val="1"/>
                <w:color w:val="auto"/>
              </w:rPr>
              <w:t>June 30, 2021</w:t>
            </w:r>
          </w:p>
        </w:tc>
        <w:tc>
          <w:tcPr>
            <w:tcW w:w="38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522"/>
              <w:spacing w:after="0"/>
              <w:rPr>
                <w:sz w:val="20"/>
                <w:szCs w:val="20"/>
                <w:color w:val="auto"/>
              </w:rPr>
            </w:pPr>
            <w:r>
              <w:rPr>
                <w:rFonts w:ascii="Arial" w:cs="Arial" w:eastAsia="Arial" w:hAnsi="Arial"/>
                <w:sz w:val="10"/>
                <w:szCs w:val="10"/>
                <w:b w:val="1"/>
                <w:bCs w:val="1"/>
                <w:color w:val="auto"/>
                <w:w w:val="86"/>
              </w:rPr>
              <w:t>June 30, 2020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jc w:val="right"/>
              <w:ind w:right="702"/>
              <w:spacing w:after="0"/>
              <w:rPr>
                <w:sz w:val="20"/>
                <w:szCs w:val="20"/>
                <w:color w:val="auto"/>
              </w:rPr>
            </w:pPr>
            <w:r>
              <w:rPr>
                <w:rFonts w:ascii="Arial" w:cs="Arial" w:eastAsia="Arial" w:hAnsi="Arial"/>
                <w:sz w:val="10"/>
                <w:szCs w:val="10"/>
                <w:b w:val="1"/>
                <w:bCs w:val="1"/>
                <w:color w:val="auto"/>
                <w:w w:val="92"/>
              </w:rPr>
              <w:t>June 30, 2021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501"/>
              <w:spacing w:after="0"/>
              <w:rPr>
                <w:sz w:val="20"/>
                <w:szCs w:val="20"/>
                <w:color w:val="auto"/>
              </w:rPr>
            </w:pPr>
            <w:r>
              <w:rPr>
                <w:rFonts w:ascii="Arial" w:cs="Arial" w:eastAsia="Arial" w:hAnsi="Arial"/>
                <w:sz w:val="10"/>
                <w:szCs w:val="10"/>
                <w:b w:val="1"/>
                <w:bCs w:val="1"/>
                <w:color w:val="auto"/>
                <w:w w:val="86"/>
              </w:rPr>
              <w:t>June 30, 2020</w:t>
            </w:r>
          </w:p>
        </w:tc>
        <w:tc>
          <w:tcPr>
            <w:tcW w:w="220" w:type="dxa"/>
            <w:vAlign w:val="bottom"/>
          </w:tcPr>
          <w:p>
            <w:pPr>
              <w:spacing w:after="0"/>
              <w:rPr>
                <w:sz w:val="10"/>
                <w:szCs w:val="10"/>
                <w:color w:val="auto"/>
              </w:rPr>
            </w:pPr>
          </w:p>
        </w:tc>
      </w:tr>
      <w:tr>
        <w:trPr>
          <w:trHeight w:val="124"/>
        </w:trPr>
        <w:tc>
          <w:tcPr>
            <w:tcW w:w="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20" w:type="dxa"/>
            <w:vAlign w:val="bottom"/>
            <w:gridSpan w:val="6"/>
          </w:tcPr>
          <w:p>
            <w:pPr>
              <w:jc w:val="right"/>
              <w:ind w:right="1042"/>
              <w:spacing w:after="0"/>
              <w:rPr>
                <w:sz w:val="20"/>
                <w:szCs w:val="20"/>
                <w:color w:val="auto"/>
              </w:rPr>
            </w:pPr>
            <w:r>
              <w:rPr>
                <w:rFonts w:ascii="Arial" w:cs="Arial" w:eastAsia="Arial" w:hAnsi="Arial"/>
                <w:sz w:val="10"/>
                <w:szCs w:val="10"/>
                <w:i w:val="1"/>
                <w:iCs w:val="1"/>
                <w:color w:val="auto"/>
                <w:w w:val="95"/>
              </w:rPr>
              <w:t>($ in thousands, except for per share data)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5"/>
        </w:trPr>
        <w:tc>
          <w:tcPr>
            <w:tcW w:w="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justed income before tax</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74,600$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38,292$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142,639$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105,035</w:t>
            </w:r>
          </w:p>
        </w:tc>
        <w:tc>
          <w:tcPr>
            <w:tcW w:w="220" w:type="dxa"/>
            <w:vAlign w:val="bottom"/>
          </w:tcPr>
          <w:p>
            <w:pPr>
              <w:spacing w:after="0"/>
              <w:rPr>
                <w:sz w:val="13"/>
                <w:szCs w:val="13"/>
                <w:color w:val="auto"/>
              </w:rPr>
            </w:pPr>
          </w:p>
        </w:tc>
      </w:tr>
      <w:tr>
        <w:trPr>
          <w:trHeight w:val="153"/>
        </w:trPr>
        <w:tc>
          <w:tcPr>
            <w:tcW w:w="4680" w:type="dxa"/>
            <w:vAlign w:val="bottom"/>
            <w:gridSpan w:val="2"/>
          </w:tcPr>
          <w:p>
            <w:pPr>
              <w:ind w:left="20"/>
              <w:spacing w:after="0"/>
              <w:rPr>
                <w:sz w:val="20"/>
                <w:szCs w:val="20"/>
                <w:color w:val="auto"/>
              </w:rPr>
            </w:pPr>
            <w:r>
              <w:rPr>
                <w:rFonts w:ascii="Arial" w:cs="Arial" w:eastAsia="Arial" w:hAnsi="Arial"/>
                <w:sz w:val="12"/>
                <w:szCs w:val="12"/>
                <w:color w:val="auto"/>
              </w:rPr>
              <w:t>justed net income</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58,130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29,726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202"/>
              <w:spacing w:after="0"/>
              <w:rPr>
                <w:sz w:val="20"/>
                <w:szCs w:val="20"/>
                <w:color w:val="auto"/>
              </w:rPr>
            </w:pPr>
            <w:r>
              <w:rPr>
                <w:rFonts w:ascii="Arial" w:cs="Arial" w:eastAsia="Arial" w:hAnsi="Arial"/>
                <w:sz w:val="12"/>
                <w:szCs w:val="12"/>
                <w:color w:val="auto"/>
              </w:rPr>
              <w:t>111,526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82,470</w:t>
            </w:r>
          </w:p>
        </w:tc>
        <w:tc>
          <w:tcPr>
            <w:tcW w:w="220" w:type="dxa"/>
            <w:vAlign w:val="bottom"/>
          </w:tcPr>
          <w:p>
            <w:pPr>
              <w:spacing w:after="0"/>
              <w:rPr>
                <w:sz w:val="13"/>
                <w:szCs w:val="13"/>
                <w:color w:val="auto"/>
              </w:rPr>
            </w:pPr>
          </w:p>
        </w:tc>
      </w:tr>
      <w:tr>
        <w:trPr>
          <w:trHeight w:val="153"/>
        </w:trPr>
        <w:tc>
          <w:tcPr>
            <w:tcW w:w="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justed diluted EPS</w:t>
            </w:r>
          </w:p>
        </w:tc>
        <w:tc>
          <w:tcPr>
            <w:tcW w:w="2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0.67</w:t>
            </w: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220" w:type="dxa"/>
            <w:vAlign w:val="bottom"/>
          </w:tcPr>
          <w:p>
            <w:pPr>
              <w:spacing w:after="0"/>
              <w:rPr>
                <w:sz w:val="13"/>
                <w:szCs w:val="13"/>
                <w:color w:val="auto"/>
              </w:rPr>
            </w:pPr>
          </w:p>
        </w:tc>
      </w:tr>
    </w:tbl>
    <w:p>
      <w:pPr>
        <w:spacing w:after="0" w:line="139" w:lineRule="exact"/>
        <w:rPr>
          <w:sz w:val="20"/>
          <w:szCs w:val="20"/>
          <w:color w:val="auto"/>
        </w:rPr>
      </w:pPr>
    </w:p>
    <w:p>
      <w:pPr>
        <w:ind w:left="220" w:hanging="148"/>
        <w:spacing w:after="0"/>
        <w:tabs>
          <w:tab w:leader="none" w:pos="22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Loss ratio is calculated by dividing insurance claims and claim expenses by net premiums earned.</w:t>
      </w:r>
    </w:p>
    <w:p>
      <w:pPr>
        <w:ind w:left="260" w:hanging="188"/>
        <w:spacing w:after="0" w:line="187" w:lineRule="auto"/>
        <w:tabs>
          <w:tab w:leader="none" w:pos="26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Expense ratio is calculated by dividing underwriting and operating expenses by net premiums earned.</w:t>
      </w:r>
    </w:p>
    <w:p>
      <w:pPr>
        <w:ind w:left="280" w:hanging="208"/>
        <w:spacing w:after="0" w:line="187" w:lineRule="auto"/>
        <w:tabs>
          <w:tab w:leader="none" w:pos="28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Combined ratio may not foot due to rounding</w:t>
      </w:r>
    </w:p>
    <w:p>
      <w:pPr>
        <w:ind w:left="220" w:hanging="148"/>
        <w:spacing w:after="0" w:line="191" w:lineRule="auto"/>
        <w:tabs>
          <w:tab w:leader="none" w:pos="220" w:val="left"/>
        </w:tabs>
        <w:numPr>
          <w:ilvl w:val="0"/>
          <w:numId w:val="23"/>
        </w:numPr>
        <w:rPr>
          <w:rFonts w:ascii="Arial" w:cs="Arial" w:eastAsia="Arial" w:hAnsi="Arial"/>
          <w:sz w:val="14"/>
          <w:szCs w:val="14"/>
          <w:color w:val="auto"/>
          <w:vertAlign w:val="superscript"/>
        </w:rPr>
      </w:pPr>
      <w:r>
        <w:rPr>
          <w:rFonts w:ascii="Arial" w:cs="Arial" w:eastAsia="Arial" w:hAnsi="Arial"/>
          <w:sz w:val="11"/>
          <w:szCs w:val="11"/>
          <w:color w:val="auto"/>
        </w:rPr>
        <w:t>See "</w:t>
      </w:r>
      <w:r>
        <w:rPr>
          <w:rFonts w:ascii="Arial" w:cs="Arial" w:eastAsia="Arial" w:hAnsi="Arial"/>
          <w:sz w:val="11"/>
          <w:szCs w:val="11"/>
          <w:i w:val="1"/>
          <w:iCs w:val="1"/>
          <w:color w:val="auto"/>
        </w:rPr>
        <w:t>Explanation and Reconciliation of Our Use of Non-GAAP Financial Measures,</w:t>
      </w:r>
      <w:r>
        <w:rPr>
          <w:rFonts w:ascii="Arial" w:cs="Arial" w:eastAsia="Arial" w:hAnsi="Arial"/>
          <w:sz w:val="11"/>
          <w:szCs w:val="11"/>
          <w:color w:val="auto"/>
        </w:rPr>
        <w:t>" below.</w:t>
      </w:r>
    </w:p>
    <w:p>
      <w:pPr>
        <w:spacing w:after="0" w:line="94" w:lineRule="exact"/>
        <w:rPr>
          <w:sz w:val="20"/>
          <w:szCs w:val="20"/>
          <w:color w:val="auto"/>
        </w:rPr>
      </w:pPr>
    </w:p>
    <w:p>
      <w:pPr>
        <w:ind w:left="80"/>
        <w:spacing w:after="0"/>
        <w:rPr>
          <w:sz w:val="20"/>
          <w:szCs w:val="20"/>
          <w:color w:val="auto"/>
        </w:rPr>
      </w:pPr>
      <w:r>
        <w:rPr>
          <w:rFonts w:ascii="Arial" w:cs="Arial" w:eastAsia="Arial" w:hAnsi="Arial"/>
          <w:sz w:val="12"/>
          <w:szCs w:val="12"/>
          <w:b w:val="1"/>
          <w:bCs w:val="1"/>
          <w:i w:val="1"/>
          <w:iCs w:val="1"/>
          <w:color w:val="auto"/>
        </w:rPr>
        <w:t>Revenues</w:t>
      </w:r>
    </w:p>
    <w:p>
      <w:pPr>
        <w:spacing w:after="0" w:line="114" w:lineRule="exact"/>
        <w:rPr>
          <w:sz w:val="20"/>
          <w:szCs w:val="20"/>
          <w:color w:val="auto"/>
        </w:rPr>
      </w:pPr>
    </w:p>
    <w:p>
      <w:pPr>
        <w:jc w:val="both"/>
        <w:ind w:left="80" w:firstLine="432"/>
        <w:spacing w:after="0" w:line="263" w:lineRule="auto"/>
        <w:rPr>
          <w:sz w:val="20"/>
          <w:szCs w:val="20"/>
          <w:color w:val="auto"/>
        </w:rPr>
      </w:pPr>
      <w:r>
        <w:rPr>
          <w:rFonts w:ascii="Arial" w:cs="Arial" w:eastAsia="Arial" w:hAnsi="Arial"/>
          <w:sz w:val="12"/>
          <w:szCs w:val="12"/>
          <w:color w:val="auto"/>
        </w:rPr>
        <w:t>Net premiums earned were $110.9 million and $216.8 million for the three and six months ended June 30, 2021, respectively, compared to $98.9 million and $197.7 million for the three and six months ended June 30, 2020, respectively. The year-on-year increase in net premiums earned in each respective period was primarily driven by the growth of our IIF, partially offset by an increase in cessions made under our QSR and ILN Transactions, and a decline in the contribution from single premium policy cancellations.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Net investment income was $9.4 million and $18.2 million for the three and six months ended June 30, 2021,</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838" w:right="29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12"/>
          <w:szCs w:val="12"/>
          <w:color w:val="auto"/>
        </w:rPr>
        <w:t>respectively, compared to $7.1 million and $15.2 million for the three and six months ended June 30, 2020, respectively. The year-on-year increase in net investment income in each respective period was driven by growth in the size of our total investment portfolio, partially offset by a decline in book yield tied to the prevailing interest rate and credit spread environment.</w:t>
      </w:r>
    </w:p>
    <w:p>
      <w:pPr>
        <w:spacing w:after="0" w:line="79"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Other revenues were $483 thousand and $1.0 million for the three and six months ended June 30, 2021, respectively, compared to $1.2 million and $2.1 million for the three and six months ended June 30, 2020, respectively. Other revenues represent underwriting fee revenue generated by our subsidiary, NMIS, which provides outsourced loan review services to mortgage loan originators. The year-on-year decline in other revenues in each respective period relates to a decrease in NMIS' outsourced loan review volume. Amounts recognized in other revenues generally correspond with amounts incurred as service expenses for outsourced loan review activities in the same periods.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Expenses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Insurance claims and claim expenses were $4.6 million and $9.6 million for the three and six months ended June 30, 2021, respectively, compared to $34.3 million and $40.0 million for the three and six months ended June 30, 2020, respectively. The year-on-year decline in insurance claims and claim expenses in each respective period primarily reflects a significant decrease in the number of new defaults emerging on loans impacted by the COVID-19 outbreak. Insurance claims and claim expenses during the three and six months ended June 30, 2021 also benefited from cure activity and a release of reserves previously held against certain loans that defaulted prior to the onset of the COVID pandemic.</w:t>
      </w:r>
    </w:p>
    <w:p>
      <w:pPr>
        <w:spacing w:after="0" w:line="8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1"/>
          <w:szCs w:val="11"/>
          <w:color w:val="auto"/>
        </w:rPr>
        <w:t>Underwriting and operating expenses were $34.7 million and $68.8 million for the three and six months ended June 30, 2021, respectively, compared to $30.4 million and $62.6 million for the three and six months ended June 30, 2020. The year-on-year increase in underwriting and operating expenses in each respective period primarily relates to the recognition of previously deferred policy acquisition costs taken in connection with in-force portfolio run-off, partially offset by reductions in payroll, travel and entertainment, and office administrative expenses as a result of the COVID-19 outbreak. Underwriting and operating expenses included capital market reinsurance transaction costs of $1.6 million and $2.0 million, respectively, for the three months and six months ended June 30, 2021, and $2.8 million and $3.3 million, respectively, for the three and six months ended June 30, 2020.</w:t>
      </w:r>
    </w:p>
    <w:p>
      <w:pPr>
        <w:spacing w:after="0" w:line="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Service expenses were $481 thousand and $1.1 million for the three and six months ended June 30, 2021, respectively, compared to $1.1 million and $1.8 million for the three and six months ended June 30, 2020, respectively. Service expenses represent third-party costs incurred by NMIS in connection with the services it provides. The year-on-year decline in service expenses in each respective period was driven by a decrease in NMIS' outsourced loan review volume. Amounts incurred as service expenses generally correspond with amounts recognized in other revenues in the same periods.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Interest expense was $7.9 million and $15.8 million for the three and six months ended June 30, 2021, respectively, compared to $5.9 million and $8.7 million for the three and six months ended June 30, 2020, respectively. The year-on-year increase in interest expense in each respective period is due to the increased amount and cost of our outstanding debt following the issuance of the $400 million Notes and retirement of the $150 million 2018 Term Loan in June 2020. See Item 1, "</w:t>
      </w:r>
      <w:r>
        <w:rPr>
          <w:rFonts w:ascii="Arial" w:cs="Arial" w:eastAsia="Arial" w:hAnsi="Arial"/>
          <w:sz w:val="12"/>
          <w:szCs w:val="12"/>
          <w:i w:val="1"/>
          <w:iCs w:val="1"/>
          <w:color w:val="auto"/>
        </w:rPr>
        <w:t>Financial Statements - Notes to Condensed Consolidated Financial Statements - Note 4, Debt.</w:t>
      </w:r>
      <w:r>
        <w:rPr>
          <w:rFonts w:ascii="Arial" w:cs="Arial" w:eastAsia="Arial" w:hAnsi="Arial"/>
          <w:sz w:val="12"/>
          <w:szCs w:val="12"/>
          <w:color w:val="auto"/>
        </w:rPr>
        <w:t>"</w:t>
      </w:r>
    </w:p>
    <w:p>
      <w:pPr>
        <w:spacing w:after="0" w:line="8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Income tax expense was $16.1 million and $30.7 million for the three and six months ended June 30, 2021, respectively, compared to $8.1 million and $22.0 million for the three and six months ended June 30, 2020, respectively. The year-on-year increase in income tax expense in each respective period was primarily driven by growth in our pre-tax income. Our effective tax rate on pre-tax income was 21.9% and 21.8% for the three and six months ended June 30, 2021, respectively, compared to 23.2% and 20.5% for the three and six months ended June 30, 2020, respectively. As a U.S. taxpayer, we are subject to a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rates for the three and six months ended June 30, 2021 and 2020 reflect the discrete tax effects of the vesting of RSUs and exercise of options, and the change in fair value of our warrant liability in each period. See Item 1, "</w:t>
      </w:r>
      <w:r>
        <w:rPr>
          <w:rFonts w:ascii="Arial" w:cs="Arial" w:eastAsia="Arial" w:hAnsi="Arial"/>
          <w:sz w:val="12"/>
          <w:szCs w:val="12"/>
          <w:i w:val="1"/>
          <w:iCs w:val="1"/>
          <w:color w:val="auto"/>
        </w:rPr>
        <w:t>Financial Statements - Notes to</w:t>
      </w:r>
      <w:r>
        <w:rPr>
          <w:rFonts w:ascii="Arial" w:cs="Arial" w:eastAsia="Arial" w:hAnsi="Arial"/>
          <w:sz w:val="12"/>
          <w:szCs w:val="12"/>
          <w:color w:val="auto"/>
        </w:rPr>
        <w:t xml:space="preserve"> </w:t>
      </w:r>
      <w:r>
        <w:rPr>
          <w:rFonts w:ascii="Arial" w:cs="Arial" w:eastAsia="Arial" w:hAnsi="Arial"/>
          <w:sz w:val="12"/>
          <w:szCs w:val="12"/>
          <w:i w:val="1"/>
          <w:iCs w:val="1"/>
          <w:color w:val="auto"/>
        </w:rPr>
        <w:t>Condensed Consolidated Financial Statements - Note 9,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i w:val="1"/>
          <w:iCs w:val="1"/>
          <w:color w:val="auto"/>
        </w:rPr>
        <w:t>Net Income</w:t>
      </w:r>
    </w:p>
    <w:p>
      <w:pPr>
        <w:spacing w:after="0" w:line="11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Net income was $57.5 million and $110.4 million for the three and six months ended June 30, 2021, respectively, compared to $26.8 million and $85.1 million for the three and six months ended June 30, 2020, respectively. Adjusted net income was $58.1 million and $111.5 million for the three and six months ended June 30, 2021, respectively, compared to $29.7 million and $82.5 million for the three and six months ended June 30, 2020, respectively. The year-on-year increases in net income and adjusted net income in each respective period were primarily driven by growth in our total revenues and decrease in insurance claims and claim expenses, partially offset by an increase in our interest expense, underwriting and operating expenses and income tax expense.</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Diluted EPS was $0.65 and $1.27 for the three and six months ended June 30, 2021, respectively, compared to $0.36 and $1.11 for the three and six months ended June 30, 2020, respectively. Adjusted diluted EPS was $0.67 and $1.29 for the three and six months ended June 30, 2021, respectively, compared to $0.40 and $1.14 for the three and six months ended June 30, 2020, respectively. Diluted and adjusted diluted EPS increased due to growth in net income and adjusted net income, respectively, partially offset by an increase in weighted average diluted shares outstanding in connection with the issuance of 15.9 million shares of common stock we completed in June 2020, and, to a lesser extent, stock awards made under our share-based compensation plans.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non-GAAP financial measures adjusted income before tax, adjusted net income and adjusted diluted EPS are presented to enhance the comparability of financial results between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20"/>
                <w:szCs w:val="20"/>
                <w:color w:val="auto"/>
              </w:rPr>
            </w:pPr>
            <w:r>
              <w:rPr>
                <w:rFonts w:ascii="Arial" w:cs="Arial" w:eastAsia="Arial" w:hAnsi="Arial"/>
                <w:sz w:val="11"/>
                <w:szCs w:val="11"/>
                <w:b w:val="1"/>
                <w:bCs w:val="1"/>
                <w:color w:val="auto"/>
              </w:rPr>
              <w:t>Non-GAAP Financial Measure Reconciliations</w:t>
            </w:r>
          </w:p>
        </w:tc>
        <w:tc>
          <w:tcPr>
            <w:tcW w:w="980" w:type="dxa"/>
            <w:vAlign w:val="bottom"/>
          </w:tcPr>
          <w:p>
            <w:pPr>
              <w:spacing w:after="0"/>
              <w:rPr>
                <w:sz w:val="12"/>
                <w:szCs w:val="12"/>
                <w:color w:val="auto"/>
              </w:rPr>
            </w:pPr>
          </w:p>
        </w:tc>
        <w:tc>
          <w:tcPr>
            <w:tcW w:w="2600" w:type="dxa"/>
            <w:vAlign w:val="bottom"/>
            <w:gridSpan w:val="5"/>
          </w:tcPr>
          <w:p>
            <w:pPr>
              <w:ind w:left="20"/>
              <w:spacing w:after="0"/>
              <w:rPr>
                <w:sz w:val="20"/>
                <w:szCs w:val="20"/>
                <w:color w:val="auto"/>
              </w:rPr>
            </w:pPr>
            <w:r>
              <w:rPr>
                <w:rFonts w:ascii="Arial" w:cs="Arial" w:eastAsia="Arial" w:hAnsi="Arial"/>
                <w:sz w:val="10"/>
                <w:szCs w:val="10"/>
                <w:b w:val="1"/>
                <w:bCs w:val="1"/>
                <w:color w:val="auto"/>
              </w:rPr>
              <w:t>For the three months ended June 30,</w:t>
            </w:r>
          </w:p>
        </w:tc>
        <w:tc>
          <w:tcPr>
            <w:tcW w:w="540" w:type="dxa"/>
            <w:vAlign w:val="bottom"/>
          </w:tcPr>
          <w:p>
            <w:pPr>
              <w:spacing w:after="0"/>
              <w:rPr>
                <w:sz w:val="12"/>
                <w:szCs w:val="12"/>
                <w:color w:val="auto"/>
              </w:rPr>
            </w:pPr>
          </w:p>
        </w:tc>
        <w:tc>
          <w:tcPr>
            <w:tcW w:w="2340" w:type="dxa"/>
            <w:vAlign w:val="bottom"/>
            <w:gridSpan w:val="4"/>
          </w:tcPr>
          <w:p>
            <w:pPr>
              <w:jc w:val="right"/>
              <w:ind w:right="681"/>
              <w:spacing w:after="0"/>
              <w:rPr>
                <w:sz w:val="20"/>
                <w:szCs w:val="20"/>
                <w:color w:val="auto"/>
              </w:rPr>
            </w:pPr>
            <w:r>
              <w:rPr>
                <w:rFonts w:ascii="Arial" w:cs="Arial" w:eastAsia="Arial" w:hAnsi="Arial"/>
                <w:sz w:val="10"/>
                <w:szCs w:val="10"/>
                <w:b w:val="1"/>
                <w:bCs w:val="1"/>
                <w:color w:val="auto"/>
                <w:w w:val="96"/>
              </w:rPr>
              <w:t>For the six months ended June 30,</w:t>
            </w:r>
          </w:p>
        </w:tc>
      </w:tr>
      <w:tr>
        <w:trPr>
          <w:trHeight w:val="116"/>
        </w:trPr>
        <w:tc>
          <w:tcPr>
            <w:tcW w:w="484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7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3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2020</w:t>
            </w:r>
          </w:p>
        </w:tc>
      </w:tr>
      <w:tr>
        <w:trPr>
          <w:trHeight w:val="134"/>
        </w:trPr>
        <w:tc>
          <w:tcPr>
            <w:tcW w:w="48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 reported</w:t>
            </w:r>
          </w:p>
        </w:tc>
        <w:tc>
          <w:tcPr>
            <w:tcW w:w="9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i w:val="1"/>
                <w:iCs w:val="1"/>
                <w:color w:val="auto"/>
                <w:w w:val="99"/>
              </w:rPr>
              <w:t>($ in thousands, except for per share data)</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Income before income taxes</w:t>
            </w: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73,655</w:t>
            </w:r>
          </w:p>
        </w:tc>
        <w:tc>
          <w:tcPr>
            <w:tcW w:w="8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34,977</w:t>
            </w:r>
          </w:p>
        </w:tc>
        <w:tc>
          <w:tcPr>
            <w:tcW w:w="6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141,111</w:t>
            </w:r>
          </w:p>
        </w:tc>
        <w:tc>
          <w:tcPr>
            <w:tcW w:w="8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107,133</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9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16,133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8,129</w:t>
            </w:r>
          </w:p>
        </w:tc>
        <w:tc>
          <w:tcPr>
            <w:tcW w:w="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30,697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22,014</w:t>
            </w:r>
          </w:p>
        </w:tc>
      </w:tr>
      <w:tr>
        <w:trPr>
          <w:trHeight w:val="142"/>
        </w:trPr>
        <w:tc>
          <w:tcPr>
            <w:tcW w:w="4840" w:type="dxa"/>
            <w:vAlign w:val="bottom"/>
          </w:tcPr>
          <w:p>
            <w:pPr>
              <w:spacing w:after="0"/>
              <w:rPr>
                <w:sz w:val="20"/>
                <w:szCs w:val="20"/>
                <w:color w:val="auto"/>
              </w:rPr>
            </w:pPr>
            <w:r>
              <w:rPr>
                <w:rFonts w:ascii="Arial" w:cs="Arial" w:eastAsia="Arial" w:hAnsi="Arial"/>
                <w:sz w:val="12"/>
                <w:szCs w:val="12"/>
                <w:color w:val="auto"/>
              </w:rPr>
              <w:t>Net income</w:t>
            </w: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57,522</w:t>
            </w:r>
          </w:p>
        </w:tc>
        <w:tc>
          <w:tcPr>
            <w:tcW w:w="8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26,848</w:t>
            </w:r>
          </w:p>
        </w:tc>
        <w:tc>
          <w:tcPr>
            <w:tcW w:w="60" w:type="dxa"/>
            <w:vAlign w:val="bottom"/>
          </w:tcPr>
          <w:p>
            <w:pPr>
              <w:spacing w:after="0"/>
              <w:rPr>
                <w:sz w:val="12"/>
                <w:szCs w:val="12"/>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110,414</w:t>
            </w:r>
          </w:p>
        </w:tc>
        <w:tc>
          <w:tcPr>
            <w:tcW w:w="8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85,119</w:t>
            </w:r>
          </w:p>
        </w:tc>
      </w:tr>
      <w:tr>
        <w:trPr>
          <w:trHeight w:val="180"/>
        </w:trPr>
        <w:tc>
          <w:tcPr>
            <w:tcW w:w="4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3"/>
        </w:trPr>
        <w:tc>
          <w:tcPr>
            <w:tcW w:w="484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Net realized investment gain</w:t>
            </w:r>
          </w:p>
        </w:tc>
        <w:tc>
          <w:tcPr>
            <w:tcW w:w="9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(711)</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w:t>
            </w:r>
          </w:p>
        </w:tc>
      </w:tr>
      <w:tr>
        <w:trPr>
          <w:trHeight w:val="153"/>
        </w:trPr>
        <w:tc>
          <w:tcPr>
            <w:tcW w:w="4840" w:type="dxa"/>
            <w:vAlign w:val="bottom"/>
          </w:tcPr>
          <w:p>
            <w:pPr>
              <w:spacing w:after="0"/>
              <w:rPr>
                <w:sz w:val="20"/>
                <w:szCs w:val="20"/>
                <w:color w:val="auto"/>
              </w:rPr>
            </w:pPr>
            <w:r>
              <w:rPr>
                <w:rFonts w:ascii="Arial" w:cs="Arial" w:eastAsia="Arial" w:hAnsi="Arial"/>
                <w:sz w:val="12"/>
                <w:szCs w:val="12"/>
                <w:color w:val="auto"/>
              </w:rPr>
              <w:t>(Gain) loss from change in fair value warrant liability</w:t>
            </w:r>
          </w:p>
        </w:tc>
        <w:tc>
          <w:tcPr>
            <w:tcW w:w="9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(658)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1,236</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(4,723)</w:t>
            </w: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Capital market transaction costs</w:t>
            </w:r>
          </w:p>
        </w:tc>
        <w:tc>
          <w:tcPr>
            <w:tcW w:w="9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2,790</w:t>
            </w:r>
          </w:p>
        </w:tc>
        <w:tc>
          <w:tcPr>
            <w:tcW w:w="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3,264</w:t>
            </w:r>
          </w:p>
        </w:tc>
      </w:tr>
      <w:tr>
        <w:trPr>
          <w:trHeight w:val="142"/>
        </w:trPr>
        <w:tc>
          <w:tcPr>
            <w:tcW w:w="4840" w:type="dxa"/>
            <w:vAlign w:val="bottom"/>
          </w:tcPr>
          <w:p>
            <w:pPr>
              <w:spacing w:after="0"/>
              <w:rPr>
                <w:sz w:val="20"/>
                <w:szCs w:val="20"/>
                <w:color w:val="auto"/>
              </w:rPr>
            </w:pPr>
            <w:r>
              <w:rPr>
                <w:rFonts w:ascii="Arial" w:cs="Arial" w:eastAsia="Arial" w:hAnsi="Arial"/>
                <w:sz w:val="12"/>
                <w:szCs w:val="12"/>
                <w:b w:val="1"/>
                <w:bCs w:val="1"/>
                <w:color w:val="auto"/>
              </w:rPr>
              <w:t>Adjusted income before tax</w:t>
            </w:r>
          </w:p>
        </w:tc>
        <w:tc>
          <w:tcPr>
            <w:tcW w:w="9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74,600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38,292</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142,639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105,035</w:t>
            </w:r>
          </w:p>
        </w:tc>
      </w:tr>
      <w:tr>
        <w:trPr>
          <w:trHeight w:val="180"/>
        </w:trPr>
        <w:tc>
          <w:tcPr>
            <w:tcW w:w="4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3"/>
        </w:trPr>
        <w:tc>
          <w:tcPr>
            <w:tcW w:w="4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expense on adjustments</w:t>
            </w:r>
          </w:p>
        </w:tc>
        <w:tc>
          <w:tcPr>
            <w:tcW w:w="9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437</w:t>
            </w: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551</w:t>
            </w: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net income</w:t>
            </w:r>
          </w:p>
        </w:tc>
        <w:tc>
          <w:tcPr>
            <w:tcW w:w="980" w:type="dxa"/>
            <w:vAlign w:val="bottom"/>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58,130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29,726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111,526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82,470</w:t>
            </w:r>
          </w:p>
        </w:tc>
      </w:tr>
      <w:tr>
        <w:trPr>
          <w:trHeight w:val="180"/>
        </w:trPr>
        <w:tc>
          <w:tcPr>
            <w:tcW w:w="4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diluted shares outstanding</w:t>
            </w:r>
          </w:p>
        </w:tc>
        <w:tc>
          <w:tcPr>
            <w:tcW w:w="9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86,819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74,174</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86,729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72,407</w:t>
            </w:r>
          </w:p>
        </w:tc>
      </w:tr>
      <w:tr>
        <w:trPr>
          <w:trHeight w:val="157"/>
        </w:trPr>
        <w:tc>
          <w:tcPr>
            <w:tcW w:w="4840" w:type="dxa"/>
            <w:vAlign w:val="bottom"/>
          </w:tcPr>
          <w:p>
            <w:pPr>
              <w:spacing w:after="0"/>
              <w:rPr>
                <w:sz w:val="20"/>
                <w:szCs w:val="20"/>
                <w:color w:val="auto"/>
              </w:rPr>
            </w:pPr>
            <w:r>
              <w:rPr>
                <w:rFonts w:ascii="Arial" w:cs="Arial" w:eastAsia="Arial" w:hAnsi="Arial"/>
                <w:sz w:val="12"/>
                <w:szCs w:val="12"/>
                <w:b w:val="1"/>
                <w:bCs w:val="1"/>
                <w:color w:val="auto"/>
              </w:rPr>
              <w:t>Adjusted diluted EPS</w:t>
            </w: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0.67</w:t>
            </w:r>
          </w:p>
        </w:tc>
        <w:tc>
          <w:tcPr>
            <w:tcW w:w="8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2"/>
              <w:spacing w:after="0"/>
              <w:rPr>
                <w:sz w:val="20"/>
                <w:szCs w:val="20"/>
                <w:color w:val="auto"/>
              </w:rPr>
            </w:pPr>
            <w:r>
              <w:rPr>
                <w:rFonts w:ascii="Arial" w:cs="Arial" w:eastAsia="Arial" w:hAnsi="Arial"/>
                <w:sz w:val="12"/>
                <w:szCs w:val="12"/>
                <w:color w:val="auto"/>
              </w:rPr>
              <w:t>0.40</w:t>
            </w:r>
          </w:p>
        </w:tc>
        <w:tc>
          <w:tcPr>
            <w:tcW w:w="60" w:type="dxa"/>
            <w:vAlign w:val="bottom"/>
          </w:tcPr>
          <w:p>
            <w:pPr>
              <w:spacing w:after="0"/>
              <w:rPr>
                <w:sz w:val="13"/>
                <w:szCs w:val="13"/>
                <w:color w:val="auto"/>
              </w:rPr>
            </w:pP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1.29</w:t>
            </w:r>
          </w:p>
        </w:tc>
        <w:tc>
          <w:tcPr>
            <w:tcW w:w="8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1.14</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and Reconciliation of Our Use of Non-GAAP Financial Measures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8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Adjusted income before tax </w:t>
      </w:r>
      <w:r>
        <w:rPr>
          <w:rFonts w:ascii="Arial" w:cs="Arial" w:eastAsia="Arial" w:hAnsi="Arial"/>
          <w:sz w:val="12"/>
          <w:szCs w:val="12"/>
          <w:color w:val="auto"/>
        </w:rPr>
        <w:t>is defined as GAAP income before tax, excluding the pre-tax effects of the gain or loss related to the change in fair value of our warrant liability, periodic costs incurred in connection with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markets transactions,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1" w:name="page52"/>
    <w:bookmarkEnd w:id="51"/>
    <w:p>
      <w:pPr>
        <w:spacing w:after="0"/>
        <w:rPr>
          <w:sz w:val="20"/>
          <w:szCs w:val="20"/>
          <w:color w:val="auto"/>
        </w:rPr>
      </w:pPr>
      <w:r>
        <w:rPr>
          <w:rFonts w:ascii="Arial" w:cs="Arial" w:eastAsia="Arial" w:hAnsi="Arial"/>
          <w:sz w:val="12"/>
          <w:szCs w:val="12"/>
          <w:color w:val="auto"/>
        </w:rPr>
        <w:t>net realized gains or losses from our investment portfolio, and discrete, non-recurring and non-operating items in the periods in which such items are incurred.</w:t>
      </w:r>
    </w:p>
    <w:p>
      <w:pPr>
        <w:spacing w:after="0" w:line="11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color w:val="auto"/>
        </w:rPr>
        <w:t>is defined as GAAP net income, excluding the after-tax effects of the gain or loss related to the change in fair value of our warrant liability, periodic costs incurred in connection with capital markets</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transactions, net realized gains or losses from our investment portfolio, and discrete, non-recurring and non-operating items in the periods in which such items are incurred. Adjustments to components of pre-tax income are tax effected using the applicable federal statutory tax rate for the respective periods.</w:t>
      </w:r>
    </w:p>
    <w:p>
      <w:pPr>
        <w:spacing w:after="0" w:line="81"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b w:val="1"/>
          <w:bCs w:val="1"/>
          <w:color w:val="auto"/>
        </w:rPr>
        <w:t xml:space="preserve">Adjusted diluted EPS </w:t>
      </w:r>
      <w:r>
        <w:rPr>
          <w:rFonts w:ascii="Arial" w:cs="Arial" w:eastAsia="Arial" w:hAnsi="Arial"/>
          <w:sz w:val="12"/>
          <w:szCs w:val="12"/>
          <w:color w:val="auto"/>
        </w:rPr>
        <w:t>is defined as adjusted net income divided by adjusted weighted average diluted shares outstanding. Adjusted weighted average diluted shares outstanding is defined as weighted average diluted shares</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8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86" w:lineRule="exact"/>
        <w:rPr>
          <w:sz w:val="20"/>
          <w:szCs w:val="20"/>
          <w:color w:val="auto"/>
        </w:rPr>
      </w:pPr>
    </w:p>
    <w:p>
      <w:pPr>
        <w:jc w:val="both"/>
        <w:ind w:left="420" w:hanging="212"/>
        <w:spacing w:after="0" w:line="263"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Change in fair value of warrant liability</w:t>
      </w:r>
      <w:r>
        <w:rPr>
          <w:rFonts w:ascii="Arial" w:cs="Arial" w:eastAsia="Arial" w:hAnsi="Arial"/>
          <w:sz w:val="12"/>
          <w:szCs w:val="12"/>
          <w:color w:val="auto"/>
        </w:rPr>
        <w:t>. Outstanding warrants at the end of each reporting period are revalued, and any change in fair value is reported in the statement of operations in the period in which the change occurred.</w:t>
      </w:r>
      <w:r>
        <w:rPr>
          <w:rFonts w:ascii="Arial" w:cs="Arial" w:eastAsia="Arial" w:hAnsi="Arial"/>
          <w:sz w:val="12"/>
          <w:szCs w:val="12"/>
          <w:i w:val="1"/>
          <w:iCs w:val="1"/>
          <w:color w:val="auto"/>
        </w:rPr>
        <w:t xml:space="preserve"> </w:t>
      </w:r>
      <w:r>
        <w:rPr>
          <w:rFonts w:ascii="Arial" w:cs="Arial" w:eastAsia="Arial" w:hAnsi="Arial"/>
          <w:sz w:val="12"/>
          <w:szCs w:val="12"/>
          <w:color w:val="auto"/>
        </w:rPr>
        <w:t>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86"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Capital markets transaction costs</w:t>
      </w:r>
      <w:r>
        <w:rPr>
          <w:rFonts w:ascii="Arial" w:cs="Arial" w:eastAsia="Arial" w:hAnsi="Arial"/>
          <w:sz w:val="12"/>
          <w:szCs w:val="12"/>
          <w:color w:val="auto"/>
        </w:rPr>
        <w:t>. Capital markets transaction costs result from activities that are undertaken to improve our debt profile or enhance our capital position through activities such as debt refinancing and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reinsurance transactions that may vary in their size and timing due to factors such as market opportunities, tax and capital profile, and overall market cycles.</w:t>
      </w:r>
    </w:p>
    <w:p>
      <w:pPr>
        <w:spacing w:after="0" w:line="7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Net realized investment gains and losses</w:t>
      </w:r>
      <w:r>
        <w:rPr>
          <w:rFonts w:ascii="Arial" w:cs="Arial" w:eastAsia="Arial" w:hAnsi="Arial"/>
          <w:sz w:val="12"/>
          <w:szCs w:val="12"/>
          <w:color w:val="auto"/>
        </w:rPr>
        <w:t>. The recognition of the net realized investment gains or losses can vary significantly across periods as the timing is highly discretionary and is influenced by factors such as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opportunities, tax and capital profile, and overall market cycles that do not reflect our current period operating results.</w:t>
      </w:r>
    </w:p>
    <w:p>
      <w:pPr>
        <w:spacing w:after="0" w:line="78" w:lineRule="exact"/>
        <w:rPr>
          <w:rFonts w:ascii="Arial" w:cs="Arial" w:eastAsia="Arial" w:hAnsi="Arial"/>
          <w:sz w:val="12"/>
          <w:szCs w:val="12"/>
          <w:color w:val="auto"/>
        </w:rPr>
      </w:pPr>
    </w:p>
    <w:p>
      <w:pPr>
        <w:jc w:val="both"/>
        <w:ind w:left="420" w:hanging="212"/>
        <w:spacing w:after="0" w:line="259" w:lineRule="auto"/>
        <w:tabs>
          <w:tab w:leader="none" w:pos="417" w:val="left"/>
        </w:tabs>
        <w:numPr>
          <w:ilvl w:val="0"/>
          <w:numId w:val="24"/>
        </w:numPr>
        <w:rPr>
          <w:rFonts w:ascii="Arial" w:cs="Arial" w:eastAsia="Arial" w:hAnsi="Arial"/>
          <w:sz w:val="12"/>
          <w:szCs w:val="12"/>
          <w:color w:val="auto"/>
        </w:rPr>
      </w:pPr>
      <w:r>
        <w:rPr>
          <w:rFonts w:ascii="Arial" w:cs="Arial" w:eastAsia="Arial" w:hAnsi="Arial"/>
          <w:sz w:val="12"/>
          <w:szCs w:val="12"/>
          <w:i w:val="1"/>
          <w:iCs w:val="1"/>
          <w:color w:val="auto"/>
        </w:rPr>
        <w:t>Infrequent or unusual non-operating items</w:t>
      </w:r>
      <w:r>
        <w:rPr>
          <w:rFonts w:ascii="Arial" w:cs="Arial" w:eastAsia="Arial" w:hAnsi="Arial"/>
          <w:sz w:val="12"/>
          <w:szCs w:val="12"/>
          <w:color w:val="auto"/>
        </w:rPr>
        <w:t>. Items that are the result of unforeseen or uncommon events, which occur separately from operating earnings and are not expected to recur in the future. Identification and exclusion of</w:t>
      </w:r>
      <w:r>
        <w:rPr>
          <w:rFonts w:ascii="Arial" w:cs="Arial" w:eastAsia="Arial" w:hAnsi="Arial"/>
          <w:sz w:val="12"/>
          <w:szCs w:val="12"/>
          <w:i w:val="1"/>
          <w:iCs w:val="1"/>
          <w:color w:val="auto"/>
        </w:rPr>
        <w:t xml:space="preserve"> </w:t>
      </w:r>
      <w:r>
        <w:rPr>
          <w:rFonts w:ascii="Arial" w:cs="Arial" w:eastAsia="Arial" w:hAnsi="Arial"/>
          <w:sz w:val="12"/>
          <w:szCs w:val="12"/>
          <w:color w:val="auto"/>
        </w:rPr>
        <w:t>these items provides clarity about the impact special or rare occurrences may have on our current financial performance.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non-recurring in nature, are not part of our primary operating activities and do not reflect our current period operating results.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27"/>
        </w:trPr>
        <w:tc>
          <w:tcPr>
            <w:tcW w:w="7720" w:type="dxa"/>
            <w:vAlign w:val="bottom"/>
          </w:tcPr>
          <w:p>
            <w:pPr>
              <w:spacing w:after="0"/>
              <w:rPr>
                <w:sz w:val="20"/>
                <w:szCs w:val="20"/>
                <w:color w:val="auto"/>
              </w:rPr>
            </w:pPr>
            <w:r>
              <w:rPr>
                <w:rFonts w:ascii="Arial" w:cs="Arial" w:eastAsia="Arial" w:hAnsi="Arial"/>
                <w:sz w:val="10"/>
                <w:szCs w:val="10"/>
                <w:b w:val="1"/>
                <w:bCs w:val="1"/>
                <w:color w:val="auto"/>
              </w:rPr>
              <w:t>Consolidated balance sheets</w:t>
            </w:r>
          </w:p>
        </w:tc>
        <w:tc>
          <w:tcPr>
            <w:tcW w:w="3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June 30, 2021</w:t>
            </w:r>
          </w:p>
        </w:tc>
        <w:tc>
          <w:tcPr>
            <w:tcW w:w="3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w w:val="95"/>
              </w:rPr>
              <w:t>December 31, 2020</w:t>
            </w:r>
          </w:p>
        </w:tc>
      </w:tr>
      <w:tr>
        <w:trPr>
          <w:trHeight w:val="117"/>
        </w:trPr>
        <w:tc>
          <w:tcPr>
            <w:tcW w:w="7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0" w:type="dxa"/>
            <w:vAlign w:val="bottom"/>
            <w:gridSpan w:val="3"/>
          </w:tcPr>
          <w:p>
            <w:pPr>
              <w:jc w:val="right"/>
              <w:ind w:right="52"/>
              <w:spacing w:after="0"/>
              <w:rPr>
                <w:sz w:val="20"/>
                <w:szCs w:val="20"/>
                <w:color w:val="auto"/>
              </w:rPr>
            </w:pPr>
            <w:r>
              <w:rPr>
                <w:rFonts w:ascii="Arial" w:cs="Arial" w:eastAsia="Arial" w:hAnsi="Arial"/>
                <w:sz w:val="10"/>
                <w:szCs w:val="10"/>
                <w:i w:val="1"/>
                <w:iCs w:val="1"/>
                <w:color w:val="auto"/>
              </w:rPr>
              <w:t>(In Thousands)</w:t>
            </w:r>
          </w:p>
        </w:tc>
        <w:tc>
          <w:tcPr>
            <w:tcW w:w="1340" w:type="dxa"/>
            <w:vAlign w:val="bottom"/>
          </w:tcPr>
          <w:p>
            <w:pPr>
              <w:spacing w:after="0"/>
              <w:rPr>
                <w:sz w:val="10"/>
                <w:szCs w:val="10"/>
                <w:color w:val="auto"/>
              </w:rPr>
            </w:pPr>
          </w:p>
        </w:tc>
      </w:tr>
      <w:tr>
        <w:trPr>
          <w:trHeight w:val="155"/>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investment portfolio</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1,994,280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1,804,286</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Cash and cash equivalents</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68,080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126,937</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55,939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49,779</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Deferred policy acquisition costs, net</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62,137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62,225</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Software and equipment, net</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31,443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Prepaid reinsurance premiums</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3,831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6,190</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recoverable</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17,608</w:t>
            </w:r>
          </w:p>
        </w:tc>
      </w:tr>
      <w:tr>
        <w:trPr>
          <w:trHeight w:val="15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Other assets</w:t>
            </w: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70,442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69,976</w:t>
            </w:r>
          </w:p>
        </w:tc>
      </w:tr>
      <w:tr>
        <w:trPr>
          <w:trHeight w:val="162"/>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2,305,878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2,166,666</w:t>
            </w:r>
          </w:p>
        </w:tc>
      </w:tr>
      <w:tr>
        <w:trPr>
          <w:trHeight w:val="149"/>
        </w:trPr>
        <w:tc>
          <w:tcPr>
            <w:tcW w:w="7720" w:type="dxa"/>
            <w:vAlign w:val="bottom"/>
          </w:tcPr>
          <w:p>
            <w:pPr>
              <w:ind w:left="140"/>
              <w:spacing w:after="0"/>
              <w:rPr>
                <w:sz w:val="20"/>
                <w:szCs w:val="20"/>
                <w:color w:val="auto"/>
              </w:rPr>
            </w:pPr>
            <w:r>
              <w:rPr>
                <w:rFonts w:ascii="Arial" w:cs="Arial" w:eastAsia="Arial" w:hAnsi="Arial"/>
                <w:sz w:val="12"/>
                <w:szCs w:val="12"/>
                <w:color w:val="auto"/>
              </w:rPr>
              <w:t>Debt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393,949</w:t>
            </w:r>
          </w:p>
        </w:tc>
        <w:tc>
          <w:tcPr>
            <w:tcW w:w="100" w:type="dxa"/>
            <w:vAlign w:val="bottom"/>
          </w:tcPr>
          <w:p>
            <w:pPr>
              <w:spacing w:after="0"/>
              <w:rPr>
                <w:sz w:val="12"/>
                <w:szCs w:val="12"/>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393,301</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Unearned premiums</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142,148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118,817</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Accounts payable and accrued expenses</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56,803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61,716</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Reserve for insurance claims and claim expenses</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101,235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90,567</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Reinsurance funds withheld</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6,904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8,653</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Warrant liability</w:t>
            </w:r>
          </w:p>
        </w:tc>
        <w:tc>
          <w:tcPr>
            <w:tcW w:w="32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4,409</w:t>
            </w:r>
          </w:p>
        </w:tc>
      </w:tr>
      <w:tr>
        <w:trPr>
          <w:trHeight w:val="153"/>
        </w:trPr>
        <w:tc>
          <w:tcPr>
            <w:tcW w:w="7720" w:type="dxa"/>
            <w:vAlign w:val="bottom"/>
          </w:tcPr>
          <w:p>
            <w:pPr>
              <w:ind w:left="140"/>
              <w:spacing w:after="0"/>
              <w:rPr>
                <w:sz w:val="20"/>
                <w:szCs w:val="20"/>
                <w:color w:val="auto"/>
              </w:rPr>
            </w:pPr>
            <w:r>
              <w:rPr>
                <w:rFonts w:ascii="Arial" w:cs="Arial" w:eastAsia="Arial" w:hAnsi="Arial"/>
                <w:sz w:val="12"/>
                <w:szCs w:val="12"/>
                <w:color w:val="auto"/>
              </w:rPr>
              <w:t>Deferred tax liability, net</w:t>
            </w:r>
          </w:p>
        </w:tc>
        <w:tc>
          <w:tcPr>
            <w:tcW w:w="3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136,273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112,586</w:t>
            </w:r>
          </w:p>
        </w:tc>
      </w:tr>
      <w:tr>
        <w:trPr>
          <w:trHeight w:val="153"/>
        </w:trPr>
        <w:tc>
          <w:tcPr>
            <w:tcW w:w="7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5,276</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7,026</w:t>
            </w:r>
          </w:p>
        </w:tc>
      </w:tr>
      <w:tr>
        <w:trPr>
          <w:trHeight w:val="142"/>
        </w:trPr>
        <w:tc>
          <w:tcPr>
            <w:tcW w:w="7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liabilities</w:t>
            </w: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845,973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797,075</w:t>
            </w:r>
          </w:p>
        </w:tc>
      </w:tr>
      <w:tr>
        <w:trPr>
          <w:trHeight w:val="142"/>
        </w:trPr>
        <w:tc>
          <w:tcPr>
            <w:tcW w:w="772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3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1,459,905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1,369,591</w:t>
            </w:r>
          </w:p>
        </w:tc>
      </w:tr>
      <w:tr>
        <w:trPr>
          <w:trHeight w:val="142"/>
        </w:trPr>
        <w:tc>
          <w:tcPr>
            <w:tcW w:w="7720" w:type="dxa"/>
            <w:vAlign w:val="bottom"/>
          </w:tcPr>
          <w:p>
            <w:pPr>
              <w:spacing w:after="0"/>
              <w:rPr>
                <w:sz w:val="20"/>
                <w:szCs w:val="20"/>
                <w:color w:val="auto"/>
              </w:rPr>
            </w:pPr>
            <w:r>
              <w:rPr>
                <w:rFonts w:ascii="Arial" w:cs="Arial" w:eastAsia="Arial" w:hAnsi="Arial"/>
                <w:sz w:val="12"/>
                <w:szCs w:val="12"/>
                <w:color w:val="auto"/>
              </w:rPr>
              <w:t>Total liabilities and shareholders' equity</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2,305,878</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2,166,666</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40" w:firstLine="324"/>
        <w:spacing w:after="0" w:line="263" w:lineRule="auto"/>
        <w:rPr>
          <w:sz w:val="20"/>
          <w:szCs w:val="20"/>
          <w:color w:val="auto"/>
        </w:rPr>
      </w:pPr>
      <w:r>
        <w:rPr>
          <w:rFonts w:ascii="Arial" w:cs="Arial" w:eastAsia="Arial" w:hAnsi="Arial"/>
          <w:sz w:val="12"/>
          <w:szCs w:val="12"/>
          <w:color w:val="auto"/>
        </w:rPr>
        <w:t>Total cash and investments were $2.1 billion as of June 30, 2021, compared to $1.9 billion as of December 31, 2020. Cash and investments at June 30, 2021 included $80.5 million held by NMIH. The increase in total cash and investments between the respective measurement dates reflects cash generated from operations, partially offset by a decrease in the unrealized gain position of our fixed income portfolio tied to the prevailing interest rate and credit spread environment.</w:t>
      </w:r>
    </w:p>
    <w:p>
      <w:pPr>
        <w:spacing w:after="0" w:line="8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Premiums receivable was $55.9 million as of June 30, 2021, compared to $49.8 million as December 31, 2020. The increase was primarily driven by growth in our monthly premium policies in force, where premiums are generally paid one month in arrears.</w:t>
      </w:r>
    </w:p>
    <w:p>
      <w:pPr>
        <w:spacing w:after="0" w:line="79"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Net deferred policy acquisition costs were $62.1 million as of June 30, 2021, compared to $62.2 million as of December 31, 2020. The decrease was primarily driven by the recognition of previously deferred policy acquisition costs taken in connection with in-force portfolio run-off, and was largely offset by the deferral of certain costs associated with the origination of new policies between the respective balance sheet dates.</w:t>
      </w:r>
    </w:p>
    <w:p>
      <w:pPr>
        <w:spacing w:after="0" w:line="5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Prepaid reinsurance premiums were $3.8 million as of June 30, 2021, compared to $6.2 million as of December 31, 2020. Prepaid reinsurance premiums, which represent the unearned premiums on single premium policies ceded under the 2016 QSR Transaction, decreased due to the continued amortization of previously ceded unearned premiums.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Reinsurance recoverable was $19.7 million as of June 30, 2021, compared to $17.6 million as of December 31, 2020. The increase was driven by an increase in ceded losses recoverable associated with our QSR Transactions.</w:t>
      </w:r>
    </w:p>
    <w:p>
      <w:pPr>
        <w:spacing w:after="0" w:line="137"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Other assets increased to $70.4 million as of June 30, 2021, compared to $70.0 million as of December 31, 2020. Other assets included $46.4 million of tax and loss bonds held by the Company at both June 30, 2021 and December 31, 2020. See Item 1, "</w:t>
      </w:r>
      <w:r>
        <w:rPr>
          <w:rFonts w:ascii="Arial" w:cs="Arial" w:eastAsia="Arial" w:hAnsi="Arial"/>
          <w:sz w:val="12"/>
          <w:szCs w:val="12"/>
          <w:i w:val="1"/>
          <w:iCs w:val="1"/>
          <w:color w:val="auto"/>
        </w:rPr>
        <w:t>Financial Statements - Notes to Condensed Consolidated Financial Statements - Note 9, Income Taxes.</w:t>
      </w:r>
      <w:r>
        <w:rPr>
          <w:rFonts w:ascii="Arial" w:cs="Arial" w:eastAsia="Arial" w:hAnsi="Arial"/>
          <w:sz w:val="12"/>
          <w:szCs w:val="12"/>
          <w:color w:val="auto"/>
        </w:rPr>
        <w:t>"</w:t>
      </w:r>
    </w:p>
    <w:p>
      <w:pPr>
        <w:spacing w:after="0" w:line="79"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Unearned premiums were $142.1 million as of June 30, 2021, compared to $118.8 million as of December 31, 2020. The increase was driven by single premium policy originations during the six months ended June 30, 2021, partially offset by the cancellation of other single premium policies and the amortization of existing unearned premiums through earnings in accordance with the expiration of risk on related single premium policies.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53" w:name="page54"/>
    <w:bookmarkEnd w:id="53"/>
    <w:p>
      <w:pPr>
        <w:jc w:val="both"/>
        <w:ind w:right="20" w:firstLine="432"/>
        <w:spacing w:after="0" w:line="323" w:lineRule="auto"/>
        <w:rPr>
          <w:sz w:val="20"/>
          <w:szCs w:val="20"/>
          <w:color w:val="auto"/>
        </w:rPr>
      </w:pPr>
      <w:r>
        <w:rPr>
          <w:rFonts w:ascii="Arial" w:cs="Arial" w:eastAsia="Arial" w:hAnsi="Arial"/>
          <w:sz w:val="11"/>
          <w:szCs w:val="11"/>
          <w:color w:val="auto"/>
        </w:rPr>
        <w:t>Accounts payable and accrued expenses were $56.8 million as of June 30, 2021, compared to $61.7 million as of December 31, 2020. The decrease was primarily driven by the payment of an unsettled trade payable related to the purchase of investment securities at year-end 2020 and the settlement of previously accrued compensation during the six months ended June 30, 2021, partially offset by an increase in reinsurance premiums payable.</w:t>
      </w:r>
    </w:p>
    <w:p>
      <w:pPr>
        <w:spacing w:after="0" w:line="5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Reserve for insurance claims and claim expenses was $101.2 million as of June 30, 2021, compared to $90.6 million as of December 31, 2020. Reserve for insurance claims and claim expenses increased at June 30, 2021, despite a decline in the total size of our default population because of an increase in the average case reserve held against previously defaulted loans and the establishment of initial reserves on newly defaulted loans during the period. While we have generally established lower reserves per default for loans that we consider to be impaired in connection with the COVID pandemic, we have increased the initial reserves held for such loans as they have aged in default status. The increase in the reserves for insurance claims and claim expenses at June 30, 2021 was partially offset by the release of prior year reserves tied to the curing of certain loans that had defaulted prior to the onset of the COVID pandemic. See "</w:t>
      </w:r>
      <w:r>
        <w:rPr>
          <w:rFonts w:ascii="Arial" w:cs="Arial" w:eastAsia="Arial" w:hAnsi="Arial"/>
          <w:sz w:val="12"/>
          <w:szCs w:val="12"/>
          <w:i w:val="1"/>
          <w:iCs w:val="1"/>
          <w:color w:val="auto"/>
        </w:rPr>
        <w:t>- Insurance Claims and Claim Expenses</w:t>
      </w:r>
      <w:r>
        <w:rPr>
          <w:rFonts w:ascii="Arial" w:cs="Arial" w:eastAsia="Arial" w:hAnsi="Arial"/>
          <w:sz w:val="12"/>
          <w:szCs w:val="12"/>
          <w:color w:val="auto"/>
        </w:rPr>
        <w:t>," above for further details.</w:t>
      </w:r>
    </w:p>
    <w:p>
      <w:pPr>
        <w:spacing w:after="0" w:line="9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Reinsurance funds withheld, which represents our ceded reinsurance premiums written, less our profit and ceding commission receivables related to the 2016 QSR Transaction was $6.9 million as of June 30, 2021, compared to $8.7 million as of December 31, 2020. The decrease relates to the continued decline in ceded premiums written on single premium policies, due to the end of the reinsurance coverage period for new business under the 2016 QSR Transaction at December 31, 2017. See Item 1, "</w:t>
      </w:r>
      <w:r>
        <w:rPr>
          <w:rFonts w:ascii="Arial" w:cs="Arial" w:eastAsia="Arial" w:hAnsi="Arial"/>
          <w:sz w:val="12"/>
          <w:szCs w:val="12"/>
          <w:i w:val="1"/>
          <w:iCs w:val="1"/>
          <w:color w:val="auto"/>
        </w:rPr>
        <w:t>Financial Statements - Notes to Condensed Consolidated Financial Statements - Note 5, Reinsurance</w:t>
      </w:r>
      <w:r>
        <w:rPr>
          <w:rFonts w:ascii="Arial" w:cs="Arial" w:eastAsia="Arial" w:hAnsi="Arial"/>
          <w:sz w:val="12"/>
          <w:szCs w:val="12"/>
          <w:color w:val="auto"/>
        </w:rPr>
        <w:t>."</w:t>
      </w:r>
    </w:p>
    <w:p>
      <w:pPr>
        <w:spacing w:after="0" w:line="8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Warrant liability was $3.4 million at June 30, 2021, compared to $4.4 million at December 31, 2020. The decrease was driven by the exercise of outstanding warrants, and changes in the price of our common stock and other Black-Scholes model inputs between the respective measurement dates. For further information regarding the valuation of our warrant liability and its impact on our results of operations and financial position, see Item 1,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 - Notes to Condensed Consolidated Financial Statements - Note 3, Fair Value of Financial Instruments.</w:t>
      </w:r>
      <w:r>
        <w:rPr>
          <w:rFonts w:ascii="Arial" w:cs="Arial" w:eastAsia="Arial" w:hAnsi="Arial"/>
          <w:sz w:val="12"/>
          <w:szCs w:val="12"/>
          <w:color w:val="auto"/>
        </w:rPr>
        <w:t>"</w:t>
      </w:r>
    </w:p>
    <w:p>
      <w:pPr>
        <w:spacing w:after="0" w:line="86"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Net deferred tax liability was $136.3 million at June 30, 2021 compared to $112.6 million at December 31, 2020. The increase was primarily due to an increase in the claimed deductibility of our statutory contingency reserve, partially offset by the change in unrealized gains recorded in other comprehensive income. For further information regarding income taxes and their impact on our results of operations and financial position, see Item 1,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 - Notes to Condensed Consolidated Financial Statements - Note 9, Income Taxes.</w:t>
      </w:r>
      <w:r>
        <w:rPr>
          <w:rFonts w:ascii="Arial" w:cs="Arial" w:eastAsia="Arial" w:hAnsi="Arial"/>
          <w:sz w:val="12"/>
          <w:szCs w:val="12"/>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0" w:type="dxa"/>
            <w:vAlign w:val="bottom"/>
          </w:tcPr>
          <w:p>
            <w:pPr>
              <w:ind w:left="420"/>
              <w:spacing w:after="0"/>
              <w:rPr>
                <w:sz w:val="20"/>
                <w:szCs w:val="20"/>
                <w:color w:val="auto"/>
              </w:rPr>
            </w:pPr>
            <w:r>
              <w:rPr>
                <w:rFonts w:ascii="Arial" w:cs="Arial" w:eastAsia="Arial" w:hAnsi="Arial"/>
                <w:sz w:val="12"/>
                <w:szCs w:val="12"/>
                <w:color w:val="auto"/>
              </w:rPr>
              <w:t>The</w:t>
            </w:r>
          </w:p>
        </w:tc>
        <w:tc>
          <w:tcPr>
            <w:tcW w:w="1120" w:type="dxa"/>
            <w:vAlign w:val="bottom"/>
          </w:tcPr>
          <w:p>
            <w:pPr>
              <w:ind w:left="220"/>
              <w:spacing w:after="0"/>
              <w:rPr>
                <w:sz w:val="20"/>
                <w:szCs w:val="20"/>
                <w:color w:val="auto"/>
              </w:rPr>
            </w:pPr>
            <w:r>
              <w:rPr>
                <w:rFonts w:ascii="Arial" w:cs="Arial" w:eastAsia="Arial" w:hAnsi="Arial"/>
                <w:sz w:val="12"/>
                <w:szCs w:val="12"/>
                <w:color w:val="auto"/>
              </w:rPr>
              <w:t>following</w:t>
            </w:r>
          </w:p>
        </w:tc>
        <w:tc>
          <w:tcPr>
            <w:tcW w:w="480" w:type="dxa"/>
            <w:vAlign w:val="bottom"/>
          </w:tcPr>
          <w:p>
            <w:pPr>
              <w:ind w:left="20"/>
              <w:spacing w:after="0"/>
              <w:rPr>
                <w:sz w:val="20"/>
                <w:szCs w:val="20"/>
                <w:color w:val="auto"/>
              </w:rPr>
            </w:pPr>
            <w:r>
              <w:rPr>
                <w:rFonts w:ascii="Arial" w:cs="Arial" w:eastAsia="Arial" w:hAnsi="Arial"/>
                <w:sz w:val="12"/>
                <w:szCs w:val="12"/>
                <w:color w:val="auto"/>
              </w:rPr>
              <w:t>table</w:t>
            </w:r>
          </w:p>
        </w:tc>
        <w:tc>
          <w:tcPr>
            <w:tcW w:w="1040" w:type="dxa"/>
            <w:vAlign w:val="bottom"/>
          </w:tcPr>
          <w:p>
            <w:pPr>
              <w:ind w:left="240"/>
              <w:spacing w:after="0"/>
              <w:rPr>
                <w:sz w:val="20"/>
                <w:szCs w:val="20"/>
                <w:color w:val="auto"/>
              </w:rPr>
            </w:pPr>
            <w:r>
              <w:rPr>
                <w:rFonts w:ascii="Arial" w:cs="Arial" w:eastAsia="Arial" w:hAnsi="Arial"/>
                <w:sz w:val="12"/>
                <w:szCs w:val="12"/>
                <w:color w:val="auto"/>
              </w:rPr>
              <w:t>summarizes</w:t>
            </w:r>
          </w:p>
        </w:tc>
        <w:tc>
          <w:tcPr>
            <w:tcW w:w="620" w:type="dxa"/>
            <w:vAlign w:val="bottom"/>
          </w:tcPr>
          <w:p>
            <w:pPr>
              <w:ind w:left="220"/>
              <w:spacing w:after="0"/>
              <w:rPr>
                <w:sz w:val="20"/>
                <w:szCs w:val="20"/>
                <w:color w:val="auto"/>
              </w:rPr>
            </w:pPr>
            <w:r>
              <w:rPr>
                <w:rFonts w:ascii="Arial" w:cs="Arial" w:eastAsia="Arial" w:hAnsi="Arial"/>
                <w:sz w:val="12"/>
                <w:szCs w:val="12"/>
                <w:color w:val="auto"/>
              </w:rPr>
              <w:t>our</w:t>
            </w:r>
          </w:p>
        </w:tc>
        <w:tc>
          <w:tcPr>
            <w:tcW w:w="1060" w:type="dxa"/>
            <w:vAlign w:val="bottom"/>
          </w:tcPr>
          <w:p>
            <w:pPr>
              <w:ind w:left="220"/>
              <w:spacing w:after="0"/>
              <w:rPr>
                <w:sz w:val="20"/>
                <w:szCs w:val="20"/>
                <w:color w:val="auto"/>
              </w:rPr>
            </w:pPr>
            <w:r>
              <w:rPr>
                <w:rFonts w:ascii="Arial" w:cs="Arial" w:eastAsia="Arial" w:hAnsi="Arial"/>
                <w:sz w:val="12"/>
                <w:szCs w:val="12"/>
                <w:color w:val="auto"/>
              </w:rPr>
              <w:t>consolidated</w:t>
            </w:r>
          </w:p>
        </w:tc>
        <w:tc>
          <w:tcPr>
            <w:tcW w:w="660" w:type="dxa"/>
            <w:vAlign w:val="bottom"/>
          </w:tcPr>
          <w:p>
            <w:pPr>
              <w:ind w:left="220"/>
              <w:spacing w:after="0"/>
              <w:rPr>
                <w:sz w:val="20"/>
                <w:szCs w:val="20"/>
                <w:color w:val="auto"/>
              </w:rPr>
            </w:pPr>
            <w:r>
              <w:rPr>
                <w:rFonts w:ascii="Arial" w:cs="Arial" w:eastAsia="Arial" w:hAnsi="Arial"/>
                <w:sz w:val="12"/>
                <w:szCs w:val="12"/>
                <w:color w:val="auto"/>
              </w:rPr>
              <w:t>cash</w:t>
            </w:r>
          </w:p>
        </w:tc>
        <w:tc>
          <w:tcPr>
            <w:tcW w:w="720" w:type="dxa"/>
            <w:vAlign w:val="bottom"/>
          </w:tcPr>
          <w:p>
            <w:pPr>
              <w:ind w:left="220"/>
              <w:spacing w:after="0"/>
              <w:rPr>
                <w:sz w:val="20"/>
                <w:szCs w:val="20"/>
                <w:color w:val="auto"/>
              </w:rPr>
            </w:pPr>
            <w:r>
              <w:rPr>
                <w:rFonts w:ascii="Arial" w:cs="Arial" w:eastAsia="Arial" w:hAnsi="Arial"/>
                <w:sz w:val="12"/>
                <w:szCs w:val="12"/>
                <w:color w:val="auto"/>
              </w:rPr>
              <w:t>flows</w:t>
            </w: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from</w:t>
            </w:r>
          </w:p>
        </w:tc>
        <w:tc>
          <w:tcPr>
            <w:tcW w:w="1140" w:type="dxa"/>
            <w:vAlign w:val="bottom"/>
          </w:tcPr>
          <w:p>
            <w:pPr>
              <w:jc w:val="right"/>
              <w:ind w:right="343"/>
              <w:spacing w:after="0"/>
              <w:rPr>
                <w:sz w:val="20"/>
                <w:szCs w:val="20"/>
                <w:color w:val="auto"/>
              </w:rPr>
            </w:pPr>
            <w:r>
              <w:rPr>
                <w:rFonts w:ascii="Arial" w:cs="Arial" w:eastAsia="Arial" w:hAnsi="Arial"/>
                <w:sz w:val="12"/>
                <w:szCs w:val="12"/>
                <w:color w:val="auto"/>
              </w:rPr>
              <w:t>operating,</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investing</w:t>
            </w:r>
          </w:p>
        </w:tc>
        <w:tc>
          <w:tcPr>
            <w:tcW w:w="660" w:type="dxa"/>
            <w:vAlign w:val="bottom"/>
          </w:tcPr>
          <w:p>
            <w:pPr>
              <w:jc w:val="right"/>
              <w:ind w:right="260"/>
              <w:spacing w:after="0"/>
              <w:rPr>
                <w:sz w:val="20"/>
                <w:szCs w:val="20"/>
                <w:color w:val="auto"/>
              </w:rPr>
            </w:pPr>
            <w:r>
              <w:rPr>
                <w:rFonts w:ascii="Arial" w:cs="Arial" w:eastAsia="Arial" w:hAnsi="Arial"/>
                <w:sz w:val="12"/>
                <w:szCs w:val="12"/>
                <w:color w:val="auto"/>
              </w:rPr>
              <w:t>and</w:t>
            </w:r>
          </w:p>
        </w:tc>
        <w:tc>
          <w:tcPr>
            <w:tcW w:w="820" w:type="dxa"/>
            <w:vAlign w:val="bottom"/>
          </w:tcPr>
          <w:p>
            <w:pPr>
              <w:jc w:val="right"/>
              <w:ind w:right="166"/>
              <w:spacing w:after="0"/>
              <w:rPr>
                <w:sz w:val="20"/>
                <w:szCs w:val="20"/>
                <w:color w:val="auto"/>
              </w:rPr>
            </w:pPr>
            <w:r>
              <w:rPr>
                <w:rFonts w:ascii="Arial" w:cs="Arial" w:eastAsia="Arial" w:hAnsi="Arial"/>
                <w:sz w:val="12"/>
                <w:szCs w:val="12"/>
                <w:color w:val="auto"/>
              </w:rPr>
              <w:t>financing</w:t>
            </w:r>
          </w:p>
        </w:tc>
        <w:tc>
          <w:tcPr>
            <w:tcW w:w="680" w:type="dxa"/>
            <w:vAlign w:val="bottom"/>
            <w:gridSpan w:val="2"/>
          </w:tcPr>
          <w:p>
            <w:pPr>
              <w:ind w:left="220"/>
              <w:spacing w:after="0"/>
              <w:rPr>
                <w:sz w:val="20"/>
                <w:szCs w:val="20"/>
                <w:color w:val="auto"/>
              </w:rPr>
            </w:pPr>
            <w:r>
              <w:rPr>
                <w:rFonts w:ascii="Arial" w:cs="Arial" w:eastAsia="Arial" w:hAnsi="Arial"/>
                <w:sz w:val="12"/>
                <w:szCs w:val="12"/>
                <w:color w:val="auto"/>
                <w:w w:val="89"/>
              </w:rPr>
              <w:t>activities.</w:t>
            </w:r>
          </w:p>
        </w:tc>
      </w:tr>
      <w:tr>
        <w:trPr>
          <w:trHeight w:val="140"/>
        </w:trPr>
        <w:tc>
          <w:tcPr>
            <w:tcW w:w="1960" w:type="dxa"/>
            <w:vAlign w:val="bottom"/>
            <w:gridSpan w:val="2"/>
          </w:tcPr>
          <w:p>
            <w:pPr>
              <w:ind w:left="440"/>
              <w:spacing w:after="0"/>
              <w:rPr>
                <w:sz w:val="20"/>
                <w:szCs w:val="20"/>
                <w:color w:val="auto"/>
              </w:rPr>
            </w:pPr>
            <w:r>
              <w:rPr>
                <w:rFonts w:ascii="Arial" w:cs="Arial" w:eastAsia="Arial" w:hAnsi="Arial"/>
                <w:sz w:val="10"/>
                <w:szCs w:val="10"/>
                <w:b w:val="1"/>
                <w:bCs w:val="1"/>
                <w:color w:val="auto"/>
              </w:rPr>
              <w:t>Consolidated cash flows</w:t>
            </w: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For the six months ended June 30,</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36"/>
        </w:trPr>
        <w:tc>
          <w:tcPr>
            <w:tcW w:w="1960" w:type="dxa"/>
            <w:vAlign w:val="bottom"/>
            <w:gridSpan w:val="2"/>
          </w:tcPr>
          <w:p>
            <w:pPr>
              <w:ind w:left="440"/>
              <w:spacing w:after="0" w:line="136" w:lineRule="exact"/>
              <w:rPr>
                <w:sz w:val="20"/>
                <w:szCs w:val="20"/>
                <w:color w:val="auto"/>
              </w:rPr>
            </w:pPr>
            <w:r>
              <w:rPr>
                <w:rFonts w:ascii="Arial" w:cs="Arial" w:eastAsia="Arial" w:hAnsi="Arial"/>
                <w:sz w:val="12"/>
                <w:szCs w:val="12"/>
                <w:color w:val="auto"/>
                <w:w w:val="90"/>
              </w:rPr>
              <w:t>Net cash provided by (used in):</w:t>
            </w: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i w:val="1"/>
                <w:iCs w:val="1"/>
                <w:color w:val="auto"/>
              </w:rPr>
              <w:t>(In Thousands)</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9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Operating activities</w:t>
            </w: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ind w:left="260"/>
              <w:spacing w:after="0"/>
              <w:rPr>
                <w:sz w:val="20"/>
                <w:szCs w:val="20"/>
                <w:color w:val="auto"/>
              </w:rPr>
            </w:pPr>
            <w:r>
              <w:rPr>
                <w:rFonts w:ascii="Arial" w:cs="Arial" w:eastAsia="Arial" w:hAnsi="Arial"/>
                <w:sz w:val="12"/>
                <w:szCs w:val="12"/>
                <w:color w:val="auto"/>
                <w:w w:val="92"/>
              </w:rPr>
              <w:t>182,544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center"/>
              <w:ind w:left="40"/>
              <w:spacing w:after="0"/>
              <w:rPr>
                <w:sz w:val="20"/>
                <w:szCs w:val="20"/>
                <w:color w:val="auto"/>
              </w:rPr>
            </w:pPr>
            <w:r>
              <w:rPr>
                <w:rFonts w:ascii="Arial" w:cs="Arial" w:eastAsia="Arial" w:hAnsi="Arial"/>
                <w:sz w:val="12"/>
                <w:szCs w:val="12"/>
                <w:color w:val="auto"/>
                <w:w w:val="87"/>
              </w:rPr>
              <w:t>127,355</w:t>
            </w:r>
          </w:p>
        </w:tc>
        <w:tc>
          <w:tcPr>
            <w:tcW w:w="80" w:type="dxa"/>
            <w:vAlign w:val="bottom"/>
          </w:tcPr>
          <w:p>
            <w:pPr>
              <w:spacing w:after="0"/>
              <w:rPr>
                <w:sz w:val="13"/>
                <w:szCs w:val="13"/>
                <w:color w:val="auto"/>
              </w:rPr>
            </w:pPr>
          </w:p>
        </w:tc>
      </w:tr>
      <w:tr>
        <w:trPr>
          <w:trHeight w:val="153"/>
        </w:trPr>
        <w:tc>
          <w:tcPr>
            <w:tcW w:w="1960" w:type="dxa"/>
            <w:vAlign w:val="bottom"/>
            <w:gridSpan w:val="2"/>
          </w:tcPr>
          <w:p>
            <w:pPr>
              <w:ind w:left="520"/>
              <w:spacing w:after="0"/>
              <w:rPr>
                <w:sz w:val="20"/>
                <w:szCs w:val="20"/>
                <w:color w:val="auto"/>
              </w:rPr>
            </w:pPr>
            <w:r>
              <w:rPr>
                <w:rFonts w:ascii="Arial" w:cs="Arial" w:eastAsia="Arial" w:hAnsi="Arial"/>
                <w:sz w:val="12"/>
                <w:szCs w:val="12"/>
                <w:color w:val="auto"/>
              </w:rPr>
              <w:t>Investing activities</w:t>
            </w: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(240,679)</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jc w:val="center"/>
              <w:ind w:left="40"/>
              <w:spacing w:after="0"/>
              <w:rPr>
                <w:sz w:val="20"/>
                <w:szCs w:val="20"/>
                <w:color w:val="auto"/>
              </w:rPr>
            </w:pPr>
            <w:r>
              <w:rPr>
                <w:rFonts w:ascii="Arial" w:cs="Arial" w:eastAsia="Arial" w:hAnsi="Arial"/>
                <w:sz w:val="12"/>
                <w:szCs w:val="12"/>
                <w:color w:val="auto"/>
                <w:w w:val="89"/>
              </w:rPr>
              <w:t>(114,306)</w:t>
            </w:r>
          </w:p>
        </w:tc>
        <w:tc>
          <w:tcPr>
            <w:tcW w:w="80" w:type="dxa"/>
            <w:vAlign w:val="bottom"/>
          </w:tcPr>
          <w:p>
            <w:pPr>
              <w:spacing w:after="0"/>
              <w:rPr>
                <w:sz w:val="13"/>
                <w:szCs w:val="13"/>
                <w:color w:val="auto"/>
              </w:rPr>
            </w:pPr>
          </w:p>
        </w:tc>
      </w:tr>
      <w:tr>
        <w:trPr>
          <w:trHeight w:val="153"/>
        </w:trPr>
        <w:tc>
          <w:tcPr>
            <w:tcW w:w="19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Financing activities</w:t>
            </w: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(722)</w:t>
            </w:r>
          </w:p>
        </w:tc>
        <w:tc>
          <w:tcPr>
            <w:tcW w:w="1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center"/>
              <w:ind w:left="40"/>
              <w:spacing w:after="0"/>
              <w:rPr>
                <w:sz w:val="20"/>
                <w:szCs w:val="20"/>
                <w:color w:val="auto"/>
              </w:rPr>
            </w:pPr>
            <w:r>
              <w:rPr>
                <w:rFonts w:ascii="Arial" w:cs="Arial" w:eastAsia="Arial" w:hAnsi="Arial"/>
                <w:sz w:val="12"/>
                <w:szCs w:val="12"/>
                <w:color w:val="auto"/>
                <w:w w:val="87"/>
              </w:rPr>
              <w:t>461,312</w:t>
            </w:r>
          </w:p>
        </w:tc>
        <w:tc>
          <w:tcPr>
            <w:tcW w:w="80" w:type="dxa"/>
            <w:vAlign w:val="bottom"/>
          </w:tcPr>
          <w:p>
            <w:pPr>
              <w:spacing w:after="0"/>
              <w:rPr>
                <w:sz w:val="13"/>
                <w:szCs w:val="13"/>
                <w:color w:val="auto"/>
              </w:rPr>
            </w:pPr>
          </w:p>
        </w:tc>
      </w:tr>
      <w:tr>
        <w:trPr>
          <w:trHeight w:val="142"/>
        </w:trPr>
        <w:tc>
          <w:tcPr>
            <w:tcW w:w="3480" w:type="dxa"/>
            <w:vAlign w:val="bottom"/>
            <w:gridSpan w:val="4"/>
          </w:tcPr>
          <w:p>
            <w:pPr>
              <w:ind w:left="440"/>
              <w:spacing w:after="0"/>
              <w:rPr>
                <w:sz w:val="20"/>
                <w:szCs w:val="20"/>
                <w:color w:val="auto"/>
              </w:rPr>
            </w:pPr>
            <w:r>
              <w:rPr>
                <w:rFonts w:ascii="Arial" w:cs="Arial" w:eastAsia="Arial" w:hAnsi="Arial"/>
                <w:sz w:val="12"/>
                <w:szCs w:val="12"/>
                <w:color w:val="auto"/>
              </w:rPr>
              <w:t>Net (decrease) increase in cash and cash equivalents</w:t>
            </w: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823"/>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(58,857)</w:t>
            </w: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color w:val="auto"/>
                <w:w w:val="87"/>
              </w:rPr>
              <w:t>474,361</w:t>
            </w:r>
          </w:p>
        </w:tc>
        <w:tc>
          <w:tcPr>
            <w:tcW w:w="8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Net cash provided by operating activities was $182.5 million for the six months ended June 30, 2021, compared to $127.4 million for the six months ended June 30, 2020. The increase in cash generated from operating activities year-on-year was primarily driven by growth in premiums written, with further increase tied to a decline in claims paid from period-to-period.</w:t>
      </w:r>
    </w:p>
    <w:p>
      <w:pPr>
        <w:spacing w:after="0" w:line="7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Cash used in investing activities for the six months ended June 30, 2021 and 2020 reflects the purchase of fixed and short-term maturities with cash provided by operating and, as available, financing activities, and the reinvestment of coupon payments, maturities and sale proceeds within our investment portfolio. Cash used in investing activities for the six months ended June 30, 2020, further reflects the investment of net cash proceeds provided by financing activities.</w:t>
      </w:r>
    </w:p>
    <w:p>
      <w:pPr>
        <w:spacing w:after="0" w:line="86"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Cash used in financing activities was $0.7 million for the six months ended June 30, 2021, compared to cash provided by financing activities of $461.3 million for the six months ended June 30, 2020. Cash used in financing activities during the six months ended June 30, 2021 primarily relates to taxes paid on the net share settlement of equity awards for certain employees. Cash provided by financing activities for the six months ended June 30, 2020 primarily reflects $220.3 million net cash proceeds raised in connection with our 2020 equity offering and $245.9 million net cash proceeds raised in connection with our 2020 Notes offering.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2020 Revolving Credit Facility; (iv) tax payments to the Internal Revenue Service; (v) 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of June 30, 2021, NMIH had $80.5 million of cash and investments. NMIH's principal source of net cash is investment income. NMIH also has access to $110 million of undrawn revolving credit capacity under the 2020 Revolving Credit Facility. See Item 1, "</w:t>
      </w:r>
      <w:r>
        <w:rPr>
          <w:rFonts w:ascii="Arial" w:cs="Arial" w:eastAsia="Arial" w:hAnsi="Arial"/>
          <w:sz w:val="11"/>
          <w:szCs w:val="11"/>
          <w:i w:val="1"/>
          <w:iCs w:val="1"/>
          <w:color w:val="auto"/>
        </w:rPr>
        <w:t>Financial Statements - Notes to Condensed Consolidated Financial Statements - Note 4, Debt.</w:t>
      </w:r>
      <w:r>
        <w:rPr>
          <w:rFonts w:ascii="Arial" w:cs="Arial" w:eastAsia="Arial" w:hAnsi="Arial"/>
          <w:sz w:val="11"/>
          <w:szCs w:val="11"/>
          <w:color w:val="auto"/>
        </w:rPr>
        <w:t xml:space="preserve"> Re One also has the capacity, under Wisconsin law, to pay $1.6 million of aggregate ordinary dividends to NMIH during the twelve-month period ending December 31, 2021. In the future, NMIH may benefit from ordinary course dividend capacity available from NMIC as well.</w:t>
      </w:r>
    </w:p>
    <w:p>
      <w:pPr>
        <w:spacing w:after="0" w:line="6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2020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Notes mature on June 19, 2025 and bear interest at a rate of 7.375%, payable semi-annually on June 1 and December 1. The 2020 Revolving Credit Facility matures on February 22, 2023 and accrues interest at a variable rate equal to, at our discretion, (i) a base rate (as defined in the Credit Agreement, subject to a floor of 1.00% per annum) plus a margin of 0.375% to 1.875% per annum or (ii) the Eurodollar Rate (subject to a floor of 0.00% per annum) plus a margin of 1.375% to 2.875% per annum, in each case based on the applicable corporate credit rating at the time. Borrowings under the 2020 Revolving Credit Facility may be used for general corporate purposes, including to support the growth of our new business production and operations.</w:t>
      </w:r>
    </w:p>
    <w:p>
      <w:pPr>
        <w:spacing w:after="0" w:line="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2020 Revolving Credit Facility, NMIH is required to pay a quarterly commitment fee on the average daily undrawn amount of 0.175% to 0.525%, based on the applicable corporate credit rating at the time. As of June 30, 2021, the applicable commitment fee was 0.35%.</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subject to certain covenants under the 2020 Revolving Credit Facility (as defined in the Credit Agreement), including a maximum debt-to-total capitalization ratio of 35%, a minimum liquidity requirement, a requirement to maintain compliance with the PMIERs financial requirements (subject to any GSE-approved waivers), and minimum consolidated net worth and statutory capital requirements (respectively, as defined therein). We were in compliance with all covenants as of June 30, 2021.</w:t>
      </w:r>
    </w:p>
    <w:p>
      <w:pPr>
        <w:spacing w:after="0" w:line="8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1"/>
          <w:szCs w:val="11"/>
          <w:i w:val="1"/>
          <w:iCs w:val="1"/>
          <w:color w:val="auto"/>
        </w:rPr>
        <w:t>i.e.</w:t>
      </w:r>
      <w:r>
        <w:rPr>
          <w:rFonts w:ascii="Arial" w:cs="Arial" w:eastAsia="Arial" w:hAnsi="Arial"/>
          <w:sz w:val="11"/>
          <w:szCs w:val="11"/>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Re One has the capacity to pay $1.6 million of aggregate ordinary dividends to NMIH during the twelve-month period ending December 31, 2021. NMIC reported a statutory net loss for the year ended December 31, 2020 and does not have the capacity to pay dividends to NMIH during the twelve-month period ended December 31, 2021 without prior approval from the Wisconsin OCI. Since inception, neither NMIC nor Re One have paid any dividends to NMIH.</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As an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under PMIERs, NMIC would generally be subject to prior GSE approval of its ability to pay dividends to NMIH if it failed to meet the financial requirements prescribed by PMIERs. In response to the COVID-19 pandemic, the GSEs issued temporary PMIERs guidance, effective for the period from June 30, 2020 to June 30, 2021, that requires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secure approval from the GSEs, even if 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otherwise satisfies the financial requirements prescribed by PMIERs, prior to taking any of the following actions: (i) pay dividends, make payments of principal or increase payments of interest beyond those commitments made prior to the guidance effective date associated with surplus notes issued by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approved insurer</w:t>
      </w:r>
      <w:r>
        <w:rPr>
          <w:rFonts w:ascii="Arial" w:cs="Arial" w:eastAsia="Arial" w:hAnsi="Arial"/>
          <w:sz w:val="12"/>
          <w:szCs w:val="12"/>
          <w:color w:val="auto"/>
        </w:rPr>
        <w:t xml:space="preserve">, make any other payments, unless related to expenses incurred in the normal course of business or to commitments made prior to the guidance effective date, or pledge or transfer asset(s) to any affiliate or investor, or (ii) enter into any new arrangements or alter any existing arrangements under tax sharing and intercompany expense-sharing agreements other than renewals and extensions of agreements in effect prior to the guidance effective date. On June 30, 2021, the GSEs updated the temporary PMIERs guidance to permit </w:t>
      </w:r>
      <w:r>
        <w:rPr>
          <w:rFonts w:ascii="Arial" w:cs="Arial" w:eastAsia="Arial" w:hAnsi="Arial"/>
          <w:sz w:val="12"/>
          <w:szCs w:val="12"/>
          <w:i w:val="1"/>
          <w:iCs w:val="1"/>
          <w:color w:val="auto"/>
        </w:rPr>
        <w:t>approved insurers</w:t>
      </w:r>
      <w:r>
        <w:rPr>
          <w:rFonts w:ascii="Arial" w:cs="Arial" w:eastAsia="Arial" w:hAnsi="Arial"/>
          <w:sz w:val="12"/>
          <w:szCs w:val="12"/>
          <w:color w:val="auto"/>
        </w:rPr>
        <w:t xml:space="preserve"> to pay dividends or undertake other actions described in (i) and (ii) above without securing prior approval if certain prescribed financial requirements are met during the period from July 1, 2021 to December 31, 2021.</w:t>
      </w:r>
    </w:p>
    <w:p>
      <w:pPr>
        <w:spacing w:after="0" w:line="88" w:lineRule="exact"/>
        <w:rPr>
          <w:sz w:val="20"/>
          <w:szCs w:val="20"/>
          <w:color w:val="auto"/>
        </w:rPr>
      </w:pPr>
    </w:p>
    <w:p>
      <w:pPr>
        <w:jc w:val="both"/>
        <w:ind w:right="20" w:firstLine="432"/>
        <w:spacing w:after="0" w:line="306" w:lineRule="auto"/>
        <w:rPr>
          <w:sz w:val="20"/>
          <w:szCs w:val="20"/>
          <w:color w:val="auto"/>
        </w:rPr>
      </w:pPr>
      <w:r>
        <w:rPr>
          <w:rFonts w:ascii="Arial" w:cs="Arial" w:eastAsia="Arial" w:hAnsi="Arial"/>
          <w:sz w:val="11"/>
          <w:szCs w:val="11"/>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1"/>
          <w:szCs w:val="11"/>
          <w:i w:val="1"/>
          <w:iCs w:val="1"/>
          <w:color w:val="auto"/>
        </w:rPr>
        <w:t>minimum required asset</w:t>
      </w:r>
      <w:r>
        <w:rPr>
          <w:rFonts w:ascii="Arial" w:cs="Arial" w:eastAsia="Arial" w:hAnsi="Arial"/>
          <w:sz w:val="11"/>
          <w:szCs w:val="11"/>
          <w:color w:val="auto"/>
        </w:rPr>
        <w:t xml:space="preserve"> thresholds under the PMIERs and minimum state capital requirements (respectively, as defined therein).</w:t>
      </w:r>
    </w:p>
    <w:p>
      <w:pPr>
        <w:spacing w:after="0" w:line="5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June 30, 2021, we reported $1,887 million available assets against $1,171 million risk-based required assets for a $716 million of "excess" funding position.</w:t>
      </w:r>
    </w:p>
    <w:p>
      <w:pPr>
        <w:spacing w:after="0" w:line="8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(amended and restated in each of September 2020, December 2020 and June 2021) on the risk-based treatment of loans affected by the COVID-19 crisis.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8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of June 30, 2021, NMIC's performing primary RIF, net of reinsurance, was approximately $21.3 billion. NMIC ceded 100% of its pool RIF pursuant to the 2016 QSR Transaction. Based on NMIC's total statutory capital of $1.8 billion (including contingency reserves) as of June 30, 2021, NMIC's RTC ratio was 12:1 Re One had total statutory capital of $37.7 million as of June 30, 2021 and a RTC ratio of 1.9:1.</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2021, NMIC had $1.9 billion of cash and investments, including $48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2021, NMIC generated $300 million of cash flow from operations and received an additional $150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2"/>
          <w:szCs w:val="12"/>
          <w:i w:val="1"/>
          <w:iCs w:val="1"/>
          <w:color w:val="auto"/>
        </w:rPr>
        <w:t>i.e.</w:t>
      </w:r>
      <w:r>
        <w:rPr>
          <w:rFonts w:ascii="Arial" w:cs="Arial" w:eastAsia="Arial" w:hAnsi="Arial"/>
          <w:sz w:val="12"/>
          <w:szCs w:val="12"/>
          <w:color w:val="auto"/>
        </w:rPr>
        <w: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6" w:name="page57"/>
    <w:bookmarkEnd w:id="56"/>
    <w:p>
      <w:pPr>
        <w:jc w:val="both"/>
        <w:ind w:left="8"/>
        <w:spacing w:after="0" w:line="263" w:lineRule="auto"/>
        <w:rPr>
          <w:sz w:val="20"/>
          <w:szCs w:val="20"/>
          <w:color w:val="auto"/>
        </w:rPr>
      </w:pPr>
      <w:r>
        <w:rPr>
          <w:rFonts w:ascii="Arial" w:cs="Arial" w:eastAsia="Arial" w:hAnsi="Arial"/>
          <w:sz w:val="12"/>
          <w:szCs w:val="12"/>
          <w:color w:val="auto"/>
        </w:rPr>
        <w:t>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Debt and Financial Strength Ratings</w:t>
      </w:r>
    </w:p>
    <w:p>
      <w:pPr>
        <w:spacing w:after="0" w:line="14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NMIC's financial strength is rated "Baa2" by Moody's and "BBB" by S&amp;P. In June 2020, Moody's affirmed its financial strength rating of NMIC and its "Ba2" rating of NMIH's 2020 Revolving Credit Facility, and assigned a</w:t>
      </w:r>
    </w:p>
    <w:p>
      <w:pPr>
        <w:spacing w:after="0" w:line="4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"Ba2" rating to the Notes. Moody's ratings outlook is stable. In June 2020, S&amp;P assigned a "BB" rating to NMIH's senior secured Notes. In April 2021, S&amp;P upgraded its outlook from negative to positive for the financial strength rating of NMIC's and NMIH's long-term counter-party credit profile.</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Consolidated Investment Portfolio</w:t>
      </w:r>
    </w:p>
    <w:p>
      <w:pPr>
        <w:spacing w:after="0" w:line="118" w:lineRule="exact"/>
        <w:rPr>
          <w:sz w:val="20"/>
          <w:szCs w:val="20"/>
          <w:color w:val="auto"/>
        </w:rPr>
      </w:pPr>
    </w:p>
    <w:p>
      <w:pPr>
        <w:jc w:val="both"/>
        <w:ind w:left="8" w:right="20" w:firstLine="432"/>
        <w:spacing w:after="0" w:line="263" w:lineRule="auto"/>
        <w:rPr>
          <w:sz w:val="20"/>
          <w:szCs w:val="20"/>
          <w:color w:val="auto"/>
        </w:rPr>
      </w:pPr>
      <w:r>
        <w:rPr>
          <w:rFonts w:ascii="Arial" w:cs="Arial" w:eastAsia="Arial" w:hAnsi="Arial"/>
          <w:sz w:val="12"/>
          <w:szCs w:val="12"/>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86"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Our investment portfolio is comprised entirely of fixed maturity instruments. As of June 30, 2021, the fair value of our investment portfolio was $2.0 billion and we held an additional $68.1 million of cash and equivalents. Pre-tax book yield on the investment portfolio for the six months ended June 30, 2021 was 2.0%.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8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tables present a breakdown of our investment portfolio and cash and cash equivalents by investment type and credit rating:</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580" w:type="dxa"/>
            <w:vAlign w:val="bottom"/>
          </w:tcPr>
          <w:p>
            <w:pPr>
              <w:spacing w:after="0"/>
              <w:rPr>
                <w:sz w:val="20"/>
                <w:szCs w:val="20"/>
                <w:color w:val="auto"/>
              </w:rPr>
            </w:pPr>
            <w:r>
              <w:rPr>
                <w:rFonts w:ascii="Arial" w:cs="Arial" w:eastAsia="Arial" w:hAnsi="Arial"/>
                <w:sz w:val="10"/>
                <w:szCs w:val="10"/>
                <w:b w:val="1"/>
                <w:bCs w:val="1"/>
                <w:color w:val="auto"/>
              </w:rPr>
              <w:t>Percentage of portfolio's fair value</w:t>
            </w:r>
          </w:p>
        </w:tc>
        <w:tc>
          <w:tcPr>
            <w:tcW w:w="1900" w:type="dxa"/>
            <w:vAlign w:val="bottom"/>
            <w:gridSpan w:val="2"/>
          </w:tcPr>
          <w:p>
            <w:pPr>
              <w:ind w:left="620"/>
              <w:spacing w:after="0"/>
              <w:rPr>
                <w:sz w:val="20"/>
                <w:szCs w:val="20"/>
                <w:color w:val="auto"/>
              </w:rPr>
            </w:pPr>
            <w:r>
              <w:rPr>
                <w:rFonts w:ascii="Arial" w:cs="Arial" w:eastAsia="Arial" w:hAnsi="Arial"/>
                <w:sz w:val="10"/>
                <w:szCs w:val="10"/>
                <w:b w:val="1"/>
                <w:bCs w:val="1"/>
                <w:color w:val="auto"/>
              </w:rPr>
              <w:t>June 30, 2021</w:t>
            </w:r>
          </w:p>
        </w:tc>
        <w:tc>
          <w:tcPr>
            <w:tcW w:w="182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6"/>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Corporate debt securities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64 %</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0" w:type="dxa"/>
            <w:vAlign w:val="bottom"/>
          </w:tcPr>
          <w:p>
            <w:pPr>
              <w:spacing w:after="0"/>
              <w:rPr>
                <w:sz w:val="1"/>
                <w:szCs w:val="1"/>
                <w:color w:val="auto"/>
              </w:rPr>
            </w:pP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Municipal debt securities</w:t>
            </w:r>
          </w:p>
        </w:tc>
        <w:tc>
          <w:tcPr>
            <w:tcW w:w="1800" w:type="dxa"/>
            <w:vAlign w:val="bottom"/>
          </w:tcPr>
          <w:p>
            <w:pPr>
              <w:jc w:val="right"/>
              <w:ind w:right="82"/>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Asset-backed securities</w:t>
            </w:r>
          </w:p>
        </w:tc>
        <w:tc>
          <w:tcPr>
            <w:tcW w:w="1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7580" w:type="dxa"/>
            <w:vAlign w:val="bottom"/>
          </w:tcPr>
          <w:p>
            <w:pPr>
              <w:spacing w:after="0"/>
              <w:rPr>
                <w:sz w:val="20"/>
                <w:szCs w:val="20"/>
                <w:color w:val="auto"/>
              </w:rPr>
            </w:pPr>
            <w:r>
              <w:rPr>
                <w:rFonts w:ascii="Arial" w:cs="Arial" w:eastAsia="Arial" w:hAnsi="Arial"/>
                <w:sz w:val="12"/>
                <w:szCs w:val="12"/>
                <w:color w:val="auto"/>
              </w:rPr>
              <w:t>Cash, cash equivalents, and short-term investments</w:t>
            </w:r>
          </w:p>
        </w:tc>
        <w:tc>
          <w:tcPr>
            <w:tcW w:w="1800" w:type="dxa"/>
            <w:vAlign w:val="bottom"/>
          </w:tcPr>
          <w:p>
            <w:pPr>
              <w:jc w:val="right"/>
              <w:ind w:right="8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3"/>
        </w:trPr>
        <w:tc>
          <w:tcPr>
            <w:tcW w:w="7580" w:type="dxa"/>
            <w:vAlign w:val="bottom"/>
            <w:shd w:val="clear" w:color="auto" w:fill="CCEEFF"/>
          </w:tcPr>
          <w:p>
            <w:pPr>
              <w:spacing w:after="0"/>
              <w:rPr>
                <w:sz w:val="20"/>
                <w:szCs w:val="20"/>
                <w:color w:val="auto"/>
              </w:rPr>
            </w:pPr>
            <w:r>
              <w:rPr>
                <w:rFonts w:ascii="Arial" w:cs="Arial" w:eastAsia="Arial" w:hAnsi="Arial"/>
                <w:sz w:val="12"/>
                <w:szCs w:val="12"/>
                <w:color w:val="auto"/>
              </w:rPr>
              <w:t>U.S. treasury securities and obligations of U.S. government agencies</w:t>
            </w:r>
          </w:p>
        </w:tc>
        <w:tc>
          <w:tcPr>
            <w:tcW w:w="18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20"/>
                <w:szCs w:val="20"/>
                <w:color w:val="auto"/>
              </w:rPr>
            </w:pPr>
            <w:r>
              <w:rPr>
                <w:rFonts w:ascii="Arial" w:cs="Arial" w:eastAsia="Arial" w:hAnsi="Arial"/>
                <w:sz w:val="12"/>
                <w:szCs w:val="12"/>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0"/>
                <w:szCs w:val="10"/>
                <w:b w:val="1"/>
                <w:bCs w:val="1"/>
                <w:color w:val="auto"/>
              </w:rPr>
              <w:t xml:space="preserve">Investment portfolio ratings at fair value </w:t>
            </w:r>
            <w:r>
              <w:rPr>
                <w:rFonts w:ascii="Arial" w:cs="Arial" w:eastAsia="Arial" w:hAnsi="Arial"/>
                <w:sz w:val="12"/>
                <w:szCs w:val="12"/>
                <w:b w:val="1"/>
                <w:bCs w:val="1"/>
                <w:color w:val="auto"/>
                <w:vertAlign w:val="superscript"/>
              </w:rPr>
              <w:t>(1)</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80" w:type="dxa"/>
            <w:vAlign w:val="bottom"/>
            <w:vMerge w:val="continue"/>
          </w:tcPr>
          <w:p>
            <w:pPr>
              <w:spacing w:after="0"/>
              <w:rPr>
                <w:sz w:val="24"/>
                <w:szCs w:val="24"/>
                <w:color w:val="auto"/>
              </w:rPr>
            </w:pPr>
          </w:p>
        </w:tc>
        <w:tc>
          <w:tcPr>
            <w:tcW w:w="1900" w:type="dxa"/>
            <w:vAlign w:val="bottom"/>
            <w:gridSpan w:val="2"/>
          </w:tcPr>
          <w:p>
            <w:pPr>
              <w:ind w:left="620"/>
              <w:spacing w:after="0"/>
              <w:rPr>
                <w:sz w:val="20"/>
                <w:szCs w:val="20"/>
                <w:color w:val="auto"/>
              </w:rPr>
            </w:pPr>
            <w:r>
              <w:rPr>
                <w:rFonts w:ascii="Arial" w:cs="Arial" w:eastAsia="Arial" w:hAnsi="Arial"/>
                <w:sz w:val="10"/>
                <w:szCs w:val="10"/>
                <w:b w:val="1"/>
                <w:bCs w:val="1"/>
                <w:color w:val="auto"/>
              </w:rPr>
              <w:t>June 30, 2021</w:t>
            </w:r>
          </w:p>
        </w:tc>
        <w:tc>
          <w:tcPr>
            <w:tcW w:w="1820" w:type="dxa"/>
            <w:vAlign w:val="bottom"/>
          </w:tcPr>
          <w:p>
            <w:pPr>
              <w:jc w:val="right"/>
              <w:ind w:right="462"/>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42"/>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AAA</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0" w:type="dxa"/>
            <w:vAlign w:val="bottom"/>
          </w:tcPr>
          <w:p>
            <w:pPr>
              <w:spacing w:after="0"/>
              <w:rPr>
                <w:sz w:val="1"/>
                <w:szCs w:val="1"/>
                <w:color w:val="auto"/>
              </w:rPr>
            </w:pPr>
          </w:p>
        </w:tc>
      </w:tr>
      <w:tr>
        <w:trPr>
          <w:trHeight w:val="153"/>
        </w:trPr>
        <w:tc>
          <w:tcPr>
            <w:tcW w:w="7580" w:type="dxa"/>
            <w:vAlign w:val="bottom"/>
          </w:tcPr>
          <w:p>
            <w:pPr>
              <w:spacing w:after="0" w:line="153" w:lineRule="exact"/>
              <w:rPr>
                <w:sz w:val="20"/>
                <w:szCs w:val="20"/>
                <w:color w:val="auto"/>
              </w:rPr>
            </w:pPr>
            <w:r>
              <w:rPr>
                <w:rFonts w:ascii="Arial" w:cs="Arial" w:eastAsia="Arial" w:hAnsi="Arial"/>
                <w:sz w:val="17"/>
                <w:szCs w:val="17"/>
                <w:color w:val="auto"/>
                <w:vertAlign w:val="subscript"/>
              </w:rPr>
              <w:t>AA</w:t>
            </w:r>
            <w:r>
              <w:rPr>
                <w:rFonts w:ascii="Arial" w:cs="Arial" w:eastAsia="Arial" w:hAnsi="Arial"/>
                <w:sz w:val="7"/>
                <w:szCs w:val="7"/>
                <w:color w:val="auto"/>
              </w:rPr>
              <w:t>(2)</w:t>
            </w:r>
          </w:p>
        </w:tc>
        <w:tc>
          <w:tcPr>
            <w:tcW w:w="1800" w:type="dxa"/>
            <w:vAlign w:val="bottom"/>
          </w:tcPr>
          <w:p>
            <w:pPr>
              <w:jc w:val="right"/>
              <w:ind w:right="82"/>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3"/>
                <w:szCs w:val="13"/>
                <w:color w:val="auto"/>
              </w:rPr>
            </w:pPr>
          </w:p>
        </w:tc>
        <w:tc>
          <w:tcPr>
            <w:tcW w:w="1820" w:type="dxa"/>
            <w:vAlign w:val="bottom"/>
          </w:tcPr>
          <w:p>
            <w:pPr>
              <w:jc w:val="right"/>
              <w:ind w:right="102"/>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3"/>
        </w:trPr>
        <w:tc>
          <w:tcPr>
            <w:tcW w:w="7580" w:type="dxa"/>
            <w:vAlign w:val="bottom"/>
            <w:shd w:val="clear" w:color="auto" w:fill="CCEEFF"/>
          </w:tcPr>
          <w:p>
            <w:pPr>
              <w:spacing w:after="0" w:line="153" w:lineRule="exact"/>
              <w:rPr>
                <w:sz w:val="20"/>
                <w:szCs w:val="20"/>
                <w:color w:val="auto"/>
              </w:rPr>
            </w:pPr>
            <w:r>
              <w:rPr>
                <w:rFonts w:ascii="Arial" w:cs="Arial" w:eastAsia="Arial" w:hAnsi="Arial"/>
                <w:sz w:val="17"/>
                <w:szCs w:val="17"/>
                <w:color w:val="auto"/>
                <w:vertAlign w:val="subscript"/>
              </w:rPr>
              <w:t>A</w:t>
            </w:r>
            <w:r>
              <w:rPr>
                <w:rFonts w:ascii="Arial" w:cs="Arial" w:eastAsia="Arial" w:hAnsi="Arial"/>
                <w:sz w:val="7"/>
                <w:szCs w:val="7"/>
                <w:color w:val="auto"/>
              </w:rPr>
              <w:t>(2)</w:t>
            </w:r>
          </w:p>
        </w:tc>
        <w:tc>
          <w:tcPr>
            <w:tcW w:w="18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53"/>
        </w:trPr>
        <w:tc>
          <w:tcPr>
            <w:tcW w:w="758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BBB</w:t>
            </w:r>
            <w:r>
              <w:rPr>
                <w:rFonts w:ascii="Arial" w:cs="Arial" w:eastAsia="Arial" w:hAnsi="Arial"/>
                <w:sz w:val="15"/>
                <w:szCs w:val="15"/>
                <w:color w:val="auto"/>
                <w:vertAlign w:val="superscript"/>
              </w:rPr>
              <w:t>(2)</w:t>
            </w:r>
          </w:p>
        </w:tc>
        <w:tc>
          <w:tcPr>
            <w:tcW w:w="18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68" w:hanging="168"/>
        <w:spacing w:after="0"/>
        <w:tabs>
          <w:tab w:leader="none" w:pos="168" w:val="left"/>
        </w:tabs>
        <w:numPr>
          <w:ilvl w:val="0"/>
          <w:numId w:val="25"/>
        </w:numPr>
        <w:rPr>
          <w:rFonts w:ascii="Arial" w:cs="Arial" w:eastAsia="Arial" w:hAnsi="Arial"/>
          <w:sz w:val="12"/>
          <w:szCs w:val="12"/>
          <w:color w:val="auto"/>
          <w:vertAlign w:val="superscript"/>
        </w:rPr>
      </w:pPr>
      <w:r>
        <w:rPr>
          <w:rFonts w:ascii="Arial" w:cs="Arial" w:eastAsia="Arial" w:hAnsi="Arial"/>
          <w:sz w:val="10"/>
          <w:szCs w:val="10"/>
          <w:color w:val="auto"/>
        </w:rPr>
        <w:t>Excluding certain operating cash accounts.</w:t>
      </w:r>
    </w:p>
    <w:p>
      <w:pPr>
        <w:ind w:left="168" w:hanging="168"/>
        <w:spacing w:after="0" w:line="197" w:lineRule="auto"/>
        <w:tabs>
          <w:tab w:leader="none" w:pos="168" w:val="left"/>
        </w:tabs>
        <w:numPr>
          <w:ilvl w:val="0"/>
          <w:numId w:val="25"/>
        </w:numPr>
        <w:rPr>
          <w:rFonts w:ascii="Arial" w:cs="Arial" w:eastAsia="Arial" w:hAnsi="Arial"/>
          <w:sz w:val="12"/>
          <w:szCs w:val="12"/>
          <w:color w:val="auto"/>
          <w:vertAlign w:val="superscript"/>
        </w:rPr>
      </w:pPr>
      <w:r>
        <w:rPr>
          <w:rFonts w:ascii="Arial" w:cs="Arial" w:eastAsia="Arial" w:hAnsi="Arial"/>
          <w:sz w:val="10"/>
          <w:szCs w:val="10"/>
          <w:color w:val="auto"/>
        </w:rPr>
        <w:t>Includes +/– ratings.</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All of our investments are rated by one or more nationally recognized statistical rating organizations. If three or more ratings are available, we assign the middle rating for classification purposes, otherwise we assign the lowest</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rating.</w:t>
      </w:r>
    </w:p>
    <w:p>
      <w:pPr>
        <w:spacing w:after="0" w:line="200" w:lineRule="exact"/>
        <w:rPr>
          <w:sz w:val="20"/>
          <w:szCs w:val="20"/>
          <w:color w:val="auto"/>
        </w:rPr>
      </w:pP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2"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i w:val="1"/>
          <w:iCs w:val="1"/>
          <w:color w:val="auto"/>
        </w:rPr>
        <w:t>Investment Securities - Allowance for credit losses</w:t>
      </w:r>
    </w:p>
    <w:p>
      <w:pPr>
        <w:spacing w:after="0" w:line="11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did not recognize an allowance for credit loss for any security in the investment portfolio as of June 30, 2021 or December 31, 2020, and we did not record any provision for credit loss for investment securities during the three or six month periods ended June 30, 2021 or June 30, 2020.</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of June 30, 2021, the investment portfolio had gross unrealized losses of $9.0 million, none of which had been in an unrealized loss position for a period of twelve months or longer. As of December 31, 2020, the investment portfolio had gross unrealized losses of $512 thousand, of which $8 thousand had been in an unrealized loss position for a period of twelve months or longer. The increase in the number of securities in and the aggregate size of the unrealized loss position as of June 30, 2021, was primarily driven by interest rate movements following the purchase date of certain securities. Based on current facts and circumstances, we believe the unrealized losses as of June 30, 2021 are not indicative of the ultimate collectability of the current amortized cost of the securities.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Estimates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that the assumptions and estimates associated with revenue recognition, our investment portfolio, deferred policy acquisition costs, premium deficiency reserves,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2020 10-K.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1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own and manage a large portfolio of various holdings, types and maturities. NMIH's principal source of operating cash is investment income. The assets within the investment portfolio are exposed to the same factors that affect overall financial market performance.</w:t>
      </w:r>
    </w:p>
    <w:p>
      <w:pPr>
        <w:spacing w:after="0" w:line="79"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79" w:lineRule="exact"/>
        <w:rPr>
          <w:sz w:val="20"/>
          <w:szCs w:val="20"/>
          <w:color w:val="auto"/>
        </w:rPr>
      </w:pPr>
    </w:p>
    <w:p>
      <w:pPr>
        <w:jc w:val="both"/>
        <w:ind w:left="640" w:hanging="216"/>
        <w:spacing w:after="0" w:line="259"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Changes to the level of interest rates</w:t>
      </w:r>
      <w:r>
        <w:rPr>
          <w:rFonts w:ascii="Arial" w:cs="Arial" w:eastAsia="Arial" w:hAnsi="Arial"/>
          <w:sz w:val="12"/>
          <w:szCs w:val="12"/>
          <w:color w:val="auto"/>
        </w:rPr>
        <w:t>. Increasing interest rates may reduce the value of certain fixed-rate bonds held in the investment portfolio. Higher rates may cause variable rate assets to generate additional income.</w:t>
      </w:r>
      <w:r>
        <w:rPr>
          <w:rFonts w:ascii="Arial" w:cs="Arial" w:eastAsia="Arial" w:hAnsi="Arial"/>
          <w:sz w:val="12"/>
          <w:szCs w:val="12"/>
          <w:i w:val="1"/>
          <w:iCs w:val="1"/>
          <w:color w:val="auto"/>
        </w:rPr>
        <w:t xml:space="preserve"> </w:t>
      </w:r>
      <w:r>
        <w:rPr>
          <w:rFonts w:ascii="Arial" w:cs="Arial" w:eastAsia="Arial" w:hAnsi="Arial"/>
          <w:sz w:val="12"/>
          <w:szCs w:val="12"/>
          <w:color w:val="auto"/>
        </w:rPr>
        <w:t>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88"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1"/>
          <w:szCs w:val="11"/>
          <w:i w:val="1"/>
          <w:iCs w:val="1"/>
          <w:color w:val="auto"/>
        </w:rPr>
      </w:pPr>
      <w:r>
        <w:rPr>
          <w:rFonts w:ascii="Arial" w:cs="Arial" w:eastAsia="Arial" w:hAnsi="Arial"/>
          <w:sz w:val="11"/>
          <w:szCs w:val="11"/>
          <w:i w:val="1"/>
          <w:iCs w:val="1"/>
          <w:color w:val="auto"/>
        </w:rPr>
        <w:t>Changes to the term structure of interest rates</w:t>
      </w:r>
      <w:r>
        <w:rPr>
          <w:rFonts w:ascii="Arial" w:cs="Arial" w:eastAsia="Arial" w:hAnsi="Arial"/>
          <w:sz w:val="11"/>
          <w:szCs w:val="11"/>
          <w:color w:val="auto"/>
        </w:rPr>
        <w:t>. Rising or falling rates typically change by different amounts along the yield curve. These changes may have unforeseen impacts on the value of certain assets.</w:t>
      </w:r>
    </w:p>
    <w:p>
      <w:pPr>
        <w:spacing w:after="0" w:line="125" w:lineRule="exact"/>
        <w:rPr>
          <w:rFonts w:ascii="Arial" w:cs="Arial" w:eastAsia="Arial" w:hAnsi="Arial"/>
          <w:sz w:val="11"/>
          <w:szCs w:val="11"/>
          <w:i w:val="1"/>
          <w:iCs w:val="1"/>
          <w:color w:val="auto"/>
        </w:rPr>
      </w:pPr>
    </w:p>
    <w:p>
      <w:pPr>
        <w:ind w:left="640" w:hanging="216"/>
        <w:spacing w:after="0" w:line="27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Market volatility/changes in the real or perceived credit quality of investments</w:t>
      </w:r>
      <w:r>
        <w:rPr>
          <w:rFonts w:ascii="Arial" w:cs="Arial" w:eastAsia="Arial" w:hAnsi="Arial"/>
          <w:sz w:val="12"/>
          <w:szCs w:val="12"/>
          <w:color w:val="auto"/>
        </w:rPr>
        <w:t>. Deterioration in the quality of investments, identified through changes to our own or third party (</w:t>
      </w:r>
      <w:r>
        <w:rPr>
          <w:rFonts w:ascii="Arial" w:cs="Arial" w:eastAsia="Arial" w:hAnsi="Arial"/>
          <w:sz w:val="12"/>
          <w:szCs w:val="12"/>
          <w:i w:val="1"/>
          <w:iCs w:val="1"/>
          <w:color w:val="auto"/>
        </w:rPr>
        <w:t>e.g.</w:t>
      </w:r>
      <w:r>
        <w:rPr>
          <w:rFonts w:ascii="Arial" w:cs="Arial" w:eastAsia="Arial" w:hAnsi="Arial"/>
          <w:sz w:val="12"/>
          <w:szCs w:val="12"/>
          <w:color w:val="auto"/>
        </w:rPr>
        <w:t>, rating agency) assessments, will reduce</w:t>
      </w:r>
      <w:r>
        <w:rPr>
          <w:rFonts w:ascii="Arial" w:cs="Arial" w:eastAsia="Arial" w:hAnsi="Arial"/>
          <w:sz w:val="12"/>
          <w:szCs w:val="12"/>
          <w:i w:val="1"/>
          <w:iCs w:val="1"/>
          <w:color w:val="auto"/>
        </w:rPr>
        <w:t xml:space="preserve"> </w:t>
      </w:r>
      <w:r>
        <w:rPr>
          <w:rFonts w:ascii="Arial" w:cs="Arial" w:eastAsia="Arial" w:hAnsi="Arial"/>
          <w:sz w:val="12"/>
          <w:szCs w:val="12"/>
          <w:color w:val="auto"/>
        </w:rPr>
        <w:t>the value and potentially the liquidity of investments.</w:t>
      </w:r>
    </w:p>
    <w:p>
      <w:pPr>
        <w:spacing w:after="0" w:line="78"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Concentration Risk</w:t>
      </w:r>
      <w:r>
        <w:rPr>
          <w:rFonts w:ascii="Arial" w:cs="Arial" w:eastAsia="Arial" w:hAnsi="Arial"/>
          <w:sz w:val="12"/>
          <w:szCs w:val="12"/>
          <w:color w:val="auto"/>
        </w:rPr>
        <w:t>. If the investment portfolio is highly concentrated in one asset, or in multiple assets whose values are highly correlated, the value of the total portfolio may be greatly affected by the change in value of</w:t>
      </w:r>
      <w:r>
        <w:rPr>
          <w:rFonts w:ascii="Arial" w:cs="Arial" w:eastAsia="Arial" w:hAnsi="Arial"/>
          <w:sz w:val="12"/>
          <w:szCs w:val="12"/>
          <w:i w:val="1"/>
          <w:iCs w:val="1"/>
          <w:color w:val="auto"/>
        </w:rPr>
        <w:t xml:space="preserve"> </w:t>
      </w:r>
      <w:r>
        <w:rPr>
          <w:rFonts w:ascii="Arial" w:cs="Arial" w:eastAsia="Arial" w:hAnsi="Arial"/>
          <w:sz w:val="12"/>
          <w:szCs w:val="12"/>
          <w:color w:val="auto"/>
        </w:rPr>
        <w:t>just one asset or a group of highly correlated assets.</w:t>
      </w:r>
    </w:p>
    <w:p>
      <w:pPr>
        <w:spacing w:after="0" w:line="78"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Prepayment Risk</w:t>
      </w:r>
      <w:r>
        <w:rPr>
          <w:rFonts w:ascii="Arial" w:cs="Arial" w:eastAsia="Arial" w:hAnsi="Arial"/>
          <w:sz w:val="12"/>
          <w:szCs w:val="12"/>
          <w:color w:val="auto"/>
        </w:rPr>
        <w:t>. Bonds may have call provisions that permit debtors to repay prior to maturity when it is to their advantage. This typically occurs when rates fall below the interest rate of the debt.</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carrying value of our investment portfolio as of June 30, 2021 and December 31, 2020 was $2.0 billion and $1.8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8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June 30, 2021, the duration of our fixed income portfolio, including cash and cash equivalents, was 5.05 years, which means that an instantaneous parallel shift (movement up or down) in the yield curve of 100 basis points would result in a change of 5.05% in fair value of our fixed income portfolio. Excluding cash, our fixed income portfolio duration was 5.09 years, which means that an instantaneous parallel shift (movement up or down) in the yield curve of 100 basis points would result in a change of 5.09% in fair value of our fixed income portfolio.</w:t>
      </w:r>
    </w:p>
    <w:p>
      <w:pPr>
        <w:spacing w:after="0" w:line="8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are also subject to market risk related to the Notes and the ILN Transactions. As discussed in Item 1, "</w:t>
      </w:r>
      <w:r>
        <w:rPr>
          <w:rFonts w:ascii="Arial" w:cs="Arial" w:eastAsia="Arial" w:hAnsi="Arial"/>
          <w:sz w:val="12"/>
          <w:szCs w:val="12"/>
          <w:i w:val="1"/>
          <w:iCs w:val="1"/>
          <w:color w:val="auto"/>
        </w:rPr>
        <w:t>Financial Statements - Notes to Condensed Consolidated Financial Statements - Note 4, Debt</w:t>
      </w:r>
      <w:r>
        <w:rPr>
          <w:rFonts w:ascii="Arial" w:cs="Arial" w:eastAsia="Arial" w:hAnsi="Arial"/>
          <w:sz w:val="12"/>
          <w:szCs w:val="12"/>
          <w:color w:val="auto"/>
        </w:rPr>
        <w:t>" the Notes bear interest at a variable rate and, as a result, increases in market interest rates would generally result in increased interest expense on our outstanding principal.</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management, including our Chief Executive Officer and Chief Financial Officer, conducted an evaluation of the effectiveness of our disclosure controls and procedures (as defined in Rule 13a-15(e) of the Exchange Act) as of June 30, 2021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8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Based upon that evaluation, our Chief Executive Officer and Chief Financial Officer concluded that, as of June 30, 2021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0" w:name="page61"/>
    <w:bookmarkEnd w:id="60"/>
    <w:p>
      <w:pPr>
        <w:jc w:val="center"/>
        <w:spacing w:after="0"/>
        <w:rPr>
          <w:sz w:val="20"/>
          <w:szCs w:val="20"/>
          <w:color w:val="auto"/>
        </w:rPr>
      </w:pPr>
      <w:r>
        <w:rPr>
          <w:rFonts w:ascii="Arial" w:cs="Arial" w:eastAsia="Arial" w:hAnsi="Arial"/>
          <w:sz w:val="12"/>
          <w:szCs w:val="12"/>
          <w:b w:val="1"/>
          <w:bCs w:val="1"/>
          <w:color w:val="auto"/>
        </w:rPr>
        <w:t>PART 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8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Risk factors that affect our business and financial results are discussed in Part I, Item 1A of our 2020 10-K. As of the date of this report, we are not aware of any material changes in our risk factors from the risk factors disclosed in our 2020 10-K. You should carefully consider the risks and uncertainties described herein and in our 2020 10-K, which have the potential to affect our business, financial condition, results of operations, cash flows or prospects in a material and adverse manner. The risks described herein and in our 2020 10-K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0" w:type="dxa"/>
            <w:vAlign w:val="bottom"/>
            <w:gridSpan w:val="15"/>
          </w:tcPr>
          <w:p>
            <w:pPr>
              <w:ind w:left="80"/>
              <w:spacing w:after="0"/>
              <w:rPr>
                <w:sz w:val="20"/>
                <w:szCs w:val="20"/>
                <w:color w:val="auto"/>
              </w:rPr>
            </w:pPr>
            <w:r>
              <w:rPr>
                <w:rFonts w:ascii="Arial" w:cs="Arial" w:eastAsia="Arial" w:hAnsi="Arial"/>
                <w:sz w:val="12"/>
                <w:szCs w:val="12"/>
                <w:b w:val="1"/>
                <w:bCs w:val="1"/>
                <w:color w:val="auto"/>
              </w:rPr>
              <w:t>Description</w:t>
            </w:r>
          </w:p>
        </w:tc>
      </w:tr>
      <w:tr>
        <w:trPr>
          <w:trHeight w:val="36"/>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r>
      <w:tr>
        <w:trPr>
          <w:trHeight w:val="205"/>
        </w:trPr>
        <w:tc>
          <w:tcPr>
            <w:tcW w:w="1000" w:type="dxa"/>
            <w:vAlign w:val="bottom"/>
          </w:tcPr>
          <w:p>
            <w:pPr>
              <w:jc w:val="center"/>
              <w:spacing w:after="0"/>
              <w:rPr>
                <w:sz w:val="20"/>
                <w:szCs w:val="20"/>
                <w:color w:val="auto"/>
              </w:rPr>
            </w:pPr>
            <w:r>
              <w:rPr>
                <w:rFonts w:ascii="Arial" w:cs="Arial" w:eastAsia="Arial" w:hAnsi="Arial"/>
                <w:sz w:val="12"/>
                <w:szCs w:val="12"/>
                <w:color w:val="auto"/>
                <w:w w:val="95"/>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gridSpan w:val="23"/>
          </w:tcPr>
          <w:p>
            <w:pPr>
              <w:spacing w:after="0"/>
              <w:rPr>
                <w:rFonts w:ascii="Arial" w:cs="Arial" w:eastAsia="Arial" w:hAnsi="Arial"/>
                <w:sz w:val="12"/>
                <w:szCs w:val="12"/>
                <w:color w:val="0000FF"/>
                <w:w w:val="97"/>
              </w:rPr>
            </w:pPr>
            <w:hyperlink r:id="rId75">
              <w:r>
                <w:rPr>
                  <w:rFonts w:ascii="Arial" w:cs="Arial" w:eastAsia="Arial" w:hAnsi="Arial"/>
                  <w:sz w:val="12"/>
                  <w:szCs w:val="12"/>
                  <w:color w:val="0000FF"/>
                  <w:w w:val="97"/>
                </w:rPr>
                <w:t>Stock Purchase Agreement, dated November 30, 2011</w:t>
              </w:r>
            </w:hyperlink>
            <w:r>
              <w:rPr>
                <w:rFonts w:ascii="Arial" w:cs="Arial" w:eastAsia="Arial" w:hAnsi="Arial"/>
                <w:sz w:val="12"/>
                <w:szCs w:val="12"/>
                <w:color w:val="000000"/>
                <w:w w:val="97"/>
              </w:rPr>
              <w:t>,</w:t>
            </w:r>
            <w:r>
              <w:rPr>
                <w:rFonts w:ascii="Arial" w:cs="Arial" w:eastAsia="Arial" w:hAnsi="Arial"/>
                <w:sz w:val="12"/>
                <w:szCs w:val="12"/>
                <w:color w:val="0000FF"/>
                <w:w w:val="97"/>
              </w:rPr>
              <w:t xml:space="preserve"> </w:t>
            </w:r>
            <w:r>
              <w:rPr>
                <w:rFonts w:ascii="Arial" w:cs="Arial" w:eastAsia="Arial" w:hAnsi="Arial"/>
                <w:sz w:val="12"/>
                <w:szCs w:val="12"/>
                <w:color w:val="000000"/>
                <w:w w:val="97"/>
              </w:rPr>
              <w:t>between NMI Holdings, Inc. and MAC Financial Ltd. (incorporated herein by reference to Exhibit 2.1 to our Form S-1 Registration Statement</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2.2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9"/>
              </w:rPr>
            </w:pPr>
            <w:hyperlink r:id="rId76">
              <w:r>
                <w:rPr>
                  <w:rFonts w:ascii="Arial" w:cs="Arial" w:eastAsia="Arial" w:hAnsi="Arial"/>
                  <w:sz w:val="12"/>
                  <w:szCs w:val="12"/>
                  <w:color w:val="0000FF"/>
                  <w:w w:val="99"/>
                </w:rPr>
                <w:t>Amendment to Stock Purchase Agreement, dated April 6, 2012</w:t>
              </w:r>
            </w:hyperlink>
            <w:r>
              <w:rPr>
                <w:rFonts w:ascii="Arial" w:cs="Arial" w:eastAsia="Arial" w:hAnsi="Arial"/>
                <w:sz w:val="12"/>
                <w:szCs w:val="12"/>
                <w:color w:val="000000"/>
                <w:w w:val="99"/>
              </w:rPr>
              <w:t>,</w:t>
            </w:r>
            <w:r>
              <w:rPr>
                <w:rFonts w:ascii="Arial" w:cs="Arial" w:eastAsia="Arial" w:hAnsi="Arial"/>
                <w:sz w:val="12"/>
                <w:szCs w:val="12"/>
                <w:color w:val="0000FF"/>
                <w:w w:val="99"/>
              </w:rPr>
              <w:t xml:space="preserve"> </w:t>
            </w:r>
            <w:r>
              <w:rPr>
                <w:rFonts w:ascii="Arial" w:cs="Arial" w:eastAsia="Arial" w:hAnsi="Arial"/>
                <w:sz w:val="12"/>
                <w:szCs w:val="12"/>
                <w:color w:val="000000"/>
                <w:w w:val="99"/>
              </w:rPr>
              <w:t>between NMI Holdings, Inc. and MAC Financial Ltd. (incorporated herein by reference to Exhibit 2.2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20" w:type="dxa"/>
            <w:vAlign w:val="bottom"/>
            <w:tcBorders>
              <w:top w:val="single" w:sz="8" w:color="0000FF"/>
            </w:tcBorders>
            <w:gridSpan w:val="6"/>
          </w:tcPr>
          <w:p>
            <w:pPr>
              <w:spacing w:after="0" w:line="124" w:lineRule="exact"/>
              <w:rPr>
                <w:sz w:val="20"/>
                <w:szCs w:val="20"/>
                <w:color w:val="auto"/>
              </w:rPr>
            </w:pPr>
            <w:r>
              <w:rPr>
                <w:rFonts w:ascii="Arial" w:cs="Arial" w:eastAsia="Arial" w:hAnsi="Arial"/>
                <w:sz w:val="12"/>
                <w:szCs w:val="12"/>
                <w:color w:val="auto"/>
                <w:w w:val="92"/>
              </w:rPr>
              <w:t>Statement (Registration No. 333-191635), filed on October 9,</w:t>
            </w:r>
          </w:p>
        </w:tc>
        <w:tc>
          <w:tcPr>
            <w:tcW w:w="1240" w:type="dxa"/>
            <w:vAlign w:val="bottom"/>
          </w:tcPr>
          <w:p>
            <w:pPr>
              <w:jc w:val="right"/>
              <w:ind w:right="940"/>
              <w:spacing w:after="0" w:line="124" w:lineRule="exact"/>
              <w:rPr>
                <w:sz w:val="20"/>
                <w:szCs w:val="20"/>
                <w:color w:val="auto"/>
              </w:rPr>
            </w:pPr>
            <w:r>
              <w:rPr>
                <w:rFonts w:ascii="Arial" w:cs="Arial" w:eastAsia="Arial" w:hAnsi="Arial"/>
                <w:sz w:val="12"/>
                <w:szCs w:val="12"/>
                <w:color w:val="auto"/>
                <w:w w:val="71"/>
              </w:rPr>
              <w:t>2013)</w:t>
            </w: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3.1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3"/>
              </w:rPr>
            </w:pPr>
            <w:hyperlink r:id="rId77">
              <w:r>
                <w:rPr>
                  <w:rFonts w:ascii="Arial" w:cs="Arial" w:eastAsia="Arial" w:hAnsi="Arial"/>
                  <w:sz w:val="12"/>
                  <w:szCs w:val="12"/>
                  <w:color w:val="0000FF"/>
                  <w:w w:val="93"/>
                </w:rPr>
                <w:t xml:space="preserve">Second Amended and Restated Certificate of Incorporation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3.1 to our Form S-1 Registration Statement (Registration No. 333-191635), filed on October 9, 2013)</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3.2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rPr>
            </w:pPr>
            <w:hyperlink r:id="rId78">
              <w:r>
                <w:rPr>
                  <w:rFonts w:ascii="Arial" w:cs="Arial" w:eastAsia="Arial" w:hAnsi="Arial"/>
                  <w:sz w:val="12"/>
                  <w:szCs w:val="12"/>
                  <w:color w:val="0000FF"/>
                </w:rPr>
                <w:t xml:space="preserve">Third Amended and Restated By-Laws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3.1 to our Form 8-K, filed on December 9, 2014)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4.1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rPr>
            </w:pPr>
            <w:hyperlink r:id="rId79">
              <w:r>
                <w:rPr>
                  <w:rFonts w:ascii="Arial" w:cs="Arial" w:eastAsia="Arial" w:hAnsi="Arial"/>
                  <w:sz w:val="12"/>
                  <w:szCs w:val="12"/>
                  <w:color w:val="0000FF"/>
                </w:rPr>
                <w:t xml:space="preserve">Specimen Class A common stock certificate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4.1 to our Form S-1 Registration Statement (Registration No. 333-191635), filed on October 9, 2013)</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5"/>
              </w:rPr>
              <w:t>4.2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w w:val="95"/>
              </w:rPr>
            </w:pPr>
            <w:hyperlink r:id="rId80">
              <w:r>
                <w:rPr>
                  <w:rFonts w:ascii="Arial" w:cs="Arial" w:eastAsia="Arial" w:hAnsi="Arial"/>
                  <w:sz w:val="12"/>
                  <w:szCs w:val="12"/>
                  <w:color w:val="0000FF"/>
                  <w:w w:val="95"/>
                </w:rPr>
                <w:t xml:space="preserve">Registration Rights Agreement between NMI Holdings, Inc. and FBR Capital Markets &amp; Co., dated April 24, 2012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4.2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10"/>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81">
              <w:r>
                <w:rPr>
                  <w:rFonts w:ascii="Arial" w:cs="Arial" w:eastAsia="Arial" w:hAnsi="Arial"/>
                  <w:sz w:val="12"/>
                  <w:szCs w:val="12"/>
                  <w:color w:val="0000FF"/>
                  <w:w w:val="95"/>
                </w:rPr>
                <w:t xml:space="preserve">Registration Rights Agreement by and between MAC Financial Ltd. and NMI Holdings, Inc., dated April 24, 2012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4.3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00" w:type="dxa"/>
            <w:vAlign w:val="bottom"/>
            <w:tcBorders>
              <w:top w:val="single" w:sz="8" w:color="0000FF"/>
            </w:tcBorders>
            <w:gridSpan w:val="9"/>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82">
              <w:r>
                <w:rPr>
                  <w:rFonts w:ascii="Arial" w:cs="Arial" w:eastAsia="Arial" w:hAnsi="Arial"/>
                  <w:sz w:val="12"/>
                  <w:szCs w:val="12"/>
                  <w:color w:val="0000FF"/>
                  <w:w w:val="95"/>
                </w:rPr>
                <w:t xml:space="preserve">Registration Rights Agreement between FBR &amp; Co., FBR Capital Markets LT, Inc., FBR Capital Markets &amp; Co., FBR Capital Markets PT, Inc. and NMI Holdings, Inc., dated April 24, 2012 </w:t>
              </w:r>
            </w:hyperlink>
            <w:r>
              <w:rPr>
                <w:rFonts w:ascii="Arial" w:cs="Arial" w:eastAsia="Arial" w:hAnsi="Arial"/>
                <w:sz w:val="12"/>
                <w:szCs w:val="12"/>
                <w:color w:val="000000"/>
                <w:w w:val="95"/>
              </w:rPr>
              <w:t>(incorporated</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120" w:type="dxa"/>
            <w:vAlign w:val="bottom"/>
            <w:tcBorders>
              <w:top w:val="single" w:sz="8" w:color="0000FF"/>
            </w:tcBorders>
            <w:gridSpan w:val="20"/>
          </w:tcPr>
          <w:p>
            <w:pPr>
              <w:spacing w:after="0" w:line="124" w:lineRule="exact"/>
              <w:rPr>
                <w:sz w:val="20"/>
                <w:szCs w:val="20"/>
                <w:color w:val="auto"/>
              </w:rPr>
            </w:pPr>
            <w:r>
              <w:rPr>
                <w:rFonts w:ascii="Arial" w:cs="Arial" w:eastAsia="Arial" w:hAnsi="Arial"/>
                <w:sz w:val="12"/>
                <w:szCs w:val="12"/>
                <w:color w:val="auto"/>
              </w:rPr>
              <w:t>herein by reference to Exhibit 4.4 to our Form S-1 Registration Statement (Registration No. 333-191635), filed on October 9, 2013)</w:t>
            </w:r>
          </w:p>
        </w:tc>
        <w:tc>
          <w:tcPr>
            <w:tcW w:w="72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83">
              <w:r>
                <w:rPr>
                  <w:rFonts w:ascii="Arial" w:cs="Arial" w:eastAsia="Arial" w:hAnsi="Arial"/>
                  <w:sz w:val="12"/>
                  <w:szCs w:val="12"/>
                  <w:color w:val="0000FF"/>
                  <w:w w:val="95"/>
                </w:rPr>
                <w:t xml:space="preserve">Warrant No. 1 to Purchase Common Stock of NMI Holdings, Inc. issued to FBR Capital Markets &amp; Co., dated June 13, 2013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4.5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0" w:type="dxa"/>
            <w:vAlign w:val="bottom"/>
            <w:tcBorders>
              <w:top w:val="single" w:sz="8" w:color="0000FF"/>
            </w:tcBorders>
            <w:gridSpan w:val="16"/>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2"/>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7"/>
              </w:rPr>
            </w:pPr>
            <w:hyperlink r:id="rId84">
              <w:r>
                <w:rPr>
                  <w:rFonts w:ascii="Arial" w:cs="Arial" w:eastAsia="Arial" w:hAnsi="Arial"/>
                  <w:sz w:val="12"/>
                  <w:szCs w:val="12"/>
                  <w:color w:val="0000FF"/>
                  <w:w w:val="97"/>
                </w:rPr>
                <w:t xml:space="preserve">Form of Warrant to Purchase Common Stock of NMI Holdings, Inc. issued to former stockholders of MAC Financial Ltd. </w:t>
              </w:r>
            </w:hyperlink>
            <w:r>
              <w:rPr>
                <w:rFonts w:ascii="Arial" w:cs="Arial" w:eastAsia="Arial" w:hAnsi="Arial"/>
                <w:sz w:val="12"/>
                <w:szCs w:val="12"/>
                <w:color w:val="000000"/>
                <w:w w:val="97"/>
              </w:rPr>
              <w:t>(incorporated</w:t>
            </w:r>
            <w:r>
              <w:rPr>
                <w:rFonts w:ascii="Arial" w:cs="Arial" w:eastAsia="Arial" w:hAnsi="Arial"/>
                <w:sz w:val="12"/>
                <w:szCs w:val="12"/>
                <w:color w:val="0000FF"/>
                <w:w w:val="97"/>
              </w:rPr>
              <w:t xml:space="preserve"> </w:t>
            </w:r>
            <w:r>
              <w:rPr>
                <w:rFonts w:ascii="Arial" w:cs="Arial" w:eastAsia="Arial" w:hAnsi="Arial"/>
                <w:sz w:val="12"/>
                <w:szCs w:val="12"/>
                <w:color w:val="000000"/>
                <w:w w:val="97"/>
              </w:rPr>
              <w:t>herein by reference to Exhibit 4.6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4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2"/>
          </w:tcPr>
          <w:p>
            <w:pPr>
              <w:spacing w:after="0"/>
              <w:rPr>
                <w:sz w:val="10"/>
                <w:szCs w:val="10"/>
                <w:color w:val="auto"/>
              </w:rPr>
            </w:pPr>
          </w:p>
        </w:tc>
        <w:tc>
          <w:tcPr>
            <w:tcW w:w="340" w:type="dxa"/>
            <w:vAlign w:val="bottom"/>
            <w:gridSpan w:val="2"/>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5"/>
              </w:rPr>
              <w:t>4.7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4"/>
              </w:rPr>
            </w:pPr>
            <w:hyperlink r:id="rId85">
              <w:r>
                <w:rPr>
                  <w:rFonts w:ascii="Arial" w:cs="Arial" w:eastAsia="Arial" w:hAnsi="Arial"/>
                  <w:sz w:val="12"/>
                  <w:szCs w:val="12"/>
                  <w:color w:val="0000FF"/>
                  <w:w w:val="94"/>
                </w:rPr>
                <w:t>Indenture, dated as of June 19, 2020, among NMI Holdings, Inc., NMI Services, Inc. as the Initial Guarantor, and the Bank of New York Mellon Trust Company, N.A. as Trustee and Notes Collateral Agent</w:t>
              </w:r>
            </w:hyperlink>
          </w:p>
        </w:tc>
      </w:tr>
      <w:tr>
        <w:trPr>
          <w:trHeight w:val="97"/>
        </w:trPr>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40" w:type="dxa"/>
            <w:vAlign w:val="bottom"/>
            <w:tcBorders>
              <w:top w:val="single" w:sz="8" w:color="0000FF"/>
            </w:tcBorders>
            <w:gridSpan w:val="21"/>
          </w:tcPr>
          <w:p>
            <w:pPr>
              <w:spacing w:after="0" w:line="97" w:lineRule="exact"/>
              <w:rPr>
                <w:sz w:val="20"/>
                <w:szCs w:val="20"/>
                <w:color w:val="auto"/>
              </w:rPr>
            </w:pPr>
            <w:r>
              <w:rPr>
                <w:rFonts w:ascii="Arial" w:cs="Arial" w:eastAsia="Arial" w:hAnsi="Arial"/>
                <w:sz w:val="11"/>
                <w:szCs w:val="11"/>
                <w:color w:val="auto"/>
              </w:rPr>
              <w:t>(incorporated herein by reference to Exhibit 4.1 to our Form 8-K, filed on June 19, 2020)</w:t>
            </w:r>
          </w:p>
        </w:tc>
        <w:tc>
          <w:tcPr>
            <w:tcW w:w="340" w:type="dxa"/>
            <w:vAlign w:val="bottom"/>
            <w:gridSpan w:val="2"/>
          </w:tcPr>
          <w:p>
            <w:pPr>
              <w:spacing w:after="0"/>
              <w:rPr>
                <w:sz w:val="8"/>
                <w:szCs w:val="8"/>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206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10.1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rPr>
            </w:pPr>
            <w:hyperlink r:id="rId86">
              <w:r>
                <w:rPr>
                  <w:rFonts w:ascii="Arial" w:cs="Arial" w:eastAsia="Arial" w:hAnsi="Arial"/>
                  <w:sz w:val="12"/>
                  <w:szCs w:val="12"/>
                  <w:color w:val="0000FF"/>
                </w:rPr>
                <w:t xml:space="preserve">NMI Holdings Inc. 2012 Stock Incentive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S-1 Registration Statement (registration No. 333-191635), filed on October 9, 2013)</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94"/>
              </w:rPr>
              <w:t>10.2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80" w:type="dxa"/>
            <w:vAlign w:val="bottom"/>
            <w:gridSpan w:val="23"/>
          </w:tcPr>
          <w:p>
            <w:pPr>
              <w:spacing w:after="0" w:line="133" w:lineRule="exact"/>
              <w:rPr>
                <w:rFonts w:ascii="Arial" w:cs="Arial" w:eastAsia="Arial" w:hAnsi="Arial"/>
                <w:sz w:val="12"/>
                <w:szCs w:val="12"/>
                <w:color w:val="0000FF"/>
                <w:w w:val="95"/>
              </w:rPr>
            </w:pPr>
            <w:hyperlink r:id="rId87">
              <w:r>
                <w:rPr>
                  <w:rFonts w:ascii="Arial" w:cs="Arial" w:eastAsia="Arial" w:hAnsi="Arial"/>
                  <w:sz w:val="12"/>
                  <w:szCs w:val="12"/>
                  <w:color w:val="0000FF"/>
                  <w:w w:val="95"/>
                </w:rPr>
                <w:t xml:space="preserve">Form of NMI Holdings, Inc. 2012 Stock Incentive Plan Restricted Stock Unit Award Agreement for Management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10.3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4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7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60" w:type="dxa"/>
            <w:vAlign w:val="bottom"/>
            <w:gridSpan w:val="4"/>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10.3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7"/>
              </w:rPr>
            </w:pPr>
            <w:hyperlink r:id="rId88">
              <w:r>
                <w:rPr>
                  <w:rFonts w:ascii="Arial" w:cs="Arial" w:eastAsia="Arial" w:hAnsi="Arial"/>
                  <w:sz w:val="12"/>
                  <w:szCs w:val="12"/>
                  <w:color w:val="0000FF"/>
                  <w:w w:val="97"/>
                </w:rPr>
                <w:t xml:space="preserve">Form of NMI Holdings, Inc. 2012 Stock Incentive Plan Nonqualified Stock Option Award Agreement for Chief Executive Officer and Chief Financial Officer </w:t>
              </w:r>
            </w:hyperlink>
            <w:r>
              <w:rPr>
                <w:rFonts w:ascii="Arial" w:cs="Arial" w:eastAsia="Arial" w:hAnsi="Arial"/>
                <w:sz w:val="12"/>
                <w:szCs w:val="12"/>
                <w:color w:val="000000"/>
                <w:w w:val="97"/>
              </w:rPr>
              <w:t>(incorporated</w:t>
            </w:r>
            <w:r>
              <w:rPr>
                <w:rFonts w:ascii="Arial" w:cs="Arial" w:eastAsia="Arial" w:hAnsi="Arial"/>
                <w:sz w:val="12"/>
                <w:szCs w:val="12"/>
                <w:color w:val="0000FF"/>
                <w:w w:val="97"/>
              </w:rPr>
              <w:t xml:space="preserve"> </w:t>
            </w:r>
            <w:r>
              <w:rPr>
                <w:rFonts w:ascii="Arial" w:cs="Arial" w:eastAsia="Arial" w:hAnsi="Arial"/>
                <w:sz w:val="12"/>
                <w:szCs w:val="12"/>
                <w:color w:val="000000"/>
                <w:w w:val="97"/>
              </w:rPr>
              <w:t>herein by reference to Exhibit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720" w:type="dxa"/>
            <w:vAlign w:val="bottom"/>
            <w:tcBorders>
              <w:top w:val="single" w:sz="8" w:color="0000FF"/>
            </w:tcBorders>
            <w:gridSpan w:val="19"/>
          </w:tcPr>
          <w:p>
            <w:pPr>
              <w:spacing w:after="0" w:line="124" w:lineRule="exact"/>
              <w:rPr>
                <w:sz w:val="20"/>
                <w:szCs w:val="20"/>
                <w:color w:val="auto"/>
              </w:rPr>
            </w:pPr>
            <w:r>
              <w:rPr>
                <w:rFonts w:ascii="Arial" w:cs="Arial" w:eastAsia="Arial" w:hAnsi="Arial"/>
                <w:sz w:val="12"/>
                <w:szCs w:val="12"/>
                <w:color w:val="auto"/>
              </w:rPr>
              <w:t>10.5 to our Form S-1 Registration Statement (Registration No. 333-191635), filed on October 9, 2013)</w:t>
            </w:r>
          </w:p>
        </w:tc>
        <w:tc>
          <w:tcPr>
            <w:tcW w:w="2460" w:type="dxa"/>
            <w:vAlign w:val="bottom"/>
            <w:gridSpan w:val="4"/>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10.4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8"/>
              </w:rPr>
            </w:pPr>
            <w:hyperlink r:id="rId89">
              <w:r>
                <w:rPr>
                  <w:rFonts w:ascii="Arial" w:cs="Arial" w:eastAsia="Arial" w:hAnsi="Arial"/>
                  <w:sz w:val="12"/>
                  <w:szCs w:val="12"/>
                  <w:color w:val="0000FF"/>
                  <w:w w:val="98"/>
                </w:rPr>
                <w:t xml:space="preserve">Form of NMI Holdings, Inc. 2012 Stock Incentive Plan Nonqualified Stock Option Award Agreement for Management </w:t>
              </w:r>
            </w:hyperlink>
            <w:r>
              <w:rPr>
                <w:rFonts w:ascii="Arial" w:cs="Arial" w:eastAsia="Arial" w:hAnsi="Arial"/>
                <w:sz w:val="12"/>
                <w:szCs w:val="12"/>
                <w:color w:val="000000"/>
                <w:w w:val="98"/>
              </w:rPr>
              <w:t>(incorporated</w:t>
            </w:r>
            <w:r>
              <w:rPr>
                <w:rFonts w:ascii="Arial" w:cs="Arial" w:eastAsia="Arial" w:hAnsi="Arial"/>
                <w:sz w:val="12"/>
                <w:szCs w:val="12"/>
                <w:color w:val="0000FF"/>
                <w:w w:val="98"/>
              </w:rPr>
              <w:t xml:space="preserve"> </w:t>
            </w:r>
            <w:r>
              <w:rPr>
                <w:rFonts w:ascii="Arial" w:cs="Arial" w:eastAsia="Arial" w:hAnsi="Arial"/>
                <w:sz w:val="12"/>
                <w:szCs w:val="12"/>
                <w:color w:val="000000"/>
                <w:w w:val="98"/>
              </w:rPr>
              <w:t>herein by reference to Exhibit 10.6 to our Form S-1 Registration</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2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Statement (Registration No. 333-191635), filed on October 9, 2013)</w:t>
            </w:r>
          </w:p>
        </w:tc>
        <w:tc>
          <w:tcPr>
            <w:tcW w:w="70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gridSpan w:val="5"/>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10.5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5"/>
              </w:rPr>
            </w:pPr>
            <w:hyperlink r:id="rId90">
              <w:r>
                <w:rPr>
                  <w:rFonts w:ascii="Arial" w:cs="Arial" w:eastAsia="Arial" w:hAnsi="Arial"/>
                  <w:sz w:val="12"/>
                  <w:szCs w:val="12"/>
                  <w:color w:val="0000FF"/>
                  <w:w w:val="95"/>
                </w:rPr>
                <w:t xml:space="preserve">Form of NMI Holdings, Inc. 2012 Stock Incentive Plan Nonqualified Stock Option Award Agreement for Directors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10.7 to our Form S-1 Registration Statement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6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(Registration No. 333-191635), filed on October 9, 2013)</w:t>
            </w:r>
          </w:p>
        </w:tc>
        <w:tc>
          <w:tcPr>
            <w:tcW w:w="120" w:type="dxa"/>
            <w:vAlign w:val="bottom"/>
          </w:tcPr>
          <w:p>
            <w:pPr>
              <w:spacing w:after="0"/>
              <w:rPr>
                <w:sz w:val="10"/>
                <w:szCs w:val="10"/>
                <w:color w:val="auto"/>
              </w:rPr>
            </w:pPr>
          </w:p>
        </w:tc>
        <w:tc>
          <w:tcPr>
            <w:tcW w:w="940" w:type="dxa"/>
            <w:vAlign w:val="bottom"/>
            <w:gridSpan w:val="4"/>
          </w:tcPr>
          <w:p>
            <w:pPr>
              <w:spacing w:after="0"/>
              <w:rPr>
                <w:sz w:val="10"/>
                <w:szCs w:val="10"/>
                <w:color w:val="auto"/>
              </w:rPr>
            </w:pPr>
          </w:p>
        </w:tc>
        <w:tc>
          <w:tcPr>
            <w:tcW w:w="1060" w:type="dxa"/>
            <w:vAlign w:val="bottom"/>
          </w:tcPr>
          <w:p>
            <w:pPr>
              <w:spacing w:after="0"/>
              <w:rPr>
                <w:sz w:val="10"/>
                <w:szCs w:val="10"/>
                <w:color w:val="auto"/>
              </w:rPr>
            </w:pPr>
          </w:p>
        </w:tc>
        <w:tc>
          <w:tcPr>
            <w:tcW w:w="2500" w:type="dxa"/>
            <w:vAlign w:val="bottom"/>
            <w:gridSpan w:val="5"/>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10.6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7"/>
              </w:rPr>
            </w:pPr>
            <w:hyperlink r:id="rId91">
              <w:r>
                <w:rPr>
                  <w:rFonts w:ascii="Arial" w:cs="Arial" w:eastAsia="Arial" w:hAnsi="Arial"/>
                  <w:sz w:val="12"/>
                  <w:szCs w:val="12"/>
                  <w:color w:val="0000FF"/>
                  <w:w w:val="97"/>
                </w:rPr>
                <w:t>Form of NMI Holdings, Inc. 2012 Stock Incentive Plan Nonqualified Stock Option Award Agreement for Chief Executive Officer and Chief Financial Office</w:t>
              </w:r>
            </w:hyperlink>
            <w:r>
              <w:rPr>
                <w:rFonts w:ascii="Arial" w:cs="Arial" w:eastAsia="Arial" w:hAnsi="Arial"/>
                <w:sz w:val="12"/>
                <w:szCs w:val="12"/>
                <w:color w:val="000000"/>
                <w:w w:val="97"/>
              </w:rPr>
              <w:t>r</w:t>
            </w:r>
            <w:r>
              <w:rPr>
                <w:rFonts w:ascii="Arial" w:cs="Arial" w:eastAsia="Arial" w:hAnsi="Arial"/>
                <w:sz w:val="12"/>
                <w:szCs w:val="12"/>
                <w:color w:val="0000FF"/>
                <w:w w:val="97"/>
              </w:rPr>
              <w:t xml:space="preserve"> </w:t>
            </w:r>
            <w:r>
              <w:rPr>
                <w:rFonts w:ascii="Arial" w:cs="Arial" w:eastAsia="Arial" w:hAnsi="Arial"/>
                <w:sz w:val="12"/>
                <w:szCs w:val="12"/>
                <w:color w:val="000000"/>
                <w:w w:val="97"/>
              </w:rPr>
              <w:t>(incorporated herein by reference to Exhibit</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80" w:type="dxa"/>
            <w:vAlign w:val="bottom"/>
            <w:tcBorders>
              <w:top w:val="single" w:sz="8" w:color="0000FF"/>
            </w:tcBorders>
            <w:gridSpan w:val="18"/>
          </w:tcPr>
          <w:p>
            <w:pPr>
              <w:spacing w:after="0" w:line="124" w:lineRule="exact"/>
              <w:rPr>
                <w:sz w:val="20"/>
                <w:szCs w:val="20"/>
                <w:color w:val="auto"/>
              </w:rPr>
            </w:pPr>
            <w:r>
              <w:rPr>
                <w:rFonts w:ascii="Arial" w:cs="Arial" w:eastAsia="Arial" w:hAnsi="Arial"/>
                <w:sz w:val="12"/>
                <w:szCs w:val="12"/>
                <w:color w:val="auto"/>
              </w:rPr>
              <w:t>10.8 to our Form 10-K, filed on February 17, 2017)</w:t>
            </w:r>
          </w:p>
        </w:tc>
        <w:tc>
          <w:tcPr>
            <w:tcW w:w="2500" w:type="dxa"/>
            <w:vAlign w:val="bottom"/>
            <w:gridSpan w:val="5"/>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10.7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6"/>
              </w:rPr>
            </w:pPr>
            <w:hyperlink r:id="rId92">
              <w:r>
                <w:rPr>
                  <w:rFonts w:ascii="Arial" w:cs="Arial" w:eastAsia="Arial" w:hAnsi="Arial"/>
                  <w:sz w:val="12"/>
                  <w:szCs w:val="12"/>
                  <w:color w:val="0000FF"/>
                  <w:w w:val="96"/>
                </w:rPr>
                <w:t xml:space="preserve">Form of NMI Holdings, Inc. 2012 Stock Incentive Plan Nonqualified Stock Option Award Agreement for Employees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 10.9 to our Form 10-K, filed on February</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6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17, 2017)</w:t>
            </w:r>
          </w:p>
        </w:tc>
        <w:tc>
          <w:tcPr>
            <w:tcW w:w="2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24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10.8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w w:val="94"/>
              </w:rPr>
            </w:pPr>
            <w:hyperlink r:id="rId93">
              <w:r>
                <w:rPr>
                  <w:rFonts w:ascii="Arial" w:cs="Arial" w:eastAsia="Arial" w:hAnsi="Arial"/>
                  <w:sz w:val="12"/>
                  <w:szCs w:val="12"/>
                  <w:color w:val="0000FF"/>
                  <w:w w:val="94"/>
                </w:rPr>
                <w:t xml:space="preserve">Amended and Restated Employment Agreement by and between NMI Holdings, Inc. and Bradley M. Shuster, dated December 23, 2015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10.1 to our Form 8-K,</w:t>
            </w:r>
          </w:p>
        </w:tc>
      </w:tr>
      <w:tr>
        <w:trPr>
          <w:trHeight w:val="124"/>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20" w:type="dxa"/>
            <w:vAlign w:val="bottom"/>
            <w:tcBorders>
              <w:top w:val="single" w:sz="8" w:color="0000FF"/>
            </w:tcBorders>
            <w:gridSpan w:val="17"/>
          </w:tcPr>
          <w:p>
            <w:pPr>
              <w:spacing w:after="0" w:line="124" w:lineRule="exact"/>
              <w:rPr>
                <w:sz w:val="20"/>
                <w:szCs w:val="20"/>
                <w:color w:val="auto"/>
              </w:rPr>
            </w:pPr>
            <w:r>
              <w:rPr>
                <w:rFonts w:ascii="Arial" w:cs="Arial" w:eastAsia="Arial" w:hAnsi="Arial"/>
                <w:sz w:val="12"/>
                <w:szCs w:val="12"/>
                <w:color w:val="auto"/>
              </w:rPr>
              <w:t>filed on December 29, 2015)</w:t>
            </w:r>
          </w:p>
        </w:tc>
        <w:tc>
          <w:tcPr>
            <w:tcW w:w="3560" w:type="dxa"/>
            <w:vAlign w:val="bottom"/>
            <w:gridSpan w:val="6"/>
          </w:tcPr>
          <w:p>
            <w:pPr>
              <w:spacing w:after="0"/>
              <w:rPr>
                <w:sz w:val="10"/>
                <w:szCs w:val="10"/>
                <w:color w:val="auto"/>
              </w:rPr>
            </w:pPr>
          </w:p>
        </w:tc>
      </w:tr>
      <w:tr>
        <w:trPr>
          <w:trHeight w:val="126"/>
        </w:trPr>
        <w:tc>
          <w:tcPr>
            <w:tcW w:w="1000" w:type="dxa"/>
            <w:vAlign w:val="bottom"/>
          </w:tcPr>
          <w:p>
            <w:pPr>
              <w:jc w:val="center"/>
              <w:spacing w:after="0" w:line="126" w:lineRule="exact"/>
              <w:rPr>
                <w:sz w:val="20"/>
                <w:szCs w:val="20"/>
                <w:color w:val="auto"/>
              </w:rPr>
            </w:pPr>
            <w:r>
              <w:rPr>
                <w:rFonts w:ascii="Arial" w:cs="Arial" w:eastAsia="Arial" w:hAnsi="Arial"/>
                <w:sz w:val="12"/>
                <w:szCs w:val="12"/>
                <w:color w:val="auto"/>
                <w:w w:val="94"/>
              </w:rPr>
              <w:t>10.9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80" w:type="dxa"/>
            <w:vAlign w:val="bottom"/>
            <w:gridSpan w:val="23"/>
          </w:tcPr>
          <w:p>
            <w:pPr>
              <w:spacing w:after="0" w:line="126" w:lineRule="exact"/>
              <w:rPr>
                <w:rFonts w:ascii="Arial" w:cs="Arial" w:eastAsia="Arial" w:hAnsi="Arial"/>
                <w:sz w:val="12"/>
                <w:szCs w:val="12"/>
                <w:color w:val="0000FF"/>
              </w:rPr>
            </w:pPr>
            <w:hyperlink r:id="rId94">
              <w:r>
                <w:rPr>
                  <w:rFonts w:ascii="Arial" w:cs="Arial" w:eastAsia="Arial" w:hAnsi="Arial"/>
                  <w:sz w:val="12"/>
                  <w:szCs w:val="12"/>
                  <w:color w:val="0000FF"/>
                </w:rPr>
                <w:t xml:space="preserve">Offer Letter by and between NMI Holdings, Inc. and William Leatherberry, dated July 11, 2014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10.10 to our Form 10-Q, filed on April 28, 2016)</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8"/>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77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9"/>
          </w:tcPr>
          <w:p>
            <w:pPr>
              <w:ind w:left="4460"/>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2"/>
        </w:trPr>
        <w:tc>
          <w:tcPr>
            <w:tcW w:w="1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38"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38"/>
        </w:trPr>
        <w:tc>
          <w:tcPr>
            <w:tcW w:w="1120" w:type="dxa"/>
            <w:vAlign w:val="bottom"/>
          </w:tcPr>
          <w:p>
            <w:pPr>
              <w:jc w:val="center"/>
              <w:ind w:right="60"/>
              <w:spacing w:after="0"/>
              <w:rPr>
                <w:sz w:val="20"/>
                <w:szCs w:val="20"/>
                <w:color w:val="auto"/>
              </w:rPr>
            </w:pPr>
            <w:r>
              <w:rPr>
                <w:rFonts w:ascii="Arial" w:cs="Arial" w:eastAsia="Arial" w:hAnsi="Arial"/>
                <w:sz w:val="12"/>
                <w:szCs w:val="12"/>
                <w:color w:val="auto"/>
                <w:w w:val="89"/>
              </w:rPr>
              <w:t>10.10 ~</w:t>
            </w:r>
          </w:p>
        </w:tc>
        <w:tc>
          <w:tcPr>
            <w:tcW w:w="10180" w:type="dxa"/>
            <w:vAlign w:val="bottom"/>
            <w:gridSpan w:val="27"/>
          </w:tcPr>
          <w:p>
            <w:pPr>
              <w:spacing w:after="0"/>
              <w:rPr>
                <w:rFonts w:ascii="Arial" w:cs="Arial" w:eastAsia="Arial" w:hAnsi="Arial"/>
                <w:sz w:val="12"/>
                <w:szCs w:val="12"/>
                <w:color w:val="0000FF"/>
              </w:rPr>
            </w:pPr>
            <w:hyperlink r:id="rId97">
              <w:r>
                <w:rPr>
                  <w:rFonts w:ascii="Arial" w:cs="Arial" w:eastAsia="Arial" w:hAnsi="Arial"/>
                  <w:sz w:val="12"/>
                  <w:szCs w:val="12"/>
                  <w:color w:val="0000FF"/>
                </w:rPr>
                <w:t xml:space="preserve">Offer Letter by and between NMI Holdings, Inc. and Adam Pollitzer, dated February 1, 2017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3, 2017)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10.11 ~</w:t>
            </w:r>
          </w:p>
        </w:tc>
        <w:tc>
          <w:tcPr>
            <w:tcW w:w="10180" w:type="dxa"/>
            <w:vAlign w:val="bottom"/>
            <w:gridSpan w:val="27"/>
          </w:tcPr>
          <w:p>
            <w:pPr>
              <w:spacing w:after="0" w:line="133" w:lineRule="exact"/>
              <w:rPr>
                <w:rFonts w:ascii="Arial" w:cs="Arial" w:eastAsia="Arial" w:hAnsi="Arial"/>
                <w:sz w:val="12"/>
                <w:szCs w:val="12"/>
                <w:color w:val="0000FF"/>
                <w:w w:val="96"/>
              </w:rPr>
            </w:pPr>
            <w:hyperlink r:id="rId98">
              <w:r>
                <w:rPr>
                  <w:rFonts w:ascii="Arial" w:cs="Arial" w:eastAsia="Arial" w:hAnsi="Arial"/>
                  <w:sz w:val="12"/>
                  <w:szCs w:val="12"/>
                  <w:color w:val="0000FF"/>
                  <w:w w:val="96"/>
                </w:rPr>
                <w:t xml:space="preserve">Form of Indemnification Agreement between NMI Holdings, Inc. and its directors and certain executive officers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 10.1 to our Form 8-K, filed on November 25,</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00" w:type="dxa"/>
            <w:vAlign w:val="bottom"/>
            <w:tcBorders>
              <w:top w:val="single" w:sz="8" w:color="0000FF"/>
            </w:tcBorders>
            <w:gridSpan w:val="2"/>
          </w:tcPr>
          <w:p>
            <w:pPr>
              <w:spacing w:after="0" w:line="124" w:lineRule="exact"/>
              <w:rPr>
                <w:sz w:val="20"/>
                <w:szCs w:val="20"/>
                <w:color w:val="auto"/>
              </w:rPr>
            </w:pPr>
            <w:r>
              <w:rPr>
                <w:rFonts w:ascii="Arial" w:cs="Arial" w:eastAsia="Arial" w:hAnsi="Arial"/>
                <w:sz w:val="12"/>
                <w:szCs w:val="12"/>
                <w:color w:val="auto"/>
              </w:rPr>
              <w:t>2014)</w:t>
            </w:r>
          </w:p>
        </w:tc>
        <w:tc>
          <w:tcPr>
            <w:tcW w:w="3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92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10.12 +</w:t>
            </w:r>
          </w:p>
        </w:tc>
        <w:tc>
          <w:tcPr>
            <w:tcW w:w="10180" w:type="dxa"/>
            <w:vAlign w:val="bottom"/>
            <w:gridSpan w:val="27"/>
          </w:tcPr>
          <w:p>
            <w:pPr>
              <w:spacing w:after="0" w:line="126" w:lineRule="exact"/>
              <w:rPr>
                <w:rFonts w:ascii="Arial" w:cs="Arial" w:eastAsia="Arial" w:hAnsi="Arial"/>
                <w:sz w:val="12"/>
                <w:szCs w:val="12"/>
                <w:color w:val="0000FF"/>
                <w:w w:val="94"/>
              </w:rPr>
            </w:pPr>
            <w:hyperlink r:id="rId99">
              <w:r>
                <w:rPr>
                  <w:rFonts w:ascii="Arial" w:cs="Arial" w:eastAsia="Arial" w:hAnsi="Arial"/>
                  <w:sz w:val="12"/>
                  <w:szCs w:val="12"/>
                  <w:color w:val="0000FF"/>
                  <w:w w:val="94"/>
                </w:rPr>
                <w:t xml:space="preserve">Commitment Letter dated July 12, 2013 for Bulk Fannie Mae-Paid Loss-on-Sale Mortgage Insurance on the Portfolio of approximately </w:t>
              </w:r>
              <w:r>
                <w:rPr>
                  <w:rFonts w:ascii="Arial" w:cs="Arial" w:eastAsia="Arial" w:hAnsi="Arial"/>
                  <w:sz w:val="12"/>
                  <w:szCs w:val="12"/>
                  <w:u w:val="single" w:color="auto"/>
                  <w:color w:val="0000FF"/>
                  <w:w w:val="94"/>
                </w:rPr>
                <w:t>$</w:t>
              </w:r>
              <w:r>
                <w:rPr>
                  <w:rFonts w:ascii="Arial" w:cs="Arial" w:eastAsia="Arial" w:hAnsi="Arial"/>
                  <w:sz w:val="12"/>
                  <w:szCs w:val="12"/>
                  <w:color w:val="0000FF"/>
                  <w:w w:val="94"/>
                </w:rPr>
                <w:t>5.46 billion Purchased by Fannie Mae and Identified by Fannie Mae</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920" w:type="dxa"/>
            <w:vAlign w:val="bottom"/>
            <w:tcBorders>
              <w:top w:val="single" w:sz="8" w:color="0000FF"/>
            </w:tcBorders>
            <w:gridSpan w:val="25"/>
          </w:tcPr>
          <w:p>
            <w:pPr>
              <w:spacing w:after="0" w:line="97" w:lineRule="exact"/>
              <w:rPr>
                <w:rFonts w:ascii="Arial" w:cs="Arial" w:eastAsia="Arial" w:hAnsi="Arial"/>
                <w:sz w:val="11"/>
                <w:szCs w:val="11"/>
                <w:color w:val="0000FF"/>
              </w:rPr>
            </w:pPr>
            <w:hyperlink r:id="rId99">
              <w:r>
                <w:rPr>
                  <w:rFonts w:ascii="Arial" w:cs="Arial" w:eastAsia="Arial" w:hAnsi="Arial"/>
                  <w:sz w:val="11"/>
                  <w:szCs w:val="11"/>
                  <w:color w:val="0000FF"/>
                </w:rPr>
                <w:t xml:space="preserve">as Deal No. 2013 MIRT 01 and by the Company as Policy No. P-0001-01 </w:t>
              </w:r>
              <w:r>
                <w:rPr>
                  <w:rFonts w:ascii="Arial" w:cs="Arial" w:eastAsia="Arial" w:hAnsi="Arial"/>
                  <w:sz w:val="11"/>
                  <w:szCs w:val="11"/>
                  <w:color w:val="000000"/>
                </w:rPr>
                <w:t>(incorporated herein by reference to Exhibit 10.14 to our Form S-1 Registration Statement (Registration No. 333-191635), filed on</w:t>
              </w:r>
            </w:hyperlink>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3560" w:type="dxa"/>
            <w:vAlign w:val="bottom"/>
            <w:tcBorders>
              <w:top w:val="single" w:sz="8" w:color="0000FF"/>
            </w:tcBorders>
            <w:gridSpan w:val="7"/>
          </w:tcPr>
          <w:p>
            <w:pPr>
              <w:spacing w:after="0" w:line="124" w:lineRule="exact"/>
              <w:rPr>
                <w:sz w:val="20"/>
                <w:szCs w:val="20"/>
                <w:color w:val="auto"/>
              </w:rPr>
            </w:pPr>
            <w:r>
              <w:rPr>
                <w:rFonts w:ascii="Arial" w:cs="Arial" w:eastAsia="Arial" w:hAnsi="Arial"/>
                <w:sz w:val="12"/>
                <w:szCs w:val="12"/>
                <w:color w:val="auto"/>
              </w:rPr>
              <w:t>October 9, 2013)</w:t>
            </w:r>
          </w:p>
        </w:tc>
        <w:tc>
          <w:tcPr>
            <w:tcW w:w="3100" w:type="dxa"/>
            <w:vAlign w:val="bottom"/>
            <w:gridSpan w:val="3"/>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3"/>
              </w:rPr>
              <w:t>10.13</w:t>
            </w:r>
          </w:p>
        </w:tc>
        <w:tc>
          <w:tcPr>
            <w:tcW w:w="10180" w:type="dxa"/>
            <w:vAlign w:val="bottom"/>
            <w:gridSpan w:val="27"/>
          </w:tcPr>
          <w:p>
            <w:pPr>
              <w:spacing w:after="0" w:line="126" w:lineRule="exact"/>
              <w:rPr>
                <w:rFonts w:ascii="Arial" w:cs="Arial" w:eastAsia="Arial" w:hAnsi="Arial"/>
                <w:sz w:val="12"/>
                <w:szCs w:val="12"/>
                <w:color w:val="0000FF"/>
                <w:w w:val="94"/>
              </w:rPr>
            </w:pPr>
            <w:hyperlink r:id="rId100">
              <w:r>
                <w:rPr>
                  <w:rFonts w:ascii="Arial" w:cs="Arial" w:eastAsia="Arial" w:hAnsi="Arial"/>
                  <w:sz w:val="12"/>
                  <w:szCs w:val="12"/>
                  <w:color w:val="0000FF"/>
                  <w:w w:val="94"/>
                </w:rPr>
                <w:t xml:space="preserve">Credit Agreement, dated November 10, 2015, between NMI Holdings, Inc., the lenders party thereto and JPMorgan Chase Bank, N.A., as administrative agent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720" w:type="dxa"/>
            <w:vAlign w:val="bottom"/>
            <w:tcBorders>
              <w:top w:val="single" w:sz="8" w:color="0000FF"/>
            </w:tcBorders>
            <w:gridSpan w:val="16"/>
          </w:tcPr>
          <w:p>
            <w:pPr>
              <w:spacing w:after="0" w:line="124" w:lineRule="exact"/>
              <w:rPr>
                <w:sz w:val="20"/>
                <w:szCs w:val="20"/>
                <w:color w:val="auto"/>
              </w:rPr>
            </w:pPr>
            <w:r>
              <w:rPr>
                <w:rFonts w:ascii="Arial" w:cs="Arial" w:eastAsia="Arial" w:hAnsi="Arial"/>
                <w:sz w:val="12"/>
                <w:szCs w:val="12"/>
                <w:color w:val="auto"/>
              </w:rPr>
              <w:t>4.1 to our Form 8-K, filed on November 10, 2015)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3"/>
              </w:rPr>
              <w:t>10.14</w:t>
            </w:r>
          </w:p>
        </w:tc>
        <w:tc>
          <w:tcPr>
            <w:tcW w:w="10180" w:type="dxa"/>
            <w:vAlign w:val="bottom"/>
            <w:gridSpan w:val="27"/>
          </w:tcPr>
          <w:p>
            <w:pPr>
              <w:spacing w:after="0" w:line="126" w:lineRule="exact"/>
              <w:rPr>
                <w:rFonts w:ascii="Arial" w:cs="Arial" w:eastAsia="Arial" w:hAnsi="Arial"/>
                <w:sz w:val="12"/>
                <w:szCs w:val="12"/>
                <w:color w:val="0000FF"/>
                <w:w w:val="93"/>
              </w:rPr>
            </w:pPr>
            <w:hyperlink r:id="rId101">
              <w:r>
                <w:rPr>
                  <w:rFonts w:ascii="Arial" w:cs="Arial" w:eastAsia="Arial" w:hAnsi="Arial"/>
                  <w:sz w:val="12"/>
                  <w:szCs w:val="12"/>
                  <w:color w:val="0000FF"/>
                  <w:w w:val="93"/>
                </w:rPr>
                <w:t>Amendment No. 1, dated February 10, 2017, to the Credit Agreement dated November 10, 2015, between NMI Holdings, Inc., the lender parties thereto and JPMorgan Chase Bank, N.A., as administrative</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900" w:type="dxa"/>
            <w:vAlign w:val="bottom"/>
            <w:tcBorders>
              <w:top w:val="single" w:sz="8" w:color="0000FF"/>
            </w:tcBorders>
            <w:gridSpan w:val="24"/>
          </w:tcPr>
          <w:p>
            <w:pPr>
              <w:spacing w:after="0" w:line="97" w:lineRule="exact"/>
              <w:rPr>
                <w:rFonts w:ascii="Arial" w:cs="Arial" w:eastAsia="Arial" w:hAnsi="Arial"/>
                <w:sz w:val="11"/>
                <w:szCs w:val="11"/>
                <w:color w:val="0000FF"/>
              </w:rPr>
            </w:pPr>
            <w:hyperlink r:id="rId101">
              <w:r>
                <w:rPr>
                  <w:rFonts w:ascii="Arial" w:cs="Arial" w:eastAsia="Arial" w:hAnsi="Arial"/>
                  <w:sz w:val="11"/>
                  <w:szCs w:val="11"/>
                  <w:color w:val="0000FF"/>
                </w:rPr>
                <w:t xml:space="preserve">agent </w:t>
              </w:r>
              <w:r>
                <w:rPr>
                  <w:rFonts w:ascii="Arial" w:cs="Arial" w:eastAsia="Arial" w:hAnsi="Arial"/>
                  <w:sz w:val="11"/>
                  <w:szCs w:val="11"/>
                  <w:color w:val="000000"/>
                </w:rPr>
                <w:t>(incorporated herein by reference to Exhibit 10.1 to our Form 8-K, filed on February 10, 2017)</w:t>
              </w:r>
            </w:hyperlink>
          </w:p>
        </w:tc>
        <w:tc>
          <w:tcPr>
            <w:tcW w:w="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10.15</w:t>
            </w:r>
          </w:p>
        </w:tc>
        <w:tc>
          <w:tcPr>
            <w:tcW w:w="10180" w:type="dxa"/>
            <w:vAlign w:val="bottom"/>
            <w:gridSpan w:val="27"/>
          </w:tcPr>
          <w:p>
            <w:pPr>
              <w:spacing w:after="0" w:line="133" w:lineRule="exact"/>
              <w:rPr>
                <w:rFonts w:ascii="Arial" w:cs="Arial" w:eastAsia="Arial" w:hAnsi="Arial"/>
                <w:sz w:val="12"/>
                <w:szCs w:val="12"/>
                <w:color w:val="0000FF"/>
                <w:w w:val="94"/>
              </w:rPr>
            </w:pPr>
            <w:hyperlink r:id="rId102">
              <w:r>
                <w:rPr>
                  <w:rFonts w:ascii="Arial" w:cs="Arial" w:eastAsia="Arial" w:hAnsi="Arial"/>
                  <w:sz w:val="12"/>
                  <w:szCs w:val="12"/>
                  <w:color w:val="0000FF"/>
                  <w:w w:val="94"/>
                </w:rPr>
                <w:t>Amendment No. 2, dated October 25, 2017, to the Credit Agreement dated November 10, 2015, between NMI Holdings, Inc., the lender parties thereto and JPMorgan Chase Bank, N.A., as administrative</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940" w:type="dxa"/>
            <w:vAlign w:val="bottom"/>
            <w:tcBorders>
              <w:top w:val="single" w:sz="8" w:color="0000FF"/>
            </w:tcBorders>
            <w:gridSpan w:val="26"/>
          </w:tcPr>
          <w:p>
            <w:pPr>
              <w:spacing w:after="0" w:line="97" w:lineRule="exact"/>
              <w:rPr>
                <w:rFonts w:ascii="Arial" w:cs="Arial" w:eastAsia="Arial" w:hAnsi="Arial"/>
                <w:sz w:val="11"/>
                <w:szCs w:val="11"/>
                <w:color w:val="0000FF"/>
              </w:rPr>
            </w:pPr>
            <w:hyperlink r:id="rId102">
              <w:r>
                <w:rPr>
                  <w:rFonts w:ascii="Arial" w:cs="Arial" w:eastAsia="Arial" w:hAnsi="Arial"/>
                  <w:sz w:val="11"/>
                  <w:szCs w:val="11"/>
                  <w:color w:val="0000FF"/>
                </w:rPr>
                <w:t xml:space="preserve">agent </w:t>
              </w:r>
              <w:r>
                <w:rPr>
                  <w:rFonts w:ascii="Arial" w:cs="Arial" w:eastAsia="Arial" w:hAnsi="Arial"/>
                  <w:sz w:val="11"/>
                  <w:szCs w:val="11"/>
                  <w:color w:val="000000"/>
                </w:rPr>
                <w:t>(incorporated herein by reference to Exhibit 10.1 to our Form 8-K, filed on October 26, 2017)</w:t>
              </w:r>
            </w:hyperlink>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10.16</w:t>
            </w:r>
          </w:p>
        </w:tc>
        <w:tc>
          <w:tcPr>
            <w:tcW w:w="10180" w:type="dxa"/>
            <w:vAlign w:val="bottom"/>
            <w:gridSpan w:val="27"/>
          </w:tcPr>
          <w:p>
            <w:pPr>
              <w:spacing w:after="0" w:line="133" w:lineRule="exact"/>
              <w:rPr>
                <w:rFonts w:ascii="Arial" w:cs="Arial" w:eastAsia="Arial" w:hAnsi="Arial"/>
                <w:sz w:val="12"/>
                <w:szCs w:val="12"/>
                <w:color w:val="0000FF"/>
                <w:w w:val="94"/>
              </w:rPr>
            </w:pPr>
            <w:hyperlink r:id="rId103">
              <w:r>
                <w:rPr>
                  <w:rFonts w:ascii="Arial" w:cs="Arial" w:eastAsia="Arial" w:hAnsi="Arial"/>
                  <w:sz w:val="12"/>
                  <w:szCs w:val="12"/>
                  <w:color w:val="0000FF"/>
                  <w:w w:val="94"/>
                </w:rPr>
                <w:t xml:space="preserve">Credit Agreement, dated May 24, 2018, between NMI Holdings, Inc., the lender party thereto, and JPMorgan Chase Bank, N.A., as administrative agent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4.1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420" w:type="dxa"/>
            <w:vAlign w:val="bottom"/>
            <w:tcBorders>
              <w:top w:val="single" w:sz="8" w:color="0000FF"/>
            </w:tcBorders>
            <w:gridSpan w:val="15"/>
          </w:tcPr>
          <w:p>
            <w:pPr>
              <w:spacing w:after="0" w:line="124" w:lineRule="exact"/>
              <w:rPr>
                <w:sz w:val="20"/>
                <w:szCs w:val="20"/>
                <w:color w:val="auto"/>
              </w:rPr>
            </w:pPr>
            <w:r>
              <w:rPr>
                <w:rFonts w:ascii="Arial" w:cs="Arial" w:eastAsia="Arial" w:hAnsi="Arial"/>
                <w:sz w:val="12"/>
                <w:szCs w:val="12"/>
                <w:color w:val="auto"/>
              </w:rPr>
              <w:t>our Form 8-K, filed on May 25, 2018)</w:t>
            </w:r>
          </w:p>
        </w:tc>
        <w:tc>
          <w:tcPr>
            <w:tcW w:w="32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93"/>
              </w:rPr>
              <w:t>10.17</w:t>
            </w:r>
          </w:p>
        </w:tc>
        <w:tc>
          <w:tcPr>
            <w:tcW w:w="10180" w:type="dxa"/>
            <w:vAlign w:val="bottom"/>
            <w:gridSpan w:val="27"/>
          </w:tcPr>
          <w:p>
            <w:pPr>
              <w:spacing w:after="0" w:line="126" w:lineRule="exact"/>
              <w:rPr>
                <w:rFonts w:ascii="Arial" w:cs="Arial" w:eastAsia="Arial" w:hAnsi="Arial"/>
                <w:sz w:val="12"/>
                <w:szCs w:val="12"/>
                <w:color w:val="0000FF"/>
                <w:w w:val="93"/>
              </w:rPr>
            </w:pPr>
            <w:hyperlink r:id="rId104">
              <w:r>
                <w:rPr>
                  <w:rFonts w:ascii="Arial" w:cs="Arial" w:eastAsia="Arial" w:hAnsi="Arial"/>
                  <w:sz w:val="12"/>
                  <w:szCs w:val="12"/>
                  <w:color w:val="0000FF"/>
                  <w:w w:val="93"/>
                </w:rPr>
                <w:t>Extension Amendment, dated as of March 20, 2020, to the Company's Credit Agreement, dated as of May 24, 2018, by and among the Company, the lender parties thereto and JPMorgan Chase Bank, N.A.</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800" w:type="dxa"/>
            <w:vAlign w:val="bottom"/>
            <w:tcBorders>
              <w:top w:val="single" w:sz="8" w:color="0000FF"/>
            </w:tcBorders>
            <w:gridSpan w:val="23"/>
          </w:tcPr>
          <w:p>
            <w:pPr>
              <w:spacing w:after="0" w:line="97" w:lineRule="exact"/>
              <w:rPr>
                <w:rFonts w:ascii="Arial" w:cs="Arial" w:eastAsia="Arial" w:hAnsi="Arial"/>
                <w:sz w:val="11"/>
                <w:szCs w:val="11"/>
                <w:color w:val="0000FF"/>
              </w:rPr>
            </w:pPr>
            <w:hyperlink r:id="rId104">
              <w:r>
                <w:rPr>
                  <w:rFonts w:ascii="Arial" w:cs="Arial" w:eastAsia="Arial" w:hAnsi="Arial"/>
                  <w:sz w:val="11"/>
                  <w:szCs w:val="11"/>
                  <w:color w:val="0000FF"/>
                </w:rPr>
                <w:t xml:space="preserve">as administrative agent </w:t>
              </w:r>
              <w:r>
                <w:rPr>
                  <w:rFonts w:ascii="Arial" w:cs="Arial" w:eastAsia="Arial" w:hAnsi="Arial"/>
                  <w:sz w:val="11"/>
                  <w:szCs w:val="11"/>
                  <w:color w:val="000000"/>
                </w:rPr>
                <w:t>(incorporated herein by reference to Exhibit 10.1 to our Form 8-K filed on March 20, 2020)</w:t>
              </w:r>
            </w:hyperlink>
          </w:p>
        </w:tc>
        <w:tc>
          <w:tcPr>
            <w:tcW w:w="380" w:type="dxa"/>
            <w:vAlign w:val="bottom"/>
            <w:gridSpan w:val="4"/>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10.18</w:t>
            </w:r>
          </w:p>
        </w:tc>
        <w:tc>
          <w:tcPr>
            <w:tcW w:w="10180" w:type="dxa"/>
            <w:vAlign w:val="bottom"/>
            <w:gridSpan w:val="27"/>
          </w:tcPr>
          <w:p>
            <w:pPr>
              <w:spacing w:after="0" w:line="133" w:lineRule="exact"/>
              <w:rPr>
                <w:rFonts w:ascii="Arial" w:cs="Arial" w:eastAsia="Arial" w:hAnsi="Arial"/>
                <w:sz w:val="12"/>
                <w:szCs w:val="12"/>
                <w:color w:val="0000FF"/>
                <w:w w:val="95"/>
              </w:rPr>
            </w:pPr>
            <w:hyperlink r:id="rId105">
              <w:r>
                <w:rPr>
                  <w:rFonts w:ascii="Arial" w:cs="Arial" w:eastAsia="Arial" w:hAnsi="Arial"/>
                  <w:sz w:val="12"/>
                  <w:szCs w:val="12"/>
                  <w:color w:val="0000FF"/>
                  <w:w w:val="95"/>
                </w:rPr>
                <w:t>Joinder Agreement, dated as of March 20, 2020, to the Company's Credit Agreement, dated as of May 24, 2018, by and among the Company, JPMorgan Chase Bank, N.A. as administrative agent, and</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580" w:type="dxa"/>
            <w:vAlign w:val="bottom"/>
            <w:tcBorders>
              <w:top w:val="single" w:sz="8" w:color="0000FF"/>
            </w:tcBorders>
            <w:gridSpan w:val="20"/>
          </w:tcPr>
          <w:p>
            <w:pPr>
              <w:spacing w:after="0" w:line="97" w:lineRule="exact"/>
              <w:rPr>
                <w:rFonts w:ascii="Arial" w:cs="Arial" w:eastAsia="Arial" w:hAnsi="Arial"/>
                <w:sz w:val="11"/>
                <w:szCs w:val="11"/>
                <w:color w:val="0000FF"/>
              </w:rPr>
            </w:pPr>
            <w:hyperlink r:id="rId105">
              <w:r>
                <w:rPr>
                  <w:rFonts w:ascii="Arial" w:cs="Arial" w:eastAsia="Arial" w:hAnsi="Arial"/>
                  <w:sz w:val="11"/>
                  <w:szCs w:val="11"/>
                  <w:color w:val="0000FF"/>
                </w:rPr>
                <w:t xml:space="preserve">Citibank, N.A. </w:t>
              </w:r>
              <w:r>
                <w:rPr>
                  <w:rFonts w:ascii="Arial" w:cs="Arial" w:eastAsia="Arial" w:hAnsi="Arial"/>
                  <w:sz w:val="11"/>
                  <w:szCs w:val="11"/>
                  <w:color w:val="000000"/>
                </w:rPr>
                <w:t>(incorporated herein by reference to Exhibit 10.2 to our Form 8-K, filed on March 20, 2020)</w:t>
              </w:r>
            </w:hyperlink>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93"/>
              </w:rPr>
              <w:t>10.19</w:t>
            </w:r>
          </w:p>
        </w:tc>
        <w:tc>
          <w:tcPr>
            <w:tcW w:w="10180" w:type="dxa"/>
            <w:vAlign w:val="bottom"/>
            <w:gridSpan w:val="27"/>
          </w:tcPr>
          <w:p>
            <w:pPr>
              <w:spacing w:after="0" w:line="133" w:lineRule="exact"/>
              <w:rPr>
                <w:rFonts w:ascii="Arial" w:cs="Arial" w:eastAsia="Arial" w:hAnsi="Arial"/>
                <w:sz w:val="12"/>
                <w:szCs w:val="12"/>
                <w:color w:val="0000FF"/>
                <w:w w:val="95"/>
              </w:rPr>
            </w:pPr>
            <w:hyperlink r:id="rId106">
              <w:r>
                <w:rPr>
                  <w:rFonts w:ascii="Arial" w:cs="Arial" w:eastAsia="Arial" w:hAnsi="Arial"/>
                  <w:sz w:val="12"/>
                  <w:szCs w:val="12"/>
                  <w:color w:val="0000FF"/>
                  <w:w w:val="95"/>
                </w:rPr>
                <w:t>Amendment No. 1, dated as of May 6, 2020, to the Company's Credit Agreement, dated as of May 24, 2018, by and among the Company, the lender parties thereto and JPMorgan Chase Bank, N.A. as</w:t>
              </w:r>
            </w:hyperlink>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9600" w:type="dxa"/>
            <w:vAlign w:val="bottom"/>
            <w:tcBorders>
              <w:top w:val="single" w:sz="8" w:color="0000FF"/>
            </w:tcBorders>
            <w:gridSpan w:val="21"/>
          </w:tcPr>
          <w:p>
            <w:pPr>
              <w:spacing w:after="0" w:line="97" w:lineRule="exact"/>
              <w:rPr>
                <w:rFonts w:ascii="Arial" w:cs="Arial" w:eastAsia="Arial" w:hAnsi="Arial"/>
                <w:sz w:val="11"/>
                <w:szCs w:val="11"/>
                <w:color w:val="0000FF"/>
              </w:rPr>
            </w:pPr>
            <w:hyperlink r:id="rId106">
              <w:r>
                <w:rPr>
                  <w:rFonts w:ascii="Arial" w:cs="Arial" w:eastAsia="Arial" w:hAnsi="Arial"/>
                  <w:sz w:val="11"/>
                  <w:szCs w:val="11"/>
                  <w:color w:val="0000FF"/>
                </w:rPr>
                <w:t xml:space="preserve">administrative agent </w:t>
              </w:r>
              <w:r>
                <w:rPr>
                  <w:rFonts w:ascii="Arial" w:cs="Arial" w:eastAsia="Arial" w:hAnsi="Arial"/>
                  <w:sz w:val="11"/>
                  <w:szCs w:val="11"/>
                  <w:color w:val="000000"/>
                </w:rPr>
                <w:t>(incorporated herein by reference to Exhibit 10.1 to our Form 8-K filed on May 6, 2020)</w:t>
              </w:r>
            </w:hyperlink>
          </w:p>
        </w:tc>
        <w:tc>
          <w:tcPr>
            <w:tcW w:w="60" w:type="dxa"/>
            <w:vAlign w:val="bottom"/>
          </w:tcPr>
          <w:p>
            <w:pPr>
              <w:spacing w:after="0"/>
              <w:rPr>
                <w:sz w:val="8"/>
                <w:szCs w:val="8"/>
                <w:color w:val="auto"/>
              </w:rPr>
            </w:pPr>
          </w:p>
        </w:tc>
        <w:tc>
          <w:tcPr>
            <w:tcW w:w="52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center"/>
              <w:ind w:right="60"/>
              <w:spacing w:after="0"/>
              <w:rPr>
                <w:sz w:val="20"/>
                <w:szCs w:val="20"/>
                <w:color w:val="auto"/>
              </w:rPr>
            </w:pPr>
            <w:r>
              <w:rPr>
                <w:rFonts w:ascii="Arial" w:cs="Arial" w:eastAsia="Arial" w:hAnsi="Arial"/>
                <w:sz w:val="12"/>
                <w:szCs w:val="12"/>
                <w:color w:val="auto"/>
                <w:w w:val="93"/>
              </w:rPr>
              <w:t>10.20</w:t>
            </w:r>
          </w:p>
        </w:tc>
        <w:tc>
          <w:tcPr>
            <w:tcW w:w="100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9660" w:type="dxa"/>
            <w:vAlign w:val="bottom"/>
            <w:tcBorders>
              <w:bottom w:val="single" w:sz="8" w:color="0000FF"/>
            </w:tcBorders>
            <w:gridSpan w:val="22"/>
          </w:tcPr>
          <w:p>
            <w:pPr>
              <w:spacing w:after="0"/>
              <w:rPr>
                <w:rFonts w:ascii="Arial" w:cs="Arial" w:eastAsia="Arial" w:hAnsi="Arial"/>
                <w:sz w:val="12"/>
                <w:szCs w:val="12"/>
                <w:color w:val="0000FF"/>
                <w:w w:val="89"/>
              </w:rPr>
            </w:pPr>
            <w:hyperlink w:anchor="page66">
              <w:r>
                <w:rPr>
                  <w:rFonts w:ascii="Arial" w:cs="Arial" w:eastAsia="Arial" w:hAnsi="Arial"/>
                  <w:sz w:val="12"/>
                  <w:szCs w:val="12"/>
                  <w:color w:val="0000FF"/>
                  <w:w w:val="89"/>
                </w:rPr>
                <w:t>Joinder Agreement, dated as of October 29, 2020, to the Company’s Credit Agreement, dated as of May 24, 2018, by and among the Company, JPMorgan Chase Bank, N.A. as administrative agent, and</w:t>
              </w:r>
            </w:hyperlink>
          </w:p>
        </w:tc>
        <w:tc>
          <w:tcPr>
            <w:tcW w:w="5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10"/>
                <w:szCs w:val="10"/>
                <w:color w:val="auto"/>
              </w:rPr>
            </w:pPr>
          </w:p>
        </w:tc>
        <w:tc>
          <w:tcPr>
            <w:tcW w:w="700" w:type="dxa"/>
            <w:vAlign w:val="bottom"/>
            <w:tcBorders>
              <w:bottom w:val="single" w:sz="8" w:color="0000FF"/>
            </w:tcBorders>
            <w:gridSpan w:val="2"/>
          </w:tcPr>
          <w:p>
            <w:pPr>
              <w:spacing w:after="0" w:line="115" w:lineRule="exact"/>
              <w:rPr>
                <w:rFonts w:ascii="Arial" w:cs="Arial" w:eastAsia="Arial" w:hAnsi="Arial"/>
                <w:sz w:val="12"/>
                <w:szCs w:val="12"/>
                <w:color w:val="0000FF"/>
                <w:w w:val="92"/>
              </w:rPr>
            </w:pPr>
            <w:hyperlink w:anchor="page66">
              <w:r>
                <w:rPr>
                  <w:rFonts w:ascii="Arial" w:cs="Arial" w:eastAsia="Arial" w:hAnsi="Arial"/>
                  <w:sz w:val="12"/>
                  <w:szCs w:val="12"/>
                  <w:color w:val="0000FF"/>
                  <w:w w:val="92"/>
                </w:rPr>
                <w:t>Citibank, N.A.</w:t>
              </w:r>
            </w:hyperlink>
          </w:p>
        </w:tc>
        <w:tc>
          <w:tcPr>
            <w:tcW w:w="9480" w:type="dxa"/>
            <w:vAlign w:val="bottom"/>
            <w:gridSpan w:val="25"/>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20" w:type="dxa"/>
            <w:vAlign w:val="bottom"/>
          </w:tcPr>
          <w:p>
            <w:pPr>
              <w:jc w:val="center"/>
              <w:ind w:right="60"/>
              <w:spacing w:after="0"/>
              <w:rPr>
                <w:sz w:val="20"/>
                <w:szCs w:val="20"/>
                <w:color w:val="auto"/>
              </w:rPr>
            </w:pPr>
            <w:r>
              <w:rPr>
                <w:rFonts w:ascii="Arial" w:cs="Arial" w:eastAsia="Arial" w:hAnsi="Arial"/>
                <w:sz w:val="12"/>
                <w:szCs w:val="12"/>
                <w:color w:val="auto"/>
                <w:w w:val="89"/>
              </w:rPr>
              <w:t>10.21 ~</w:t>
            </w:r>
          </w:p>
        </w:tc>
        <w:tc>
          <w:tcPr>
            <w:tcW w:w="10180" w:type="dxa"/>
            <w:vAlign w:val="bottom"/>
            <w:gridSpan w:val="27"/>
          </w:tcPr>
          <w:p>
            <w:pPr>
              <w:spacing w:after="0"/>
              <w:rPr>
                <w:rFonts w:ascii="Arial" w:cs="Arial" w:eastAsia="Arial" w:hAnsi="Arial"/>
                <w:sz w:val="12"/>
                <w:szCs w:val="12"/>
                <w:color w:val="0000FF"/>
              </w:rPr>
            </w:pPr>
            <w:hyperlink r:id="rId107">
              <w:r>
                <w:rPr>
                  <w:rFonts w:ascii="Arial" w:cs="Arial" w:eastAsia="Arial" w:hAnsi="Arial"/>
                  <w:sz w:val="12"/>
                  <w:szCs w:val="12"/>
                  <w:color w:val="0000FF"/>
                </w:rPr>
                <w:t xml:space="preserve">NMI Holdings, Inc. Amended and Restated 2014 Omnibus Incentive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Appendix A to our 2017 Annual Proxy Statement, filed on March 30, 2017)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10.22 ~</w:t>
            </w:r>
          </w:p>
        </w:tc>
        <w:tc>
          <w:tcPr>
            <w:tcW w:w="10180" w:type="dxa"/>
            <w:vAlign w:val="bottom"/>
            <w:gridSpan w:val="27"/>
          </w:tcPr>
          <w:p>
            <w:pPr>
              <w:spacing w:after="0" w:line="133" w:lineRule="exact"/>
              <w:rPr>
                <w:rFonts w:ascii="Arial" w:cs="Arial" w:eastAsia="Arial" w:hAnsi="Arial"/>
                <w:sz w:val="12"/>
                <w:szCs w:val="12"/>
                <w:color w:val="0000FF"/>
                <w:w w:val="94"/>
              </w:rPr>
            </w:pPr>
            <w:hyperlink r:id="rId108">
              <w:r>
                <w:rPr>
                  <w:rFonts w:ascii="Arial" w:cs="Arial" w:eastAsia="Arial" w:hAnsi="Arial"/>
                  <w:sz w:val="12"/>
                  <w:szCs w:val="12"/>
                  <w:color w:val="0000FF"/>
                  <w:w w:val="94"/>
                </w:rPr>
                <w:t xml:space="preserve">Form of NMI Holdings, Inc. Amended and Restated 2014 Omnibus Incentive Plan Restricted Stock Unit Award Agreement for Chief Executive Officer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10.19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320" w:type="dxa"/>
            <w:vAlign w:val="bottom"/>
            <w:tcBorders>
              <w:top w:val="single" w:sz="8" w:color="0000FF"/>
            </w:tcBorders>
            <w:gridSpan w:val="14"/>
          </w:tcPr>
          <w:p>
            <w:pPr>
              <w:spacing w:after="0" w:line="124" w:lineRule="exact"/>
              <w:rPr>
                <w:sz w:val="20"/>
                <w:szCs w:val="20"/>
                <w:color w:val="auto"/>
              </w:rPr>
            </w:pPr>
            <w:r>
              <w:rPr>
                <w:rFonts w:ascii="Arial" w:cs="Arial" w:eastAsia="Arial" w:hAnsi="Arial"/>
                <w:sz w:val="12"/>
                <w:szCs w:val="12"/>
                <w:color w:val="auto"/>
              </w:rPr>
              <w:t>our Form 10-Q filed on August 1, 2017)</w:t>
            </w:r>
          </w:p>
        </w:tc>
        <w:tc>
          <w:tcPr>
            <w:tcW w:w="420" w:type="dxa"/>
            <w:vAlign w:val="bottom"/>
            <w:gridSpan w:val="3"/>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10.23 ~</w:t>
            </w:r>
          </w:p>
        </w:tc>
        <w:tc>
          <w:tcPr>
            <w:tcW w:w="10180" w:type="dxa"/>
            <w:vAlign w:val="bottom"/>
            <w:gridSpan w:val="27"/>
          </w:tcPr>
          <w:p>
            <w:pPr>
              <w:spacing w:after="0" w:line="126" w:lineRule="exact"/>
              <w:rPr>
                <w:rFonts w:ascii="Arial" w:cs="Arial" w:eastAsia="Arial" w:hAnsi="Arial"/>
                <w:sz w:val="12"/>
                <w:szCs w:val="12"/>
                <w:color w:val="0000FF"/>
                <w:w w:val="95"/>
              </w:rPr>
            </w:pPr>
            <w:hyperlink r:id="rId109">
              <w:r>
                <w:rPr>
                  <w:rFonts w:ascii="Arial" w:cs="Arial" w:eastAsia="Arial" w:hAnsi="Arial"/>
                  <w:sz w:val="12"/>
                  <w:szCs w:val="12"/>
                  <w:color w:val="0000FF"/>
                  <w:w w:val="95"/>
                </w:rPr>
                <w:t xml:space="preserve">Form of NMI Holdings, Inc. Amended and Restated 2014 Omnibus Incentive Plan Restricted Stock Unit Award Agreement for Executive Officers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10.20 to our</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12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Form 10-Q filed on August 1, 2017)</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10.24 ~</w:t>
            </w:r>
          </w:p>
        </w:tc>
        <w:tc>
          <w:tcPr>
            <w:tcW w:w="10180" w:type="dxa"/>
            <w:vAlign w:val="bottom"/>
            <w:gridSpan w:val="27"/>
          </w:tcPr>
          <w:p>
            <w:pPr>
              <w:spacing w:after="0" w:line="126" w:lineRule="exact"/>
              <w:rPr>
                <w:rFonts w:ascii="Arial" w:cs="Arial" w:eastAsia="Arial" w:hAnsi="Arial"/>
                <w:sz w:val="12"/>
                <w:szCs w:val="12"/>
                <w:color w:val="0000FF"/>
                <w:w w:val="94"/>
              </w:rPr>
            </w:pPr>
            <w:hyperlink r:id="rId110">
              <w:r>
                <w:rPr>
                  <w:rFonts w:ascii="Arial" w:cs="Arial" w:eastAsia="Arial" w:hAnsi="Arial"/>
                  <w:sz w:val="12"/>
                  <w:szCs w:val="12"/>
                  <w:color w:val="0000FF"/>
                  <w:w w:val="94"/>
                </w:rPr>
                <w:t xml:space="preserve">Form of NMI Holdings, Inc. Amended and Restated 2014 Omnibus Incentive Plan Restricted Stock Unit Award Agreement for Employees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10.21 to our Form 10-</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6660" w:type="dxa"/>
            <w:vAlign w:val="bottom"/>
            <w:tcBorders>
              <w:top w:val="single" w:sz="8" w:color="0000FF"/>
            </w:tcBorders>
            <w:gridSpan w:val="10"/>
          </w:tcPr>
          <w:p>
            <w:pPr>
              <w:spacing w:after="0" w:line="124" w:lineRule="exact"/>
              <w:rPr>
                <w:sz w:val="20"/>
                <w:szCs w:val="20"/>
                <w:color w:val="auto"/>
              </w:rPr>
            </w:pPr>
            <w:r>
              <w:rPr>
                <w:rFonts w:ascii="Arial" w:cs="Arial" w:eastAsia="Arial" w:hAnsi="Arial"/>
                <w:sz w:val="12"/>
                <w:szCs w:val="12"/>
                <w:color w:val="auto"/>
              </w:rPr>
              <w:t>Q filed on August 1, 2017)</w:t>
            </w:r>
          </w:p>
        </w:tc>
        <w:tc>
          <w:tcPr>
            <w:tcW w:w="4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10.25 ~</w:t>
            </w:r>
          </w:p>
        </w:tc>
        <w:tc>
          <w:tcPr>
            <w:tcW w:w="10180" w:type="dxa"/>
            <w:vAlign w:val="bottom"/>
            <w:gridSpan w:val="27"/>
          </w:tcPr>
          <w:p>
            <w:pPr>
              <w:spacing w:after="0" w:line="126" w:lineRule="exact"/>
              <w:rPr>
                <w:rFonts w:ascii="Arial" w:cs="Arial" w:eastAsia="Arial" w:hAnsi="Arial"/>
                <w:sz w:val="12"/>
                <w:szCs w:val="12"/>
                <w:color w:val="0000FF"/>
                <w:w w:val="95"/>
              </w:rPr>
            </w:pPr>
            <w:hyperlink r:id="rId111">
              <w:r>
                <w:rPr>
                  <w:rFonts w:ascii="Arial" w:cs="Arial" w:eastAsia="Arial" w:hAnsi="Arial"/>
                  <w:sz w:val="12"/>
                  <w:szCs w:val="12"/>
                  <w:color w:val="0000FF"/>
                  <w:w w:val="95"/>
                </w:rPr>
                <w:t xml:space="preserve">Form of NMI Holdings, Inc. Amended and Restated 2014 Omnibus Incentive Plan Restricted Stock Unit Award Agreement for Independent Directors </w:t>
              </w:r>
            </w:hyperlink>
            <w:r>
              <w:rPr>
                <w:rFonts w:ascii="Arial" w:cs="Arial" w:eastAsia="Arial" w:hAnsi="Arial"/>
                <w:sz w:val="12"/>
                <w:szCs w:val="12"/>
                <w:color w:val="000000"/>
                <w:w w:val="95"/>
              </w:rPr>
              <w:t>(incorporated</w:t>
            </w:r>
            <w:r>
              <w:rPr>
                <w:rFonts w:ascii="Arial" w:cs="Arial" w:eastAsia="Arial" w:hAnsi="Arial"/>
                <w:sz w:val="12"/>
                <w:szCs w:val="12"/>
                <w:color w:val="0000FF"/>
                <w:w w:val="95"/>
              </w:rPr>
              <w:t xml:space="preserve"> </w:t>
            </w:r>
            <w:r>
              <w:rPr>
                <w:rFonts w:ascii="Arial" w:cs="Arial" w:eastAsia="Arial" w:hAnsi="Arial"/>
                <w:sz w:val="12"/>
                <w:szCs w:val="12"/>
                <w:color w:val="000000"/>
                <w:w w:val="95"/>
              </w:rPr>
              <w:t>herein by reference to Exhibit 10.22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300" w:type="dxa"/>
            <w:vAlign w:val="bottom"/>
            <w:tcBorders>
              <w:top w:val="single" w:sz="8" w:color="0000FF"/>
            </w:tcBorders>
            <w:gridSpan w:val="13"/>
          </w:tcPr>
          <w:p>
            <w:pPr>
              <w:spacing w:after="0" w:line="124" w:lineRule="exact"/>
              <w:rPr>
                <w:sz w:val="20"/>
                <w:szCs w:val="20"/>
                <w:color w:val="auto"/>
              </w:rPr>
            </w:pPr>
            <w:r>
              <w:rPr>
                <w:rFonts w:ascii="Arial" w:cs="Arial" w:eastAsia="Arial" w:hAnsi="Arial"/>
                <w:sz w:val="12"/>
                <w:szCs w:val="12"/>
                <w:color w:val="auto"/>
              </w:rPr>
              <w:t>our Form 10-Q filed on August 1, 2017)</w:t>
            </w:r>
          </w:p>
        </w:tc>
        <w:tc>
          <w:tcPr>
            <w:tcW w:w="44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10.26 ~</w:t>
            </w:r>
          </w:p>
        </w:tc>
        <w:tc>
          <w:tcPr>
            <w:tcW w:w="10180" w:type="dxa"/>
            <w:vAlign w:val="bottom"/>
            <w:gridSpan w:val="27"/>
          </w:tcPr>
          <w:p>
            <w:pPr>
              <w:spacing w:after="0" w:line="126" w:lineRule="exact"/>
              <w:rPr>
                <w:rFonts w:ascii="Arial" w:cs="Arial" w:eastAsia="Arial" w:hAnsi="Arial"/>
                <w:sz w:val="12"/>
                <w:szCs w:val="12"/>
                <w:color w:val="0000FF"/>
                <w:w w:val="96"/>
              </w:rPr>
            </w:pPr>
            <w:hyperlink r:id="rId112">
              <w:r>
                <w:rPr>
                  <w:rFonts w:ascii="Arial" w:cs="Arial" w:eastAsia="Arial" w:hAnsi="Arial"/>
                  <w:sz w:val="12"/>
                  <w:szCs w:val="12"/>
                  <w:color w:val="0000FF"/>
                  <w:w w:val="96"/>
                </w:rPr>
                <w:t xml:space="preserve">Form of NMI Holdings, Inc. Amended and Restated 2014 Omnibus Incentive Plan Nonqualified Stock Option Award Agreement for Chief Executive Officer </w:t>
              </w:r>
            </w:hyperlink>
            <w:r>
              <w:rPr>
                <w:rFonts w:ascii="Arial" w:cs="Arial" w:eastAsia="Arial" w:hAnsi="Arial"/>
                <w:sz w:val="12"/>
                <w:szCs w:val="12"/>
                <w:color w:val="000000"/>
                <w:w w:val="96"/>
              </w:rPr>
              <w:t>(incorporated</w:t>
            </w:r>
            <w:r>
              <w:rPr>
                <w:rFonts w:ascii="Arial" w:cs="Arial" w:eastAsia="Arial" w:hAnsi="Arial"/>
                <w:sz w:val="12"/>
                <w:szCs w:val="12"/>
                <w:color w:val="0000FF"/>
                <w:w w:val="96"/>
              </w:rPr>
              <w:t xml:space="preserve"> </w:t>
            </w:r>
            <w:r>
              <w:rPr>
                <w:rFonts w:ascii="Arial" w:cs="Arial" w:eastAsia="Arial" w:hAnsi="Arial"/>
                <w:sz w:val="12"/>
                <w:szCs w:val="12"/>
                <w:color w:val="000000"/>
                <w:w w:val="96"/>
              </w:rPr>
              <w:t>herein by reference to Exhibit</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740" w:type="dxa"/>
            <w:vAlign w:val="bottom"/>
            <w:tcBorders>
              <w:top w:val="single" w:sz="8" w:color="0000FF"/>
            </w:tcBorders>
            <w:gridSpan w:val="17"/>
          </w:tcPr>
          <w:p>
            <w:pPr>
              <w:spacing w:after="0" w:line="124" w:lineRule="exact"/>
              <w:rPr>
                <w:sz w:val="20"/>
                <w:szCs w:val="20"/>
                <w:color w:val="auto"/>
              </w:rPr>
            </w:pPr>
            <w:r>
              <w:rPr>
                <w:rFonts w:ascii="Arial" w:cs="Arial" w:eastAsia="Arial" w:hAnsi="Arial"/>
                <w:sz w:val="12"/>
                <w:szCs w:val="12"/>
                <w:color w:val="auto"/>
              </w:rPr>
              <w:t>10.23 to our Form 10-Q filed on August 1, 2017)</w:t>
            </w: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10.27 ~</w:t>
            </w:r>
          </w:p>
        </w:tc>
        <w:tc>
          <w:tcPr>
            <w:tcW w:w="10180" w:type="dxa"/>
            <w:vAlign w:val="bottom"/>
            <w:gridSpan w:val="27"/>
          </w:tcPr>
          <w:p>
            <w:pPr>
              <w:spacing w:after="0" w:line="126" w:lineRule="exact"/>
              <w:rPr>
                <w:rFonts w:ascii="Arial" w:cs="Arial" w:eastAsia="Arial" w:hAnsi="Arial"/>
                <w:sz w:val="12"/>
                <w:szCs w:val="12"/>
                <w:color w:val="0000FF"/>
                <w:w w:val="94"/>
              </w:rPr>
            </w:pPr>
            <w:hyperlink r:id="rId113">
              <w:r>
                <w:rPr>
                  <w:rFonts w:ascii="Arial" w:cs="Arial" w:eastAsia="Arial" w:hAnsi="Arial"/>
                  <w:sz w:val="12"/>
                  <w:szCs w:val="12"/>
                  <w:color w:val="0000FF"/>
                  <w:w w:val="94"/>
                </w:rPr>
                <w:t xml:space="preserve">Form of NMI Holdings, Inc. Amended and Restated 2014 Omnibus Incentive Plan Nonqualified Stock Option Award Agreement for Executive Officers and Employees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8120" w:type="dxa"/>
            <w:vAlign w:val="bottom"/>
            <w:tcBorders>
              <w:top w:val="single" w:sz="8" w:color="0000FF"/>
            </w:tcBorders>
            <w:gridSpan w:val="18"/>
          </w:tcPr>
          <w:p>
            <w:pPr>
              <w:spacing w:after="0" w:line="124" w:lineRule="exact"/>
              <w:rPr>
                <w:sz w:val="20"/>
                <w:szCs w:val="20"/>
                <w:color w:val="auto"/>
              </w:rPr>
            </w:pPr>
            <w:r>
              <w:rPr>
                <w:rFonts w:ascii="Arial" w:cs="Arial" w:eastAsia="Arial" w:hAnsi="Arial"/>
                <w:sz w:val="12"/>
                <w:szCs w:val="12"/>
                <w:color w:val="auto"/>
              </w:rPr>
              <w:t>Exhibit 10.24 to our Form 10-Q filed on August 1, 2017)</w:t>
            </w:r>
          </w:p>
        </w:tc>
        <w:tc>
          <w:tcPr>
            <w:tcW w:w="680" w:type="dxa"/>
            <w:vAlign w:val="bottom"/>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10.28 ~</w:t>
            </w:r>
          </w:p>
        </w:tc>
        <w:tc>
          <w:tcPr>
            <w:tcW w:w="10180" w:type="dxa"/>
            <w:vAlign w:val="bottom"/>
            <w:gridSpan w:val="27"/>
          </w:tcPr>
          <w:p>
            <w:pPr>
              <w:spacing w:after="0" w:line="126" w:lineRule="exact"/>
              <w:rPr>
                <w:rFonts w:ascii="Arial" w:cs="Arial" w:eastAsia="Arial" w:hAnsi="Arial"/>
                <w:sz w:val="12"/>
                <w:szCs w:val="12"/>
                <w:color w:val="0000FF"/>
                <w:w w:val="94"/>
              </w:rPr>
            </w:pPr>
            <w:hyperlink r:id="rId114">
              <w:r>
                <w:rPr>
                  <w:rFonts w:ascii="Arial" w:cs="Arial" w:eastAsia="Arial" w:hAnsi="Arial"/>
                  <w:sz w:val="12"/>
                  <w:szCs w:val="12"/>
                  <w:color w:val="0000FF"/>
                  <w:w w:val="94"/>
                </w:rPr>
                <w:t xml:space="preserve">Form of NMI Holdings, Inc. 2014 Omnibus Incentive Plan Performance Based Restricted Stock Unit Award Agreement for Chief Executive Officer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10.26 to our</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714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Form 10-K, filed on February 17, 2017)</w:t>
            </w:r>
          </w:p>
        </w:tc>
        <w:tc>
          <w:tcPr>
            <w:tcW w:w="1660" w:type="dxa"/>
            <w:vAlign w:val="bottom"/>
            <w:gridSpan w:val="7"/>
          </w:tcPr>
          <w:p>
            <w:pPr>
              <w:spacing w:after="0"/>
              <w:rPr>
                <w:sz w:val="10"/>
                <w:szCs w:val="10"/>
                <w:color w:val="auto"/>
              </w:rPr>
            </w:pPr>
          </w:p>
        </w:tc>
        <w:tc>
          <w:tcPr>
            <w:tcW w:w="13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20" w:type="dxa"/>
            <w:vAlign w:val="bottom"/>
          </w:tcPr>
          <w:p>
            <w:pPr>
              <w:jc w:val="center"/>
              <w:ind w:right="60"/>
              <w:spacing w:after="0" w:line="126" w:lineRule="exact"/>
              <w:rPr>
                <w:sz w:val="20"/>
                <w:szCs w:val="20"/>
                <w:color w:val="auto"/>
              </w:rPr>
            </w:pPr>
            <w:r>
              <w:rPr>
                <w:rFonts w:ascii="Arial" w:cs="Arial" w:eastAsia="Arial" w:hAnsi="Arial"/>
                <w:sz w:val="12"/>
                <w:szCs w:val="12"/>
                <w:color w:val="auto"/>
                <w:w w:val="89"/>
              </w:rPr>
              <w:t>10.29 ~</w:t>
            </w:r>
          </w:p>
        </w:tc>
        <w:tc>
          <w:tcPr>
            <w:tcW w:w="10180" w:type="dxa"/>
            <w:vAlign w:val="bottom"/>
            <w:gridSpan w:val="27"/>
          </w:tcPr>
          <w:p>
            <w:pPr>
              <w:spacing w:after="0" w:line="126" w:lineRule="exact"/>
              <w:rPr>
                <w:rFonts w:ascii="Arial" w:cs="Arial" w:eastAsia="Arial" w:hAnsi="Arial"/>
                <w:sz w:val="12"/>
                <w:szCs w:val="12"/>
                <w:color w:val="0000FF"/>
              </w:rPr>
            </w:pPr>
            <w:hyperlink r:id="rId115">
              <w:r>
                <w:rPr>
                  <w:rFonts w:ascii="Arial" w:cs="Arial" w:eastAsia="Arial" w:hAnsi="Arial"/>
                  <w:sz w:val="12"/>
                  <w:szCs w:val="12"/>
                  <w:color w:val="0000FF"/>
                </w:rPr>
                <w:t xml:space="preserve">NMI Holdings, Inc. Severance Benefit Plan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10.1 to our Form 8-K, filed on February 17, 2016)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6720" w:type="dxa"/>
            <w:vAlign w:val="bottom"/>
            <w:gridSpan w:val="14"/>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10.30 ~</w:t>
            </w:r>
          </w:p>
        </w:tc>
        <w:tc>
          <w:tcPr>
            <w:tcW w:w="10180" w:type="dxa"/>
            <w:vAlign w:val="bottom"/>
            <w:gridSpan w:val="27"/>
          </w:tcPr>
          <w:p>
            <w:pPr>
              <w:spacing w:after="0" w:line="133" w:lineRule="exact"/>
              <w:rPr>
                <w:rFonts w:ascii="Arial" w:cs="Arial" w:eastAsia="Arial" w:hAnsi="Arial"/>
                <w:sz w:val="12"/>
                <w:szCs w:val="12"/>
                <w:color w:val="0000FF"/>
              </w:rPr>
            </w:pPr>
            <w:hyperlink r:id="rId116">
              <w:r>
                <w:rPr>
                  <w:rFonts w:ascii="Arial" w:cs="Arial" w:eastAsia="Arial" w:hAnsi="Arial"/>
                  <w:sz w:val="12"/>
                  <w:szCs w:val="12"/>
                  <w:color w:val="0000FF"/>
                </w:rPr>
                <w:t>NMI Holdings, Inc. Amended and Restated Change in Control Severance Benefit Plan (incorporated herein by reference to Exhibit 10.30 to our Form 10-Q, filed on October 30, 2018)</w:t>
              </w:r>
            </w:hyperlink>
          </w:p>
        </w:tc>
        <w:tc>
          <w:tcPr>
            <w:tcW w:w="0" w:type="dxa"/>
            <w:vAlign w:val="bottom"/>
          </w:tcPr>
          <w:p>
            <w:pPr>
              <w:spacing w:after="0"/>
              <w:rPr>
                <w:sz w:val="1"/>
                <w:szCs w:val="1"/>
                <w:color w:val="auto"/>
              </w:rPr>
            </w:pPr>
          </w:p>
        </w:tc>
      </w:tr>
      <w:tr>
        <w:trPr>
          <w:trHeight w:val="772"/>
        </w:trPr>
        <w:tc>
          <w:tcPr>
            <w:tcW w:w="1120" w:type="dxa"/>
            <w:vAlign w:val="bottom"/>
          </w:tcPr>
          <w:p>
            <w:pPr>
              <w:spacing w:after="0"/>
              <w:rPr>
                <w:sz w:val="24"/>
                <w:szCs w:val="24"/>
                <w:color w:val="auto"/>
              </w:rPr>
            </w:pPr>
          </w:p>
        </w:tc>
        <w:tc>
          <w:tcPr>
            <w:tcW w:w="5460" w:type="dxa"/>
            <w:vAlign w:val="bottom"/>
            <w:tcBorders>
              <w:top w:val="single" w:sz="8" w:color="0000FF"/>
            </w:tcBorders>
            <w:gridSpan w:val="9"/>
          </w:tcPr>
          <w:p>
            <w:pPr>
              <w:ind w:left="4460"/>
              <w:spacing w:after="0"/>
              <w:rPr>
                <w:sz w:val="20"/>
                <w:szCs w:val="20"/>
                <w:color w:val="auto"/>
              </w:rPr>
            </w:pPr>
            <w:r>
              <w:rPr>
                <w:rFonts w:ascii="Arial" w:cs="Arial" w:eastAsia="Arial" w:hAnsi="Arial"/>
                <w:sz w:val="12"/>
                <w:szCs w:val="12"/>
                <w:color w:val="auto"/>
              </w:rPr>
              <w:t>63</w:t>
            </w:r>
          </w:p>
        </w:tc>
        <w:tc>
          <w:tcPr>
            <w:tcW w:w="1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1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57" w:right="299" w:bottom="1440" w:gutter="0" w:footer="0" w:header="0"/>
        </w:sectPr>
      </w:pPr>
    </w:p>
    <w:bookmarkStart w:id="63" w:name="page64"/>
    <w:bookmarkEnd w:id="63"/>
    <w:tbl>
      <w:tblPr>
        <w:tblLayout w:type="fixed"/>
        <w:tblInd w:w="321" w:type="dxa"/>
        <w:tblCellMar>
          <w:top w:w="0" w:type="dxa"/>
          <w:left w:w="0" w:type="dxa"/>
          <w:bottom w:w="0" w:type="dxa"/>
          <w:right w:w="0" w:type="dxa"/>
        </w:tblCellMar>
      </w:tblPr>
      <w:tr>
        <w:trPr>
          <w:trHeight w:val="138"/>
        </w:trPr>
        <w:tc>
          <w:tcPr>
            <w:tcW w:w="800" w:type="dxa"/>
            <w:vAlign w:val="bottom"/>
          </w:tcPr>
          <w:p>
            <w:pPr>
              <w:jc w:val="center"/>
              <w:ind w:right="380"/>
              <w:spacing w:after="0"/>
              <w:rPr>
                <w:sz w:val="20"/>
                <w:szCs w:val="20"/>
                <w:color w:val="auto"/>
              </w:rPr>
            </w:pPr>
            <w:r>
              <w:rPr>
                <w:rFonts w:ascii="Arial" w:cs="Arial" w:eastAsia="Arial" w:hAnsi="Arial"/>
                <w:sz w:val="12"/>
                <w:szCs w:val="12"/>
                <w:color w:val="auto"/>
                <w:w w:val="89"/>
              </w:rPr>
              <w:t>10.31 ~</w:t>
            </w:r>
          </w:p>
        </w:tc>
        <w:tc>
          <w:tcPr>
            <w:tcW w:w="9900" w:type="dxa"/>
            <w:vAlign w:val="bottom"/>
            <w:gridSpan w:val="14"/>
          </w:tcPr>
          <w:p>
            <w:pPr>
              <w:spacing w:after="0"/>
              <w:rPr>
                <w:rFonts w:ascii="Arial" w:cs="Arial" w:eastAsia="Arial" w:hAnsi="Arial"/>
                <w:sz w:val="12"/>
                <w:szCs w:val="12"/>
                <w:color w:val="0000FF"/>
              </w:rPr>
            </w:pPr>
            <w:hyperlink r:id="rId119">
              <w:r>
                <w:rPr>
                  <w:rFonts w:ascii="Arial" w:cs="Arial" w:eastAsia="Arial" w:hAnsi="Arial"/>
                  <w:sz w:val="12"/>
                  <w:szCs w:val="12"/>
                  <w:color w:val="0000FF"/>
                </w:rPr>
                <w:t xml:space="preserve">NMI Holdings, Inc. Clawback Policy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10.2 to our Form 8-K, filed on February 23, 2017)</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10.32 ~</w:t>
            </w:r>
          </w:p>
        </w:tc>
        <w:tc>
          <w:tcPr>
            <w:tcW w:w="9900" w:type="dxa"/>
            <w:vAlign w:val="bottom"/>
            <w:gridSpan w:val="14"/>
          </w:tcPr>
          <w:p>
            <w:pPr>
              <w:spacing w:after="0" w:line="133" w:lineRule="exact"/>
              <w:rPr>
                <w:rFonts w:ascii="Arial" w:cs="Arial" w:eastAsia="Arial" w:hAnsi="Arial"/>
                <w:sz w:val="12"/>
                <w:szCs w:val="12"/>
                <w:color w:val="0000FF"/>
                <w:w w:val="93"/>
              </w:rPr>
            </w:pPr>
            <w:hyperlink r:id="rId120">
              <w:r>
                <w:rPr>
                  <w:rFonts w:ascii="Arial" w:cs="Arial" w:eastAsia="Arial" w:hAnsi="Arial"/>
                  <w:sz w:val="12"/>
                  <w:szCs w:val="12"/>
                  <w:color w:val="0000FF"/>
                  <w:w w:val="93"/>
                </w:rPr>
                <w:t xml:space="preserve">Employment Letter by and between NMI Holdings, Inc. and Bradley M. Shuster, effective as of January 1, 2019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10.1 to our Form 8-K, filed on December 28,</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2018)</w:t>
            </w:r>
          </w:p>
        </w:tc>
        <w:tc>
          <w:tcPr>
            <w:tcW w:w="10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10.33 ~</w:t>
            </w:r>
          </w:p>
        </w:tc>
        <w:tc>
          <w:tcPr>
            <w:tcW w:w="9900" w:type="dxa"/>
            <w:vAlign w:val="bottom"/>
            <w:gridSpan w:val="14"/>
          </w:tcPr>
          <w:p>
            <w:pPr>
              <w:spacing w:after="0" w:line="126" w:lineRule="exact"/>
              <w:rPr>
                <w:rFonts w:ascii="Arial" w:cs="Arial" w:eastAsia="Arial" w:hAnsi="Arial"/>
                <w:sz w:val="12"/>
                <w:szCs w:val="12"/>
                <w:color w:val="0000FF"/>
                <w:w w:val="93"/>
              </w:rPr>
            </w:pPr>
            <w:hyperlink r:id="rId121">
              <w:r>
                <w:rPr>
                  <w:rFonts w:ascii="Arial" w:cs="Arial" w:eastAsia="Arial" w:hAnsi="Arial"/>
                  <w:sz w:val="12"/>
                  <w:szCs w:val="12"/>
                  <w:color w:val="0000FF"/>
                  <w:w w:val="93"/>
                </w:rPr>
                <w:t xml:space="preserve">Employment Letter by and between NMI Holdings, Inc. and Claudia J. Merkle, effective as of January 1, 2019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10.2 to our Form 8-K, filed on December 28,</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2018)</w:t>
            </w:r>
          </w:p>
        </w:tc>
        <w:tc>
          <w:tcPr>
            <w:tcW w:w="10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10.34 ~</w:t>
            </w:r>
          </w:p>
        </w:tc>
        <w:tc>
          <w:tcPr>
            <w:tcW w:w="9900" w:type="dxa"/>
            <w:vAlign w:val="bottom"/>
            <w:gridSpan w:val="14"/>
          </w:tcPr>
          <w:p>
            <w:pPr>
              <w:spacing w:after="0" w:line="126" w:lineRule="exact"/>
              <w:rPr>
                <w:rFonts w:ascii="Arial" w:cs="Arial" w:eastAsia="Arial" w:hAnsi="Arial"/>
                <w:sz w:val="12"/>
                <w:szCs w:val="12"/>
                <w:color w:val="0000FF"/>
                <w:w w:val="92"/>
              </w:rPr>
            </w:pPr>
            <w:hyperlink r:id="rId122">
              <w:r>
                <w:rPr>
                  <w:rFonts w:ascii="Arial" w:cs="Arial" w:eastAsia="Arial" w:hAnsi="Arial"/>
                  <w:sz w:val="12"/>
                  <w:szCs w:val="12"/>
                  <w:color w:val="0000FF"/>
                  <w:w w:val="92"/>
                </w:rPr>
                <w:t xml:space="preserve">Form of NMI Holdings, Inc. 2012 Stock Incentive Plan Restricted Stock Unit Award Agreement for Independent Directors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10.30 to our Form 10-Q, filed on May</w:t>
            </w:r>
          </w:p>
        </w:tc>
      </w:tr>
      <w:tr>
        <w:trPr>
          <w:trHeight w:val="124"/>
        </w:trPr>
        <w:tc>
          <w:tcPr>
            <w:tcW w:w="800" w:type="dxa"/>
            <w:vAlign w:val="bottom"/>
          </w:tcPr>
          <w:p>
            <w:pPr>
              <w:spacing w:after="0"/>
              <w:rPr>
                <w:sz w:val="10"/>
                <w:szCs w:val="10"/>
                <w:color w:val="auto"/>
              </w:rPr>
            </w:pPr>
          </w:p>
        </w:tc>
        <w:tc>
          <w:tcPr>
            <w:tcW w:w="1680" w:type="dxa"/>
            <w:vAlign w:val="bottom"/>
            <w:tcBorders>
              <w:top w:val="single" w:sz="8" w:color="0000FF"/>
            </w:tcBorders>
          </w:tcPr>
          <w:p>
            <w:pPr>
              <w:spacing w:after="0" w:line="124" w:lineRule="exact"/>
              <w:rPr>
                <w:sz w:val="20"/>
                <w:szCs w:val="20"/>
                <w:color w:val="auto"/>
              </w:rPr>
            </w:pPr>
            <w:r>
              <w:rPr>
                <w:rFonts w:ascii="Arial" w:cs="Arial" w:eastAsia="Arial" w:hAnsi="Arial"/>
                <w:sz w:val="12"/>
                <w:szCs w:val="12"/>
                <w:color w:val="auto"/>
              </w:rPr>
              <w:t>2, 2019)</w:t>
            </w:r>
          </w:p>
        </w:tc>
        <w:tc>
          <w:tcPr>
            <w:tcW w:w="10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10.35 ~</w:t>
            </w:r>
          </w:p>
        </w:tc>
        <w:tc>
          <w:tcPr>
            <w:tcW w:w="9900" w:type="dxa"/>
            <w:vAlign w:val="bottom"/>
            <w:gridSpan w:val="14"/>
          </w:tcPr>
          <w:p>
            <w:pPr>
              <w:spacing w:after="0" w:line="126" w:lineRule="exact"/>
              <w:rPr>
                <w:rFonts w:ascii="Arial" w:cs="Arial" w:eastAsia="Arial" w:hAnsi="Arial"/>
                <w:sz w:val="12"/>
                <w:szCs w:val="12"/>
                <w:color w:val="0000FF"/>
                <w:w w:val="93"/>
              </w:rPr>
            </w:pPr>
            <w:hyperlink r:id="rId123">
              <w:r>
                <w:rPr>
                  <w:rFonts w:ascii="Arial" w:cs="Arial" w:eastAsia="Arial" w:hAnsi="Arial"/>
                  <w:sz w:val="12"/>
                  <w:szCs w:val="12"/>
                  <w:color w:val="0000FF"/>
                  <w:w w:val="93"/>
                </w:rPr>
                <w:t xml:space="preserve">Form of NMI Holdings, Inc. 2012 Stock Incentive Plan Restricted Stock Unit Award Agreement for Employees </w:t>
              </w:r>
            </w:hyperlink>
            <w:r>
              <w:rPr>
                <w:rFonts w:ascii="Arial" w:cs="Arial" w:eastAsia="Arial" w:hAnsi="Arial"/>
                <w:sz w:val="12"/>
                <w:szCs w:val="12"/>
                <w:color w:val="000000"/>
                <w:w w:val="93"/>
              </w:rPr>
              <w:t>(incorporated</w:t>
            </w:r>
            <w:r>
              <w:rPr>
                <w:rFonts w:ascii="Arial" w:cs="Arial" w:eastAsia="Arial" w:hAnsi="Arial"/>
                <w:sz w:val="12"/>
                <w:szCs w:val="12"/>
                <w:color w:val="0000FF"/>
                <w:w w:val="93"/>
              </w:rPr>
              <w:t xml:space="preserve"> </w:t>
            </w:r>
            <w:r>
              <w:rPr>
                <w:rFonts w:ascii="Arial" w:cs="Arial" w:eastAsia="Arial" w:hAnsi="Arial"/>
                <w:sz w:val="12"/>
                <w:szCs w:val="12"/>
                <w:color w:val="000000"/>
                <w:w w:val="93"/>
              </w:rPr>
              <w:t>herein by reference to Exhibit 10.31 to our Form 10-Q, filed on May 2, 2019)</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10.36 ~</w:t>
            </w:r>
          </w:p>
        </w:tc>
        <w:tc>
          <w:tcPr>
            <w:tcW w:w="9900" w:type="dxa"/>
            <w:vAlign w:val="bottom"/>
            <w:gridSpan w:val="14"/>
          </w:tcPr>
          <w:p>
            <w:pPr>
              <w:spacing w:after="0" w:line="133" w:lineRule="exact"/>
              <w:rPr>
                <w:rFonts w:ascii="Arial" w:cs="Arial" w:eastAsia="Arial" w:hAnsi="Arial"/>
                <w:sz w:val="12"/>
                <w:szCs w:val="12"/>
                <w:color w:val="0000FF"/>
                <w:w w:val="94"/>
              </w:rPr>
            </w:pPr>
            <w:hyperlink r:id="rId124">
              <w:r>
                <w:rPr>
                  <w:rFonts w:ascii="Arial" w:cs="Arial" w:eastAsia="Arial" w:hAnsi="Arial"/>
                  <w:sz w:val="12"/>
                  <w:szCs w:val="12"/>
                  <w:color w:val="0000FF"/>
                  <w:w w:val="94"/>
                </w:rPr>
                <w:t xml:space="preserve">Form of NMI Holdings, Inc. 2012 Stock Incentive Plan Nonqualified Stock Option Agreement for Employees </w:t>
              </w:r>
            </w:hyperlink>
            <w:r>
              <w:rPr>
                <w:rFonts w:ascii="Arial" w:cs="Arial" w:eastAsia="Arial" w:hAnsi="Arial"/>
                <w:sz w:val="12"/>
                <w:szCs w:val="12"/>
                <w:color w:val="000000"/>
                <w:w w:val="94"/>
              </w:rPr>
              <w:t>(incorporated</w:t>
            </w:r>
            <w:r>
              <w:rPr>
                <w:rFonts w:ascii="Arial" w:cs="Arial" w:eastAsia="Arial" w:hAnsi="Arial"/>
                <w:sz w:val="12"/>
                <w:szCs w:val="12"/>
                <w:color w:val="0000FF"/>
                <w:w w:val="94"/>
              </w:rPr>
              <w:t xml:space="preserve"> </w:t>
            </w:r>
            <w:r>
              <w:rPr>
                <w:rFonts w:ascii="Arial" w:cs="Arial" w:eastAsia="Arial" w:hAnsi="Arial"/>
                <w:sz w:val="12"/>
                <w:szCs w:val="12"/>
                <w:color w:val="000000"/>
                <w:w w:val="94"/>
              </w:rPr>
              <w:t>herein by reference to Exhibit 10.32 to our Form 10-Q, filed on May 2, 2019)</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9"/>
              </w:rPr>
              <w:t>10.37 ~</w:t>
            </w:r>
          </w:p>
        </w:tc>
        <w:tc>
          <w:tcPr>
            <w:tcW w:w="9900" w:type="dxa"/>
            <w:vAlign w:val="bottom"/>
            <w:gridSpan w:val="14"/>
          </w:tcPr>
          <w:p>
            <w:pPr>
              <w:spacing w:after="0" w:line="133" w:lineRule="exact"/>
              <w:rPr>
                <w:rFonts w:ascii="Arial" w:cs="Arial" w:eastAsia="Arial" w:hAnsi="Arial"/>
                <w:sz w:val="12"/>
                <w:szCs w:val="12"/>
                <w:color w:val="0000FF"/>
                <w:w w:val="92"/>
              </w:rPr>
            </w:pPr>
            <w:hyperlink r:id="rId125">
              <w:r>
                <w:rPr>
                  <w:rFonts w:ascii="Arial" w:cs="Arial" w:eastAsia="Arial" w:hAnsi="Arial"/>
                  <w:sz w:val="12"/>
                  <w:szCs w:val="12"/>
                  <w:color w:val="0000FF"/>
                  <w:w w:val="92"/>
                </w:rPr>
                <w:t xml:space="preserve">Form of NMI Holdings, Inc. Amended and Restated 2014 Omnibus Incentive Plan Restricted Stock Unit Award Agreement for Independent Directors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10.33 to</w:t>
            </w:r>
          </w:p>
        </w:tc>
      </w:tr>
      <w:tr>
        <w:trPr>
          <w:trHeight w:val="124"/>
        </w:trPr>
        <w:tc>
          <w:tcPr>
            <w:tcW w:w="800" w:type="dxa"/>
            <w:vAlign w:val="bottom"/>
          </w:tcPr>
          <w:p>
            <w:pPr>
              <w:spacing w:after="0"/>
              <w:rPr>
                <w:sz w:val="10"/>
                <w:szCs w:val="10"/>
                <w:color w:val="auto"/>
              </w:rPr>
            </w:pPr>
          </w:p>
        </w:tc>
        <w:tc>
          <w:tcPr>
            <w:tcW w:w="7300" w:type="dxa"/>
            <w:vAlign w:val="bottom"/>
            <w:tcBorders>
              <w:top w:val="single" w:sz="8" w:color="0000FF"/>
            </w:tcBorders>
            <w:gridSpan w:val="13"/>
          </w:tcPr>
          <w:p>
            <w:pPr>
              <w:spacing w:after="0" w:line="124" w:lineRule="exact"/>
              <w:rPr>
                <w:sz w:val="20"/>
                <w:szCs w:val="20"/>
                <w:color w:val="auto"/>
              </w:rPr>
            </w:pPr>
            <w:r>
              <w:rPr>
                <w:rFonts w:ascii="Arial" w:cs="Arial" w:eastAsia="Arial" w:hAnsi="Arial"/>
                <w:sz w:val="12"/>
                <w:szCs w:val="12"/>
                <w:color w:val="auto"/>
              </w:rPr>
              <w:t>our Form 10-Q, filed on May 2, 2019)</w:t>
            </w:r>
          </w:p>
        </w:tc>
        <w:tc>
          <w:tcPr>
            <w:tcW w:w="2600" w:type="dxa"/>
            <w:vAlign w:val="bottom"/>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10.38 ~</w:t>
            </w:r>
          </w:p>
        </w:tc>
        <w:tc>
          <w:tcPr>
            <w:tcW w:w="9900" w:type="dxa"/>
            <w:vAlign w:val="bottom"/>
            <w:gridSpan w:val="14"/>
          </w:tcPr>
          <w:p>
            <w:pPr>
              <w:spacing w:after="0" w:line="126" w:lineRule="exact"/>
              <w:rPr>
                <w:rFonts w:ascii="Arial" w:cs="Arial" w:eastAsia="Arial" w:hAnsi="Arial"/>
                <w:sz w:val="12"/>
                <w:szCs w:val="12"/>
                <w:color w:val="0000FF"/>
                <w:w w:val="91"/>
              </w:rPr>
            </w:pPr>
            <w:hyperlink r:id="rId126">
              <w:r>
                <w:rPr>
                  <w:rFonts w:ascii="Arial" w:cs="Arial" w:eastAsia="Arial" w:hAnsi="Arial"/>
                  <w:sz w:val="12"/>
                  <w:szCs w:val="12"/>
                  <w:color w:val="0000FF"/>
                  <w:w w:val="91"/>
                </w:rPr>
                <w:t xml:space="preserve">Form of NMI Holdings, Inc. Amended and Restated 2014 Omnibus Incentive Plan Restricted Stock Unit Award Agreement for Employees </w:t>
              </w:r>
            </w:hyperlink>
            <w:r>
              <w:rPr>
                <w:rFonts w:ascii="Arial" w:cs="Arial" w:eastAsia="Arial" w:hAnsi="Arial"/>
                <w:sz w:val="12"/>
                <w:szCs w:val="12"/>
                <w:color w:val="000000"/>
                <w:w w:val="91"/>
              </w:rPr>
              <w:t>(incorporated</w:t>
            </w:r>
            <w:r>
              <w:rPr>
                <w:rFonts w:ascii="Arial" w:cs="Arial" w:eastAsia="Arial" w:hAnsi="Arial"/>
                <w:sz w:val="12"/>
                <w:szCs w:val="12"/>
                <w:color w:val="0000FF"/>
                <w:w w:val="91"/>
              </w:rPr>
              <w:t xml:space="preserve"> </w:t>
            </w:r>
            <w:r>
              <w:rPr>
                <w:rFonts w:ascii="Arial" w:cs="Arial" w:eastAsia="Arial" w:hAnsi="Arial"/>
                <w:sz w:val="12"/>
                <w:szCs w:val="12"/>
                <w:color w:val="000000"/>
                <w:w w:val="91"/>
              </w:rPr>
              <w:t>herein by reference to Exhibit 10.34 to our Form 10-</w:t>
            </w:r>
          </w:p>
        </w:tc>
      </w:tr>
      <w:tr>
        <w:trPr>
          <w:trHeight w:val="124"/>
        </w:trPr>
        <w:tc>
          <w:tcPr>
            <w:tcW w:w="800" w:type="dxa"/>
            <w:vAlign w:val="bottom"/>
          </w:tcPr>
          <w:p>
            <w:pPr>
              <w:spacing w:after="0"/>
              <w:rPr>
                <w:sz w:val="10"/>
                <w:szCs w:val="10"/>
                <w:color w:val="auto"/>
              </w:rPr>
            </w:pPr>
          </w:p>
        </w:tc>
        <w:tc>
          <w:tcPr>
            <w:tcW w:w="6720" w:type="dxa"/>
            <w:vAlign w:val="bottom"/>
            <w:tcBorders>
              <w:top w:val="single" w:sz="8" w:color="0000FF"/>
            </w:tcBorders>
            <w:gridSpan w:val="11"/>
          </w:tcPr>
          <w:p>
            <w:pPr>
              <w:spacing w:after="0" w:line="124" w:lineRule="exact"/>
              <w:rPr>
                <w:sz w:val="20"/>
                <w:szCs w:val="20"/>
                <w:color w:val="auto"/>
              </w:rPr>
            </w:pPr>
            <w:r>
              <w:rPr>
                <w:rFonts w:ascii="Arial" w:cs="Arial" w:eastAsia="Arial" w:hAnsi="Arial"/>
                <w:sz w:val="12"/>
                <w:szCs w:val="12"/>
                <w:color w:val="auto"/>
              </w:rPr>
              <w:t>Q, filed on May 2, 2019)</w:t>
            </w:r>
          </w:p>
        </w:tc>
        <w:tc>
          <w:tcPr>
            <w:tcW w:w="260" w:type="dxa"/>
            <w:vAlign w:val="bottom"/>
          </w:tcPr>
          <w:p>
            <w:pPr>
              <w:spacing w:after="0"/>
              <w:rPr>
                <w:sz w:val="10"/>
                <w:szCs w:val="10"/>
                <w:color w:val="auto"/>
              </w:rPr>
            </w:pPr>
          </w:p>
        </w:tc>
        <w:tc>
          <w:tcPr>
            <w:tcW w:w="292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10.39 ~</w:t>
            </w:r>
          </w:p>
        </w:tc>
        <w:tc>
          <w:tcPr>
            <w:tcW w:w="9900" w:type="dxa"/>
            <w:vAlign w:val="bottom"/>
            <w:gridSpan w:val="14"/>
          </w:tcPr>
          <w:p>
            <w:pPr>
              <w:spacing w:after="0" w:line="126" w:lineRule="exact"/>
              <w:rPr>
                <w:rFonts w:ascii="Arial" w:cs="Arial" w:eastAsia="Arial" w:hAnsi="Arial"/>
                <w:sz w:val="12"/>
                <w:szCs w:val="12"/>
                <w:color w:val="0000FF"/>
                <w:w w:val="92"/>
              </w:rPr>
            </w:pPr>
            <w:hyperlink r:id="rId127">
              <w:r>
                <w:rPr>
                  <w:rFonts w:ascii="Arial" w:cs="Arial" w:eastAsia="Arial" w:hAnsi="Arial"/>
                  <w:sz w:val="12"/>
                  <w:szCs w:val="12"/>
                  <w:color w:val="0000FF"/>
                  <w:w w:val="92"/>
                </w:rPr>
                <w:t xml:space="preserve">Form of NMI Holdings, Inc. Amended and Restated 2014 Omnibus Incentive Plan Nonqualified Stock Option Agreement for Employees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10.35 to our Form 10-</w:t>
            </w:r>
          </w:p>
        </w:tc>
      </w:tr>
      <w:tr>
        <w:trPr>
          <w:trHeight w:val="124"/>
        </w:trPr>
        <w:tc>
          <w:tcPr>
            <w:tcW w:w="800" w:type="dxa"/>
            <w:vAlign w:val="bottom"/>
          </w:tcPr>
          <w:p>
            <w:pPr>
              <w:spacing w:after="0"/>
              <w:rPr>
                <w:sz w:val="10"/>
                <w:szCs w:val="10"/>
                <w:color w:val="auto"/>
              </w:rPr>
            </w:pPr>
          </w:p>
        </w:tc>
        <w:tc>
          <w:tcPr>
            <w:tcW w:w="6620" w:type="dxa"/>
            <w:vAlign w:val="bottom"/>
            <w:tcBorders>
              <w:top w:val="single" w:sz="8" w:color="0000FF"/>
            </w:tcBorders>
            <w:gridSpan w:val="10"/>
          </w:tcPr>
          <w:p>
            <w:pPr>
              <w:spacing w:after="0" w:line="124" w:lineRule="exact"/>
              <w:rPr>
                <w:sz w:val="20"/>
                <w:szCs w:val="20"/>
                <w:color w:val="auto"/>
              </w:rPr>
            </w:pPr>
            <w:r>
              <w:rPr>
                <w:rFonts w:ascii="Arial" w:cs="Arial" w:eastAsia="Arial" w:hAnsi="Arial"/>
                <w:sz w:val="12"/>
                <w:szCs w:val="12"/>
                <w:color w:val="auto"/>
              </w:rPr>
              <w:t>Q, filed on May 2, 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2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9"/>
              </w:rPr>
              <w:t>10.40 ~</w:t>
            </w:r>
          </w:p>
        </w:tc>
        <w:tc>
          <w:tcPr>
            <w:tcW w:w="9900" w:type="dxa"/>
            <w:vAlign w:val="bottom"/>
            <w:gridSpan w:val="14"/>
          </w:tcPr>
          <w:p>
            <w:pPr>
              <w:spacing w:after="0" w:line="126" w:lineRule="exact"/>
              <w:rPr>
                <w:rFonts w:ascii="Arial" w:cs="Arial" w:eastAsia="Arial" w:hAnsi="Arial"/>
                <w:sz w:val="12"/>
                <w:szCs w:val="12"/>
                <w:color w:val="0000FF"/>
                <w:w w:val="92"/>
              </w:rPr>
            </w:pPr>
            <w:hyperlink r:id="rId128">
              <w:r>
                <w:rPr>
                  <w:rFonts w:ascii="Arial" w:cs="Arial" w:eastAsia="Arial" w:hAnsi="Arial"/>
                  <w:sz w:val="12"/>
                  <w:szCs w:val="12"/>
                  <w:color w:val="0000FF"/>
                  <w:w w:val="92"/>
                </w:rPr>
                <w:t xml:space="preserve">Form of NMI Holdings, Inc. Amended and Restated 2014 Omnibus Incentive Plan Restricted Stock Unit Award Agreement (Performance Based) </w:t>
              </w:r>
            </w:hyperlink>
            <w:r>
              <w:rPr>
                <w:rFonts w:ascii="Arial" w:cs="Arial" w:eastAsia="Arial" w:hAnsi="Arial"/>
                <w:sz w:val="12"/>
                <w:szCs w:val="12"/>
                <w:color w:val="000000"/>
                <w:w w:val="92"/>
              </w:rPr>
              <w:t>(incorporated</w:t>
            </w:r>
            <w:r>
              <w:rPr>
                <w:rFonts w:ascii="Arial" w:cs="Arial" w:eastAsia="Arial" w:hAnsi="Arial"/>
                <w:sz w:val="12"/>
                <w:szCs w:val="12"/>
                <w:color w:val="0000FF"/>
                <w:w w:val="92"/>
              </w:rPr>
              <w:t xml:space="preserve"> </w:t>
            </w:r>
            <w:r>
              <w:rPr>
                <w:rFonts w:ascii="Arial" w:cs="Arial" w:eastAsia="Arial" w:hAnsi="Arial"/>
                <w:sz w:val="12"/>
                <w:szCs w:val="12"/>
                <w:color w:val="000000"/>
                <w:w w:val="92"/>
              </w:rPr>
              <w:t>herein by reference to Exhibit 10.38 to our</w:t>
            </w:r>
          </w:p>
        </w:tc>
      </w:tr>
      <w:tr>
        <w:trPr>
          <w:trHeight w:val="124"/>
        </w:trPr>
        <w:tc>
          <w:tcPr>
            <w:tcW w:w="800" w:type="dxa"/>
            <w:vAlign w:val="bottom"/>
          </w:tcPr>
          <w:p>
            <w:pPr>
              <w:spacing w:after="0"/>
              <w:rPr>
                <w:sz w:val="10"/>
                <w:szCs w:val="10"/>
                <w:color w:val="auto"/>
              </w:rPr>
            </w:pPr>
          </w:p>
        </w:tc>
        <w:tc>
          <w:tcPr>
            <w:tcW w:w="6980" w:type="dxa"/>
            <w:vAlign w:val="bottom"/>
            <w:tcBorders>
              <w:top w:val="single" w:sz="8" w:color="0000FF"/>
            </w:tcBorders>
            <w:gridSpan w:val="12"/>
          </w:tcPr>
          <w:p>
            <w:pPr>
              <w:spacing w:after="0" w:line="124" w:lineRule="exact"/>
              <w:rPr>
                <w:sz w:val="20"/>
                <w:szCs w:val="20"/>
                <w:color w:val="auto"/>
              </w:rPr>
            </w:pPr>
            <w:r>
              <w:rPr>
                <w:rFonts w:ascii="Arial" w:cs="Arial" w:eastAsia="Arial" w:hAnsi="Arial"/>
                <w:sz w:val="12"/>
                <w:szCs w:val="12"/>
                <w:color w:val="auto"/>
              </w:rPr>
              <w:t>Form 10-Q, filed on May 7, 2020)</w:t>
            </w:r>
          </w:p>
        </w:tc>
        <w:tc>
          <w:tcPr>
            <w:tcW w:w="2920" w:type="dxa"/>
            <w:vAlign w:val="bottom"/>
            <w:gridSpan w:val="2"/>
          </w:tcPr>
          <w:p>
            <w:pPr>
              <w:spacing w:after="0"/>
              <w:rPr>
                <w:sz w:val="10"/>
                <w:szCs w:val="10"/>
                <w:color w:val="auto"/>
              </w:rPr>
            </w:pPr>
          </w:p>
        </w:tc>
      </w:tr>
      <w:tr>
        <w:trPr>
          <w:trHeight w:val="126"/>
        </w:trPr>
        <w:tc>
          <w:tcPr>
            <w:tcW w:w="800" w:type="dxa"/>
            <w:vAlign w:val="bottom"/>
          </w:tcPr>
          <w:p>
            <w:pPr>
              <w:jc w:val="center"/>
              <w:ind w:right="380"/>
              <w:spacing w:after="0" w:line="126" w:lineRule="exact"/>
              <w:rPr>
                <w:sz w:val="20"/>
                <w:szCs w:val="20"/>
                <w:color w:val="auto"/>
              </w:rPr>
            </w:pPr>
            <w:r>
              <w:rPr>
                <w:rFonts w:ascii="Arial" w:cs="Arial" w:eastAsia="Arial" w:hAnsi="Arial"/>
                <w:sz w:val="12"/>
                <w:szCs w:val="12"/>
                <w:color w:val="auto"/>
                <w:w w:val="85"/>
              </w:rPr>
              <w:t>21.1</w:t>
            </w:r>
          </w:p>
        </w:tc>
        <w:tc>
          <w:tcPr>
            <w:tcW w:w="9900" w:type="dxa"/>
            <w:vAlign w:val="bottom"/>
            <w:gridSpan w:val="14"/>
          </w:tcPr>
          <w:p>
            <w:pPr>
              <w:spacing w:after="0" w:line="126" w:lineRule="exact"/>
              <w:rPr>
                <w:rFonts w:ascii="Arial" w:cs="Arial" w:eastAsia="Arial" w:hAnsi="Arial"/>
                <w:sz w:val="12"/>
                <w:szCs w:val="12"/>
                <w:color w:val="0000FF"/>
              </w:rPr>
            </w:pPr>
            <w:hyperlink r:id="rId129">
              <w:r>
                <w:rPr>
                  <w:rFonts w:ascii="Arial" w:cs="Arial" w:eastAsia="Arial" w:hAnsi="Arial"/>
                  <w:sz w:val="12"/>
                  <w:szCs w:val="12"/>
                  <w:color w:val="0000FF"/>
                </w:rPr>
                <w:t xml:space="preserve">Subsidiaries of NMI Holdings, Inc. </w:t>
              </w:r>
            </w:hyperlink>
            <w:r>
              <w:rPr>
                <w:rFonts w:ascii="Arial" w:cs="Arial" w:eastAsia="Arial" w:hAnsi="Arial"/>
                <w:sz w:val="12"/>
                <w:szCs w:val="12"/>
                <w:color w:val="000000"/>
              </w:rPr>
              <w:t>(incorporated</w:t>
            </w:r>
            <w:r>
              <w:rPr>
                <w:rFonts w:ascii="Arial" w:cs="Arial" w:eastAsia="Arial" w:hAnsi="Arial"/>
                <w:sz w:val="12"/>
                <w:szCs w:val="12"/>
                <w:color w:val="0000FF"/>
              </w:rPr>
              <w:t xml:space="preserve"> </w:t>
            </w:r>
            <w:r>
              <w:rPr>
                <w:rFonts w:ascii="Arial" w:cs="Arial" w:eastAsia="Arial" w:hAnsi="Arial"/>
                <w:sz w:val="12"/>
                <w:szCs w:val="12"/>
                <w:color w:val="000000"/>
              </w:rPr>
              <w:t>herein by reference to Exhibit 21.1 to our Form 10-Q, filed on October 30, 2015)</w:t>
            </w:r>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31.1</w:t>
            </w:r>
          </w:p>
        </w:tc>
        <w:tc>
          <w:tcPr>
            <w:tcW w:w="4900" w:type="dxa"/>
            <w:vAlign w:val="bottom"/>
            <w:tcBorders>
              <w:bottom w:val="single" w:sz="8" w:color="0000FF"/>
            </w:tcBorders>
            <w:gridSpan w:val="4"/>
          </w:tcPr>
          <w:p>
            <w:pPr>
              <w:spacing w:after="0" w:line="133" w:lineRule="exact"/>
              <w:rPr>
                <w:rFonts w:ascii="Arial" w:cs="Arial" w:eastAsia="Arial" w:hAnsi="Arial"/>
                <w:sz w:val="12"/>
                <w:szCs w:val="12"/>
                <w:color w:val="0000FF"/>
                <w:w w:val="91"/>
              </w:rPr>
            </w:pPr>
            <w:hyperlink w:anchor="page72">
              <w:r>
                <w:rPr>
                  <w:rFonts w:ascii="Arial" w:cs="Arial" w:eastAsia="Arial" w:hAnsi="Arial"/>
                  <w:sz w:val="12"/>
                  <w:szCs w:val="12"/>
                  <w:color w:val="0000FF"/>
                  <w:w w:val="91"/>
                </w:rPr>
                <w:t>Principal Executive Officer's Certification Pursuant to Section 302 of the Sarbanes-Oxley Act of 2002</w:t>
              </w:r>
            </w:hyperlink>
          </w:p>
        </w:tc>
        <w:tc>
          <w:tcPr>
            <w:tcW w:w="5000" w:type="dxa"/>
            <w:vAlign w:val="bottom"/>
            <w:gridSpan w:val="10"/>
          </w:tcPr>
          <w:p>
            <w:pPr>
              <w:spacing w:after="0"/>
              <w:rPr>
                <w:sz w:val="11"/>
                <w:szCs w:val="11"/>
                <w:color w:val="auto"/>
              </w:rPr>
            </w:pPr>
          </w:p>
        </w:tc>
      </w:tr>
      <w:tr>
        <w:trPr>
          <w:trHeight w:val="133"/>
        </w:trPr>
        <w:tc>
          <w:tcPr>
            <w:tcW w:w="800" w:type="dxa"/>
            <w:vAlign w:val="bottom"/>
          </w:tcPr>
          <w:p>
            <w:pPr>
              <w:jc w:val="center"/>
              <w:ind w:right="380"/>
              <w:spacing w:after="0" w:line="133" w:lineRule="exact"/>
              <w:rPr>
                <w:sz w:val="20"/>
                <w:szCs w:val="20"/>
                <w:color w:val="auto"/>
              </w:rPr>
            </w:pPr>
            <w:r>
              <w:rPr>
                <w:rFonts w:ascii="Arial" w:cs="Arial" w:eastAsia="Arial" w:hAnsi="Arial"/>
                <w:sz w:val="12"/>
                <w:szCs w:val="12"/>
                <w:color w:val="auto"/>
                <w:w w:val="85"/>
              </w:rPr>
              <w:t>31.2</w:t>
            </w:r>
          </w:p>
        </w:tc>
        <w:tc>
          <w:tcPr>
            <w:tcW w:w="4860" w:type="dxa"/>
            <w:vAlign w:val="bottom"/>
            <w:tcBorders>
              <w:bottom w:val="single" w:sz="8" w:color="0000FF"/>
            </w:tcBorders>
            <w:gridSpan w:val="3"/>
          </w:tcPr>
          <w:p>
            <w:pPr>
              <w:spacing w:after="0" w:line="133" w:lineRule="exact"/>
              <w:rPr>
                <w:rFonts w:ascii="Arial" w:cs="Arial" w:eastAsia="Arial" w:hAnsi="Arial"/>
                <w:sz w:val="12"/>
                <w:szCs w:val="12"/>
                <w:color w:val="0000FF"/>
                <w:w w:val="91"/>
              </w:rPr>
            </w:pPr>
            <w:hyperlink w:anchor="page73">
              <w:r>
                <w:rPr>
                  <w:rFonts w:ascii="Arial" w:cs="Arial" w:eastAsia="Arial" w:hAnsi="Arial"/>
                  <w:sz w:val="12"/>
                  <w:szCs w:val="12"/>
                  <w:color w:val="0000FF"/>
                  <w:w w:val="91"/>
                </w:rPr>
                <w:t>Principal Financial Officer's Certification Pursuant to Section 302 of the Sarbanes-Oxley Act of 2002</w:t>
              </w:r>
            </w:hyperlink>
          </w:p>
        </w:tc>
        <w:tc>
          <w:tcPr>
            <w:tcW w:w="5040" w:type="dxa"/>
            <w:vAlign w:val="bottom"/>
            <w:gridSpan w:val="11"/>
          </w:tcPr>
          <w:p>
            <w:pPr>
              <w:spacing w:after="0"/>
              <w:rPr>
                <w:sz w:val="11"/>
                <w:szCs w:val="11"/>
                <w:color w:val="auto"/>
              </w:rPr>
            </w:pPr>
          </w:p>
        </w:tc>
      </w:tr>
      <w:tr>
        <w:trPr>
          <w:trHeight w:val="133"/>
        </w:trPr>
        <w:tc>
          <w:tcPr>
            <w:tcW w:w="800" w:type="dxa"/>
            <w:vAlign w:val="bottom"/>
          </w:tcPr>
          <w:p>
            <w:pPr>
              <w:jc w:val="center"/>
              <w:ind w:right="360"/>
              <w:spacing w:after="0" w:line="133" w:lineRule="exact"/>
              <w:rPr>
                <w:sz w:val="20"/>
                <w:szCs w:val="20"/>
                <w:color w:val="auto"/>
              </w:rPr>
            </w:pPr>
            <w:r>
              <w:rPr>
                <w:rFonts w:ascii="Arial" w:cs="Arial" w:eastAsia="Arial" w:hAnsi="Arial"/>
                <w:sz w:val="12"/>
                <w:szCs w:val="12"/>
                <w:color w:val="auto"/>
                <w:w w:val="89"/>
              </w:rPr>
              <w:t>32.1 #</w:t>
            </w:r>
          </w:p>
        </w:tc>
        <w:tc>
          <w:tcPr>
            <w:tcW w:w="9900" w:type="dxa"/>
            <w:vAlign w:val="bottom"/>
            <w:gridSpan w:val="14"/>
          </w:tcPr>
          <w:p>
            <w:pPr>
              <w:spacing w:after="0" w:line="133" w:lineRule="exact"/>
              <w:rPr>
                <w:rFonts w:ascii="Arial" w:cs="Arial" w:eastAsia="Arial" w:hAnsi="Arial"/>
                <w:sz w:val="12"/>
                <w:szCs w:val="12"/>
                <w:color w:val="0000FF"/>
              </w:rPr>
            </w:pPr>
            <w:hyperlink w:anchor="page74">
              <w:r>
                <w:rPr>
                  <w:rFonts w:ascii="Arial" w:cs="Arial" w:eastAsia="Arial" w:hAnsi="Arial"/>
                  <w:sz w:val="12"/>
                  <w:szCs w:val="12"/>
                  <w:color w:val="0000FF"/>
                </w:rPr>
                <w:t>Certifications of CEO and CFO Pursuant to 18 U.S.C. Section 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18" w:lineRule="exact"/>
        <w:rPr>
          <w:sz w:val="20"/>
          <w:szCs w:val="20"/>
          <w:color w:val="auto"/>
        </w:rPr>
      </w:pPr>
    </w:p>
    <w:p>
      <w:pPr>
        <w:ind w:left="1121" w:hanging="710"/>
        <w:spacing w:after="0"/>
        <w:tabs>
          <w:tab w:leader="none" w:pos="1121" w:val="left"/>
        </w:tabs>
        <w:numPr>
          <w:ilvl w:val="1"/>
          <w:numId w:val="27"/>
        </w:numPr>
        <w:rPr>
          <w:rFonts w:ascii="Arial" w:cs="Arial" w:eastAsia="Arial" w:hAnsi="Arial"/>
          <w:sz w:val="11"/>
          <w:szCs w:val="11"/>
          <w:color w:val="auto"/>
        </w:rPr>
      </w:pPr>
      <w:r>
        <w:rPr>
          <w:rFonts w:ascii="Arial" w:cs="Arial" w:eastAsia="Arial" w:hAnsi="Arial"/>
          <w:sz w:val="11"/>
          <w:szCs w:val="11"/>
          <w:color w:val="auto"/>
        </w:rPr>
        <w:t>The following financial information from NMI Holdings, Inc.'s Quarterly Report on Form 10-Q for the quarter ended June 30, 2021 formatted in XBRL (eXtensible Business Reporting Language):</w:t>
      </w:r>
    </w:p>
    <w:p>
      <w:pPr>
        <w:spacing w:after="0" w:line="26" w:lineRule="exact"/>
        <w:rPr>
          <w:rFonts w:ascii="Arial" w:cs="Arial" w:eastAsia="Arial" w:hAnsi="Arial"/>
          <w:sz w:val="11"/>
          <w:szCs w:val="11"/>
          <w:color w:val="auto"/>
        </w:rPr>
      </w:pPr>
    </w:p>
    <w:p>
      <w:pPr>
        <w:ind w:left="1261" w:hanging="149"/>
        <w:spacing w:after="0"/>
        <w:tabs>
          <w:tab w:leader="none" w:pos="1261"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Condensed Consolidated Balance Sheets as of June 30, 2021 and December 31, 2020;</w:t>
      </w:r>
    </w:p>
    <w:p>
      <w:pPr>
        <w:spacing w:after="0" w:line="15" w:lineRule="exact"/>
        <w:rPr>
          <w:rFonts w:ascii="Arial" w:cs="Arial" w:eastAsia="Arial" w:hAnsi="Arial"/>
          <w:sz w:val="12"/>
          <w:szCs w:val="12"/>
          <w:color w:val="auto"/>
        </w:rPr>
      </w:pPr>
    </w:p>
    <w:p>
      <w:pPr>
        <w:ind w:left="1281" w:hanging="169"/>
        <w:spacing w:after="0"/>
        <w:tabs>
          <w:tab w:leader="none" w:pos="1281"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Condensed Consolidated Statements of Operations and Comprehensive Income (Loss) for the three months and six months ended June 30, 2021 and 2020;</w:t>
      </w:r>
    </w:p>
    <w:p>
      <w:pPr>
        <w:spacing w:after="0" w:line="15" w:lineRule="exact"/>
        <w:rPr>
          <w:rFonts w:ascii="Arial" w:cs="Arial" w:eastAsia="Arial" w:hAnsi="Arial"/>
          <w:sz w:val="12"/>
          <w:szCs w:val="12"/>
          <w:color w:val="auto"/>
        </w:rPr>
      </w:pPr>
    </w:p>
    <w:p>
      <w:pPr>
        <w:ind w:left="1321" w:hanging="209"/>
        <w:spacing w:after="0"/>
        <w:tabs>
          <w:tab w:leader="none" w:pos="1321"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Condensed Consolidated Statements of Changes in Shareholders' Equity for the six months ended June 30, 2021 and 2020;</w:t>
      </w:r>
    </w:p>
    <w:p>
      <w:pPr>
        <w:spacing w:after="0" w:line="15" w:lineRule="exact"/>
        <w:rPr>
          <w:rFonts w:ascii="Arial" w:cs="Arial" w:eastAsia="Arial" w:hAnsi="Arial"/>
          <w:sz w:val="12"/>
          <w:szCs w:val="12"/>
          <w:color w:val="auto"/>
        </w:rPr>
      </w:pPr>
    </w:p>
    <w:p>
      <w:pPr>
        <w:ind w:left="1321" w:hanging="209"/>
        <w:spacing w:after="0"/>
        <w:tabs>
          <w:tab w:leader="none" w:pos="1321" w:val="left"/>
        </w:tabs>
        <w:numPr>
          <w:ilvl w:val="2"/>
          <w:numId w:val="27"/>
        </w:numPr>
        <w:rPr>
          <w:rFonts w:ascii="Arial" w:cs="Arial" w:eastAsia="Arial" w:hAnsi="Arial"/>
          <w:sz w:val="12"/>
          <w:szCs w:val="12"/>
          <w:color w:val="auto"/>
        </w:rPr>
      </w:pPr>
      <w:r>
        <w:rPr>
          <w:rFonts w:ascii="Arial" w:cs="Arial" w:eastAsia="Arial" w:hAnsi="Arial"/>
          <w:sz w:val="12"/>
          <w:szCs w:val="12"/>
          <w:color w:val="auto"/>
        </w:rPr>
        <w:t>Condensed Consolidated Statements of Cash Flows for the six months ended June 30, 2021 and 2020; and</w:t>
      </w:r>
    </w:p>
    <w:p>
      <w:pPr>
        <w:spacing w:after="0" w:line="15" w:lineRule="exact"/>
        <w:rPr>
          <w:rFonts w:ascii="Arial" w:cs="Arial" w:eastAsia="Arial" w:hAnsi="Arial"/>
          <w:sz w:val="12"/>
          <w:szCs w:val="12"/>
          <w:color w:val="auto"/>
        </w:rPr>
      </w:pPr>
    </w:p>
    <w:p>
      <w:pPr>
        <w:ind w:left="1281" w:hanging="169"/>
        <w:spacing w:after="0"/>
        <w:tabs>
          <w:tab w:leader="none" w:pos="1281" w:val="left"/>
        </w:tabs>
        <w:numPr>
          <w:ilvl w:val="2"/>
          <w:numId w:val="27"/>
        </w:numPr>
        <w:rPr>
          <w:rFonts w:ascii="Arial" w:cs="Arial" w:eastAsia="Arial" w:hAnsi="Arial"/>
          <w:sz w:val="11"/>
          <w:szCs w:val="11"/>
          <w:color w:val="auto"/>
        </w:rPr>
      </w:pPr>
      <w:r>
        <w:rPr>
          <w:rFonts w:ascii="Arial" w:cs="Arial" w:eastAsia="Arial" w:hAnsi="Arial"/>
          <w:sz w:val="11"/>
          <w:szCs w:val="11"/>
          <w:color w:val="auto"/>
        </w:rPr>
        <w:t>Notes to Condensed Consolidated Financial Statements. The instance document does not appear in the Interactive Data File because XBRL tags are embedded within the Inline XBRL document.</w:t>
      </w:r>
    </w:p>
    <w:p>
      <w:pPr>
        <w:spacing w:after="0" w:line="219" w:lineRule="exact"/>
        <w:rPr>
          <w:rFonts w:ascii="Arial" w:cs="Arial" w:eastAsia="Arial" w:hAnsi="Arial"/>
          <w:sz w:val="11"/>
          <w:szCs w:val="11"/>
          <w:color w:val="auto"/>
        </w:rPr>
      </w:pPr>
    </w:p>
    <w:p>
      <w:pPr>
        <w:ind w:left="261" w:hanging="261"/>
        <w:spacing w:after="0"/>
        <w:tabs>
          <w:tab w:leader="none" w:pos="261"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Indicates a management contract or compensatory plan or contract.</w:t>
      </w:r>
    </w:p>
    <w:p>
      <w:pPr>
        <w:spacing w:after="0" w:line="18" w:lineRule="exact"/>
        <w:rPr>
          <w:sz w:val="20"/>
          <w:szCs w:val="20"/>
          <w:color w:val="auto"/>
        </w:rPr>
      </w:pPr>
    </w:p>
    <w:p>
      <w:pPr>
        <w:ind w:left="261" w:hanging="261"/>
        <w:spacing w:after="0"/>
        <w:tabs>
          <w:tab w:leader="none" w:pos="261" w:val="left"/>
        </w:tabs>
        <w:numPr>
          <w:ilvl w:val="0"/>
          <w:numId w:val="28"/>
        </w:numPr>
        <w:rPr>
          <w:rFonts w:ascii="Arial" w:cs="Arial" w:eastAsia="Arial" w:hAnsi="Arial"/>
          <w:sz w:val="11"/>
          <w:szCs w:val="11"/>
          <w:color w:val="auto"/>
        </w:rPr>
      </w:pPr>
      <w:r>
        <w:rPr>
          <w:rFonts w:ascii="Arial" w:cs="Arial" w:eastAsia="Arial" w:hAnsi="Arial"/>
          <w:sz w:val="11"/>
          <w:szCs w:val="11"/>
          <w:color w:val="auto"/>
        </w:rPr>
        <w:t>Confidential treatment granted as to certain portions, which portions have been filed separately with the SEC.</w:t>
      </w:r>
    </w:p>
    <w:p>
      <w:pPr>
        <w:spacing w:after="0" w:line="18" w:lineRule="exact"/>
        <w:rPr>
          <w:sz w:val="20"/>
          <w:szCs w:val="20"/>
          <w:color w:val="auto"/>
        </w:rPr>
      </w:pPr>
    </w:p>
    <w:p>
      <w:pPr>
        <w:ind w:left="361" w:right="140" w:hanging="361"/>
        <w:spacing w:after="0" w:line="269" w:lineRule="auto"/>
        <w:tabs>
          <w:tab w:leader="none" w:pos="253"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21"/>
          </w:cols>
          <w:pgMar w:left="299" w:top="857" w:right="579" w:bottom="1440" w:gutter="0" w:footer="0" w:header="0"/>
        </w:sectPr>
      </w:pPr>
    </w:p>
    <w:bookmarkStart w:id="64" w:name="page65"/>
    <w:bookmarkEnd w:id="64"/>
    <w:p>
      <w:pPr>
        <w:ind w:left="4840"/>
        <w:spacing w:after="0"/>
        <w:rPr>
          <w:sz w:val="20"/>
          <w:szCs w:val="20"/>
          <w:color w:val="auto"/>
        </w:rPr>
      </w:pPr>
      <w:r>
        <w:rPr>
          <w:rFonts w:ascii="Arial" w:cs="Arial" w:eastAsia="Arial" w:hAnsi="Arial"/>
          <w:sz w:val="12"/>
          <w:szCs w:val="12"/>
          <w:b w:val="1"/>
          <w:bCs w:val="1"/>
          <w:color w:val="auto"/>
        </w:rPr>
        <w:t>SIGNATURES</w:t>
      </w:r>
    </w:p>
    <w:p>
      <w:pPr>
        <w:spacing w:after="0" w:line="181"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NMI HOLDINGS, INC.</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Date: August 3, 2021</w:t>
      </w:r>
    </w:p>
    <w:p>
      <w:pPr>
        <w:spacing w:after="0" w:line="186"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-6985</wp:posOffset>
            </wp:positionV>
            <wp:extent cx="95821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958215" cy="5715"/>
                    </a:xfrm>
                    <a:prstGeom prst="rect">
                      <a:avLst/>
                    </a:prstGeom>
                    <a:noFill/>
                  </pic:spPr>
                </pic:pic>
              </a:graphicData>
            </a:graphic>
          </wp:anchor>
        </w:drawing>
      </w:r>
    </w:p>
    <w:p>
      <w:pPr>
        <w:spacing w:after="0" w:line="13"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Name: Adam S. Pollitzer</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2"/>
          <w:szCs w:val="12"/>
          <w:color w:val="auto"/>
        </w:rPr>
        <w:t>Title: 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9739"/>
          </w:cols>
          <w:pgMar w:left="720" w:top="874"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8"/>
        <w:spacing w:after="0" w:line="250" w:lineRule="auto"/>
        <w:rPr>
          <w:sz w:val="20"/>
          <w:szCs w:val="20"/>
          <w:color w:val="auto"/>
        </w:rPr>
      </w:pPr>
      <w:r>
        <w:rPr>
          <w:rFonts w:ascii="Arial" w:cs="Arial" w:eastAsia="Arial" w:hAnsi="Arial"/>
          <w:sz w:val="14"/>
          <w:szCs w:val="14"/>
          <w:b w:val="1"/>
          <w:bCs w:val="1"/>
          <w:color w:val="auto"/>
        </w:rPr>
        <w:t>JOINDER AGREEMENT</w:t>
      </w:r>
      <w:r>
        <w:rPr>
          <w:rFonts w:ascii="Arial" w:cs="Arial" w:eastAsia="Arial" w:hAnsi="Arial"/>
          <w:sz w:val="14"/>
          <w:szCs w:val="14"/>
          <w:color w:val="auto"/>
        </w:rPr>
        <w:t>, dated as of October 29, 2020 (this “</w:t>
      </w:r>
      <w:r>
        <w:rPr>
          <w:rFonts w:ascii="Arial" w:cs="Arial" w:eastAsia="Arial" w:hAnsi="Arial"/>
          <w:sz w:val="14"/>
          <w:szCs w:val="14"/>
          <w:u w:val="single" w:color="auto"/>
          <w:color w:val="auto"/>
        </w:rPr>
        <w:t>Agreement</w:t>
      </w:r>
      <w:r>
        <w:rPr>
          <w:rFonts w:ascii="Arial" w:cs="Arial" w:eastAsia="Arial" w:hAnsi="Arial"/>
          <w:sz w:val="14"/>
          <w:szCs w:val="14"/>
          <w:color w:val="auto"/>
        </w:rPr>
        <w:t>”), among NMI Holdings,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NMI SERVICES, INC., a Delaware</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CITIBANK, N.A., as Lender (“</w:t>
      </w:r>
      <w:r>
        <w:rPr>
          <w:rFonts w:ascii="Arial" w:cs="Arial" w:eastAsia="Arial" w:hAnsi="Arial"/>
          <w:sz w:val="14"/>
          <w:szCs w:val="14"/>
          <w:u w:val="single" w:color="auto"/>
          <w:color w:val="auto"/>
        </w:rPr>
        <w:t>Citi</w:t>
      </w:r>
      <w:r>
        <w:rPr>
          <w:rFonts w:ascii="Arial" w:cs="Arial" w:eastAsia="Arial" w:hAnsi="Arial"/>
          <w:sz w:val="14"/>
          <w:szCs w:val="14"/>
          <w:color w:val="auto"/>
        </w:rPr>
        <w:t>”) and JPMORGAN CHASE BANK, N.A., as administrative agent (the “</w:t>
      </w:r>
      <w:r>
        <w:rPr>
          <w:rFonts w:ascii="Arial" w:cs="Arial" w:eastAsia="Arial" w:hAnsi="Arial"/>
          <w:sz w:val="14"/>
          <w:szCs w:val="14"/>
          <w:u w:val="single" w:color="auto"/>
          <w:color w:val="auto"/>
        </w:rPr>
        <w:t>Agent</w:t>
      </w:r>
      <w:r>
        <w:rPr>
          <w:rFonts w:ascii="Arial" w:cs="Arial" w:eastAsia="Arial" w:hAnsi="Arial"/>
          <w:sz w:val="14"/>
          <w:szCs w:val="14"/>
          <w:color w:val="auto"/>
        </w:rPr>
        <w:t>”), to the Credit Agreement dated, as of May 24, 2018, among the Company, the several banks and other financial institutions or entities from time to time party to the Credit Agreement (the “</w:t>
      </w:r>
      <w:r>
        <w:rPr>
          <w:rFonts w:ascii="Arial" w:cs="Arial" w:eastAsia="Arial" w:hAnsi="Arial"/>
          <w:sz w:val="14"/>
          <w:szCs w:val="14"/>
          <w:u w:val="single" w:color="auto"/>
          <w:color w:val="auto"/>
        </w:rPr>
        <w:t>Lenders</w:t>
      </w:r>
      <w:r>
        <w:rPr>
          <w:rFonts w:ascii="Arial" w:cs="Arial" w:eastAsia="Arial" w:hAnsi="Arial"/>
          <w:sz w:val="14"/>
          <w:szCs w:val="14"/>
          <w:color w:val="auto"/>
        </w:rPr>
        <w:t>”), and the Agent (as amended, modified and supplemented from time to time prior to the date hereof,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Capitalized terms used and not otherwise defined herein shall have the meanings assigned to such terms in the Credit Agreement.</w:t>
      </w:r>
    </w:p>
    <w:p>
      <w:pPr>
        <w:spacing w:after="0" w:line="137" w:lineRule="exact"/>
        <w:rPr>
          <w:sz w:val="20"/>
          <w:szCs w:val="20"/>
          <w:color w:val="auto"/>
        </w:rPr>
      </w:pPr>
    </w:p>
    <w:p>
      <w:pPr>
        <w:jc w:val="both"/>
        <w:ind w:left="8" w:right="20"/>
        <w:spacing w:after="0" w:line="273" w:lineRule="auto"/>
        <w:rPr>
          <w:sz w:val="20"/>
          <w:szCs w:val="20"/>
          <w:color w:val="auto"/>
        </w:rPr>
      </w:pPr>
      <w:r>
        <w:rPr>
          <w:rFonts w:ascii="Arial" w:cs="Arial" w:eastAsia="Arial" w:hAnsi="Arial"/>
          <w:sz w:val="14"/>
          <w:szCs w:val="14"/>
          <w:color w:val="auto"/>
        </w:rPr>
        <w:t>WHEREAS, pursuant to Section 2.15 of the Credit Agreement, the Company is hereby requesting a $10,000,000 New Revolving Commitment (the “</w:t>
      </w:r>
      <w:r>
        <w:rPr>
          <w:rFonts w:ascii="Arial" w:cs="Arial" w:eastAsia="Arial" w:hAnsi="Arial"/>
          <w:sz w:val="14"/>
          <w:szCs w:val="14"/>
          <w:u w:val="single" w:color="auto"/>
          <w:color w:val="auto"/>
        </w:rPr>
        <w:t>Joinder No. 2 New Revolving Commitment</w:t>
      </w:r>
      <w:r>
        <w:rPr>
          <w:rFonts w:ascii="Arial" w:cs="Arial" w:eastAsia="Arial" w:hAnsi="Arial"/>
          <w:sz w:val="14"/>
          <w:szCs w:val="14"/>
          <w:color w:val="auto"/>
        </w:rPr>
        <w:t>”) having the same terms as the Revolving Commitments as in effect on the Joinder No. 2 Effective Date (as defined below);</w:t>
      </w:r>
    </w:p>
    <w:p>
      <w:pPr>
        <w:spacing w:after="0" w:line="120" w:lineRule="exact"/>
        <w:rPr>
          <w:sz w:val="20"/>
          <w:szCs w:val="20"/>
          <w:color w:val="auto"/>
        </w:rPr>
      </w:pPr>
    </w:p>
    <w:p>
      <w:pPr>
        <w:jc w:val="both"/>
        <w:ind w:left="8"/>
        <w:spacing w:after="0" w:line="273" w:lineRule="auto"/>
        <w:rPr>
          <w:sz w:val="20"/>
          <w:szCs w:val="20"/>
          <w:color w:val="auto"/>
        </w:rPr>
      </w:pPr>
      <w:r>
        <w:rPr>
          <w:rFonts w:ascii="Arial" w:cs="Arial" w:eastAsia="Arial" w:hAnsi="Arial"/>
          <w:sz w:val="14"/>
          <w:szCs w:val="14"/>
          <w:color w:val="auto"/>
        </w:rPr>
        <w:t>WHEREAS, the Company has requested that Citi provide the Joinder No. 2 New Revolving Commitment on the Joinder No. 2 Effective Date and Citi has agreed to provide the Joinder No. 2 New Revolving Commitment on the Joinder No. 2 Effective Date;</w:t>
      </w:r>
    </w:p>
    <w:p>
      <w:pPr>
        <w:spacing w:after="0" w:line="120" w:lineRule="exact"/>
        <w:rPr>
          <w:sz w:val="20"/>
          <w:szCs w:val="20"/>
          <w:color w:val="auto"/>
        </w:rPr>
      </w:pPr>
    </w:p>
    <w:p>
      <w:pPr>
        <w:jc w:val="both"/>
        <w:ind w:left="8"/>
        <w:spacing w:after="0" w:line="273" w:lineRule="auto"/>
        <w:rPr>
          <w:sz w:val="20"/>
          <w:szCs w:val="20"/>
          <w:color w:val="auto"/>
        </w:rPr>
      </w:pPr>
      <w:r>
        <w:rPr>
          <w:rFonts w:ascii="Arial" w:cs="Arial" w:eastAsia="Arial" w:hAnsi="Arial"/>
          <w:sz w:val="14"/>
          <w:szCs w:val="14"/>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16" w:lineRule="exact"/>
        <w:rPr>
          <w:sz w:val="20"/>
          <w:szCs w:val="20"/>
          <w:color w:val="auto"/>
        </w:rPr>
      </w:pPr>
    </w:p>
    <w:p>
      <w:pPr>
        <w:ind w:left="868"/>
        <w:spacing w:after="0"/>
        <w:tabs>
          <w:tab w:leader="none" w:pos="1568" w:val="left"/>
        </w:tabs>
        <w:rPr>
          <w:sz w:val="20"/>
          <w:szCs w:val="20"/>
          <w:color w:val="auto"/>
        </w:rPr>
      </w:pPr>
      <w:r>
        <w:rPr>
          <w:rFonts w:ascii="Arial" w:cs="Arial" w:eastAsia="Arial" w:hAnsi="Arial"/>
          <w:sz w:val="14"/>
          <w:szCs w:val="14"/>
          <w:color w:val="auto"/>
        </w:rPr>
        <w:t>Section 1.</w:t>
      </w:r>
      <w:r>
        <w:rPr>
          <w:sz w:val="20"/>
          <w:szCs w:val="20"/>
          <w:color w:val="auto"/>
        </w:rPr>
        <w:tab/>
      </w:r>
      <w:r>
        <w:rPr>
          <w:rFonts w:ascii="Arial" w:cs="Arial" w:eastAsia="Arial" w:hAnsi="Arial"/>
          <w:sz w:val="13"/>
          <w:szCs w:val="13"/>
          <w:b w:val="1"/>
          <w:bCs w:val="1"/>
          <w:u w:val="single" w:color="auto"/>
          <w:color w:val="auto"/>
        </w:rPr>
        <w:t>Joinder No. 2 New Revolving Commitment</w:t>
      </w:r>
      <w:r>
        <w:rPr>
          <w:rFonts w:ascii="Arial" w:cs="Arial" w:eastAsia="Arial" w:hAnsi="Arial"/>
          <w:sz w:val="13"/>
          <w:szCs w:val="13"/>
          <w:color w:val="auto"/>
        </w:rPr>
        <w:t>.</w:t>
      </w:r>
    </w:p>
    <w:p>
      <w:pPr>
        <w:spacing w:after="0" w:line="167" w:lineRule="exact"/>
        <w:rPr>
          <w:sz w:val="20"/>
          <w:szCs w:val="20"/>
          <w:color w:val="auto"/>
        </w:rPr>
      </w:pPr>
    </w:p>
    <w:p>
      <w:pPr>
        <w:ind w:left="188" w:hanging="188"/>
        <w:spacing w:after="0"/>
        <w:tabs>
          <w:tab w:leader="none" w:pos="188" w:val="left"/>
        </w:tabs>
        <w:numPr>
          <w:ilvl w:val="0"/>
          <w:numId w:val="30"/>
        </w:numPr>
        <w:rPr>
          <w:rFonts w:ascii="Arial" w:cs="Arial" w:eastAsia="Arial" w:hAnsi="Arial"/>
          <w:sz w:val="14"/>
          <w:szCs w:val="14"/>
          <w:color w:val="auto"/>
        </w:rPr>
      </w:pPr>
      <w:r>
        <w:rPr>
          <w:rFonts w:ascii="Arial" w:cs="Arial" w:eastAsia="Arial" w:hAnsi="Arial"/>
          <w:sz w:val="14"/>
          <w:szCs w:val="14"/>
          <w:color w:val="auto"/>
        </w:rPr>
        <w:t>Effective as of the Joinder No. 2 Effective Date, Citi shall have a Joinder No. 2 New Revolving Commitment in the amount of $10,000,000.</w:t>
      </w:r>
    </w:p>
    <w:p>
      <w:pPr>
        <w:spacing w:after="0" w:line="163" w:lineRule="exact"/>
        <w:rPr>
          <w:rFonts w:ascii="Arial" w:cs="Arial" w:eastAsia="Arial" w:hAnsi="Arial"/>
          <w:sz w:val="14"/>
          <w:szCs w:val="14"/>
          <w:color w:val="auto"/>
        </w:rPr>
      </w:pPr>
    </w:p>
    <w:p>
      <w:pPr>
        <w:ind w:left="8" w:hanging="8"/>
        <w:spacing w:after="0" w:line="273" w:lineRule="auto"/>
        <w:tabs>
          <w:tab w:leader="none" w:pos="23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terms and conditions of the Joinder No. 2 New Revolving Commitment and the Revolving Loans made thereunder shall be identical to the terms and conditions of the Revolving Commitments and the Revolving Loans thereunder as in effect on the Joinder No. 2 Effective Date.</w:t>
      </w:r>
    </w:p>
    <w:p>
      <w:pPr>
        <w:spacing w:after="0" w:line="116" w:lineRule="exact"/>
        <w:rPr>
          <w:sz w:val="20"/>
          <w:szCs w:val="20"/>
          <w:color w:val="auto"/>
        </w:rPr>
      </w:pPr>
    </w:p>
    <w:p>
      <w:pPr>
        <w:ind w:left="868"/>
        <w:spacing w:after="0"/>
        <w:tabs>
          <w:tab w:leader="none" w:pos="1568" w:val="left"/>
        </w:tabs>
        <w:rPr>
          <w:sz w:val="20"/>
          <w:szCs w:val="20"/>
          <w:color w:val="auto"/>
        </w:rPr>
      </w:pPr>
      <w:r>
        <w:rPr>
          <w:rFonts w:ascii="Arial" w:cs="Arial" w:eastAsia="Arial" w:hAnsi="Arial"/>
          <w:sz w:val="14"/>
          <w:szCs w:val="14"/>
          <w:color w:val="auto"/>
        </w:rPr>
        <w:t>Section 2.</w:t>
      </w:r>
      <w:r>
        <w:rPr>
          <w:sz w:val="20"/>
          <w:szCs w:val="20"/>
          <w:color w:val="auto"/>
        </w:rPr>
        <w:tab/>
      </w:r>
      <w:r>
        <w:rPr>
          <w:rFonts w:ascii="Arial" w:cs="Arial" w:eastAsia="Arial" w:hAnsi="Arial"/>
          <w:sz w:val="13"/>
          <w:szCs w:val="13"/>
          <w:b w:val="1"/>
          <w:bCs w:val="1"/>
          <w:u w:val="single" w:color="auto"/>
          <w:color w:val="auto"/>
        </w:rPr>
        <w:t>Representations and Warranties, No Default</w:t>
      </w:r>
      <w:r>
        <w:rPr>
          <w:rFonts w:ascii="Arial" w:cs="Arial" w:eastAsia="Arial" w:hAnsi="Arial"/>
          <w:sz w:val="13"/>
          <w:szCs w:val="13"/>
          <w:color w:val="auto"/>
        </w:rPr>
        <w:t>. The Company</w:t>
      </w:r>
    </w:p>
    <w:p>
      <w:pPr>
        <w:spacing w:after="0" w:line="17"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hereby represents and warrants that as of the Joinder No. 2 Effective Date, each of the conditions set forth in the second proviso to Section 2.15(a) of the Credit Agreement (to the extent applicable to New Revolving Commitments incurred pursuant to Section 2.15(a) of the Credit Agreement) is satisfied.</w:t>
      </w:r>
    </w:p>
    <w:p>
      <w:pPr>
        <w:spacing w:after="0" w:line="128" w:lineRule="exact"/>
        <w:rPr>
          <w:sz w:val="20"/>
          <w:szCs w:val="20"/>
          <w:color w:val="auto"/>
        </w:rPr>
      </w:pPr>
    </w:p>
    <w:p>
      <w:pPr>
        <w:ind w:left="868"/>
        <w:spacing w:after="0"/>
        <w:tabs>
          <w:tab w:leader="none" w:pos="1608" w:val="left"/>
        </w:tabs>
        <w:rPr>
          <w:sz w:val="20"/>
          <w:szCs w:val="20"/>
          <w:color w:val="auto"/>
        </w:rPr>
      </w:pPr>
      <w:r>
        <w:rPr>
          <w:rFonts w:ascii="Arial" w:cs="Arial" w:eastAsia="Arial" w:hAnsi="Arial"/>
          <w:sz w:val="14"/>
          <w:szCs w:val="14"/>
          <w:color w:val="auto"/>
        </w:rPr>
        <w:t>Section 3.</w:t>
      </w:r>
      <w:r>
        <w:rPr>
          <w:sz w:val="20"/>
          <w:szCs w:val="20"/>
          <w:color w:val="auto"/>
        </w:rPr>
        <w:tab/>
      </w:r>
      <w:r>
        <w:rPr>
          <w:rFonts w:ascii="Arial" w:cs="Arial" w:eastAsia="Arial" w:hAnsi="Arial"/>
          <w:sz w:val="12"/>
          <w:szCs w:val="12"/>
          <w:b w:val="1"/>
          <w:bCs w:val="1"/>
          <w:u w:val="single" w:color="auto"/>
          <w:color w:val="auto"/>
        </w:rPr>
        <w:t>Effectiveness</w:t>
      </w:r>
      <w:r>
        <w:rPr>
          <w:rFonts w:ascii="Arial" w:cs="Arial" w:eastAsia="Arial" w:hAnsi="Arial"/>
          <w:sz w:val="12"/>
          <w:szCs w:val="12"/>
          <w:color w:val="auto"/>
        </w:rPr>
        <w:t>. Section 1 of this Agreement shall become effective</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4"/>
          <w:szCs w:val="14"/>
          <w:color w:val="auto"/>
        </w:rPr>
        <w:t>on the date (such date, if any, the “</w:t>
      </w:r>
      <w:r>
        <w:rPr>
          <w:rFonts w:ascii="Arial" w:cs="Arial" w:eastAsia="Arial" w:hAnsi="Arial"/>
          <w:sz w:val="14"/>
          <w:szCs w:val="14"/>
          <w:u w:val="single" w:color="auto"/>
          <w:color w:val="auto"/>
        </w:rPr>
        <w:t>Joinder No. 2 Effective Date</w:t>
      </w:r>
      <w:r>
        <w:rPr>
          <w:rFonts w:ascii="Arial" w:cs="Arial" w:eastAsia="Arial" w:hAnsi="Arial"/>
          <w:sz w:val="14"/>
          <w:szCs w:val="14"/>
          <w:color w:val="auto"/>
        </w:rPr>
        <w:t>”) that the following conditions have been satisfied:</w:t>
      </w:r>
    </w:p>
    <w:p>
      <w:pPr>
        <w:spacing w:after="0" w:line="151" w:lineRule="exact"/>
        <w:rPr>
          <w:sz w:val="20"/>
          <w:szCs w:val="20"/>
          <w:color w:val="auto"/>
        </w:rPr>
      </w:pPr>
    </w:p>
    <w:p>
      <w:pPr>
        <w:ind w:left="1148" w:hanging="284"/>
        <w:spacing w:after="0"/>
        <w:tabs>
          <w:tab w:leader="none" w:pos="1148"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Execution of Agreement</w:t>
      </w:r>
      <w:r>
        <w:rPr>
          <w:rFonts w:ascii="Arial" w:cs="Arial" w:eastAsia="Arial" w:hAnsi="Arial"/>
          <w:sz w:val="14"/>
          <w:szCs w:val="14"/>
          <w:color w:val="auto"/>
        </w:rPr>
        <w:t>. The Agent shall have received executed signature pages hereto from the Company, the Subsidiary Guarantor, Citi and the Agent;</w:t>
      </w:r>
    </w:p>
    <w:p>
      <w:pPr>
        <w:spacing w:after="0" w:line="163" w:lineRule="exact"/>
        <w:rPr>
          <w:rFonts w:ascii="Arial" w:cs="Arial" w:eastAsia="Arial" w:hAnsi="Arial"/>
          <w:sz w:val="14"/>
          <w:szCs w:val="14"/>
          <w:color w:val="auto"/>
        </w:rPr>
      </w:pPr>
    </w:p>
    <w:p>
      <w:pPr>
        <w:jc w:val="both"/>
        <w:ind w:left="428" w:firstLine="436"/>
        <w:spacing w:after="0" w:line="257" w:lineRule="auto"/>
        <w:tabs>
          <w:tab w:leader="none" w:pos="1216" w:val="left"/>
        </w:tabs>
        <w:numPr>
          <w:ilvl w:val="0"/>
          <w:numId w:val="31"/>
        </w:numPr>
        <w:rPr>
          <w:rFonts w:ascii="Arial" w:cs="Arial" w:eastAsia="Arial" w:hAnsi="Arial"/>
          <w:sz w:val="14"/>
          <w:szCs w:val="14"/>
          <w:color w:val="auto"/>
        </w:rPr>
      </w:pPr>
      <w:r>
        <w:rPr>
          <w:rFonts w:ascii="Arial" w:cs="Arial" w:eastAsia="Arial" w:hAnsi="Arial"/>
          <w:sz w:val="14"/>
          <w:szCs w:val="14"/>
          <w:u w:val="single" w:color="auto"/>
          <w:color w:val="auto"/>
        </w:rPr>
        <w:t>Fees and Expenses</w:t>
      </w:r>
      <w:r>
        <w:rPr>
          <w:rFonts w:ascii="Arial" w:cs="Arial" w:eastAsia="Arial" w:hAnsi="Arial"/>
          <w:sz w:val="14"/>
          <w:szCs w:val="14"/>
          <w:color w:val="auto"/>
        </w:rPr>
        <w:t>. The Agent shall have received (i) payment of all expenses required to be paid or reimbursed in connection with the execution of this Agreement under Section 10.04 of the Credit Agreement for which invoices have been presented to Company within a reasonable period of time prior to the Joinder No. 2 Effective Date, in each case on or before the</w:t>
      </w:r>
    </w:p>
    <w:p>
      <w:pPr>
        <w:sectPr>
          <w:pgSz w:w="11900" w:h="16838" w:orient="portrait"/>
          <w:cols w:equalWidth="0" w:num="1">
            <w:col w:w="11308"/>
          </w:cols>
          <w:pgMar w:left="292" w:top="130" w:right="29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Joinder No. 2 Effective Date and (ii) payment to the Agent of an upfront fee for the account of Citi in an amount equal to 0.12% of the Joinder No. 2 New Revolving Commitment;</w:t>
      </w:r>
    </w:p>
    <w:p>
      <w:pPr>
        <w:spacing w:after="0" w:line="175" w:lineRule="exact"/>
        <w:rPr>
          <w:sz w:val="20"/>
          <w:szCs w:val="20"/>
          <w:color w:val="auto"/>
        </w:rPr>
      </w:pPr>
    </w:p>
    <w:p>
      <w:pPr>
        <w:ind w:firstLine="436"/>
        <w:spacing w:after="0" w:line="273" w:lineRule="auto"/>
        <w:tabs>
          <w:tab w:leader="none" w:pos="801"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Legal Opinions</w:t>
      </w:r>
      <w:r>
        <w:rPr>
          <w:rFonts w:ascii="Arial" w:cs="Arial" w:eastAsia="Arial" w:hAnsi="Arial"/>
          <w:sz w:val="14"/>
          <w:szCs w:val="14"/>
          <w:color w:val="auto"/>
        </w:rPr>
        <w:t>. The Agent shall have received a customary legal opinion of (x) Wachtell, Lipton, Rosen &amp; Katz, as special New York counsel for the Obligors and (y) Potter Anderson &amp; Corroon LLP, Delaware counsel for the Obligors, relating to this Agreement;</w:t>
      </w:r>
    </w:p>
    <w:p>
      <w:pPr>
        <w:spacing w:after="0" w:line="119" w:lineRule="exact"/>
        <w:rPr>
          <w:rFonts w:ascii="Arial" w:cs="Arial" w:eastAsia="Arial" w:hAnsi="Arial"/>
          <w:sz w:val="14"/>
          <w:szCs w:val="14"/>
          <w:color w:val="auto"/>
        </w:rPr>
      </w:pPr>
    </w:p>
    <w:p>
      <w:pPr>
        <w:ind w:firstLine="436"/>
        <w:spacing w:after="0" w:line="273" w:lineRule="auto"/>
        <w:tabs>
          <w:tab w:leader="none" w:pos="829"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Officer’s Certificate</w:t>
      </w:r>
      <w:r>
        <w:rPr>
          <w:rFonts w:ascii="Arial" w:cs="Arial" w:eastAsia="Arial" w:hAnsi="Arial"/>
          <w:sz w:val="14"/>
          <w:szCs w:val="14"/>
          <w:color w:val="auto"/>
        </w:rPr>
        <w:t>. The Agent shall have received a certificate of a Responsible Officer of the Company dated as of the Joinder No. 2 Effective Date certifying that the representations and warranties of the Company contained in Section 2 of this Agreement are true and correct; and</w:t>
      </w:r>
    </w:p>
    <w:p>
      <w:pPr>
        <w:spacing w:after="0" w:line="119" w:lineRule="exact"/>
        <w:rPr>
          <w:rFonts w:ascii="Arial" w:cs="Arial" w:eastAsia="Arial" w:hAnsi="Arial"/>
          <w:sz w:val="14"/>
          <w:szCs w:val="14"/>
          <w:color w:val="auto"/>
        </w:rPr>
      </w:pPr>
    </w:p>
    <w:p>
      <w:pPr>
        <w:ind w:firstLine="436"/>
        <w:spacing w:after="0" w:line="273" w:lineRule="auto"/>
        <w:tabs>
          <w:tab w:leader="none" w:pos="807"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Closing Certificates</w:t>
      </w:r>
      <w:r>
        <w:rPr>
          <w:rFonts w:ascii="Arial" w:cs="Arial" w:eastAsia="Arial" w:hAnsi="Arial"/>
          <w:sz w:val="14"/>
          <w:szCs w:val="14"/>
          <w:color w:val="auto"/>
        </w:rPr>
        <w:t>. The Agent shall have received a certificate of the Secretary or Assistant Secretary or similar officer of each Obligor dated as of the Joinder No. 2 Effective Date and certifying:</w:t>
      </w:r>
    </w:p>
    <w:p>
      <w:pPr>
        <w:spacing w:after="0" w:line="120" w:lineRule="exact"/>
        <w:rPr>
          <w:sz w:val="20"/>
          <w:szCs w:val="20"/>
          <w:color w:val="auto"/>
        </w:rPr>
      </w:pPr>
    </w:p>
    <w:p>
      <w:pPr>
        <w:jc w:val="both"/>
        <w:ind w:left="440" w:hanging="4"/>
        <w:spacing w:after="0" w:line="277" w:lineRule="auto"/>
        <w:tabs>
          <w:tab w:leader="none" w:pos="768"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that either (a) attached thereto is a true and complete copy of the certificate or articles of incorporation or other equivalent constituent and governing documents, including all amendments thereto, of such Obligor, certified as of a recent date by the Secretary of State (or other similar official or Governmental Authority) of the jurisdiction of its organization or by the Secretary or Assistant Secretary or similar officer of such Obligor or other person duly authorized by the constituent documents of such Obligor or (b) such certificate or articles of incorporation or other equivalent constituent and governing documents have not been amended since the Joinder No. 1 Effective Date,</w:t>
      </w:r>
    </w:p>
    <w:p>
      <w:pPr>
        <w:spacing w:after="0" w:line="119" w:lineRule="exact"/>
        <w:rPr>
          <w:rFonts w:ascii="Arial" w:cs="Arial" w:eastAsia="Arial" w:hAnsi="Arial"/>
          <w:sz w:val="13"/>
          <w:szCs w:val="13"/>
          <w:color w:val="auto"/>
        </w:rPr>
      </w:pPr>
    </w:p>
    <w:p>
      <w:pPr>
        <w:ind w:left="440" w:hanging="4"/>
        <w:spacing w:after="0" w:line="273" w:lineRule="auto"/>
        <w:tabs>
          <w:tab w:leader="none" w:pos="7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that attached thereto is a true and complete copy of a certificate as to the good standing of such Obligor as of a recent date from such Secretary of State (or other similar official or Governmental Authority),</w:t>
      </w:r>
    </w:p>
    <w:p>
      <w:pPr>
        <w:spacing w:after="0" w:line="119" w:lineRule="exact"/>
        <w:rPr>
          <w:rFonts w:ascii="Arial" w:cs="Arial" w:eastAsia="Arial" w:hAnsi="Arial"/>
          <w:sz w:val="14"/>
          <w:szCs w:val="14"/>
          <w:color w:val="auto"/>
        </w:rPr>
      </w:pPr>
    </w:p>
    <w:p>
      <w:pPr>
        <w:jc w:val="both"/>
        <w:ind w:left="440" w:hanging="4"/>
        <w:spacing w:after="0" w:line="257" w:lineRule="auto"/>
        <w:tabs>
          <w:tab w:leader="none" w:pos="75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that either (a) attached thereto is a true and complete copy of the by-laws (or other equivalent constituent and governing documents) of such Obligor as in effect on the Joinder No. 2 Effective Date and at all times since the date of the resolutions described in the following subclause (4) or (b) such by-laws (or other equivalent constituent and governing documents) have not been amended since the Joinder No. 1 Effective Date,</w:t>
      </w:r>
    </w:p>
    <w:p>
      <w:pPr>
        <w:spacing w:after="0" w:line="130" w:lineRule="exact"/>
        <w:rPr>
          <w:rFonts w:ascii="Arial" w:cs="Arial" w:eastAsia="Arial" w:hAnsi="Arial"/>
          <w:sz w:val="14"/>
          <w:szCs w:val="14"/>
          <w:color w:val="auto"/>
        </w:rPr>
      </w:pPr>
    </w:p>
    <w:p>
      <w:pPr>
        <w:jc w:val="both"/>
        <w:ind w:left="440" w:hanging="4"/>
        <w:spacing w:after="0" w:line="257" w:lineRule="auto"/>
        <w:tabs>
          <w:tab w:leader="none" w:pos="82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that attached thereto is a true and complete copy of resolutions duly adopted by the Board of Directors (or equivalent governing body) of such Obligor, authorizing the execution, delivery and performance by such Obligor of this Agreement and that such resolutions have not been modified, rescinded or amended and are in full force and effect on the Joinder No. 2 Effective Date, and</w:t>
      </w:r>
    </w:p>
    <w:p>
      <w:pPr>
        <w:spacing w:after="0" w:line="130" w:lineRule="exact"/>
        <w:rPr>
          <w:rFonts w:ascii="Arial" w:cs="Arial" w:eastAsia="Arial" w:hAnsi="Arial"/>
          <w:sz w:val="14"/>
          <w:szCs w:val="14"/>
          <w:color w:val="auto"/>
        </w:rPr>
      </w:pPr>
    </w:p>
    <w:p>
      <w:pPr>
        <w:ind w:left="440" w:right="20" w:hanging="4"/>
        <w:spacing w:after="0" w:line="273" w:lineRule="auto"/>
        <w:tabs>
          <w:tab w:leader="none" w:pos="77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to the incumbency and specimen signature of each officer or authorized signatory executing this Agreement or any other Loan Document delivered in connection herewith on behalf of such Obligor.</w:t>
      </w:r>
    </w:p>
    <w:p>
      <w:pPr>
        <w:spacing w:after="0" w:line="116" w:lineRule="exact"/>
        <w:rPr>
          <w:sz w:val="20"/>
          <w:szCs w:val="20"/>
          <w:color w:val="auto"/>
        </w:rPr>
      </w:pPr>
    </w:p>
    <w:p>
      <w:pPr>
        <w:ind w:left="440"/>
        <w:spacing w:after="0"/>
        <w:tabs>
          <w:tab w:leader="none" w:pos="1140" w:val="left"/>
        </w:tabs>
        <w:rPr>
          <w:sz w:val="20"/>
          <w:szCs w:val="20"/>
          <w:color w:val="auto"/>
        </w:rPr>
      </w:pPr>
      <w:r>
        <w:rPr>
          <w:rFonts w:ascii="Arial" w:cs="Arial" w:eastAsia="Arial" w:hAnsi="Arial"/>
          <w:sz w:val="14"/>
          <w:szCs w:val="14"/>
          <w:color w:val="auto"/>
        </w:rPr>
        <w:t>Section 4.</w:t>
      </w:r>
      <w:r>
        <w:rPr>
          <w:sz w:val="20"/>
          <w:szCs w:val="20"/>
          <w:color w:val="auto"/>
        </w:rPr>
        <w:tab/>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Agreement may be executed in any number</w:t>
      </w:r>
    </w:p>
    <w:p>
      <w:pPr>
        <w:sectPr>
          <w:pgSz w:w="11900" w:h="16838" w:orient="portrait"/>
          <w:cols w:equalWidth="0" w:num="1">
            <w:col w:w="10880"/>
          </w:cols>
          <w:pgMar w:left="720" w:top="130" w:right="29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Agreement by facsimile or any other electronic transmission shall be effective as delivery of a manually executed counterpart hereof. The words “executed,” “signed,” “signature,” “delivery,” and words of like import in or relating to this Agreement or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purposes of this Section 4, “Electronic Signature” means an electronic symbol or process attached to a contract or other record and adopted by a Person with the intent to sign, authenticate or accept such contract or record. The execution of this Agreement by the Company and its delivery thereof to the Agent shall constitute delivery to the Agent of the notice required by Section 2.15(a) of the Credit Agreement.</w:t>
      </w:r>
    </w:p>
    <w:p>
      <w:pPr>
        <w:spacing w:after="0" w:line="125"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color w:val="auto"/>
        </w:rPr>
        <w:t>Section 5.</w:t>
      </w:r>
      <w:r>
        <w:rPr>
          <w:sz w:val="20"/>
          <w:szCs w:val="20"/>
          <w:color w:val="auto"/>
        </w:rPr>
        <w:tab/>
      </w:r>
      <w:r>
        <w:rPr>
          <w:rFonts w:ascii="Arial" w:cs="Arial" w:eastAsia="Arial" w:hAnsi="Arial"/>
          <w:sz w:val="12"/>
          <w:szCs w:val="12"/>
          <w:b w:val="1"/>
          <w:bCs w:val="1"/>
          <w:u w:val="single" w:color="auto"/>
          <w:color w:val="auto"/>
        </w:rPr>
        <w:t>Governing Law; Jurisdiction; Consent to Service of Process;</w:t>
      </w:r>
    </w:p>
    <w:p>
      <w:pPr>
        <w:spacing w:after="0" w:line="1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u w:val="single" w:color="auto"/>
          <w:color w:val="auto"/>
        </w:rPr>
        <w:t>Waiver of Jury Trial</w:t>
      </w:r>
      <w:r>
        <w:rPr>
          <w:rFonts w:ascii="Arial" w:cs="Arial" w:eastAsia="Arial" w:hAnsi="Arial"/>
          <w:sz w:val="14"/>
          <w:szCs w:val="14"/>
          <w:color w:val="auto"/>
        </w:rPr>
        <w:t>. The provisions set forth in Sections 10.15 and 10.16 of the Credit Agreement are hereby incorporated</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mutatis mutandis</w:t>
      </w:r>
      <w:r>
        <w:rPr>
          <w:rFonts w:ascii="Arial" w:cs="Arial" w:eastAsia="Arial" w:hAnsi="Arial"/>
          <w:sz w:val="14"/>
          <w:szCs w:val="14"/>
          <w:b w:val="1"/>
          <w:bCs w:val="1"/>
          <w:color w:val="auto"/>
        </w:rPr>
        <w:t xml:space="preserve"> </w:t>
      </w:r>
      <w:r>
        <w:rPr>
          <w:rFonts w:ascii="Arial" w:cs="Arial" w:eastAsia="Arial" w:hAnsi="Arial"/>
          <w:sz w:val="14"/>
          <w:szCs w:val="14"/>
          <w:color w:val="auto"/>
        </w:rPr>
        <w:t>with all references to the “Agreement” therein being</w:t>
      </w:r>
      <w:r>
        <w:rPr>
          <w:rFonts w:ascii="Arial" w:cs="Arial" w:eastAsia="Arial" w:hAnsi="Arial"/>
          <w:sz w:val="14"/>
          <w:szCs w:val="14"/>
          <w:b w:val="1"/>
          <w:bCs w:val="1"/>
          <w:color w:val="auto"/>
        </w:rPr>
        <w:t xml:space="preserve"> </w:t>
      </w:r>
      <w:r>
        <w:rPr>
          <w:rFonts w:ascii="Arial" w:cs="Arial" w:eastAsia="Arial" w:hAnsi="Arial"/>
          <w:sz w:val="14"/>
          <w:szCs w:val="14"/>
          <w:color w:val="auto"/>
        </w:rPr>
        <w:t>deemed references to this Agreement.</w:t>
      </w:r>
    </w:p>
    <w:p>
      <w:pPr>
        <w:spacing w:after="0" w:line="128"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color w:val="auto"/>
        </w:rPr>
        <w:t>Section 6.</w:t>
      </w:r>
      <w:r>
        <w:rPr>
          <w:sz w:val="20"/>
          <w:szCs w:val="20"/>
          <w:color w:val="auto"/>
        </w:rPr>
        <w:tab/>
      </w:r>
      <w:r>
        <w:rPr>
          <w:rFonts w:ascii="Arial" w:cs="Arial" w:eastAsia="Arial" w:hAnsi="Arial"/>
          <w:sz w:val="12"/>
          <w:szCs w:val="12"/>
          <w:b w:val="1"/>
          <w:bCs w:val="1"/>
          <w:u w:val="single" w:color="auto"/>
          <w:color w:val="auto"/>
        </w:rPr>
        <w:t>Headings</w:t>
      </w:r>
      <w:r>
        <w:rPr>
          <w:rFonts w:ascii="Arial" w:cs="Arial" w:eastAsia="Arial" w:hAnsi="Arial"/>
          <w:sz w:val="12"/>
          <w:szCs w:val="12"/>
          <w:color w:val="auto"/>
        </w:rPr>
        <w:t>. The headings of this Agreement are for purposes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reference only and shall not limit or otherwise affect the meaning hereof.</w:t>
      </w:r>
    </w:p>
    <w:p>
      <w:pPr>
        <w:spacing w:after="0" w:line="147"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14"/>
          <w:szCs w:val="14"/>
          <w:color w:val="auto"/>
        </w:rPr>
        <w:t>Section 7.</w:t>
      </w:r>
      <w:r>
        <w:rPr>
          <w:sz w:val="20"/>
          <w:szCs w:val="20"/>
          <w:color w:val="auto"/>
        </w:rPr>
        <w:tab/>
      </w:r>
      <w:r>
        <w:rPr>
          <w:rFonts w:ascii="Arial" w:cs="Arial" w:eastAsia="Arial" w:hAnsi="Arial"/>
          <w:sz w:val="13"/>
          <w:szCs w:val="13"/>
          <w:b w:val="1"/>
          <w:bCs w:val="1"/>
          <w:u w:val="single" w:color="auto"/>
          <w:color w:val="auto"/>
        </w:rPr>
        <w:t>Effect of Agreement</w:t>
      </w:r>
      <w:r>
        <w:rPr>
          <w:rFonts w:ascii="Arial" w:cs="Arial" w:eastAsia="Arial" w:hAnsi="Arial"/>
          <w:sz w:val="13"/>
          <w:szCs w:val="13"/>
          <w:color w:val="auto"/>
        </w:rPr>
        <w:t>. Except as expressly set forth herein, (i) this</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Agreement shall not by implication or otherwise limit, impair, constitute a waiver of or otherwise affect the rights and remedies of the Lenders or the Agent, in each case under the Credit Agreement or any other Loan Document, and (ii) shall not alter, modify, amend or in any way affect any of the terms, conditions, obligations, covenants or agreements contained in the Credit Agreement or any other provision of either such agreement or any other Loan Document. This Agreement shall constitute a Loan Document for purposes of the Credit Agreement and from and after the Joinder No. 2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supplemented hereby. Each Obligor hereby (i) acknowledges all of the terms and conditions of this Agreement and confirms that all of its obligations under the Loan Documents to which it is a party shall continue to apply to the Credit Agreement as supplemented hereby, (ii) in the case of the Subsidiary Guarantor, reaffirms, as of the date hereof, its guarantee of the Secured Obligations under the Guarantee and Security Agreement and (iii) reaffirms its prior grant of Liens on the Collateral (as defined in the Guarantee and Security Agreement) to secure the Secured Obligations pursuant to the Guarantee and Security Agreement, and confirms that all such Liens shall continue in full force in effect after giving effect to this Agreement to secure the Secured Obligations including the Obligations in respect of the Joinder No. 2 New Revolving Commitment. This Agreement shall not constitute a novation of the Credit Agreement or the other Loan Documents.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pages follow]</w:t>
      </w:r>
    </w:p>
    <w:p>
      <w:pPr>
        <w:sectPr>
          <w:pgSz w:w="11900" w:h="16838" w:orient="portrait"/>
          <w:cols w:equalWidth="0" w:num="1">
            <w:col w:w="11300"/>
          </w:cols>
          <w:pgMar w:left="300" w:top="130" w:right="29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NMI HOLDINGS, INC.,</w:t>
      </w:r>
    </w:p>
    <w:p>
      <w:pPr>
        <w:spacing w:after="0" w:line="1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as Company</w:t>
      </w:r>
    </w:p>
    <w:p>
      <w:pPr>
        <w:spacing w:after="0" w:line="200" w:lineRule="exact"/>
        <w:rPr>
          <w:sz w:val="20"/>
          <w:szCs w:val="20"/>
          <w:color w:val="auto"/>
        </w:rPr>
      </w:pPr>
    </w:p>
    <w:p>
      <w:pPr>
        <w:spacing w:after="0" w:line="275"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Adam Pollitzer</w:t>
      </w:r>
    </w:p>
    <w:p>
      <w:pPr>
        <w:spacing w:after="0" w:line="13"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Name: Adam Pollitzer</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Title: Chief Financial Officer</w:t>
      </w:r>
    </w:p>
    <w:p>
      <w:pPr>
        <w:spacing w:after="0" w:line="31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NMI SERVICES, INC.,</w:t>
      </w:r>
    </w:p>
    <w:p>
      <w:pPr>
        <w:spacing w:after="0" w:line="13"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as a Subsidiary Guarantor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Adam Pollitzer</w:t>
      </w:r>
    </w:p>
    <w:p>
      <w:pPr>
        <w:spacing w:after="0" w:line="13"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Name: Adam Pollitzer</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Title: Chief Financial Officer &amp; Treasurer</w:t>
      </w:r>
    </w:p>
    <w:p>
      <w:pPr>
        <w:sectPr>
          <w:pgSz w:w="11900" w:h="16838" w:orient="portrait"/>
          <w:cols w:equalWidth="0" w:num="1">
            <w:col w:w="11300"/>
          </w:cols>
          <w:pgMar w:left="300" w:top="130"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JPMORGAN CHASE BANK, N.A.,</w:t>
      </w:r>
    </w:p>
    <w:p>
      <w:pPr>
        <w:spacing w:after="0" w:line="1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as Agent</w:t>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Kristen M. Murphy</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Name: Kristen M. Murphy</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Title: Vice President</w:t>
      </w:r>
    </w:p>
    <w:p>
      <w:pPr>
        <w:sectPr>
          <w:pgSz w:w="11900" w:h="16838" w:orient="portrait"/>
          <w:cols w:equalWidth="0" w:num="1">
            <w:col w:w="10160"/>
          </w:cols>
          <w:pgMar w:left="1440" w:top="130"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CITIBANK, N.A.,</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 Lender</w:t>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John Modin</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Name: John Modin</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Title:Vice President and Managing Director</w:t>
      </w:r>
    </w:p>
    <w:p>
      <w:pPr>
        <w:sectPr>
          <w:pgSz w:w="11900" w:h="16838" w:orient="portrait"/>
          <w:cols w:equalWidth="0" w:num="1">
            <w:col w:w="10160"/>
          </w:cols>
          <w:pgMar w:left="1440" w:top="130" w:right="299" w:bottom="1440" w:gutter="0" w:footer="0" w:header="0"/>
        </w:sectPr>
      </w:pPr>
    </w:p>
    <w:bookmarkStart w:id="71" w:name="page72"/>
    <w:bookmarkEnd w:id="71"/>
    <w:p>
      <w:pPr>
        <w:jc w:val="right"/>
        <w:spacing w:after="0"/>
        <w:rPr>
          <w:sz w:val="20"/>
          <w:szCs w:val="20"/>
          <w:color w:val="auto"/>
        </w:rPr>
      </w:pPr>
      <w:r>
        <w:rPr>
          <w:rFonts w:ascii="Arial" w:cs="Arial" w:eastAsia="Arial" w:hAnsi="Arial"/>
          <w:sz w:val="12"/>
          <w:szCs w:val="12"/>
          <w:b w:val="1"/>
          <w:bCs w:val="1"/>
          <w:color w:val="auto"/>
        </w:rPr>
        <w:t>EXHIBIT 31.1</w:t>
      </w:r>
    </w:p>
    <w:p>
      <w:pPr>
        <w:spacing w:after="0" w:line="33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OFFICER’S CERTIFICATION PURSUANT TO</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31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Claudia J. Merkle, certify that:</w:t>
      </w:r>
    </w:p>
    <w:p>
      <w:pPr>
        <w:spacing w:after="0" w:line="78" w:lineRule="exact"/>
        <w:rPr>
          <w:sz w:val="20"/>
          <w:szCs w:val="20"/>
          <w:color w:val="auto"/>
        </w:rPr>
      </w:pPr>
    </w:p>
    <w:p>
      <w:pPr>
        <w:ind w:left="208" w:hanging="208"/>
        <w:spacing w:after="0"/>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NMI Holdings, Inc.;</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8" w:right="20" w:hanging="216"/>
        <w:spacing w:after="0" w:line="276" w:lineRule="auto"/>
        <w:tabs>
          <w:tab w:leader="none" w:pos="642"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648" w:hanging="216"/>
        <w:spacing w:after="0" w:line="276" w:lineRule="auto"/>
        <w:tabs>
          <w:tab w:leader="none" w:pos="640" w:val="left"/>
        </w:tabs>
        <w:numPr>
          <w:ilvl w:val="1"/>
          <w:numId w:val="3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648" w:hanging="216"/>
        <w:spacing w:after="0" w:line="276" w:lineRule="auto"/>
        <w:tabs>
          <w:tab w:leader="none" w:pos="642" w:val="left"/>
        </w:tabs>
        <w:numPr>
          <w:ilvl w:val="1"/>
          <w:numId w:val="3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648" w:hanging="216"/>
        <w:spacing w:after="0" w:line="276" w:lineRule="auto"/>
        <w:tabs>
          <w:tab w:leader="none" w:pos="640" w:val="left"/>
        </w:tabs>
        <w:numPr>
          <w:ilvl w:val="1"/>
          <w:numId w:val="3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648" w:hanging="216"/>
        <w:spacing w:after="0" w:line="276" w:lineRule="auto"/>
        <w:tabs>
          <w:tab w:leader="none" w:pos="642" w:val="left"/>
        </w:tabs>
        <w:numPr>
          <w:ilvl w:val="1"/>
          <w:numId w:val="3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648" w:hanging="216"/>
        <w:spacing w:after="0"/>
        <w:tabs>
          <w:tab w:leader="none" w:pos="648" w:val="left"/>
        </w:tabs>
        <w:numPr>
          <w:ilvl w:val="1"/>
          <w:numId w:val="3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tbl>
      <w:tblPr>
        <w:tblLayout w:type="fixed"/>
        <w:tblInd w:w="1088" w:type="dxa"/>
        <w:tblCellMar>
          <w:top w:w="0" w:type="dxa"/>
          <w:left w:w="0" w:type="dxa"/>
          <w:bottom w:w="0" w:type="dxa"/>
          <w:right w:w="0" w:type="dxa"/>
        </w:tblCellMar>
      </w:tblPr>
      <w:tr>
        <w:trPr>
          <w:trHeight w:val="138"/>
        </w:trPr>
        <w:tc>
          <w:tcPr>
            <w:tcW w:w="4180" w:type="dxa"/>
            <w:vAlign w:val="bottom"/>
            <w:gridSpan w:val="2"/>
          </w:tcPr>
          <w:p>
            <w:pPr>
              <w:spacing w:after="0"/>
              <w:rPr>
                <w:sz w:val="20"/>
                <w:szCs w:val="20"/>
                <w:color w:val="auto"/>
              </w:rPr>
            </w:pPr>
            <w:r>
              <w:rPr>
                <w:rFonts w:ascii="Arial" w:cs="Arial" w:eastAsia="Arial" w:hAnsi="Arial"/>
                <w:sz w:val="12"/>
                <w:szCs w:val="12"/>
                <w:color w:val="auto"/>
              </w:rPr>
              <w:t>August 3, 2021</w:t>
            </w:r>
          </w:p>
        </w:tc>
        <w:tc>
          <w:tcPr>
            <w:tcW w:w="1860" w:type="dxa"/>
            <w:vAlign w:val="bottom"/>
          </w:tcPr>
          <w:p>
            <w:pPr>
              <w:spacing w:after="0"/>
              <w:rPr>
                <w:sz w:val="20"/>
                <w:szCs w:val="20"/>
                <w:color w:val="auto"/>
              </w:rPr>
            </w:pPr>
            <w:r>
              <w:rPr>
                <w:rFonts w:ascii="Arial" w:cs="Arial" w:eastAsia="Arial" w:hAnsi="Arial"/>
                <w:sz w:val="12"/>
                <w:szCs w:val="12"/>
                <w:color w:val="auto"/>
              </w:rPr>
              <w:t>/s/ Claudia J. Merkle</w:t>
            </w:r>
          </w:p>
        </w:tc>
      </w:tr>
      <w:tr>
        <w:trPr>
          <w:trHeight w:val="160"/>
        </w:trPr>
        <w:tc>
          <w:tcPr>
            <w:tcW w:w="740" w:type="dxa"/>
            <w:vAlign w:val="bottom"/>
            <w:tcBorders>
              <w:top w:val="single" w:sz="8" w:color="auto"/>
            </w:tcBorders>
          </w:tcPr>
          <w:p>
            <w:pPr>
              <w:spacing w:after="0"/>
              <w:rPr>
                <w:sz w:val="13"/>
                <w:szCs w:val="13"/>
                <w:color w:val="auto"/>
              </w:rPr>
            </w:pPr>
          </w:p>
        </w:tc>
        <w:tc>
          <w:tcPr>
            <w:tcW w:w="3440" w:type="dxa"/>
            <w:vAlign w:val="bottom"/>
          </w:tcPr>
          <w:p>
            <w:pPr>
              <w:spacing w:after="0"/>
              <w:rPr>
                <w:sz w:val="13"/>
                <w:szCs w:val="13"/>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Claudia J. Merkle</w:t>
            </w:r>
          </w:p>
        </w:tc>
      </w:tr>
      <w:tr>
        <w:trPr>
          <w:trHeight w:val="153"/>
        </w:trPr>
        <w:tc>
          <w:tcPr>
            <w:tcW w:w="7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7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308"/>
          </w:cols>
          <w:pgMar w:left="292" w:top="163"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12"/>
          <w:szCs w:val="12"/>
          <w:b w:val="1"/>
          <w:bCs w:val="1"/>
          <w:color w:val="auto"/>
        </w:rPr>
        <w:t>EXHIBIT 31.2</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FINANCIAL OFFICER’S CERTIFICATION PURSUANT TO</w:t>
      </w:r>
    </w:p>
    <w:p>
      <w:pPr>
        <w:spacing w:after="0" w:line="6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7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Adam S. Pollitzer, certify that:</w:t>
      </w:r>
    </w:p>
    <w:p>
      <w:pPr>
        <w:spacing w:after="0" w:line="105"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NMI Holdings, Inc.;</w:t>
      </w:r>
    </w:p>
    <w:p>
      <w:pPr>
        <w:spacing w:after="0" w:line="114"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for the registrant and have:</w:t>
      </w:r>
    </w:p>
    <w:p>
      <w:pPr>
        <w:spacing w:after="0" w:line="125" w:lineRule="exact"/>
        <w:rPr>
          <w:rFonts w:ascii="Arial" w:cs="Arial" w:eastAsia="Arial" w:hAnsi="Arial"/>
          <w:sz w:val="11"/>
          <w:szCs w:val="11"/>
          <w:color w:val="auto"/>
        </w:rPr>
      </w:pPr>
    </w:p>
    <w:p>
      <w:pPr>
        <w:ind w:left="548" w:right="20" w:hanging="224"/>
        <w:spacing w:after="0" w:line="276" w:lineRule="auto"/>
        <w:tabs>
          <w:tab w:leader="none" w:pos="542"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548" w:hanging="224"/>
        <w:spacing w:after="0" w:line="276" w:lineRule="auto"/>
        <w:tabs>
          <w:tab w:leader="none" w:pos="54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548" w:hanging="224"/>
        <w:spacing w:after="0" w:line="276" w:lineRule="auto"/>
        <w:tabs>
          <w:tab w:leader="none" w:pos="542" w:val="left"/>
        </w:tabs>
        <w:numPr>
          <w:ilvl w:val="1"/>
          <w:numId w:val="3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548" w:right="20" w:hanging="224"/>
        <w:spacing w:after="0" w:line="276" w:lineRule="auto"/>
        <w:tabs>
          <w:tab w:leader="none" w:pos="540" w:val="left"/>
        </w:tabs>
        <w:numPr>
          <w:ilvl w:val="1"/>
          <w:numId w:val="3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208" w:hanging="208"/>
        <w:spacing w:after="0" w:line="276" w:lineRule="auto"/>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548" w:hanging="224"/>
        <w:spacing w:after="0" w:line="276" w:lineRule="auto"/>
        <w:tabs>
          <w:tab w:leader="none" w:pos="542" w:val="left"/>
        </w:tabs>
        <w:numPr>
          <w:ilvl w:val="1"/>
          <w:numId w:val="3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528" w:hanging="204"/>
        <w:spacing w:after="0"/>
        <w:tabs>
          <w:tab w:leader="none" w:pos="528" w:val="left"/>
        </w:tabs>
        <w:numPr>
          <w:ilvl w:val="1"/>
          <w:numId w:val="3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tbl>
      <w:tblPr>
        <w:tblLayout w:type="fixed"/>
        <w:tblInd w:w="228" w:type="dxa"/>
        <w:tblCellMar>
          <w:top w:w="0" w:type="dxa"/>
          <w:left w:w="0" w:type="dxa"/>
          <w:bottom w:w="0" w:type="dxa"/>
          <w:right w:w="0" w:type="dxa"/>
        </w:tblCellMar>
      </w:tblPr>
      <w:tr>
        <w:trPr>
          <w:trHeight w:val="138"/>
        </w:trPr>
        <w:tc>
          <w:tcPr>
            <w:tcW w:w="4320" w:type="dxa"/>
            <w:vAlign w:val="bottom"/>
            <w:gridSpan w:val="2"/>
          </w:tcPr>
          <w:p>
            <w:pPr>
              <w:spacing w:after="0"/>
              <w:rPr>
                <w:sz w:val="20"/>
                <w:szCs w:val="20"/>
                <w:color w:val="auto"/>
              </w:rPr>
            </w:pPr>
            <w:r>
              <w:rPr>
                <w:rFonts w:ascii="Arial" w:cs="Arial" w:eastAsia="Arial" w:hAnsi="Arial"/>
                <w:sz w:val="12"/>
                <w:szCs w:val="12"/>
                <w:color w:val="auto"/>
              </w:rPr>
              <w:t>August 3, 2021</w:t>
            </w:r>
          </w:p>
        </w:tc>
        <w:tc>
          <w:tcPr>
            <w:tcW w:w="1940" w:type="dxa"/>
            <w:vAlign w:val="bottom"/>
          </w:tcPr>
          <w:p>
            <w:pPr>
              <w:spacing w:after="0"/>
              <w:rPr>
                <w:sz w:val="20"/>
                <w:szCs w:val="20"/>
                <w:color w:val="auto"/>
              </w:rPr>
            </w:pPr>
            <w:r>
              <w:rPr>
                <w:rFonts w:ascii="Arial" w:cs="Arial" w:eastAsia="Arial" w:hAnsi="Arial"/>
                <w:sz w:val="12"/>
                <w:szCs w:val="12"/>
                <w:color w:val="auto"/>
              </w:rPr>
              <w:t>/s/ Adam Pollitzer</w:t>
            </w:r>
          </w:p>
        </w:tc>
      </w:tr>
      <w:tr>
        <w:trPr>
          <w:trHeight w:val="160"/>
        </w:trPr>
        <w:tc>
          <w:tcPr>
            <w:tcW w:w="740" w:type="dxa"/>
            <w:vAlign w:val="bottom"/>
            <w:tcBorders>
              <w:top w:val="single" w:sz="8" w:color="auto"/>
            </w:tcBorders>
          </w:tcPr>
          <w:p>
            <w:pPr>
              <w:spacing w:after="0"/>
              <w:rPr>
                <w:sz w:val="13"/>
                <w:szCs w:val="13"/>
                <w:color w:val="auto"/>
              </w:rPr>
            </w:pPr>
          </w:p>
        </w:tc>
        <w:tc>
          <w:tcPr>
            <w:tcW w:w="3580" w:type="dxa"/>
            <w:vAlign w:val="bottom"/>
          </w:tcPr>
          <w:p>
            <w:pPr>
              <w:spacing w:after="0"/>
              <w:rPr>
                <w:sz w:val="13"/>
                <w:szCs w:val="13"/>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Adam S. Pollitzer</w:t>
            </w:r>
          </w:p>
        </w:tc>
      </w:tr>
      <w:tr>
        <w:trPr>
          <w:trHeight w:val="153"/>
        </w:trPr>
        <w:tc>
          <w:tcPr>
            <w:tcW w:w="7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7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8"/>
          </w:cols>
          <w:pgMar w:left="292" w:top="163" w:right="299" w:bottom="1440" w:gutter="0" w:footer="0" w:header="0"/>
        </w:sectPr>
      </w:pPr>
    </w:p>
    <w:bookmarkStart w:id="73" w:name="page74"/>
    <w:bookmarkEnd w:id="73"/>
    <w:p>
      <w:pPr>
        <w:jc w:val="right"/>
        <w:spacing w:after="0"/>
        <w:rPr>
          <w:sz w:val="20"/>
          <w:szCs w:val="20"/>
          <w:color w:val="auto"/>
        </w:rPr>
      </w:pPr>
      <w:r>
        <w:rPr>
          <w:rFonts w:ascii="Arial" w:cs="Arial" w:eastAsia="Arial" w:hAnsi="Arial"/>
          <w:sz w:val="12"/>
          <w:szCs w:val="12"/>
          <w:b w:val="1"/>
          <w:bCs w:val="1"/>
          <w:color w:val="auto"/>
        </w:rPr>
        <w:t>EXHIBIT 32.1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71"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In connection with the Quarterly Report of NMI Holdings, Inc. (the "Company") on Form 10-Q for the quarter ended June 30, 2021,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August 3, 2021</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2"/>
          <w:szCs w:val="12"/>
          <w:u w:val="single" w:color="auto"/>
          <w:color w:val="auto"/>
        </w:rPr>
        <w:t>/s/ Claudia J. Merkle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Claudia Merkle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Chief Executive Officer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(Principal Executive Officer)</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2"/>
          <w:szCs w:val="12"/>
          <w:u w:val="single" w:color="auto"/>
          <w:color w:val="auto"/>
        </w:rPr>
        <w:t>August 3, 2021</w:t>
      </w:r>
    </w:p>
    <w:p>
      <w:pPr>
        <w:spacing w:after="0" w:line="159" w:lineRule="exact"/>
        <w:rPr>
          <w:sz w:val="20"/>
          <w:szCs w:val="20"/>
          <w:color w:val="auto"/>
        </w:rPr>
      </w:pPr>
    </w:p>
    <w:p>
      <w:pPr>
        <w:ind w:left="5660"/>
        <w:spacing w:after="0"/>
        <w:rPr>
          <w:sz w:val="20"/>
          <w:szCs w:val="20"/>
          <w:color w:val="auto"/>
        </w:rPr>
      </w:pPr>
      <w:r>
        <w:rPr>
          <w:rFonts w:ascii="Arial" w:cs="Arial" w:eastAsia="Arial" w:hAnsi="Arial"/>
          <w:sz w:val="12"/>
          <w:szCs w:val="12"/>
          <w:u w:val="single" w:color="auto"/>
          <w:color w:val="auto"/>
        </w:rPr>
        <w:t>/s/ Adam S. Pollitzer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Adam S. Pollitzer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Chief Financial Officer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(Principal Financial Officer)</w:t>
      </w:r>
    </w:p>
    <w:p>
      <w:pPr>
        <w:spacing w:after="0" w:line="168" w:lineRule="exact"/>
        <w:rPr>
          <w:sz w:val="20"/>
          <w:szCs w:val="20"/>
          <w:color w:val="auto"/>
        </w:rPr>
      </w:pPr>
    </w:p>
    <w:p>
      <w:pPr>
        <w:ind w:right="20"/>
        <w:spacing w:after="0" w:line="323" w:lineRule="auto"/>
        <w:rPr>
          <w:sz w:val="20"/>
          <w:szCs w:val="20"/>
          <w:color w:val="auto"/>
        </w:rPr>
      </w:pPr>
      <w:r>
        <w:rPr>
          <w:rFonts w:ascii="Arial" w:cs="Arial" w:eastAsia="Arial" w:hAnsi="Arial"/>
          <w:sz w:val="11"/>
          <w:szCs w:val="11"/>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300"/>
      </w:cols>
      <w:pgMar w:left="300" w:top="16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Roman"/>
      <w:start w:val="4"/>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4"/>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lowerRoman"/>
      <w:start w:val="3"/>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30" Type="http://schemas.openxmlformats.org/officeDocument/2006/relationships/image" Target="media/image72.png"/><Relationship Id="rId131" Type="http://schemas.openxmlformats.org/officeDocument/2006/relationships/image" Target="media/image73.png"/><Relationship Id="rId75" Type="http://schemas.openxmlformats.org/officeDocument/2006/relationships/hyperlink" Target="http://www.sec.gov/Archives/edgar/data/1547903/000154790313000020/a21macstockpurchaseagreeme.htm" TargetMode="External"/><Relationship Id="rId76" Type="http://schemas.openxmlformats.org/officeDocument/2006/relationships/hyperlink" Target="http://www.sec.gov/Archives/edgar/data/1547903/000154790313000020/a22amendmenttomacpurhcasea.htm" TargetMode="External"/><Relationship Id="rId77" Type="http://schemas.openxmlformats.org/officeDocument/2006/relationships/hyperlink" Target="http://www.sec.gov/Archives/edgar/data/1547903/000154790313000020/a31secondamendedandrestate.htm" TargetMode="External"/><Relationship Id="rId78" Type="http://schemas.openxmlformats.org/officeDocument/2006/relationships/hyperlink" Target="http://www.sec.gov/Archives/edgar/data/1547903/000154790314000152/exhibit31december92014.htm" TargetMode="External"/><Relationship Id="rId79" Type="http://schemas.openxmlformats.org/officeDocument/2006/relationships/hyperlink" Target="http://www.sec.gov/Archives/edgar/data/1547903/000154790313000020/a41specimenclassacommonsto.htm" TargetMode="External"/><Relationship Id="rId80" Type="http://schemas.openxmlformats.org/officeDocument/2006/relationships/hyperlink" Target="http://www.sec.gov/Archives/edgar/data/1547903/000154790313000020/a42registrationrightsagree.htm" TargetMode="External"/><Relationship Id="rId81" Type="http://schemas.openxmlformats.org/officeDocument/2006/relationships/hyperlink" Target="http://www.sec.gov/Archives/edgar/data/1547903/000154790313000020/a43registrationrightsagree.htm" TargetMode="External"/><Relationship Id="rId82" Type="http://schemas.openxmlformats.org/officeDocument/2006/relationships/hyperlink" Target="http://www.sec.gov/Archives/edgar/data/1547903/000154790313000020/a44registrationrightsagree.htm" TargetMode="External"/><Relationship Id="rId83" Type="http://schemas.openxmlformats.org/officeDocument/2006/relationships/hyperlink" Target="http://www.sec.gov/Archives/edgar/data/1547903/000154790313000020/a45warrantno1fbrcapitalmar.htm" TargetMode="External"/><Relationship Id="rId84" Type="http://schemas.openxmlformats.org/officeDocument/2006/relationships/hyperlink" Target="http://www.sec.gov/Archives/edgar/data/1547903/000154790313000020/a46warrantno2macfinancial4.htm" TargetMode="External"/><Relationship Id="rId85" Type="http://schemas.openxmlformats.org/officeDocument/2006/relationships/hyperlink" Target="https://www.sec.gov/Archives/edgar/data/1547903/000119312520174237/d949308dex41.htm" TargetMode="External"/><Relationship Id="rId86" Type="http://schemas.openxmlformats.org/officeDocument/2006/relationships/hyperlink" Target="http://www.sec.gov/Archives/edgar/data/1547903/000154790313000020/a101nmiholdingsinc2012stoc.htm" TargetMode="External"/><Relationship Id="rId87" Type="http://schemas.openxmlformats.org/officeDocument/2006/relationships/hyperlink" Target="http://www.sec.gov/Archives/edgar/data/1547903/000154790313000020/a103formofnmiholdingsinc20.htm" TargetMode="External"/><Relationship Id="rId88" Type="http://schemas.openxmlformats.org/officeDocument/2006/relationships/hyperlink" Target="http://www.sec.gov/Archives/edgar/data/1547903/000154790313000020/a105formofnonqualifiedstoc.htm" TargetMode="External"/><Relationship Id="rId89" Type="http://schemas.openxmlformats.org/officeDocument/2006/relationships/hyperlink" Target="http://www.sec.gov/Archives/edgar/data/1547903/000154790313000020/a106formofnonqualifiedstoc.htm" TargetMode="External"/><Relationship Id="rId90" Type="http://schemas.openxmlformats.org/officeDocument/2006/relationships/hyperlink" Target="http://www.sec.gov/Archives/edgar/data/1547903/000154790313000020/a107formofnonqualifiedstoc.htm" TargetMode="External"/><Relationship Id="rId91" Type="http://schemas.openxmlformats.org/officeDocument/2006/relationships/hyperlink" Target="http://www.sec.gov/Archives/edgar/data/1547903/000154790317000032/exhibit108-2012stockincent.htm" TargetMode="External"/><Relationship Id="rId92" Type="http://schemas.openxmlformats.org/officeDocument/2006/relationships/hyperlink" Target="http://www.sec.gov/Archives/edgar/data/1547903/000154790317000032/exhibit109-2012stockincent.htm" TargetMode="External"/><Relationship Id="rId93" Type="http://schemas.openxmlformats.org/officeDocument/2006/relationships/hyperlink" Target="http://www.sec.gov/Archives/edgar/data/1547903/000154790315000172/a20151223shusteremployment.htm" TargetMode="External"/><Relationship Id="rId94" Type="http://schemas.openxmlformats.org/officeDocument/2006/relationships/hyperlink" Target="http://www.sec.gov/Archives/edgar/data/1547903/000154790316000230/exhibit1010leatherberrybil.htm" TargetMode="External"/><Relationship Id="rId97" Type="http://schemas.openxmlformats.org/officeDocument/2006/relationships/hyperlink" Target="http://www.sec.gov/Archives/edgar/data/1547903/000154790317000003/exhibit101offerletterdated.htm" TargetMode="External"/><Relationship Id="rId98" Type="http://schemas.openxmlformats.org/officeDocument/2006/relationships/hyperlink" Target="http://www.sec.gov/Archives/edgar/data/1547903/000154790314000146/exhibit101november252014.htm" TargetMode="External"/><Relationship Id="rId99" Type="http://schemas.openxmlformats.org/officeDocument/2006/relationships/hyperlink" Target="http://www.sec.gov/Archives/edgar/data/1547903/000154790313000020/a1014commitmentletterforbu.htm" TargetMode="External"/><Relationship Id="rId100" Type="http://schemas.openxmlformats.org/officeDocument/2006/relationships/hyperlink" Target="http://www.sec.gov/Archives/edgar/data/1547903/000154790315000142/nmihexhibit41tlb.htm" TargetMode="External"/><Relationship Id="rId101" Type="http://schemas.openxmlformats.org/officeDocument/2006/relationships/hyperlink" Target="http://www.sec.gov/Archives/edgar/data/1547903/000154790317000005/exhibit101tlaandannex.htm" TargetMode="External"/><Relationship Id="rId102" Type="http://schemas.openxmlformats.org/officeDocument/2006/relationships/hyperlink" Target="http://www.sec.gov/Archives/edgar/data/1547903/000154790317000115/exhibit101amendmentno2.htm" TargetMode="External"/><Relationship Id="rId103" Type="http://schemas.openxmlformats.org/officeDocument/2006/relationships/hyperlink" Target="http://www.sec.gov/Archives/edgar/data/1547903/000154790318000088/exhibit41-creditagreement.htm" TargetMode="External"/><Relationship Id="rId104" Type="http://schemas.openxmlformats.org/officeDocument/2006/relationships/hyperlink" Target="https://www.sec.gov/Archives/edgar/data/1547903/000154790320000032/exhibit101-extensionam.htm" TargetMode="External"/><Relationship Id="rId105" Type="http://schemas.openxmlformats.org/officeDocument/2006/relationships/hyperlink" Target="https://www.sec.gov/Archives/edgar/data/1547903/000154790320000032/exhibit102joinderagree.htm" TargetMode="External"/><Relationship Id="rId106" Type="http://schemas.openxmlformats.org/officeDocument/2006/relationships/hyperlink" Target="https://www.sec.gov/Archives/edgar/data/1547903/000154790320000043/exhibit101-amendmentto.htm" TargetMode="External"/><Relationship Id="rId107" Type="http://schemas.openxmlformats.org/officeDocument/2006/relationships/hyperlink" Target="http://www.sec.gov/Archives/edgar/data/1547903/000154790317000043/nmihproxy2017.htm" TargetMode="External"/><Relationship Id="rId108" Type="http://schemas.openxmlformats.org/officeDocument/2006/relationships/hyperlink" Target="http://www.sec.gov/Archives/edgar/data/1547903/000154790317000100/ex1019rsuceo.htm" TargetMode="External"/><Relationship Id="rId109" Type="http://schemas.openxmlformats.org/officeDocument/2006/relationships/hyperlink" Target="http://www.sec.gov/Archives/edgar/data/1547903/000154790317000100/ex1020rsueo.htm" TargetMode="External"/><Relationship Id="rId110" Type="http://schemas.openxmlformats.org/officeDocument/2006/relationships/hyperlink" Target="http://www.sec.gov/Archives/edgar/data/1547903/000154790317000100/ex1021rsuee.htm" TargetMode="External"/><Relationship Id="rId111" Type="http://schemas.openxmlformats.org/officeDocument/2006/relationships/hyperlink" Target="http://www.sec.gov/Archives/edgar/data/1547903/000154790317000100/ex1022rsuindependentdirect.htm" TargetMode="External"/><Relationship Id="rId112" Type="http://schemas.openxmlformats.org/officeDocument/2006/relationships/hyperlink" Target="http://www.sec.gov/Archives/edgar/data/1547903/000154790317000100/ex1023nqsceo.htm" TargetMode="External"/><Relationship Id="rId113" Type="http://schemas.openxmlformats.org/officeDocument/2006/relationships/hyperlink" Target="http://www.sec.gov/Archives/edgar/data/1547903/000154790317000100/ex1024nqseoee.htm" TargetMode="External"/><Relationship Id="rId114" Type="http://schemas.openxmlformats.org/officeDocument/2006/relationships/hyperlink" Target="http://www.sec.gov/Archives/edgar/data/1547903/000154790317000032/exhibit1026-2014omnibusinc.htm" TargetMode="External"/><Relationship Id="rId115" Type="http://schemas.openxmlformats.org/officeDocument/2006/relationships/hyperlink" Target="http://www.sec.gov/Archives/edgar/data/1547903/000154790316000185/ex101severancebenefitplan.htm" TargetMode="External"/><Relationship Id="rId116" Type="http://schemas.openxmlformats.org/officeDocument/2006/relationships/hyperlink" Target="http://www.sec.gov/Archives/edgar/data/1547903/000154790318000133/exhibit1030arcicsbp.htm" TargetMode="External"/><Relationship Id="rId119" Type="http://schemas.openxmlformats.org/officeDocument/2006/relationships/hyperlink" Target="http://www.sec.gov/Archives/edgar/data/1547903/000154790317000035/exhibit102.htm" TargetMode="External"/><Relationship Id="rId120" Type="http://schemas.openxmlformats.org/officeDocument/2006/relationships/hyperlink" Target="http://www.sec.gov/Archives/edgar/data/1547903/000154790318000137/exhibit101shuster.htm" TargetMode="External"/><Relationship Id="rId121" Type="http://schemas.openxmlformats.org/officeDocument/2006/relationships/hyperlink" Target="http://www.sec.gov/Archives/edgar/data/1547903/000154790318000137/exhibit102merkle.htm" TargetMode="External"/><Relationship Id="rId122" Type="http://schemas.openxmlformats.org/officeDocument/2006/relationships/hyperlink" Target="http://www.sec.gov/Archives/edgar/data/1547903/000154790319000064/exhibit1030.htm" TargetMode="External"/><Relationship Id="rId123" Type="http://schemas.openxmlformats.org/officeDocument/2006/relationships/hyperlink" Target="http://www.sec.gov/Archives/edgar/data/1547903/000154790319000064/exhibit1031.htm" TargetMode="External"/><Relationship Id="rId124" Type="http://schemas.openxmlformats.org/officeDocument/2006/relationships/hyperlink" Target="http://www.sec.gov/Archives/edgar/data/1547903/000154790319000064/exhibit1032.htm" TargetMode="External"/><Relationship Id="rId125" Type="http://schemas.openxmlformats.org/officeDocument/2006/relationships/hyperlink" Target="http://www.sec.gov/Archives/edgar/data/1547903/000154790319000064/exhibit1033.htm" TargetMode="External"/><Relationship Id="rId126" Type="http://schemas.openxmlformats.org/officeDocument/2006/relationships/hyperlink" Target="http://www.sec.gov/Archives/edgar/data/1547903/000154790319000064/exhibit1034.htm" TargetMode="External"/><Relationship Id="rId127" Type="http://schemas.openxmlformats.org/officeDocument/2006/relationships/hyperlink" Target="http://www.sec.gov/Archives/edgar/data/1547903/000154790319000064/exhibit1035.htm" TargetMode="External"/><Relationship Id="rId128" Type="http://schemas.openxmlformats.org/officeDocument/2006/relationships/hyperlink" Target="https://www.sec.gov/Archives/edgar/data/1547903/000154790320000045/ex1038202010q.htm" TargetMode="External"/><Relationship Id="rId129"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2021-08-04T05:33:17Z</dcterms:created>
  <dcterms:modified xsi:type="dcterms:W3CDTF">2021-08-04T05:33:17Z</dcterms:modified>
</cp:coreProperties>
</file>