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660" w:hanging="407"/>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47" w:lineRule="exact"/>
        <w:rPr>
          <w:sz w:val="24"/>
          <w:szCs w:val="24"/>
          <w:color w:val="auto"/>
        </w:rPr>
      </w:pPr>
    </w:p>
    <w:p>
      <w:pPr>
        <w:ind w:left="660"/>
        <w:spacing w:after="0"/>
        <w:tabs>
          <w:tab w:leader="none" w:pos="5940" w:val="left"/>
        </w:tabs>
        <w:rPr>
          <w:sz w:val="20"/>
          <w:szCs w:val="20"/>
          <w:color w:val="auto"/>
        </w:rPr>
      </w:pPr>
      <w:r>
        <w:rPr>
          <w:rFonts w:ascii="Times New Roman" w:cs="Times New Roman" w:eastAsia="Times New Roman" w:hAnsi="Times New Roman"/>
          <w:sz w:val="17"/>
          <w:szCs w:val="17"/>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2024</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52" w:lineRule="exact"/>
        <w:rPr>
          <w:sz w:val="24"/>
          <w:szCs w:val="24"/>
          <w:color w:val="auto"/>
        </w:rPr>
      </w:pPr>
    </w:p>
    <w:p>
      <w:pPr>
        <w:ind w:left="640" w:right="2200" w:hanging="400"/>
        <w:spacing w:after="0" w:line="311" w:lineRule="auto"/>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 to 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jc w:val="right"/>
              <w:ind w:right="2656"/>
              <w:spacing w:after="0"/>
              <w:rPr>
                <w:sz w:val="20"/>
                <w:szCs w:val="20"/>
                <w:color w:val="auto"/>
              </w:rPr>
            </w:pPr>
            <w:r>
              <w:rPr>
                <w:rFonts w:ascii="Times New Roman" w:cs="Times New Roman" w:eastAsia="Times New Roman" w:hAnsi="Times New Roman"/>
                <w:sz w:val="17"/>
                <w:szCs w:val="17"/>
                <w:b w:val="1"/>
                <w:bCs w:val="1"/>
                <w:color w:val="auto"/>
              </w:rPr>
              <w:t>45-4914248</w:t>
            </w:r>
          </w:p>
        </w:tc>
      </w:tr>
      <w:tr>
        <w:trPr>
          <w:trHeight w:val="184"/>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 or organization)</w:t>
            </w:r>
          </w:p>
        </w:tc>
        <w:tc>
          <w:tcPr>
            <w:tcW w:w="69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339"/>
        </w:trPr>
        <w:tc>
          <w:tcPr>
            <w:tcW w:w="250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2100 Powell Street</w:t>
            </w:r>
          </w:p>
        </w:tc>
        <w:tc>
          <w:tcPr>
            <w:tcW w:w="18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Emeryville , CA</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jc w:val="right"/>
              <w:ind w:right="2856"/>
              <w:spacing w:after="0"/>
              <w:rPr>
                <w:sz w:val="20"/>
                <w:szCs w:val="20"/>
                <w:color w:val="auto"/>
              </w:rPr>
            </w:pPr>
            <w:r>
              <w:rPr>
                <w:rFonts w:ascii="Times New Roman" w:cs="Times New Roman" w:eastAsia="Times New Roman" w:hAnsi="Times New Roman"/>
                <w:sz w:val="17"/>
                <w:szCs w:val="17"/>
                <w:b w:val="1"/>
                <w:bCs w:val="1"/>
                <w:color w:val="auto"/>
              </w:rPr>
              <w:t>94608</w:t>
            </w:r>
          </w:p>
        </w:tc>
      </w:tr>
      <w:tr>
        <w:trPr>
          <w:trHeight w:val="184"/>
        </w:trPr>
        <w:tc>
          <w:tcPr>
            <w:tcW w:w="4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20" w:type="dxa"/>
            <w:vAlign w:val="bottom"/>
          </w:tcPr>
          <w:p>
            <w:pPr>
              <w:jc w:val="center"/>
              <w:ind w:right="259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35"/>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rPr>
              <w:t>(855) 530-6642</w:t>
            </w: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84"/>
        </w:trPr>
        <w:tc>
          <w:tcPr>
            <w:tcW w:w="2500" w:type="dxa"/>
            <w:vAlign w:val="bottom"/>
          </w:tcPr>
          <w:p>
            <w:pPr>
              <w:spacing w:after="0"/>
              <w:rPr>
                <w:sz w:val="16"/>
                <w:szCs w:val="16"/>
                <w:color w:val="auto"/>
              </w:rPr>
            </w:pPr>
          </w:p>
        </w:tc>
        <w:tc>
          <w:tcPr>
            <w:tcW w:w="5140" w:type="dxa"/>
            <w:vAlign w:val="bottom"/>
            <w:gridSpan w:val="3"/>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620" w:type="dxa"/>
            <w:vAlign w:val="bottom"/>
          </w:tcPr>
          <w:p>
            <w:pPr>
              <w:spacing w:after="0"/>
              <w:rPr>
                <w:sz w:val="16"/>
                <w:szCs w:val="16"/>
                <w:color w:val="auto"/>
              </w:rPr>
            </w:pPr>
          </w:p>
        </w:tc>
      </w:tr>
      <w:tr>
        <w:trPr>
          <w:trHeight w:val="311"/>
        </w:trPr>
        <w:tc>
          <w:tcPr>
            <w:tcW w:w="2500" w:type="dxa"/>
            <w:vAlign w:val="bottom"/>
          </w:tcPr>
          <w:p>
            <w:pPr>
              <w:spacing w:after="0"/>
              <w:rPr>
                <w:sz w:val="24"/>
                <w:szCs w:val="24"/>
                <w:color w:val="auto"/>
              </w:rPr>
            </w:pPr>
          </w:p>
        </w:tc>
        <w:tc>
          <w:tcPr>
            <w:tcW w:w="5140" w:type="dxa"/>
            <w:vAlign w:val="bottom"/>
            <w:gridSpan w:val="3"/>
          </w:tcPr>
          <w:p>
            <w:pPr>
              <w:jc w:val="center"/>
              <w:ind w:left="103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620" w:type="dxa"/>
            <w:vAlign w:val="bottom"/>
          </w:tcPr>
          <w:p>
            <w:pPr>
              <w:spacing w:after="0"/>
              <w:rPr>
                <w:sz w:val="24"/>
                <w:szCs w:val="24"/>
                <w:color w:val="auto"/>
              </w:rPr>
            </w:pPr>
          </w:p>
        </w:tc>
      </w:tr>
      <w:tr>
        <w:trPr>
          <w:trHeight w:val="26"/>
        </w:trPr>
        <w:tc>
          <w:tcPr>
            <w:tcW w:w="4340" w:type="dxa"/>
            <w:vAlign w:val="bottom"/>
            <w:tcBorders>
              <w:bottom w:val="single" w:sz="8" w:color="auto"/>
            </w:tcBorders>
            <w:gridSpan w:val="2"/>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5"/>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5"/>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Common Stock, par value $0.01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NMIH</w:t>
            </w:r>
          </w:p>
        </w:tc>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178"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6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Non-accelerated filer</w:t>
            </w:r>
          </w:p>
        </w:tc>
        <w:tc>
          <w:tcPr>
            <w:tcW w:w="166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94"/>
        </w:trPr>
        <w:tc>
          <w:tcPr>
            <w:tcW w:w="4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Rule 12b-2 of the Exchange Act.</w:t>
            </w:r>
          </w:p>
        </w:tc>
        <w:tc>
          <w:tcPr>
            <w:tcW w:w="1660" w:type="dxa"/>
            <w:vAlign w:val="bottom"/>
          </w:tcPr>
          <w:p>
            <w:pPr>
              <w:spacing w:after="0"/>
              <w:rPr>
                <w:sz w:val="24"/>
                <w:szCs w:val="24"/>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77"/>
        </w:trPr>
        <w:tc>
          <w:tcPr>
            <w:tcW w:w="464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3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32"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$0.01 par value per share, of the registrant outstanding on November 1, 2024 was 79,132,002 shares.</w:t>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72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32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6720" w:type="dxa"/>
            <w:vAlign w:val="bottom"/>
            <w:gridSpan w:val="3"/>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3</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rPr>
              <w:t>5</w:t>
            </w:r>
          </w:p>
        </w:tc>
      </w:tr>
      <w:tr>
        <w:trPr>
          <w:trHeight w:val="30"/>
        </w:trPr>
        <w:tc>
          <w:tcPr>
            <w:tcW w:w="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1.</w:t>
            </w:r>
          </w:p>
        </w:tc>
        <w:tc>
          <w:tcPr>
            <w:tcW w:w="146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Financial Statements</w:t>
            </w:r>
          </w:p>
        </w:tc>
        <w:tc>
          <w:tcPr>
            <w:tcW w:w="8540" w:type="dxa"/>
            <w:vAlign w:val="bottom"/>
            <w:gridSpan w:val="5"/>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rPr>
              <w:t>5</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27</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20" w:type="dxa"/>
            <w:vAlign w:val="bottom"/>
            <w:tcBorders>
              <w:left w:val="single" w:sz="8" w:color="0000FF"/>
            </w:tcBorders>
            <w:shd w:val="clear" w:color="auto" w:fill="0000FF"/>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3.</w:t>
            </w:r>
          </w:p>
        </w:tc>
        <w:tc>
          <w:tcPr>
            <w:tcW w:w="4200" w:type="dxa"/>
            <w:vAlign w:val="bottom"/>
            <w:gridSpan w:val="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51</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20" w:type="dxa"/>
            <w:vAlign w:val="bottom"/>
            <w:tcBorders>
              <w:left w:val="single" w:sz="8" w:color="0000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4.</w:t>
            </w:r>
          </w:p>
        </w:tc>
        <w:tc>
          <w:tcPr>
            <w:tcW w:w="4200" w:type="dxa"/>
            <w:vAlign w:val="bottom"/>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Controls and Procedures</w:t>
            </w:r>
          </w:p>
        </w:tc>
        <w:tc>
          <w:tcPr>
            <w:tcW w:w="5800" w:type="dxa"/>
            <w:vAlign w:val="bottom"/>
            <w:gridSpan w:val="2"/>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52</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0000FF"/>
                <w:w w:val="97"/>
              </w:rPr>
              <w:t>PART II</w:t>
            </w:r>
          </w:p>
        </w:tc>
        <w:tc>
          <w:tcPr>
            <w:tcW w:w="400" w:type="dxa"/>
            <w:vAlign w:val="bottom"/>
            <w:gridSpan w:val="2"/>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20" w:type="dxa"/>
            <w:vAlign w:val="bottom"/>
            <w:tcBorders>
              <w:left w:val="single" w:sz="8" w:color="CCEEFF"/>
            </w:tcBorders>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53</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400" w:type="dxa"/>
            <w:vAlign w:val="bottom"/>
            <w:gridSpan w:val="2"/>
          </w:tcPr>
          <w:p>
            <w:pPr>
              <w:spacing w:after="0"/>
              <w:rPr>
                <w:sz w:val="15"/>
                <w:szCs w:val="15"/>
                <w:color w:val="auto"/>
              </w:rPr>
            </w:pP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Legal Proceedings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ind w:left="120"/>
              <w:spacing w:after="0" w:line="182"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FF"/>
                <w:w w:val="98"/>
                <w:shd w:val="clear" w:color="auto" w:fill="CCEEFF"/>
              </w:rPr>
              <w:t>Risk Factors</w:t>
            </w:r>
          </w:p>
        </w:tc>
        <w:tc>
          <w:tcPr>
            <w:tcW w:w="3340" w:type="dxa"/>
            <w:vAlign w:val="bottom"/>
            <w:gridSpan w:val="5"/>
            <w:shd w:val="clear" w:color="auto" w:fill="CCEEFF"/>
          </w:tcPr>
          <w:p>
            <w:pPr>
              <w:spacing w:after="0"/>
              <w:rPr>
                <w:sz w:val="15"/>
                <w:szCs w:val="15"/>
                <w:color w:val="auto"/>
              </w:rPr>
            </w:pPr>
          </w:p>
        </w:tc>
        <w:tc>
          <w:tcPr>
            <w:tcW w:w="5800" w:type="dxa"/>
            <w:vAlign w:val="bottom"/>
            <w:tcBorders>
              <w:left w:val="single" w:sz="8" w:color="CCEEFF"/>
            </w:tcBorders>
            <w:gridSpan w:val="2"/>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FF"/>
                <w:w w:val="82"/>
              </w:rPr>
              <w:t>53</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ind w:left="120"/>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100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54</w:t>
            </w:r>
          </w:p>
        </w:tc>
      </w:tr>
      <w:tr>
        <w:trPr>
          <w:trHeight w:val="30"/>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120"/>
              <w:spacing w:after="0" w:line="193" w:lineRule="exact"/>
              <w:rPr>
                <w:sz w:val="20"/>
                <w:szCs w:val="20"/>
                <w:color w:val="auto"/>
              </w:rPr>
            </w:pPr>
            <w:r>
              <w:rPr>
                <w:rFonts w:ascii="Times New Roman" w:cs="Times New Roman" w:eastAsia="Times New Roman" w:hAnsi="Times New Roman"/>
                <w:sz w:val="17"/>
                <w:szCs w:val="17"/>
                <w:color w:val="auto"/>
              </w:rPr>
              <w:t>Item 6.</w:t>
            </w:r>
          </w:p>
        </w:tc>
        <w:tc>
          <w:tcPr>
            <w:tcW w:w="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w w:val="98"/>
              </w:rPr>
              <w:t>Exhibits</w:t>
            </w:r>
          </w:p>
        </w:tc>
        <w:tc>
          <w:tcPr>
            <w:tcW w:w="3620" w:type="dxa"/>
            <w:vAlign w:val="bottom"/>
            <w:gridSpan w:val="6"/>
            <w:shd w:val="clear" w:color="auto" w:fill="CCEEFF"/>
          </w:tcPr>
          <w:p>
            <w:pPr>
              <w:spacing w:after="0"/>
              <w:rPr>
                <w:sz w:val="16"/>
                <w:szCs w:val="16"/>
                <w:color w:val="auto"/>
              </w:rPr>
            </w:pPr>
          </w:p>
        </w:tc>
        <w:tc>
          <w:tcPr>
            <w:tcW w:w="5800" w:type="dxa"/>
            <w:vAlign w:val="bottom"/>
            <w:tcBorders>
              <w:left w:val="single" w:sz="8" w:color="CCEEFF"/>
            </w:tcBorders>
            <w:gridSpan w:val="2"/>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55</w:t>
            </w:r>
          </w:p>
        </w:tc>
      </w:tr>
      <w:tr>
        <w:trPr>
          <w:trHeight w:val="39"/>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20" w:type="dxa"/>
            <w:vAlign w:val="bottom"/>
            <w:tcBorders>
              <w:left w:val="single" w:sz="8" w:color="CCEEFF"/>
            </w:tcBorders>
            <w:shd w:val="clear" w:color="auto" w:fill="CCEEFF"/>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80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58</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72" w:lineRule="exact"/>
        <w:rPr>
          <w:sz w:val="20"/>
          <w:szCs w:val="20"/>
          <w:color w:val="auto"/>
        </w:rPr>
      </w:pPr>
    </w:p>
    <w:p>
      <w:pPr>
        <w:jc w:val="both"/>
        <w:ind w:firstLine="171"/>
        <w:spacing w:after="0" w:line="25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342" w:lineRule="exact"/>
        <w:rPr>
          <w:sz w:val="20"/>
          <w:szCs w:val="20"/>
          <w:color w:val="auto"/>
        </w:rPr>
      </w:pPr>
    </w:p>
    <w:p>
      <w:pPr>
        <w:jc w:val="both"/>
        <w:ind w:left="940" w:hanging="308"/>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16" w:lineRule="exact"/>
        <w:rPr>
          <w:rFonts w:ascii="Times New Roman" w:cs="Times New Roman" w:eastAsia="Times New Roman" w:hAnsi="Times New Roman"/>
          <w:sz w:val="17"/>
          <w:szCs w:val="17"/>
          <w:color w:val="auto"/>
        </w:rPr>
      </w:pPr>
    </w:p>
    <w:p>
      <w:pPr>
        <w:jc w:val="both"/>
        <w:ind w:left="940" w:hanging="308"/>
        <w:spacing w:after="0" w:line="26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charters, business practices, policies,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19"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our existing certificates of authority in each state and the District of Columbia (D.C.) and our ability to remain a mortgage insurer in good standing in each state and D.C.;</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liquidity and capital resources;</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tax reform and other potential changes in tax law and their impact on us and our operations;</w:t>
      </w:r>
    </w:p>
    <w:p>
      <w:pPr>
        <w:spacing w:after="0" w:line="170"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relating to the coronavirus (COVID-19) virus and its variants, including their impact on the global economy, the U.S. housing, real estate, housing finance and mortgage insurance markets, and our business, operations and personnel;</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the GSEs, or other market participants seeking alternatives to private mortgage insurance;</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a diverse customer base, including the largest mortgage originators;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risk management or pricing or investment strategies;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length of time our insurance policies are in force;</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emergence of unexpected claim and coverage issues, including claims exceeding our reserves or amounts we had expected to experience;</w:t>
      </w:r>
    </w:p>
    <w:p>
      <w:pPr>
        <w:spacing w:after="0" w:line="170"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94"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risk and efforts to manage or regulate climate risk by government agencies could affect our business and operations;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the occurrence of any man-made disasters or public health emergencies, including pandemics;</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counter-parties, including third-party reinsurers, to meet their obligations to us;</w:t>
      </w:r>
    </w:p>
    <w:p>
      <w:pPr>
        <w:spacing w:after="0" w:line="170" w:lineRule="exact"/>
        <w:rPr>
          <w:rFonts w:ascii="Times New Roman" w:cs="Times New Roman" w:eastAsia="Times New Roman" w:hAnsi="Times New Roman"/>
          <w:sz w:val="17"/>
          <w:szCs w:val="17"/>
          <w:color w:val="auto"/>
        </w:rPr>
      </w:pPr>
    </w:p>
    <w:p>
      <w:pPr>
        <w:ind w:left="940" w:hanging="308"/>
        <w:spacing w:after="0" w:line="26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improve and continue to develop necessary information technology (IT) systems or the failure of technology providers to perform;</w:t>
      </w:r>
    </w:p>
    <w:p>
      <w:pPr>
        <w:spacing w:after="0" w:line="357"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recruit, train and retain key personnel.</w:t>
      </w:r>
    </w:p>
    <w:p>
      <w:pPr>
        <w:spacing w:after="0" w:line="17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For more information regarding these risks and uncertainties as well as certain additional risks that we face, you should refer to Part I, Item 2,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Part II, Item 1A of this Report and in Part I, Item 1A, of our Annual Report on Form 10-K for the year ended December 31, 2023 (2023 10-K), as subsequently updated in other reports we file from time to time with the U.S. Securities and Exchange Commission (SEC).</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Condensed Consolidated Balance Sheets as of September 30, 2024 (Unaudited) and December 31, 2023</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r>
      <w:tr>
        <w:trPr>
          <w:trHeight w:val="178"/>
        </w:trPr>
        <w:tc>
          <w:tcPr>
            <w:tcW w:w="11060" w:type="dxa"/>
            <w:vAlign w:val="bottom"/>
            <w:tcBorders>
              <w:top w:val="single" w:sz="8" w:color="CCEEFF"/>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Condensed Consolidated Statements of Operations and Comprehensive Income for the three and nine months ended September 30, 2024 and 2023</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98"/>
        </w:trPr>
        <w:tc>
          <w:tcPr>
            <w:tcW w:w="110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(Unaudited)</w:t>
            </w:r>
          </w:p>
        </w:tc>
        <w:tc>
          <w:tcPr>
            <w:tcW w:w="1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7</w:t>
            </w:r>
          </w:p>
        </w:tc>
      </w:tr>
      <w:tr>
        <w:trPr>
          <w:trHeight w:val="187"/>
        </w:trPr>
        <w:tc>
          <w:tcPr>
            <w:tcW w:w="110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Condensed Consolidated Statements of Changes in Shareholders' Equity for the three months ended March 31, June 30, and September 30, 2024 and</w:t>
            </w:r>
          </w:p>
        </w:tc>
        <w:tc>
          <w:tcPr>
            <w:tcW w:w="80" w:type="dxa"/>
            <w:vAlign w:val="bottom"/>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8"/>
        </w:trPr>
        <w:tc>
          <w:tcPr>
            <w:tcW w:w="1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2023 (Unaudited)</w:t>
            </w:r>
          </w:p>
        </w:tc>
        <w:tc>
          <w:tcPr>
            <w:tcW w:w="1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8</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Condensed Consolidated Statements of Cash Flows for the nine months ended September 30, 2024 and 2023 (Unaudited)</w:t>
            </w:r>
          </w:p>
        </w:tc>
        <w:tc>
          <w:tcPr>
            <w:tcW w:w="18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7"/>
                <w:szCs w:val="17"/>
                <w:color w:val="0000FF"/>
                <w:w w:val="82"/>
              </w:rPr>
              <w:t>10</w:t>
            </w:r>
          </w:p>
        </w:tc>
      </w:tr>
      <w:tr>
        <w:trPr>
          <w:trHeight w:val="30"/>
        </w:trPr>
        <w:tc>
          <w:tcPr>
            <w:tcW w:w="110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Notes to Condensed Consolidated Financial Statements (Unaudited)</w:t>
            </w:r>
          </w:p>
        </w:tc>
        <w:tc>
          <w:tcPr>
            <w:tcW w:w="180" w:type="dxa"/>
            <w:vAlign w:val="bottom"/>
            <w:gridSpan w:val="3"/>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82"/>
              </w:rPr>
              <w:t>11</w:t>
            </w:r>
          </w:p>
        </w:tc>
      </w:tr>
      <w:tr>
        <w:trPr>
          <w:trHeight w:val="39"/>
        </w:trPr>
        <w:tc>
          <w:tcPr>
            <w:tcW w:w="110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Fixed maturities, available-for-sale, at fair value (amortized cost of $2,806,886 and $2,542,862 as of</w:t>
            </w: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September 30, 2024 and December 31, 2023, respectively)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2,708,286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Cash and cash equivalents (including restricted cash of $88 and $1,338 as of September 30, 2024 and</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19,785</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62,905</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and goodwill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19,244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16,965</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3,320,125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414,694</w:t>
            </w:r>
          </w:p>
        </w:tc>
        <w:tc>
          <w:tcPr>
            <w:tcW w:w="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397,595</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92,295</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86,189</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301,573</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Other liabilities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1,124,939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1,014,503</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Common stock - $0.01 par value; 87,901,225 shares issued and 79,320,863 shares outstanding as of</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60" w:type="dxa"/>
            <w:vAlign w:val="bottom"/>
          </w:tcPr>
          <w:p>
            <w:pPr>
              <w:ind w:left="220"/>
              <w:spacing w:after="0" w:line="178" w:lineRule="exact"/>
              <w:rPr>
                <w:sz w:val="20"/>
                <w:szCs w:val="20"/>
                <w:color w:val="auto"/>
              </w:rPr>
            </w:pPr>
            <w:r>
              <w:rPr>
                <w:rFonts w:ascii="Times New Roman" w:cs="Times New Roman" w:eastAsia="Times New Roman" w:hAnsi="Times New Roman"/>
                <w:sz w:val="17"/>
                <w:szCs w:val="17"/>
                <w:color w:val="auto"/>
              </w:rPr>
              <w:t>September 30, 2024 and 87,334,138 shares issued and 80,881,280 shares outstanding as of December 31,</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 (250,000,000 shares authorized)</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0" w:type="dxa"/>
            <w:vAlign w:val="bottom"/>
          </w:tcPr>
          <w:p>
            <w:pPr>
              <w:spacing w:after="0"/>
              <w:rPr>
                <w:sz w:val="1"/>
                <w:szCs w:val="1"/>
                <w:color w:val="auto"/>
              </w:rPr>
            </w:pPr>
          </w:p>
        </w:tc>
      </w:tr>
      <w:tr>
        <w:trPr>
          <w:trHeight w:val="170"/>
        </w:trPr>
        <w:tc>
          <w:tcPr>
            <w:tcW w:w="766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Treasury Stock, at cost: 8,580,362 and 6,452,858 common shares as of September 30, 2024 and</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1,497,092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2,195,186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3,320,125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“Reinsurance funds withheld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has been reclassified as “Other liabilities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4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ONDENSED CONSOLIDATED STATEMENTS OF OPERATIONS AND COMPREHENSIVE INCOME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premiums earned</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143,343</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130,089</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421,168</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377,828</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investment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49,265</w:t>
            </w:r>
          </w:p>
        </w:tc>
        <w:tc>
          <w:tcPr>
            <w:tcW w:w="0" w:type="dxa"/>
            <w:vAlign w:val="bottom"/>
          </w:tcPr>
          <w:p>
            <w:pPr>
              <w:spacing w:after="0"/>
              <w:rPr>
                <w:sz w:val="1"/>
                <w:szCs w:val="1"/>
                <w:color w:val="auto"/>
              </w:rPr>
            </w:pPr>
          </w:p>
        </w:tc>
      </w:tr>
      <w:tr>
        <w:trPr>
          <w:trHeight w:val="222"/>
        </w:trPr>
        <w:tc>
          <w:tcPr>
            <w:tcW w:w="6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166,092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148,159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484,467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427,623</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14,386</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80,983</w:t>
            </w:r>
          </w:p>
        </w:tc>
        <w:tc>
          <w:tcPr>
            <w:tcW w:w="0" w:type="dxa"/>
            <w:vAlign w:val="bottom"/>
          </w:tcPr>
          <w:p>
            <w:pPr>
              <w:spacing w:after="0"/>
              <w:rPr>
                <w:sz w:val="1"/>
                <w:szCs w:val="1"/>
                <w:color w:val="auto"/>
              </w:rPr>
            </w:pPr>
          </w:p>
        </w:tc>
      </w:tr>
      <w:tr>
        <w:trPr>
          <w:trHeight w:val="222"/>
        </w:trPr>
        <w:tc>
          <w:tcPr>
            <w:tcW w:w="6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Service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24,146</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40,859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131,929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120,101</w:t>
            </w:r>
          </w:p>
        </w:tc>
        <w:tc>
          <w:tcPr>
            <w:tcW w:w="0" w:type="dxa"/>
            <w:vAlign w:val="bottom"/>
          </w:tcPr>
          <w:p>
            <w:pPr>
              <w:spacing w:after="0"/>
              <w:rPr>
                <w:sz w:val="1"/>
                <w:szCs w:val="1"/>
                <w:color w:val="auto"/>
              </w:rPr>
            </w:pPr>
          </w:p>
        </w:tc>
      </w:tr>
      <w:tr>
        <w:trPr>
          <w:trHeight w:val="241"/>
        </w:trPr>
        <w:tc>
          <w:tcPr>
            <w:tcW w:w="6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307,522</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68,825</w:t>
            </w: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92,810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273,939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238,697</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22"/>
        </w:trPr>
        <w:tc>
          <w:tcPr>
            <w:tcW w:w="6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61"/>
        </w:trPr>
        <w:tc>
          <w:tcPr>
            <w:tcW w:w="6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82,879</w:t>
            </w:r>
          </w:p>
        </w:tc>
        <w:tc>
          <w:tcPr>
            <w:tcW w:w="0" w:type="dxa"/>
            <w:vAlign w:val="bottom"/>
          </w:tcPr>
          <w:p>
            <w:pPr>
              <w:spacing w:after="0"/>
              <w:rPr>
                <w:sz w:val="1"/>
                <w:szCs w:val="1"/>
                <w:color w:val="auto"/>
              </w:rPr>
            </w:pPr>
          </w:p>
        </w:tc>
      </w:tr>
      <w:tr>
        <w:trPr>
          <w:trHeight w:val="222"/>
        </w:trPr>
        <w:tc>
          <w:tcPr>
            <w:tcW w:w="6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84,236</w:t>
            </w:r>
          </w:p>
        </w:tc>
        <w:tc>
          <w:tcPr>
            <w:tcW w:w="0" w:type="dxa"/>
            <w:vAlign w:val="bottom"/>
          </w:tcPr>
          <w:p>
            <w:pPr>
              <w:spacing w:after="0"/>
              <w:rPr>
                <w:sz w:val="1"/>
                <w:szCs w:val="1"/>
                <w:color w:val="auto"/>
              </w:rPr>
            </w:pPr>
          </w:p>
        </w:tc>
      </w:tr>
      <w:tr>
        <w:trPr>
          <w:trHeight w:val="261"/>
        </w:trPr>
        <w:tc>
          <w:tcPr>
            <w:tcW w:w="6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92,810</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273,939</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238,697</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16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Unrealized gains (losses) in accumulated other comprehensive loss, net of tax expense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16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(benefit) of $18,441 and $(6,980) for the three months ended September 30, 2024 and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2023, and $15,300 and $(2,467) for the nine months ended September 30, 2024 and</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69,372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(26,257)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57,918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(9,280)</w:t>
            </w: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 respectively</w:t>
            </w: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1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Reclassification adjustment for realized losses included in net income, net of tax</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1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benefit of $2 and $0 for the three months ended September 30, 2024 and 2023, and $2</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$7 for the nine months ended September 30, 2024 and 2023, respectively</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69,380</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(26,257)</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57,926</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(9,254)</w:t>
            </w:r>
          </w:p>
        </w:tc>
        <w:tc>
          <w:tcPr>
            <w:tcW w:w="0" w:type="dxa"/>
            <w:vAlign w:val="bottom"/>
          </w:tcPr>
          <w:p>
            <w:pPr>
              <w:spacing w:after="0"/>
              <w:rPr>
                <w:sz w:val="1"/>
                <w:szCs w:val="1"/>
                <w:color w:val="auto"/>
              </w:rPr>
            </w:pPr>
          </w:p>
        </w:tc>
      </w:tr>
      <w:tr>
        <w:trPr>
          <w:trHeight w:val="24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162,190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331,865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229,443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46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800" w:type="dxa"/>
            <w:vAlign w:val="bottom"/>
            <w:gridSpan w:val="3"/>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92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94"/>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00" w:type="dxa"/>
            <w:vAlign w:val="bottom"/>
            <w:vMerge w:val="restart"/>
          </w:tcPr>
          <w:p>
            <w:pPr>
              <w:jc w:val="right"/>
              <w:ind w:right="75"/>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3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170"/>
        </w:trPr>
        <w:tc>
          <w:tcPr>
            <w:tcW w:w="39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(25,306)</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4,117</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of $2,729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(9,905)</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89,050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89,050</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989,349</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(174,227)</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1,312,203</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1,978,381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line="156"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(27,096)</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4,114</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of $412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92,079</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92,079</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June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993,143</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(201,323)</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1,404,282</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2,045,610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line="156"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(17,041)</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4,439</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 of $18,443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69,380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69,380</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92,810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92,810</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September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997,570</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(218,364)</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1,497,092</w:t>
            </w: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2,195,186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hanging="315"/>
        <w:spacing w:after="0" w:line="265" w:lineRule="auto"/>
        <w:tabs>
          <w:tab w:leader="none" w:pos="23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2024, we issued 337 common shares with a par value of $0.01 in connection with the exercise of options and vesting of restricted stock units granted under our stock plans,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860" w:type="dxa"/>
            <w:vAlign w:val="bottom"/>
            <w:gridSpan w:val="3"/>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92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94"/>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20" w:type="dxa"/>
            <w:vAlign w:val="bottom"/>
            <w:vMerge w:val="restart"/>
          </w:tcPr>
          <w:p>
            <w:pPr>
              <w:jc w:val="right"/>
              <w:ind w:right="75"/>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ind w:right="97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December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901,043</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1,613,727</w:t>
            </w:r>
          </w:p>
        </w:tc>
        <w:tc>
          <w:tcPr>
            <w:tcW w:w="0" w:type="dxa"/>
            <w:vAlign w:val="bottom"/>
          </w:tcPr>
          <w:p>
            <w:pPr>
              <w:spacing w:after="0"/>
              <w:rPr>
                <w:sz w:val="1"/>
                <w:szCs w:val="1"/>
                <w:color w:val="auto"/>
              </w:rPr>
            </w:pPr>
          </w:p>
        </w:tc>
      </w:tr>
      <w:tr>
        <w:trPr>
          <w:trHeight w:val="170"/>
        </w:trPr>
        <w:tc>
          <w:tcPr>
            <w:tcW w:w="39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(14,862)</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3,492</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 of $8,640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32,502</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74,458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74,458</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March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973,599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(71,437)</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975,501</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1,706,711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line="156"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(26,238)</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3,676</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of $4,120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(15,499)</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(15,499)</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80,284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80,284</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June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977,295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(97,675)</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1,055,785</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1,748,955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line="156"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(19,441)</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3,740</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benefit of $6,980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(26,257)</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(26,257)</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83,955</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Balances, September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981,044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(117,116)</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1,139,740</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1,790,961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hanging="315"/>
        <w:spacing w:after="0" w:line="265" w:lineRule="auto"/>
        <w:tabs>
          <w:tab w:leader="none" w:pos="26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2023, we issued 15,430 common shares with a par value of $0.01 in connection with the exercise of options and vesting of restricted stock units granted under our stock plans,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3520" w:type="dxa"/>
            <w:vAlign w:val="bottom"/>
            <w:gridSpan w:val="5"/>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2"/>
        </w:trPr>
        <w:tc>
          <w:tcPr>
            <w:tcW w:w="76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tcPr>
          <w:p>
            <w:pPr>
              <w:spacing w:after="0"/>
              <w:rPr>
                <w:sz w:val="18"/>
                <w:szCs w:val="18"/>
                <w:color w:val="auto"/>
              </w:rPr>
            </w:pPr>
          </w:p>
        </w:tc>
        <w:tc>
          <w:tcPr>
            <w:tcW w:w="134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8"/>
                <w:szCs w:val="18"/>
                <w:color w:val="auto"/>
              </w:rPr>
            </w:pPr>
          </w:p>
        </w:tc>
      </w:tr>
      <w:tr>
        <w:trPr>
          <w:trHeight w:val="22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238,697</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accretion of discount on investment securities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7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65,764</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w:t>
            </w: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Premiums receivable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(3,701)</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(3,828)</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Reinsurance recoverable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Unearned premiums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(24,824)</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16,242</w:t>
            </w:r>
          </w:p>
        </w:tc>
      </w:tr>
      <w:tr>
        <w:trPr>
          <w:trHeight w:val="219"/>
        </w:trPr>
        <w:tc>
          <w:tcPr>
            <w:tcW w:w="7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Reinsurance balances, net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26"/>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12,878</w:t>
            </w:r>
          </w:p>
        </w:tc>
      </w:tr>
      <w:tr>
        <w:trPr>
          <w:trHeight w:val="21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357,783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312,566</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(142,414)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(152,716)</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(355,894)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(352,469)</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289,920</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maturities and redemptions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105,256</w:t>
            </w:r>
          </w:p>
        </w:tc>
      </w:tr>
      <w:tr>
        <w:trPr>
          <w:trHeight w:val="219"/>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Additions to software and equipment</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(7,899)</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(253,156)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(117,908)</w:t>
            </w:r>
          </w:p>
        </w:tc>
      </w:tr>
      <w:tr>
        <w:trPr>
          <w:trHeight w:val="19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2,872</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senior unsecured notes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senior secured notes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(405,080)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(60,045)</w:t>
            </w:r>
          </w:p>
        </w:tc>
      </w:tr>
      <w:tr>
        <w:trPr>
          <w:trHeight w:val="21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(67,997)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(62,621)</w:t>
            </w:r>
          </w:p>
        </w:tc>
      </w:tr>
      <w:tr>
        <w:trPr>
          <w:trHeight w:val="232"/>
        </w:trPr>
        <w:tc>
          <w:tcPr>
            <w:tcW w:w="7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132,037</w:t>
            </w: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44,426</w:t>
            </w: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133,319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176,463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7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14,750</w:t>
            </w: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paid</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bl>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Basis of Presentation and Summary of Accounting Principles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4"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2023, included in our 2023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2024.</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Principles</w:t>
      </w:r>
    </w:p>
    <w:p>
      <w:pPr>
        <w:spacing w:after="0" w:line="172"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There have been no changes to our significant accounting principles as described in Item 8, “</w:t>
      </w:r>
      <w:r>
        <w:rPr>
          <w:rFonts w:ascii="Times New Roman" w:cs="Times New Roman" w:eastAsia="Times New Roman" w:hAnsi="Times New Roman"/>
          <w:sz w:val="17"/>
          <w:szCs w:val="17"/>
          <w:i w:val="1"/>
          <w:iCs w:val="1"/>
          <w:color w:val="auto"/>
        </w:rPr>
        <w:t>Financial Statements and Supplementary Data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Consolidated Financial Statements - Note 2 - Summary of Accounting Principles” </w:t>
      </w:r>
      <w:r>
        <w:rPr>
          <w:rFonts w:ascii="Times New Roman" w:cs="Times New Roman" w:eastAsia="Times New Roman" w:hAnsi="Times New Roman"/>
          <w:sz w:val="17"/>
          <w:szCs w:val="17"/>
          <w:color w:val="auto"/>
        </w:rPr>
        <w:t>of our 2023 10-K.</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Recent Accounting Pronouncements – Not Yet Adopted</w:t>
      </w:r>
    </w:p>
    <w:p>
      <w:pPr>
        <w:spacing w:after="0" w:line="172" w:lineRule="exact"/>
        <w:rPr>
          <w:sz w:val="20"/>
          <w:szCs w:val="20"/>
          <w:color w:val="auto"/>
        </w:rPr>
      </w:pPr>
    </w:p>
    <w:p>
      <w:pPr>
        <w:ind w:firstLine="627"/>
        <w:spacing w:after="0" w:line="254"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The update expands annual and interim disclosure requirements for reportable segments, primarily through enhanced disclosures about significant segment expenses. The standard will take effect for all public business entities, including those that have only a single reportable segment for fiscal years beginning after December 15, 2023, and interim periods beginning after December 31, 2024. We are currently evaluating the impact the adoption of this ASU will have and will include enhanced disclosures in our fiscal year-end 2024 annual consolidated financial statements, as applicable.</w:t>
      </w:r>
    </w:p>
    <w:p>
      <w:pPr>
        <w:spacing w:after="0" w:line="20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The update enhances the disclosure requirements related to tax rate reconciliations and income taxes paid. The standard will take effect for public business entities for fiscal years beginning after December 15, 2024. Early adoption is permitted. We are currently evaluating the impact the adoption of this ASU will have,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2. Investments</w:t>
      </w:r>
    </w:p>
    <w:p>
      <w:pPr>
        <w:spacing w:after="0" w:line="172" w:lineRule="exact"/>
        <w:rPr>
          <w:sz w:val="20"/>
          <w:szCs w:val="20"/>
          <w:color w:val="auto"/>
        </w:rPr>
      </w:pPr>
    </w:p>
    <w:p>
      <w:pPr>
        <w:jc w:val="both"/>
        <w:ind w:left="120" w:firstLine="470"/>
        <w:spacing w:after="0" w:line="262" w:lineRule="auto"/>
        <w:rPr>
          <w:sz w:val="20"/>
          <w:szCs w:val="20"/>
          <w:color w:val="auto"/>
        </w:rPr>
      </w:pPr>
      <w:r>
        <w:rPr>
          <w:rFonts w:ascii="Times New Roman" w:cs="Times New Roman" w:eastAsia="Times New Roman" w:hAnsi="Times New Roman"/>
          <w:sz w:val="17"/>
          <w:szCs w:val="17"/>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 w:cs="Times New Roman" w:eastAsia="Times New Roman" w:hAnsi="Times New Roman"/>
          <w:sz w:val="17"/>
          <w:szCs w:val="17"/>
          <w:i w:val="1"/>
          <w:iCs w:val="1"/>
          <w:color w:val="auto"/>
        </w:rPr>
        <w:t>Net Realized Investment Loss</w:t>
      </w:r>
      <w:r>
        <w:rPr>
          <w:rFonts w:ascii="Times New Roman" w:cs="Times New Roman" w:eastAsia="Times New Roman" w:hAnsi="Times New Roman"/>
          <w:sz w:val="17"/>
          <w:szCs w:val="17"/>
          <w:color w:val="auto"/>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Fair Values and Gross Unrealized Gains and Losses on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123,868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127,605</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675,239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639,471</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1,876,170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1,811,597</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45,174</w:t>
            </w:r>
          </w:p>
        </w:tc>
        <w:tc>
          <w:tcPr>
            <w:tcW w:w="0" w:type="dxa"/>
            <w:vAlign w:val="bottom"/>
          </w:tcPr>
          <w:p>
            <w:pPr>
              <w:spacing w:after="0"/>
              <w:rPr>
                <w:sz w:val="1"/>
                <w:szCs w:val="1"/>
                <w:color w:val="auto"/>
              </w:rPr>
            </w:pPr>
          </w:p>
        </w:tc>
      </w:tr>
      <w:tr>
        <w:trPr>
          <w:trHeight w:val="21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2,722,517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(127,969)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2,623,847</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84,439</w:t>
            </w:r>
          </w:p>
        </w:tc>
        <w:tc>
          <w:tcPr>
            <w:tcW w:w="0" w:type="dxa"/>
            <w:vAlign w:val="bottom"/>
          </w:tcPr>
          <w:p>
            <w:pPr>
              <w:spacing w:after="0"/>
              <w:rPr>
                <w:sz w:val="1"/>
                <w:szCs w:val="1"/>
                <w:color w:val="auto"/>
              </w:rPr>
            </w:pPr>
          </w:p>
        </w:tc>
      </w:tr>
      <w:tr>
        <w:trPr>
          <w:trHeight w:val="24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2,806,886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2,708,286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24"/>
                <w:szCs w:val="24"/>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center"/>
              <w:ind w:left="678"/>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164,278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678,339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1,624,187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2,519,046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2,347,208</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23,813</w:t>
            </w:r>
          </w:p>
        </w:tc>
        <w:tc>
          <w:tcPr>
            <w:tcW w:w="0" w:type="dxa"/>
            <w:vAlign w:val="bottom"/>
          </w:tcPr>
          <w:p>
            <w:pPr>
              <w:spacing w:after="0"/>
              <w:rPr>
                <w:sz w:val="1"/>
                <w:szCs w:val="1"/>
                <w:color w:val="auto"/>
              </w:rPr>
            </w:pPr>
          </w:p>
        </w:tc>
      </w:tr>
      <w:tr>
        <w:trPr>
          <w:trHeight w:val="24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did not own any mortgage-backed securities in our asset-backed securities portfolio at September 30, 2024 or December 31, 2023.</w:t>
      </w:r>
    </w:p>
    <w:p>
      <w:pPr>
        <w:spacing w:after="0" w:line="170" w:lineRule="exact"/>
        <w:rPr>
          <w:sz w:val="20"/>
          <w:szCs w:val="20"/>
          <w:color w:val="auto"/>
        </w:rPr>
      </w:pPr>
    </w:p>
    <w:p>
      <w:pPr>
        <w:jc w:val="both"/>
        <w:ind w:left="120" w:firstLine="470"/>
        <w:spacing w:after="0" w:line="266" w:lineRule="auto"/>
        <w:rPr>
          <w:sz w:val="20"/>
          <w:szCs w:val="20"/>
          <w:color w:val="auto"/>
        </w:rPr>
      </w:pPr>
      <w:r>
        <w:rPr>
          <w:rFonts w:ascii="Times New Roman" w:cs="Times New Roman" w:eastAsia="Times New Roman" w:hAnsi="Times New Roman"/>
          <w:sz w:val="17"/>
          <w:szCs w:val="17"/>
          <w:color w:val="auto"/>
        </w:rPr>
        <w:t xml:space="preserve">We periodically recognize unsettled trade receivables or payables in connection with our investing activity. Unsettled trade receivables represent funds due but not yet received for the sale or maturity of investments at period end. Unsettled trade payables represent funds due but not yet paid for investments purchased at period end. </w:t>
      </w:r>
      <w:r>
        <w:rPr>
          <w:rFonts w:ascii="Times New Roman" w:cs="Times New Roman" w:eastAsia="Times New Roman" w:hAnsi="Times New Roman"/>
          <w:sz w:val="17"/>
          <w:szCs w:val="17"/>
          <w:i w:val="1"/>
          <w:iCs w:val="1"/>
          <w:color w:val="auto"/>
        </w:rPr>
        <w:t>“Accounts Payable and Accrued Expenses”</w:t>
      </w:r>
      <w:r>
        <w:rPr>
          <w:rFonts w:ascii="Times New Roman" w:cs="Times New Roman" w:eastAsia="Times New Roman" w:hAnsi="Times New Roman"/>
          <w:sz w:val="17"/>
          <w:szCs w:val="17"/>
          <w:color w:val="auto"/>
        </w:rPr>
        <w:t xml:space="preserve"> on our condensed consolidated balance sheets included $16.2 million of unsettled trade payables related to the purchase of certain investment securities at September 30, 2024. No unsettled trade receivables were outstanding at September 30, 2024. No unsettled trade receivables or payables were outstanding at December 31,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a breakdown of the fair value of our corporate debt securities by issuer industry group as of September 30, 2024 and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18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8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8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8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120"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2024 and December 31, 2023, approximately $5.4 million and $5.3 million, respectively, of our cash and investments were held in the form of U.S. Treasury securities on deposit with various state insurance departments to satisfy regulatory requirements.</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Scheduled Maturities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amortized cost and fair value of available-for-sale securities as of September 30, 2024 and December 31, 2023,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4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13"/>
                <w:szCs w:val="13"/>
                <w:color w:val="auto"/>
              </w:rPr>
            </w:pPr>
          </w:p>
        </w:tc>
        <w:tc>
          <w:tcPr>
            <w:tcW w:w="118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90"/>
        </w:trPr>
        <w:tc>
          <w:tcPr>
            <w:tcW w:w="76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255,510</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1,498,388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1,452,426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968,671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918,468</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36,708</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45,174</w:t>
            </w: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2,806,886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2,708,286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4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24"/>
                <w:szCs w:val="24"/>
                <w:color w:val="auto"/>
              </w:rPr>
            </w:pPr>
          </w:p>
        </w:tc>
        <w:tc>
          <w:tcPr>
            <w:tcW w:w="1180" w:type="dxa"/>
            <w:vAlign w:val="bottom"/>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189,729</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1,237,192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1,162,259</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959,633</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11,189</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Aging of Unrealized Losses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September 30, 2024, the investment portfolio had gross unrealized losses of $128.0 million, of which $127.5 million 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jc w:val="right"/>
              <w:ind w:right="159"/>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18,978</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4,428</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484,805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(39,417)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489,233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43,949</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1,076,814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(85,670)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1,120,763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44,701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44,701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21,146</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69,754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1,625,298</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(127,459)</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1,695,052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19"/>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7"/>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U.S. Treasury securities and</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72,003</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(1,264)</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56,280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467,098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(57,960)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523,378</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(58,462)</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56,039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1,150,662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1,206,701</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(120,576)</w:t>
            </w:r>
          </w:p>
        </w:tc>
        <w:tc>
          <w:tcPr>
            <w:tcW w:w="0" w:type="dxa"/>
            <w:vAlign w:val="bottom"/>
          </w:tcPr>
          <w:p>
            <w:pPr>
              <w:spacing w:after="0"/>
              <w:rPr>
                <w:sz w:val="1"/>
                <w:szCs w:val="1"/>
                <w:color w:val="auto"/>
              </w:rPr>
            </w:pP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4"/>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(4,032)</w:t>
            </w: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127,266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1,737,189</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(183,065)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1,864,455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(184,339)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of September 30, 2024 and December 31, 2023, we did not recognize an allowance for credit loss for any security in the investment portfolio and we did not record any provision for credit loss for investment securities during the three or nine months ended September 30, 2024 or 2023.</w:t>
      </w:r>
    </w:p>
    <w:p>
      <w:pPr>
        <w:spacing w:after="0" w:line="9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September 30, 2024, assessing their credit ratings as well as any adverse conditions specifically related to the security. Based upon our assessment of the amount and timing of cash flows to be collected over the remaining life of each instrument, we believe the unrealized losses as of September 30, 2024 are not indicative of the ultimate collectability of the current amortized cost of the securities. Rather, the unrealized losses on securities held as of September 30, 2024 were primarily driven by fluctuations in interest rates, and to a lesser extent, movements in credit spreads following the purchase of those securities.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Net Investment Income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components of net investment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30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76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Investment income </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22,772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49,802</w:t>
            </w:r>
          </w:p>
        </w:tc>
      </w:tr>
      <w:tr>
        <w:trPr>
          <w:trHeight w:val="222"/>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4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22,474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hanging="315"/>
        <w:spacing w:after="0" w:line="245" w:lineRule="auto"/>
        <w:tabs>
          <w:tab w:leader="none" w:pos="32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recognized on cash and cash equivalents of $1.3 million and $4.2 million during the three and nine months ended September 30, 2024, respectively, and $0.8 million and $1.4 million during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components of net realized investment losses: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76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20" w:type="dxa"/>
            <w:vAlign w:val="bottom"/>
          </w:tcPr>
          <w:p>
            <w:pPr>
              <w:spacing w:after="0"/>
              <w:rPr>
                <w:sz w:val="15"/>
                <w:szCs w:val="15"/>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investment gains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center"/>
              <w:ind w:left="7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realized investment losses</w:t>
            </w:r>
          </w:p>
        </w:tc>
        <w:tc>
          <w:tcPr>
            <w:tcW w:w="960" w:type="dxa"/>
            <w:vAlign w:val="bottom"/>
          </w:tcPr>
          <w:p>
            <w:pPr>
              <w:spacing w:after="0"/>
              <w:rPr>
                <w:sz w:val="19"/>
                <w:szCs w:val="19"/>
                <w:color w:val="auto"/>
              </w:rPr>
            </w:pPr>
          </w:p>
        </w:tc>
        <w:tc>
          <w:tcPr>
            <w:tcW w:w="42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w w:val="98"/>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center"/>
              <w:ind w:left="840"/>
              <w:spacing w:after="0"/>
              <w:rPr>
                <w:sz w:val="20"/>
                <w:szCs w:val="20"/>
                <w:color w:val="auto"/>
              </w:rPr>
            </w:pPr>
            <w:r>
              <w:rPr>
                <w:rFonts w:ascii="Times New Roman" w:cs="Times New Roman" w:eastAsia="Times New Roman" w:hAnsi="Times New Roman"/>
                <w:sz w:val="17"/>
                <w:szCs w:val="17"/>
                <w:color w:val="auto"/>
                <w:w w:val="98"/>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657"/>
              <w:spacing w:after="0"/>
              <w:rPr>
                <w:sz w:val="20"/>
                <w:szCs w:val="20"/>
                <w:color w:val="auto"/>
              </w:rPr>
            </w:pPr>
            <w:r>
              <w:rPr>
                <w:rFonts w:ascii="Times New Roman" w:cs="Times New Roman" w:eastAsia="Times New Roman" w:hAnsi="Times New Roman"/>
                <w:sz w:val="17"/>
                <w:szCs w:val="17"/>
                <w:color w:val="auto"/>
              </w:rPr>
              <w:t>(33)</w:t>
            </w:r>
          </w:p>
        </w:tc>
      </w:tr>
      <w:tr>
        <w:trPr>
          <w:trHeight w:val="24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96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8"/>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center"/>
              <w:ind w:left="840"/>
              <w:spacing w:after="0"/>
              <w:rPr>
                <w:sz w:val="20"/>
                <w:szCs w:val="20"/>
                <w:color w:val="auto"/>
              </w:rPr>
            </w:pPr>
            <w:r>
              <w:rPr>
                <w:rFonts w:ascii="Times New Roman" w:cs="Times New Roman" w:eastAsia="Times New Roman" w:hAnsi="Times New Roman"/>
                <w:sz w:val="17"/>
                <w:szCs w:val="17"/>
                <w:color w:val="auto"/>
                <w:w w:val="98"/>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Fair Value of Financial Instruments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describes the valuation techniques used by us to determine the fair value of our financial instruments:</w:t>
      </w:r>
    </w:p>
    <w:p>
      <w:pPr>
        <w:spacing w:after="0" w:line="17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0" w:lineRule="exact"/>
        <w:rPr>
          <w:sz w:val="20"/>
          <w:szCs w:val="20"/>
          <w:color w:val="auto"/>
        </w:rPr>
      </w:pPr>
    </w:p>
    <w:p>
      <w:pPr>
        <w:jc w:val="both"/>
        <w:ind w:left="640"/>
        <w:spacing w:after="0" w:line="295" w:lineRule="auto"/>
        <w:rPr>
          <w:sz w:val="20"/>
          <w:szCs w:val="20"/>
          <w:color w:val="auto"/>
        </w:rPr>
      </w:pPr>
      <w:r>
        <w:rPr>
          <w:rFonts w:ascii="Times New Roman" w:cs="Times New Roman" w:eastAsia="Times New Roman" w:hAnsi="Times New Roman"/>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94"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1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Assets Classified as Level 1 and Level 2</w:t>
      </w:r>
    </w:p>
    <w:p>
      <w:pPr>
        <w:spacing w:after="0" w:line="172"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present the level within the fair value hierarchy at which our financial instruments were measured: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127,605</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127,605</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639,471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639,471</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1,811,597</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45,174</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217,758</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345,363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2,496,242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2,841,605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2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20" w:type="dxa"/>
            <w:vAlign w:val="bottom"/>
          </w:tcPr>
          <w:p>
            <w:pPr>
              <w:spacing w:after="0"/>
              <w:rPr>
                <w:sz w:val="16"/>
                <w:szCs w:val="16"/>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120,502</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286,890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2,180,820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2,467,710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were no transfers between Level 2 and Level 3 of the fair value hierarchy during the nine months ended September 30, 2024 or the year ended December 31, 2023.</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On May 21, 2024, we issued $425 million aggregate principal amount of senior unsecured notes that mature on August 15, 2029 (the 2024 Notes). Proceeds from the 2024 Notes offering were primarily used to repay our then outstanding $400 million senior secured notes (the 2020 Notes). At September 30, 2024, the 2024 Notes were carried at a cost of $414.7 million, net of unamortized debt issuance costs and an original issue discount totaling $10.3 million, and had a fair value of $437.9 million as assessed under our Level 2 hierarchy. At December 31, 2023, the 2020 Notes were carried at a cost of $397.6 million, net of unamortized debt issuance costs of $2.4 million, and had a fair value of $401.9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Senior Unsecured Notes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At September 30, 2024, we had $425 million aggregate principal amount of senior unsecured notes outstanding. The 2024 Notes were issued pursuant to an indenture dated May 21, 2024 and bear interest at a rate of 6.00%, payable semi-annually on February 15 and August 15. Proceeds from the 2024 Notes offering were primarily used to repay the $400 million aggregate principal amount outstanding and associated amounts due on the redemption of the 2020 Notes. Remaining proceeds are available for general corporate purposes.</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2024 Notes mature on August 15, 2029. We may elect to redeem the 2024 Notes in whole or in part at any time prior to July 15, 2029 at a price equal to the greater of (1) the aggregate principal balance outstanding plus the present value of all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future interest payments due through July 15, 2029, and (2) the aggregate principal balance due plus any accrued and unpaid interest. We may elect to redeem the 2024 Notes in whole or in part at any time on or after July 15, 2029 at a price equal to 100% of the aggregate principal amount of the 2024 Notes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redeemed plus accrued and unpaid interest thereon</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 connection with the 2024 Notes offering, we recorded capitalized debt issuance costs and an original issue discount of $10.9 million. Such amounts will be amortized over the contractual life of the 2024 Notes using the effective interest method. The effective interest rate on the 2024 Notes is 6.583%. At September 30, 2024, $10.3 million of unamortized debt issuance costs and original issue discounts remained. At December 31, 2023, $2.4 million of unamortized debt issuance costs remained related to the 2020 Notes.</w:t>
      </w:r>
    </w:p>
    <w:p>
      <w:pPr>
        <w:spacing w:after="0" w:line="115"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 xml:space="preserve">During the nine months ended September 30, 2024, we recorded a $6.8 million loss related to the redemption of the 2020 Notes in </w:t>
      </w: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xml:space="preserve"> on our condensed consolidated statements of operations and comprehensive income.</w:t>
      </w:r>
    </w:p>
    <w:p>
      <w:pPr>
        <w:spacing w:after="0" w:line="90"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 xml:space="preserve">At September 30, 2024 and December 31, 2023, $9.2 million and $2.5 million, respectively, of accrued and unpaid interest was included in </w:t>
      </w:r>
      <w:r>
        <w:rPr>
          <w:rFonts w:ascii="Times New Roman" w:cs="Times New Roman" w:eastAsia="Times New Roman" w:hAnsi="Times New Roman"/>
          <w:sz w:val="17"/>
          <w:szCs w:val="17"/>
          <w:i w:val="1"/>
          <w:iCs w:val="1"/>
          <w:color w:val="auto"/>
        </w:rPr>
        <w:t>“Accounts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Payable and Accrued Expenses” </w:t>
      </w:r>
      <w:r>
        <w:rPr>
          <w:rFonts w:ascii="Times New Roman" w:cs="Times New Roman" w:eastAsia="Times New Roman" w:hAnsi="Times New Roman"/>
          <w:sz w:val="17"/>
          <w:szCs w:val="17"/>
          <w:color w:val="auto"/>
        </w:rPr>
        <w:t>on our condensed consolidated balance sheets.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172"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September 30, 2024 and December 31, 2023, no amounts were drawn under the 2024 or 2021 Revolving Credit Facilities, respectively.</w:t>
      </w:r>
    </w:p>
    <w:p>
      <w:pPr>
        <w:spacing w:after="0" w:line="336"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2024 Revolving Credit Facility, we are required to pay a quarterly commitment fee on the average daily undrawn amount of 0.175% to 0.525%, based on the applicable corporate credit rating at the time. As of September 30, 2024, the applicable commitment fee was 0.225%. For the three and nine months ended September 30, 2024, we recorded $0.1 million and $0.4 million, respectively, of commitment fees in interest expense.</w:t>
      </w:r>
    </w:p>
    <w:p>
      <w:pPr>
        <w:spacing w:after="0" w:line="110"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September 30, 2024 and December 31, 2023, unamortized deferred debt issuance costs of $2.5 million and $0.8 million, respectively, were recorded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condensed consolidated balance sheets.</w:t>
      </w:r>
    </w:p>
    <w:p>
      <w:pPr>
        <w:spacing w:after="0" w:line="32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Reinsurance</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effect of our reinsurance agreements on premiums written and earned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170,541</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157,956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499,931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rPr>
              <w:t>458,880</w:t>
            </w:r>
          </w:p>
        </w:tc>
      </w:tr>
      <w:tr>
        <w:trPr>
          <w:trHeight w:val="222"/>
        </w:trPr>
        <w:tc>
          <w:tcPr>
            <w:tcW w:w="534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(33,860)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(34,688)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(99,191)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(105,492)</w:t>
            </w:r>
          </w:p>
        </w:tc>
      </w:tr>
      <w:tr>
        <w:trPr>
          <w:trHeight w:val="215"/>
        </w:trPr>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premiums written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136,681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123,268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400,740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7"/>
                <w:szCs w:val="17"/>
                <w:color w:val="auto"/>
              </w:rPr>
              <w:t>353,388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5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177,283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164,813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520,634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rPr>
              <w:t>483,705</w:t>
            </w:r>
          </w:p>
        </w:tc>
      </w:tr>
      <w:tr>
        <w:trPr>
          <w:trHeight w:val="222"/>
        </w:trPr>
        <w:tc>
          <w:tcPr>
            <w:tcW w:w="5340" w:type="dxa"/>
            <w:vAlign w:val="bottom"/>
            <w:tcBorders>
              <w:bottom w:val="single" w:sz="8" w:color="CCEEFF"/>
            </w:tcBorders>
          </w:tcPr>
          <w:p>
            <w:pPr>
              <w:ind w:left="140"/>
              <w:spacing w:after="0" w:line="222"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rPr>
              <w:t>(33,940)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(34,724)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(99,466)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7"/>
                <w:szCs w:val="17"/>
                <w:color w:val="auto"/>
              </w:rPr>
              <w:t>(105,877)</w:t>
            </w:r>
          </w:p>
        </w:tc>
      </w:tr>
      <w:tr>
        <w:trPr>
          <w:trHeight w:val="240"/>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143,343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130,089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421,168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7"/>
                <w:szCs w:val="17"/>
                <w:color w:val="auto"/>
              </w:rPr>
              <w:t>377,828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Net of profit commission.</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NMIC is a party to reinsurance agreements with Oaktown Re V Ltd., Oaktown Re VI Ltd., and Oaktown Re VII Ltd. (special purpose reinsurance entities collectively referred to as the Oaktown Re Vehicles) effective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$4.3 million and $16.1 million during the three and nine months ended September 30, 2024, respectively, and $6.9 million and $24.8 million during the three and nine months ended September 30, 2023, respectively.</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2024 and 2023, as the aggregate first layer risk retention for each applicable agreement was not exhausted during such periods.</w:t>
      </w:r>
    </w:p>
    <w:p>
      <w:pPr>
        <w:spacing w:after="0" w:line="110"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ten-years (in the case of the notes issued by Oaktown Re V Ltd.) and 12.5 years (in the case of the notes issued by Oaktown Re VI Ltd. and Oaktown Re VII Ltd.) from the inception date of their associated reinsurance agreement. We refer to NMIC’s reinsurance agreements with and the insurance-linked note issuances by Oaktown Re Vehicles individually as the 2020-2 ILN Transaction, 2021-1 ILN Transaction, and 2021-2 ILN Transaction, and collectively as the ILN Transactions.</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in the case of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linked note principal is suspended if certain credit enhancement or delinquency thresholds, as defined in each agreement, are triggered (each, a Lock-Out Event).</w:t>
      </w:r>
    </w:p>
    <w:p>
      <w:pPr>
        <w:spacing w:after="0" w:line="170"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33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Effective July 25, 2024, NMIC exercised its optional call to terminate a reinsurance agreement with and the associated insurance-linked notes issued by Oaktown Re III Ltd. In connection with the termination, NMIC’s excess of loss reinsurance agreement with Oaktown Re III Ltd. was commuted and the insurance-linked notes issued by Oaktown Re III Ltd. were redeemed in full with a distribution of remaining collateral assets.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September 30,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20" w:type="dxa"/>
            <w:vAlign w:val="bottom"/>
          </w:tcPr>
          <w:p>
            <w:pPr>
              <w:spacing w:after="0"/>
              <w:rPr>
                <w:sz w:val="13"/>
                <w:szCs w:val="13"/>
                <w:color w:val="auto"/>
              </w:rPr>
            </w:pP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2"/>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20" w:type="dxa"/>
            <w:vAlign w:val="bottom"/>
          </w:tcPr>
          <w:p>
            <w:pPr>
              <w:spacing w:after="0"/>
              <w:rPr>
                <w:sz w:val="12"/>
                <w:szCs w:val="12"/>
                <w:color w:val="auto"/>
              </w:rPr>
            </w:pPr>
          </w:p>
        </w:tc>
        <w:tc>
          <w:tcPr>
            <w:tcW w:w="1100" w:type="dxa"/>
            <w:vAlign w:val="bottom"/>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6"/>
              </w:rPr>
              <w:t xml:space="preserve">Loss </w:t>
            </w:r>
            <w:r>
              <w:rPr>
                <w:rFonts w:ascii="Times New Roman" w:cs="Times New Roman" w:eastAsia="Times New Roman" w:hAnsi="Times New Roman"/>
                <w:sz w:val="9"/>
                <w:szCs w:val="9"/>
                <w:b w:val="1"/>
                <w:bCs w:val="1"/>
                <w:color w:val="auto"/>
                <w:w w:val="96"/>
              </w:rPr>
              <w:t>(1)</w:t>
            </w:r>
          </w:p>
        </w:tc>
        <w:tc>
          <w:tcPr>
            <w:tcW w:w="0" w:type="dxa"/>
            <w:vAlign w:val="bottom"/>
          </w:tcPr>
          <w:p>
            <w:pPr>
              <w:spacing w:after="0"/>
              <w:rPr>
                <w:sz w:val="1"/>
                <w:szCs w:val="1"/>
                <w:color w:val="auto"/>
              </w:rPr>
            </w:pPr>
          </w:p>
        </w:tc>
      </w:tr>
      <w:tr>
        <w:trPr>
          <w:trHeight w:val="221"/>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2020-2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220" w:type="dxa"/>
            <w:vAlign w:val="bottom"/>
            <w:tcBorders>
              <w:top w:val="single" w:sz="8" w:color="auto"/>
            </w:tcBorders>
            <w:shd w:val="clear" w:color="auto" w:fill="CCEEFF"/>
          </w:tcPr>
          <w:p>
            <w:pPr>
              <w:jc w:val="center"/>
              <w:spacing w:after="0" w:line="221"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120,990</w:t>
            </w:r>
          </w:p>
        </w:tc>
        <w:tc>
          <w:tcPr>
            <w:tcW w:w="0" w:type="dxa"/>
            <w:vAlign w:val="bottom"/>
          </w:tcPr>
          <w:p>
            <w:pPr>
              <w:spacing w:after="0"/>
              <w:rPr>
                <w:sz w:val="1"/>
                <w:szCs w:val="1"/>
                <w:color w:val="auto"/>
              </w:rPr>
            </w:pPr>
          </w:p>
        </w:tc>
      </w:tr>
      <w:tr>
        <w:trPr>
          <w:trHeight w:val="22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320" w:type="dxa"/>
            <w:vAlign w:val="bottom"/>
            <w:gridSpan w:val="2"/>
          </w:tcPr>
          <w:p>
            <w:pPr>
              <w:jc w:val="center"/>
              <w:ind w:right="140"/>
              <w:spacing w:after="0" w:line="222" w:lineRule="exact"/>
              <w:rPr>
                <w:sz w:val="20"/>
                <w:szCs w:val="20"/>
                <w:color w:val="auto"/>
              </w:rPr>
            </w:pPr>
            <w:r>
              <w:rPr>
                <w:rFonts w:ascii="Times New Roman" w:cs="Times New Roman" w:eastAsia="Times New Roman" w:hAnsi="Times New Roman"/>
                <w:sz w:val="17"/>
                <w:szCs w:val="17"/>
                <w:color w:val="auto"/>
              </w:rPr>
              <w:t xml:space="preserve">10/1/2020 – 3/31/2021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163,217</w:t>
            </w:r>
          </w:p>
        </w:tc>
        <w:tc>
          <w:tcPr>
            <w:tcW w:w="0" w:type="dxa"/>
            <w:vAlign w:val="bottom"/>
          </w:tcPr>
          <w:p>
            <w:pPr>
              <w:spacing w:after="0"/>
              <w:rPr>
                <w:sz w:val="1"/>
                <w:szCs w:val="1"/>
                <w:color w:val="auto"/>
              </w:rPr>
            </w:pPr>
          </w:p>
        </w:tc>
      </w:tr>
      <w:tr>
        <w:trPr>
          <w:trHeight w:val="22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320" w:type="dxa"/>
            <w:vAlign w:val="bottom"/>
            <w:gridSpan w:val="2"/>
            <w:shd w:val="clear" w:color="auto" w:fill="CCEEFF"/>
          </w:tcPr>
          <w:p>
            <w:pPr>
              <w:jc w:val="center"/>
              <w:ind w:right="140"/>
              <w:spacing w:after="0" w:line="222" w:lineRule="exact"/>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hanging="315"/>
        <w:spacing w:after="0" w:line="252" w:lineRule="auto"/>
        <w:tabs>
          <w:tab w:leader="none" w:pos="3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36"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Under the terms of our ILN Transactions, we are required to maintain a certain level of restricted funds in premium deposit accounts with Bank of New York Mellon until the respective notes have been redeemed in full. </w:t>
      </w: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 xml:space="preserve"> on our condensed consolidated balance sheets includes restricted amounts of $0.1 million and $1.3 million as of September 30, 2024 and December 31, 2023, respectively. The restricted balances required under these transactions will decline over time as the outstanding principal balance of the respective insurance-linked notes are amortized.</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72"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Under the terms of the XOL Transactions, NMIC makes risk premium payments to its third-party reinsurance providers for the outstanding reinsurance coverage amount and ceded aggregate premiums of $9.8 million and $28.4 million during the three and nine months ended September 30, 2024, respectively, and $8.0 million and $22.9 million during the three and nine months ended September 30, 2023, respectively. NMIC applies claims paid on covered policies against its first layer aggregate retained loss exposure under each agreement. NMIC did not cede any incurred losses on covered policies under the XOL Transactions during the three and nine months ended September 30, 2024 and 2023, as the aggregate first layer risk retention for each agreement was not exhausted during such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Global Ratings (S&amp;P), A.M. Best Company Inc. (A.M. Best) or both.</w:t>
      </w:r>
    </w:p>
    <w:p>
      <w:pPr>
        <w:spacing w:after="0" w:line="9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September 30,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2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2"/>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0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90"/>
        </w:trPr>
        <w:tc>
          <w:tcPr>
            <w:tcW w:w="252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6"/>
              </w:rPr>
              <w:t xml:space="preserve">Loss </w:t>
            </w:r>
            <w:r>
              <w:rPr>
                <w:rFonts w:ascii="Times New Roman" w:cs="Times New Roman" w:eastAsia="Times New Roman" w:hAnsi="Times New Roman"/>
                <w:sz w:val="9"/>
                <w:szCs w:val="9"/>
                <w:b w:val="1"/>
                <w:bCs w:val="1"/>
                <w:color w:val="auto"/>
                <w:w w:val="96"/>
              </w:rPr>
              <w:t>(1)</w:t>
            </w:r>
          </w:p>
        </w:tc>
        <w:tc>
          <w:tcPr>
            <w:tcW w:w="0" w:type="dxa"/>
            <w:vAlign w:val="bottom"/>
          </w:tcPr>
          <w:p>
            <w:pPr>
              <w:spacing w:after="0"/>
              <w:rPr>
                <w:sz w:val="1"/>
                <w:szCs w:val="1"/>
                <w:color w:val="auto"/>
              </w:rPr>
            </w:pPr>
          </w:p>
        </w:tc>
      </w:tr>
      <w:tr>
        <w:trPr>
          <w:trHeight w:val="22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400" w:type="dxa"/>
            <w:vAlign w:val="bottom"/>
            <w:tcBorders>
              <w:top w:val="single" w:sz="8" w:color="auto"/>
            </w:tcBorders>
            <w:shd w:val="clear" w:color="auto" w:fill="CCEEFF"/>
          </w:tcPr>
          <w:p>
            <w:pPr>
              <w:jc w:val="center"/>
              <w:spacing w:after="0" w:line="221" w:lineRule="exact"/>
              <w:rPr>
                <w:sz w:val="20"/>
                <w:szCs w:val="20"/>
                <w:color w:val="auto"/>
              </w:rPr>
            </w:pPr>
            <w:r>
              <w:rPr>
                <w:rFonts w:ascii="Times New Roman" w:cs="Times New Roman" w:eastAsia="Times New Roman" w:hAnsi="Times New Roman"/>
                <w:sz w:val="17"/>
                <w:szCs w:val="17"/>
                <w:color w:val="auto"/>
                <w:w w:val="99"/>
              </w:rPr>
              <w:t xml:space="preserve">10/1/2021 – 3/31/2022 </w:t>
            </w:r>
            <w:r>
              <w:rPr>
                <w:rFonts w:ascii="Times New Roman" w:cs="Times New Roman" w:eastAsia="Times New Roman" w:hAnsi="Times New Roman"/>
                <w:sz w:val="22"/>
                <w:szCs w:val="22"/>
                <w:color w:val="auto"/>
                <w:w w:val="99"/>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208,904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132,545</w:t>
            </w:r>
          </w:p>
        </w:tc>
        <w:tc>
          <w:tcPr>
            <w:tcW w:w="0" w:type="dxa"/>
            <w:vAlign w:val="bottom"/>
          </w:tcPr>
          <w:p>
            <w:pPr>
              <w:spacing w:after="0"/>
              <w:rPr>
                <w:sz w:val="1"/>
                <w:szCs w:val="1"/>
                <w:color w:val="auto"/>
              </w:rPr>
            </w:pPr>
          </w:p>
        </w:tc>
      </w:tr>
      <w:tr>
        <w:trPr>
          <w:trHeight w:val="222"/>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480" w:type="dxa"/>
            <w:vAlign w:val="bottom"/>
            <w:gridSpan w:val="2"/>
          </w:tcPr>
          <w:p>
            <w:pPr>
              <w:jc w:val="center"/>
              <w:ind w:right="120"/>
              <w:spacing w:after="0" w:line="222" w:lineRule="exact"/>
              <w:rPr>
                <w:sz w:val="20"/>
                <w:szCs w:val="20"/>
                <w:color w:val="auto"/>
              </w:rPr>
            </w:pPr>
            <w:r>
              <w:rPr>
                <w:rFonts w:ascii="Times New Roman" w:cs="Times New Roman" w:eastAsia="Times New Roman" w:hAnsi="Times New Roman"/>
                <w:sz w:val="17"/>
                <w:szCs w:val="17"/>
                <w:color w:val="auto"/>
              </w:rPr>
              <w:t xml:space="preserve">4/1/2022 – 6/30/2022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78,073</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7/1/2022 – 9/30/2022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105,817</w:t>
            </w:r>
          </w:p>
        </w:tc>
        <w:tc>
          <w:tcPr>
            <w:tcW w:w="0" w:type="dxa"/>
            <w:vAlign w:val="bottom"/>
          </w:tcPr>
          <w:p>
            <w:pPr>
              <w:spacing w:after="0"/>
              <w:rPr>
                <w:sz w:val="1"/>
                <w:szCs w:val="1"/>
                <w:color w:val="auto"/>
              </w:rPr>
            </w:pPr>
          </w:p>
        </w:tc>
      </w:tr>
      <w:tr>
        <w:trPr>
          <w:trHeight w:val="222"/>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 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2023</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10/1/2022 – 6/30/2023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146,146</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 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7/1/2023 – 12/31/2023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136,875</w:t>
            </w:r>
          </w:p>
        </w:tc>
        <w:tc>
          <w:tcPr>
            <w:tcW w:w="0" w:type="dxa"/>
            <w:vAlign w:val="bottom"/>
          </w:tcPr>
          <w:p>
            <w:pPr>
              <w:spacing w:after="0"/>
              <w:rPr>
                <w:sz w:val="1"/>
                <w:szCs w:val="1"/>
                <w:color w:val="auto"/>
              </w:rPr>
            </w:pPr>
          </w:p>
        </w:tc>
      </w:tr>
      <w:tr>
        <w:trPr>
          <w:trHeight w:val="298"/>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2024 XOL Transaction </w:t>
            </w:r>
            <w:r>
              <w:rPr>
                <w:rFonts w:ascii="Times New Roman" w:cs="Times New Roman" w:eastAsia="Times New Roman" w:hAnsi="Times New Roman"/>
                <w:sz w:val="22"/>
                <w:szCs w:val="22"/>
                <w:color w:val="auto"/>
                <w:vertAlign w:val="superscript"/>
              </w:rPr>
              <w:t>(4)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2024</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1/1/2024 – 12/31/2024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235,279</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20" w:hanging="315"/>
        <w:spacing w:after="0" w:line="252" w:lineRule="auto"/>
        <w:tabs>
          <w:tab w:leader="none" w:pos="3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5"/>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8" w:lineRule="exact"/>
        <w:rPr>
          <w:rFonts w:ascii="Times New Roman" w:cs="Times New Roman" w:eastAsia="Times New Roman" w:hAnsi="Times New Roman"/>
          <w:sz w:val="14"/>
          <w:szCs w:val="14"/>
          <w:color w:val="auto"/>
        </w:rPr>
      </w:pPr>
    </w:p>
    <w:p>
      <w:pPr>
        <w:ind w:left="320" w:hanging="315"/>
        <w:spacing w:after="0" w:line="266" w:lineRule="auto"/>
        <w:tabs>
          <w:tab w:leader="none" w:pos="30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2024 XOL Transaction will increase as incremental covered production is ceded under the transaction through December 31, 2024.</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4"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335"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 xml:space="preserve">Under the terms of the 2016 QSR Transaction, NMIC cedes premiums written related to 20.5% of the risk on eligible primary policies written for all periods through December 31, 2017 and 100% of the risk under our pool agreement with Fannie Mae. </w:t>
      </w:r>
      <w:r>
        <w:rPr>
          <w:rFonts w:ascii="Times New Roman" w:cs="Times New Roman" w:eastAsia="Times New Roman" w:hAnsi="Times New Roman"/>
          <w:sz w:val="17"/>
          <w:szCs w:val="17"/>
          <w:color w:val="212529"/>
        </w:rPr>
        <w:t>The 2016 QSR Transaction is scheduled to terminate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December 31, 2027, except with respect to the ceded pool risk, which expired on August 31, 2023. NMIC has the option, based on certain conditions and subject to a termination fee, to terminate the agreement as of December 31, 2020, or at the end of any calendar quarter thereafter, which could result in NMIC recapturing the related risk.</w:t>
      </w:r>
    </w:p>
    <w:p>
      <w:pPr>
        <w:spacing w:after="0" w:line="11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could result in NMIC recapturing the related risk.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between April 1, 2020 and December 31, 2020. The 2020 QSR Transaction is scheduled to terminate on December 31, 2030. NMIC has the option, based on certain conditions and subject to a termination fee, to terminate the agreement as of December 31, 2025, or at the end of any calendar quarter thereafter, which could result in NMIC recapturing the related risk.</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could result in NMIC recapturing the related risk.</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could result in NMIC recapturing the related risk.</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w:t>
      </w:r>
    </w:p>
    <w:p>
      <w:pPr>
        <w:spacing w:after="0" w:line="121"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2023 QSR Transaction, NMIC cedes premiums earned related to 20% of the risk on eligible policies written in 2023. The 2023 QSR Transaction is scheduled to terminate on December 31, 2033. NMIC has the option, based on certain conditions and subject to a termination fee, to terminate the agreement as of December 31, 2025 or semi-annually thereafter, which could result in NMIC recapturing the related risk.</w:t>
      </w:r>
    </w:p>
    <w:p>
      <w:pPr>
        <w:spacing w:after="0" w:line="97"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Under the terms of the 2024 QSR Transaction, NMIC cedes premiums earned related to 20% of the risk on eligible policies written in 2024. The 2024 QSR Transaction is scheduled to terminate on December 31, 2034. NMIC has the option, based on certain conditions and subject to a termination fee, to terminate the agreement as of December 31, 2027, or at the end of any calendar quarter thereafter, which could result in NMIC recapturing the related risk.</w:t>
      </w:r>
    </w:p>
    <w:p>
      <w:pPr>
        <w:spacing w:after="0" w:line="123"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amounts related to the QSR Transactions: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40" w:type="dxa"/>
            <w:vAlign w:val="bottom"/>
          </w:tcPr>
          <w:p>
            <w:pPr>
              <w:spacing w:after="0"/>
              <w:rPr>
                <w:sz w:val="16"/>
                <w:szCs w:val="16"/>
                <w:color w:val="auto"/>
              </w:rPr>
            </w:pPr>
          </w:p>
        </w:tc>
        <w:tc>
          <w:tcPr>
            <w:tcW w:w="29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r>
      <w:tr>
        <w:trPr>
          <w:trHeight w:val="23"/>
        </w:trPr>
        <w:tc>
          <w:tcPr>
            <w:tcW w:w="4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189"/>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4"/>
          </w:tcPr>
          <w:p>
            <w:pPr>
              <w:jc w:val="right"/>
              <w:ind w:right="107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risk-in-force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12,968,039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12,753,261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12,968,039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12,753,261</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Ceded premiums earned</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(41,761)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(124,585)</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(126,113)</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claims and claim expenses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2,449</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2,970</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Ceding commission earned</w:t>
            </w:r>
          </w:p>
        </w:tc>
        <w:tc>
          <w:tcPr>
            <w:tcW w:w="120" w:type="dxa"/>
            <w:vAlign w:val="bottom"/>
          </w:tcPr>
          <w:p>
            <w:pPr>
              <w:spacing w:after="0"/>
              <w:rPr>
                <w:sz w:val="19"/>
                <w:szCs w:val="19"/>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10,152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30,666</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29,650</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 commission</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21,883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69,641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 xml:space="preserve">Ceded premiums written under the 2016 QSR Transaction are recorded as prepaid reinsurance premiums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consolidated balance sheets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and the 2020 QSR Transaction under which it receives a 36% ceding commission. NMIC also receives a profit commission under each of the QSR Transactions, provided that the loss ratios on loans covered under the 2016, 2018, 2020, 2021, 2022, 2022 Seasoned, 2023 and 2024 QSR Transactions, generally remain below 60%, 61%, 50%, 57.5%, 62%, 55%, 62% and 56%, respectively, as measured annually. Ceded claims and claim expenses under each of the QSR Transactions reduce the respective profit commission received by NMIC on a dollar-for-dollar basis.</w:t>
      </w:r>
    </w:p>
    <w:p>
      <w:pPr>
        <w:spacing w:after="0" w:line="124"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are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$1.2 million and $1.7 million as of September 30, 2024 and December 31, 2023, respectively.</w:t>
      </w:r>
    </w:p>
    <w:p>
      <w:pPr>
        <w:spacing w:after="0" w:line="33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In accordance with the terms of the 2018, 2020, 2021, 2022, 2022 Seasoned, 2023 and 2024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2023, and 2024 QSR Transactions was $28.0 million and $25.8 million as of September 30, 2024 and December 31, 2023, respectively.</w:t>
      </w:r>
    </w:p>
    <w:p>
      <w:pPr>
        <w:spacing w:after="0" w:line="33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September 30, 2024 and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Reserves for Insurance Claims and Claim Expenses</w:t>
      </w:r>
    </w:p>
    <w:p>
      <w:pPr>
        <w:spacing w:after="0" w:line="172" w:lineRule="exact"/>
        <w:rPr>
          <w:sz w:val="20"/>
          <w:szCs w:val="20"/>
          <w:color w:val="auto"/>
        </w:rPr>
      </w:pPr>
    </w:p>
    <w:p>
      <w:pPr>
        <w:jc w:val="both"/>
        <w:ind w:firstLine="627"/>
        <w:spacing w:after="0" w:line="272" w:lineRule="auto"/>
        <w:rPr>
          <w:sz w:val="20"/>
          <w:szCs w:val="20"/>
          <w:color w:val="auto"/>
        </w:rPr>
      </w:pPr>
      <w:r>
        <w:rPr>
          <w:rFonts w:ascii="Times New Roman" w:cs="Times New Roman" w:eastAsia="Times New Roman" w:hAnsi="Times New Roman"/>
          <w:sz w:val="17"/>
          <w:szCs w:val="17"/>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September 30, 2024, we held gross reserves for insurance claims and claim expenses of $135.5 million. During the nine months ended September 30, 2024, we paid 168 claims totaling $5.7 million, including 162 claims covered under the QSR Transactions representing $1.3 million of ceded claims and claim expenses.</w:t>
      </w:r>
    </w:p>
    <w:p>
      <w:pPr>
        <w:spacing w:after="0" w:line="119"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We had 5,712 loans in default in our primary insured portfolio as of September 30, 2024, which represented a 0.87% default rate against 654,374 total policies in-force and 5,099 loans in default in our primary portfolio as of December 31, 2023, which represented a 0.81% default rate against 629,690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3540" w:type="dxa"/>
            <w:vAlign w:val="bottom"/>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77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r>
      <w:tr>
        <w:trPr>
          <w:trHeight w:val="222"/>
        </w:trPr>
        <w:tc>
          <w:tcPr>
            <w:tcW w:w="77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r>
      <w:tr>
        <w:trPr>
          <w:trHeight w:val="241"/>
        </w:trPr>
        <w:tc>
          <w:tcPr>
            <w:tcW w:w="7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770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60,987</w:t>
            </w:r>
          </w:p>
        </w:tc>
      </w:tr>
      <w:tr>
        <w:trPr>
          <w:trHeight w:val="222"/>
        </w:trPr>
        <w:tc>
          <w:tcPr>
            <w:tcW w:w="770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(57,241)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(46,601)</w:t>
            </w:r>
          </w:p>
        </w:tc>
      </w:tr>
      <w:tr>
        <w:trPr>
          <w:trHeight w:val="215"/>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14,386</w:t>
            </w:r>
          </w:p>
        </w:tc>
      </w:tr>
      <w:tr>
        <w:trPr>
          <w:trHeight w:val="124"/>
        </w:trPr>
        <w:tc>
          <w:tcPr>
            <w:tcW w:w="7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7700" w:type="dxa"/>
            <w:vAlign w:val="bottom"/>
            <w:shd w:val="clear" w:color="auto" w:fill="CCEEFF"/>
          </w:tcPr>
          <w:p>
            <w:pPr>
              <w:ind w:left="34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2"/>
        </w:trPr>
        <w:tc>
          <w:tcPr>
            <w:tcW w:w="7700" w:type="dxa"/>
            <w:vAlign w:val="bottom"/>
            <w:tcBorders>
              <w:bottom w:val="single" w:sz="8" w:color="CCEEFF"/>
            </w:tcBorders>
          </w:tcPr>
          <w:p>
            <w:pPr>
              <w:ind w:left="34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2,394</w:t>
            </w:r>
          </w:p>
        </w:tc>
      </w:tr>
      <w:tr>
        <w:trPr>
          <w:trHeight w:val="215"/>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r>
      <w:tr>
        <w:trPr>
          <w:trHeight w:val="241"/>
        </w:trPr>
        <w:tc>
          <w:tcPr>
            <w:tcW w:w="7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90,122</w:t>
            </w:r>
          </w:p>
        </w:tc>
      </w:tr>
      <w:tr>
        <w:trPr>
          <w:trHeight w:val="222"/>
        </w:trPr>
        <w:tc>
          <w:tcPr>
            <w:tcW w:w="77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25,956</w:t>
            </w:r>
          </w:p>
        </w:tc>
      </w:tr>
      <w:tr>
        <w:trPr>
          <w:trHeight w:val="24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116,078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00" w:hanging="295"/>
        <w:spacing w:after="0"/>
        <w:tabs>
          <w:tab w:leader="none" w:pos="3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5,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for additional information.</w:t>
      </w:r>
    </w:p>
    <w:p>
      <w:pPr>
        <w:spacing w:after="0" w:line="13" w:lineRule="exact"/>
        <w:rPr>
          <w:rFonts w:ascii="Times New Roman" w:cs="Times New Roman" w:eastAsia="Times New Roman" w:hAnsi="Times New Roman"/>
          <w:sz w:val="14"/>
          <w:szCs w:val="14"/>
          <w:color w:val="auto"/>
        </w:rPr>
      </w:pPr>
    </w:p>
    <w:p>
      <w:pPr>
        <w:jc w:val="both"/>
        <w:ind w:left="320" w:hanging="315"/>
        <w:spacing w:after="0" w:line="251" w:lineRule="auto"/>
        <w:tabs>
          <w:tab w:leader="none" w:pos="33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$63.2 million attributed to net case reserves and $7.0 million attributed to net IBNR reserves for the nine months ended September 30, 2024 and $54.4 million attributed to net case reserves and $5.8 million attributed to net IBNR reserves for the nine months ended September 30, 2023.</w:t>
      </w:r>
    </w:p>
    <w:p>
      <w:pPr>
        <w:spacing w:after="0" w:line="2" w:lineRule="exact"/>
        <w:rPr>
          <w:rFonts w:ascii="Times New Roman" w:cs="Times New Roman" w:eastAsia="Times New Roman" w:hAnsi="Times New Roman"/>
          <w:sz w:val="14"/>
          <w:szCs w:val="14"/>
          <w:color w:val="auto"/>
        </w:rPr>
      </w:pPr>
    </w:p>
    <w:p>
      <w:pPr>
        <w:jc w:val="both"/>
        <w:ind w:left="320" w:hanging="315"/>
        <w:spacing w:after="0" w:line="250"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$49.8 million attributed to net case reserves and $6.3 million attributed to net IBNR reserves for the nine months ended September 30, 2024 and $41.1 million attributed to net case reserves and $4.5 million attributed to net IBNR reserves for the nine months ended September 30, 2023.</w:t>
      </w:r>
    </w:p>
    <w:p>
      <w:pPr>
        <w:spacing w:after="0" w:line="221"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nine months ended September 30, 2024, compared to the same period in the prior year, primarily due to an increase in the total number of new delinquencies emerging during the period tied to the growth and natural seasoning of our portfolio, partially offset by a decrease in the average case reserve established against newly defaulted loans. Our provision for claims and claim expenses during both the nine months ended September 30, 2024 and 2023 benefited from favorable development on prior year defaults. We recognized $57.2 million and $46.6 million of favorable prior year development during the nine months ended September 30, 2024 and 2023,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$45.1 million related to prior year defaults remained as of September 30,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Earnings per Share (EPS)</w:t>
      </w:r>
    </w:p>
    <w:p>
      <w:pPr>
        <w:spacing w:after="0" w:line="17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reconciles the net income and the weighted average shares of common stock outstanding used in the computations of basic and diluted EPS of common stock:</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30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76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3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 basic and diluted</w:t>
            </w: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92,810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238,697</w:t>
            </w:r>
          </w:p>
        </w:tc>
      </w:tr>
      <w:tr>
        <w:trPr>
          <w:trHeight w:val="261"/>
        </w:trPr>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79,549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82,879</w:t>
            </w:r>
          </w:p>
        </w:tc>
      </w:tr>
      <w:tr>
        <w:trPr>
          <w:trHeight w:val="222"/>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issuable shares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w:t>
            </w:r>
          </w:p>
        </w:tc>
      </w:tr>
      <w:tr>
        <w:trPr>
          <w:trHeight w:val="24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8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81,045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84,236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2"/>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61"/>
        </w:trPr>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Anti-dilutive shares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Income Taxes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22.2% and 22.3% for the three and nine months ended September 30, 2024, respectively, compared to 21.8% and 22.4% for the three and nine months ended September 30, 2023,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2024 and 2023 primarily represents a change in our net deferred tax liability. As of September 30, 2024 and December 31, 2023, we held $235.3 million of tax and loss bonds in </w:t>
      </w:r>
      <w:r>
        <w:rPr>
          <w:rFonts w:ascii="Times New Roman" w:cs="Times New Roman" w:eastAsia="Times New Roman" w:hAnsi="Times New Roman"/>
          <w:sz w:val="17"/>
          <w:szCs w:val="17"/>
          <w:i w:val="1"/>
          <w:iCs w:val="1"/>
          <w:color w:val="auto"/>
        </w:rPr>
        <w:t xml:space="preserve">“Prepaid Federal Income Taxes” </w:t>
      </w:r>
      <w:r>
        <w:rPr>
          <w:rFonts w:ascii="Times New Roman" w:cs="Times New Roman" w:eastAsia="Times New Roman" w:hAnsi="Times New Roman"/>
          <w:sz w:val="17"/>
          <w:szCs w:val="17"/>
          <w:color w:val="auto"/>
        </w:rPr>
        <w:t>on our condensed consolidated balance sheets.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Stockholders' Equity</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initial $125 million share repurchase program through December 31, 2025 to align its remaining tenor with that of the $200 million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20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During the nine months ended September 30, 2024, we repurchased 2.1 million shares at an average price of $32.38 per share (excluding associated costs and applicable taxes). During the year ended December 31, 2023, we repurchased 3.5 million shares at an average price of $25.93 per share (excluding associated costs and applicable taxes). As of September 30, 2024, we had $108.1 million of repurchase authority remaining under our program.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Litigation</w:t>
      </w:r>
    </w:p>
    <w:p>
      <w:pPr>
        <w:spacing w:after="0" w:line="17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spacing w:after="0" w:line="33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are currently named as a defendant in a litigation proceeding pertaining to the refund of certain mortgage insurance premiums under the Homeowners Protection Act. The case was dismissed in September 2023 and is currently pending appeal. We do not currently expect that we will incur a material loss in connection with the case and have not recorded a litigation liability for this matter.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Premiums Receivable</w:t>
      </w:r>
    </w:p>
    <w:p>
      <w:pPr>
        <w:spacing w:after="0" w:line="25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$2.0 million and $2.7 million reserve for premium write-offs at September 30, 2024 and December 31, 2023, respectively.</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September 30, 2024 and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Regulatory Information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Statutory Requirements</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19"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NMIC and Re One generated combined statutory net income of $20.0 million and $90.7 million for the three and nine months ended September 30, 2024, respectively, compared to $30.1 million and $80.0 million for the three and nine months ended September 30, 2023, respectively.</w:t>
      </w:r>
    </w:p>
    <w:p>
      <w:pPr>
        <w:spacing w:after="0" w:line="94"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39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NMIC's statutory surplus, contingency reserve, statutory capital and risk-to-capital (RTC) ratio as of September 30, 2024 and December 31,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20" w:type="dxa"/>
            <w:vAlign w:val="bottom"/>
          </w:tcPr>
          <w:p>
            <w:pPr>
              <w:spacing w:after="0"/>
              <w:rPr>
                <w:sz w:val="16"/>
                <w:szCs w:val="16"/>
                <w:color w:val="auto"/>
              </w:rPr>
            </w:pPr>
          </w:p>
        </w:tc>
        <w:tc>
          <w:tcPr>
            <w:tcW w:w="20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0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3"/>
        </w:trPr>
        <w:tc>
          <w:tcPr>
            <w:tcW w:w="6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5"/>
                <w:szCs w:val="15"/>
                <w:color w:val="auto"/>
              </w:rPr>
            </w:pP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surplus</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964,469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963,085</w:t>
            </w:r>
          </w:p>
        </w:tc>
      </w:tr>
      <w:tr>
        <w:trPr>
          <w:trHeight w:val="222"/>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Contingency reserve</w:t>
            </w: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1,821,661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1,573,360</w:t>
            </w:r>
          </w:p>
        </w:tc>
      </w:tr>
      <w:tr>
        <w:trPr>
          <w:trHeight w:val="240"/>
        </w:trPr>
        <w:tc>
          <w:tcPr>
            <w:tcW w:w="600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Statutory capital </w:t>
            </w:r>
            <w:r>
              <w:rPr>
                <w:rFonts w:ascii="Times New Roman" w:cs="Times New Roman" w:eastAsia="Times New Roman" w:hAnsi="Times New Roman"/>
                <w:sz w:val="22"/>
                <w:szCs w:val="22"/>
                <w:color w:val="auto"/>
                <w:vertAlign w:val="superscript"/>
              </w:rPr>
              <w:t>(1)</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2,786,130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2,536,445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Risk-to-capital</w:t>
            </w:r>
          </w:p>
        </w:tc>
        <w:tc>
          <w:tcPr>
            <w:tcW w:w="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r>
    </w:tbl>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Represents the total of the statutory surplus and contingency reserve.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 One had $2.1 million and $2.0 million of statutory capital at September 30, 2024 and December 31, 2023, respectively.</w:t>
      </w:r>
    </w:p>
    <w:p>
      <w:pPr>
        <w:spacing w:after="0" w:line="17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94" w:lineRule="exact"/>
        <w:rPr>
          <w:sz w:val="20"/>
          <w:szCs w:val="20"/>
          <w:color w:val="auto"/>
        </w:rPr>
      </w:pPr>
    </w:p>
    <w:p>
      <w:pPr>
        <w:jc w:val="both"/>
        <w:ind w:firstLine="627"/>
        <w:spacing w:after="0" w:line="308" w:lineRule="auto"/>
        <w:rPr>
          <w:sz w:val="20"/>
          <w:szCs w:val="20"/>
          <w:color w:val="auto"/>
        </w:rPr>
      </w:pPr>
      <w:r>
        <w:rPr>
          <w:rFonts w:ascii="Times New Roman" w:cs="Times New Roman" w:eastAsia="Times New Roman" w:hAnsi="Times New Roman"/>
          <w:sz w:val="17"/>
          <w:szCs w:val="17"/>
          <w:color w:val="auto"/>
        </w:rPr>
        <w:t>NMIC and Re One are subject to certain rules and regulations prescribed by jurisdictions in which they are authorized to operate and the GSEs that may restrict their ability to pay dividends to NMIH. NMIC has the capacity to pay $96.3 million of aggregate ordinary dividends to NMIH during the twelve-month period ending December 31, 2024, and on May 30, 2024, NMIC paid a $96.3 million ordinary course dividend to NMIH.</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Subsequent Events</w:t>
      </w:r>
    </w:p>
    <w:p>
      <w:pPr>
        <w:spacing w:after="0" w:line="172"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In October 2024, NMIC entered into three sequential quota share reinsurance treaties that will provide coverage for mortgage insurance policies to be written in 2025, 2026 and 2027 (the “2025 QSR Transaction,” “2026 QSR Transaction” and “2027 QSR Transaction”, respectively). Under the terms of the 2025 and 2026 QSR Transactions, NMIC will cede premiums earned related to 20% of the risk on eligible policies written between January 1, 2025 and December 31, 2026, in exchange for reimbursement of ceded claims and claims expenses on covered policies, a 20% ceding commission, and a profit commission of up to 62% that varies directly and inversely with ceded claims. Under the terms of the 2027 QSR Transaction, NMIC will cede premiums earned related to 12% of the risk on eligible policies written between January 1, 2027 and December 31, 2027, in exchange for reimbursement of ceded claims and claims expenses on covered policies, a 20% ceding commission, and a profit commission of up to 61% that varies directly and inversely with ceded claims.</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 October 2024, NMIC entered into two sequential excess-of-loss reinsurance treaties that will provide aggregate coverage for mortgage insurance policies to be written in 2025 and 2026 (the “2025 XOL Transaction” and “2026 XOL Transaction”, respectively). Under the terms of each agreement, NMIC will retain a first layer of aggregate loss exposure on covered policies and its reinsurance counterparties will then provide second layer loss protection up to a defined reinsurance coverage amount (of $283.8 million for the 2025 XOL Transaction and $164.2 million for the 2026 XOL Transaction). NMIC retains losses in excess of the respective reinsurance coverage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200"/>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2023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2023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2"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2024, we had issued master policies with 2,062 customers, including national and regional mortgage banks, money center banks, credit unions, community banks, builder-owned mortgage lenders, internet-sourced lenders and other non-bank lenders. As of September 30, 2024, we had $207.5 billion of primary insurance-in-force (IIF) and $55.3 billion of primary risk-in-force (RIF).</w:t>
      </w:r>
    </w:p>
    <w:p>
      <w:pPr>
        <w:spacing w:after="0" w:line="119" w:lineRule="exact"/>
        <w:rPr>
          <w:sz w:val="20"/>
          <w:szCs w:val="20"/>
          <w:color w:val="auto"/>
        </w:rPr>
      </w:pPr>
    </w:p>
    <w:p>
      <w:pPr>
        <w:jc w:val="both"/>
        <w:ind w:firstLine="627"/>
        <w:spacing w:after="0" w:line="248"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Our common stock trades on the Nasdaq under the symbol “NMIH.” Our headquarters is located in Emeryville, California. As of September 30, 2024, we had 229 employees. Our corporate website is located at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Our website and the information contained on or accessible through our website are not incorporated by reference into this report.</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jc w:val="center"/>
        <w:ind w:right="7780"/>
        <w:spacing w:after="0"/>
        <w:rPr>
          <w:sz w:val="20"/>
          <w:szCs w:val="20"/>
          <w:color w:val="auto"/>
        </w:rPr>
      </w:pPr>
      <w:r>
        <w:rPr>
          <w:rFonts w:ascii="Times New Roman" w:cs="Times New Roman" w:eastAsia="Times New Roman" w:hAnsi="Times New Roman"/>
          <w:sz w:val="17"/>
          <w:szCs w:val="17"/>
          <w:b w:val="1"/>
          <w:bCs w:val="1"/>
          <w:color w:val="auto"/>
        </w:rPr>
        <w:t>Conditions and Trends Affecting Our Business</w:t>
      </w:r>
    </w:p>
    <w:p>
      <w:pPr>
        <w:spacing w:after="0" w:line="168"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7"/>
          <w:szCs w:val="17"/>
          <w:b w:val="1"/>
          <w:bCs w:val="1"/>
          <w:i w:val="1"/>
          <w:iCs w:val="1"/>
          <w:color w:val="auto"/>
        </w:rPr>
        <w:t>Macroeconomic Developments</w:t>
      </w:r>
    </w:p>
    <w:p>
      <w:pPr>
        <w:spacing w:after="0" w:line="174"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New Insurance Written, Insurance-In-Force and Risk-In-Force</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3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 and Net Premiums Earned</w:t>
      </w:r>
    </w:p>
    <w:p>
      <w:pPr>
        <w:spacing w:after="0" w:line="174" w:lineRule="exact"/>
        <w:rPr>
          <w:sz w:val="20"/>
          <w:szCs w:val="20"/>
          <w:color w:val="auto"/>
        </w:rPr>
      </w:pPr>
    </w:p>
    <w:p>
      <w:pPr>
        <w:jc w:val="both"/>
        <w:ind w:firstLine="627"/>
        <w:spacing w:after="0" w:line="226" w:lineRule="auto"/>
        <w:rPr>
          <w:sz w:val="20"/>
          <w:szCs w:val="20"/>
          <w:color w:val="auto"/>
        </w:rPr>
      </w:pPr>
      <w:r>
        <w:rPr>
          <w:rFonts w:ascii="Times New Roman" w:cs="Times New Roman" w:eastAsia="Times New Roman" w:hAnsi="Times New Roman"/>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 also continue to offer a rate card pricing option to a limited number of lender customers who require a rate card for operational reasons. We believe the introduction and utilization of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10" w:lineRule="exact"/>
        <w:rPr>
          <w:sz w:val="20"/>
          <w:szCs w:val="20"/>
          <w:color w:val="auto"/>
        </w:rPr>
      </w:pPr>
    </w:p>
    <w:p>
      <w:pPr>
        <w:ind w:left="940" w:hanging="30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w:t>
      </w:r>
    </w:p>
    <w:p>
      <w:pPr>
        <w:spacing w:after="0" w:line="170"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 and the mix of premium payment type, which are either single, monthly or annual premiums, as described below;</w:t>
      </w:r>
    </w:p>
    <w:p>
      <w:pPr>
        <w:spacing w:after="0" w:line="170"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09"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cession of premiums under third-party reinsurance arrangements.</w:t>
      </w:r>
    </w:p>
    <w:p>
      <w:pPr>
        <w:spacing w:after="0" w:line="17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2024 were non-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jc w:val="both"/>
        <w:spacing w:after="0" w:line="276" w:lineRule="auto"/>
        <w:rPr>
          <w:sz w:val="20"/>
          <w:szCs w:val="20"/>
          <w:color w:val="auto"/>
        </w:rPr>
      </w:pPr>
      <w:r>
        <w:rPr>
          <w:rFonts w:ascii="Times New Roman" w:cs="Times New Roman" w:eastAsia="Times New Roman" w:hAnsi="Times New Roman"/>
          <w:sz w:val="17"/>
          <w:szCs w:val="17"/>
          <w:color w:val="auto"/>
        </w:rPr>
        <w:t>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10"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Effect of Reinsurance on Our Results</w:t>
      </w:r>
    </w:p>
    <w:p>
      <w:pPr>
        <w:spacing w:after="0" w:line="174"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in the case of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spacing w:after="0" w:line="121"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33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Effective July 25, 2024, NMIC exercised its optional call to terminate a reinsurance agreement with and the associated insurance-linked notes issued by Oaktown Re III Ltd. In connection with the termination, NMIC’s excess of loss reinsurance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9" w:name="page30"/>
    <w:bookmarkEnd w:id="29"/>
    <w:p>
      <w:pPr>
        <w:spacing w:after="0" w:line="295" w:lineRule="auto"/>
        <w:rPr>
          <w:sz w:val="20"/>
          <w:szCs w:val="20"/>
          <w:color w:val="auto"/>
        </w:rPr>
      </w:pPr>
      <w:r>
        <w:rPr>
          <w:rFonts w:ascii="Times New Roman" w:cs="Times New Roman" w:eastAsia="Times New Roman" w:hAnsi="Times New Roman"/>
          <w:sz w:val="17"/>
          <w:szCs w:val="17"/>
          <w:color w:val="auto"/>
        </w:rPr>
        <w:t>agreement with Oaktown Re III Ltd. was commuted and the insurance-linked notes issued by Oaktown Re III Ltd. were redeemed in full with a distribution of remaining collateral assets.</w:t>
      </w:r>
    </w:p>
    <w:p>
      <w:pPr>
        <w:spacing w:after="0" w:line="9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September 30,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20" w:type="dxa"/>
            <w:vAlign w:val="bottom"/>
          </w:tcPr>
          <w:p>
            <w:pPr>
              <w:spacing w:after="0"/>
              <w:rPr>
                <w:sz w:val="13"/>
                <w:szCs w:val="13"/>
                <w:color w:val="auto"/>
              </w:rPr>
            </w:pP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2"/>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20" w:type="dxa"/>
            <w:vAlign w:val="bottom"/>
          </w:tcPr>
          <w:p>
            <w:pPr>
              <w:spacing w:after="0"/>
              <w:rPr>
                <w:sz w:val="12"/>
                <w:szCs w:val="12"/>
                <w:color w:val="auto"/>
              </w:rPr>
            </w:pPr>
          </w:p>
        </w:tc>
        <w:tc>
          <w:tcPr>
            <w:tcW w:w="1100" w:type="dxa"/>
            <w:vAlign w:val="bottom"/>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6"/>
              </w:rPr>
              <w:t xml:space="preserve">Loss </w:t>
            </w:r>
            <w:r>
              <w:rPr>
                <w:rFonts w:ascii="Times New Roman" w:cs="Times New Roman" w:eastAsia="Times New Roman" w:hAnsi="Times New Roman"/>
                <w:sz w:val="9"/>
                <w:szCs w:val="9"/>
                <w:b w:val="1"/>
                <w:bCs w:val="1"/>
                <w:color w:val="auto"/>
                <w:w w:val="96"/>
              </w:rPr>
              <w:t>(1)</w:t>
            </w:r>
          </w:p>
        </w:tc>
        <w:tc>
          <w:tcPr>
            <w:tcW w:w="0" w:type="dxa"/>
            <w:vAlign w:val="bottom"/>
          </w:tcPr>
          <w:p>
            <w:pPr>
              <w:spacing w:after="0"/>
              <w:rPr>
                <w:sz w:val="1"/>
                <w:szCs w:val="1"/>
                <w:color w:val="auto"/>
              </w:rPr>
            </w:pPr>
          </w:p>
        </w:tc>
      </w:tr>
      <w:tr>
        <w:trPr>
          <w:trHeight w:val="221"/>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2020-2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220" w:type="dxa"/>
            <w:vAlign w:val="bottom"/>
            <w:tcBorders>
              <w:top w:val="single" w:sz="8" w:color="auto"/>
            </w:tcBorders>
            <w:shd w:val="clear" w:color="auto" w:fill="CCEEFF"/>
          </w:tcPr>
          <w:p>
            <w:pPr>
              <w:jc w:val="center"/>
              <w:spacing w:after="0" w:line="221"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120,990</w:t>
            </w:r>
          </w:p>
        </w:tc>
        <w:tc>
          <w:tcPr>
            <w:tcW w:w="0" w:type="dxa"/>
            <w:vAlign w:val="bottom"/>
          </w:tcPr>
          <w:p>
            <w:pPr>
              <w:spacing w:after="0"/>
              <w:rPr>
                <w:sz w:val="1"/>
                <w:szCs w:val="1"/>
                <w:color w:val="auto"/>
              </w:rPr>
            </w:pPr>
          </w:p>
        </w:tc>
      </w:tr>
      <w:tr>
        <w:trPr>
          <w:trHeight w:val="22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320" w:type="dxa"/>
            <w:vAlign w:val="bottom"/>
            <w:gridSpan w:val="2"/>
          </w:tcPr>
          <w:p>
            <w:pPr>
              <w:jc w:val="center"/>
              <w:ind w:right="140"/>
              <w:spacing w:after="0" w:line="222" w:lineRule="exact"/>
              <w:rPr>
                <w:sz w:val="20"/>
                <w:szCs w:val="20"/>
                <w:color w:val="auto"/>
              </w:rPr>
            </w:pPr>
            <w:r>
              <w:rPr>
                <w:rFonts w:ascii="Times New Roman" w:cs="Times New Roman" w:eastAsia="Times New Roman" w:hAnsi="Times New Roman"/>
                <w:sz w:val="17"/>
                <w:szCs w:val="17"/>
                <w:color w:val="auto"/>
              </w:rPr>
              <w:t xml:space="preserve">10/1/2020 – 3/31/2021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163,217</w:t>
            </w:r>
          </w:p>
        </w:tc>
        <w:tc>
          <w:tcPr>
            <w:tcW w:w="0" w:type="dxa"/>
            <w:vAlign w:val="bottom"/>
          </w:tcPr>
          <w:p>
            <w:pPr>
              <w:spacing w:after="0"/>
              <w:rPr>
                <w:sz w:val="1"/>
                <w:szCs w:val="1"/>
                <w:color w:val="auto"/>
              </w:rPr>
            </w:pPr>
          </w:p>
        </w:tc>
      </w:tr>
      <w:tr>
        <w:trPr>
          <w:trHeight w:val="22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320" w:type="dxa"/>
            <w:vAlign w:val="bottom"/>
            <w:gridSpan w:val="2"/>
            <w:shd w:val="clear" w:color="auto" w:fill="CCEEFF"/>
          </w:tcPr>
          <w:p>
            <w:pPr>
              <w:jc w:val="center"/>
              <w:ind w:right="140"/>
              <w:spacing w:after="0" w:line="222" w:lineRule="exact"/>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hanging="315"/>
        <w:spacing w:after="0" w:line="252" w:lineRule="auto"/>
        <w:tabs>
          <w:tab w:leader="none" w:pos="3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72"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or both.</w:t>
      </w:r>
    </w:p>
    <w:p>
      <w:pPr>
        <w:spacing w:after="0" w:line="15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September 30,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2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0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209"/>
        </w:trPr>
        <w:tc>
          <w:tcPr>
            <w:tcW w:w="26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89"/>
              </w:rPr>
              <w:t xml:space="preserve">Loss </w:t>
            </w:r>
            <w:r>
              <w:rPr>
                <w:rFonts w:ascii="Times New Roman" w:cs="Times New Roman" w:eastAsia="Times New Roman" w:hAnsi="Times New Roman"/>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15"/>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2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 xml:space="preserve">10/1/2021 – 3/31/2022 </w:t>
            </w:r>
            <w:r>
              <w:rPr>
                <w:rFonts w:ascii="Times New Roman" w:cs="Times New Roman" w:eastAsia="Times New Roman" w:hAnsi="Times New Roman"/>
                <w:sz w:val="22"/>
                <w:szCs w:val="22"/>
                <w:color w:val="auto"/>
                <w:w w:val="99"/>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132,545</w:t>
            </w:r>
          </w:p>
        </w:tc>
        <w:tc>
          <w:tcPr>
            <w:tcW w:w="0" w:type="dxa"/>
            <w:vAlign w:val="bottom"/>
          </w:tcPr>
          <w:p>
            <w:pPr>
              <w:spacing w:after="0"/>
              <w:rPr>
                <w:sz w:val="1"/>
                <w:szCs w:val="1"/>
                <w:color w:val="auto"/>
              </w:rPr>
            </w:pPr>
          </w:p>
        </w:tc>
      </w:tr>
      <w:tr>
        <w:trPr>
          <w:trHeight w:val="222"/>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400" w:type="dxa"/>
            <w:vAlign w:val="bottom"/>
            <w:gridSpan w:val="2"/>
          </w:tcPr>
          <w:p>
            <w:pPr>
              <w:jc w:val="center"/>
              <w:spacing w:after="0" w:line="222" w:lineRule="exact"/>
              <w:rPr>
                <w:sz w:val="20"/>
                <w:szCs w:val="20"/>
                <w:color w:val="auto"/>
              </w:rPr>
            </w:pPr>
            <w:r>
              <w:rPr>
                <w:rFonts w:ascii="Times New Roman" w:cs="Times New Roman" w:eastAsia="Times New Roman" w:hAnsi="Times New Roman"/>
                <w:sz w:val="17"/>
                <w:szCs w:val="17"/>
                <w:color w:val="auto"/>
              </w:rPr>
              <w:t xml:space="preserve">4/1/2022 – 6/30/2022 </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78,073</w:t>
            </w: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7/1/2022 – 9/30/2022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105,817</w:t>
            </w:r>
          </w:p>
        </w:tc>
        <w:tc>
          <w:tcPr>
            <w:tcW w:w="0" w:type="dxa"/>
            <w:vAlign w:val="bottom"/>
          </w:tcPr>
          <w:p>
            <w:pPr>
              <w:spacing w:after="0"/>
              <w:rPr>
                <w:sz w:val="1"/>
                <w:szCs w:val="1"/>
                <w:color w:val="auto"/>
              </w:rPr>
            </w:pPr>
          </w:p>
        </w:tc>
      </w:tr>
      <w:tr>
        <w:trPr>
          <w:trHeight w:val="222"/>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 XOL 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2023</w:t>
            </w: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10/1/2022 – 6/30/2023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146,146</w:t>
            </w: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 XOL Transaction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7/1/2023 – 12/31/2023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136,875</w:t>
            </w:r>
          </w:p>
        </w:tc>
        <w:tc>
          <w:tcPr>
            <w:tcW w:w="0" w:type="dxa"/>
            <w:vAlign w:val="bottom"/>
          </w:tcPr>
          <w:p>
            <w:pPr>
              <w:spacing w:after="0"/>
              <w:rPr>
                <w:sz w:val="1"/>
                <w:szCs w:val="1"/>
                <w:color w:val="auto"/>
              </w:rPr>
            </w:pPr>
          </w:p>
        </w:tc>
      </w:tr>
      <w:tr>
        <w:trPr>
          <w:trHeight w:val="298"/>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2024 XOL Transaction </w:t>
            </w:r>
            <w:r>
              <w:rPr>
                <w:rFonts w:ascii="Times New Roman" w:cs="Times New Roman" w:eastAsia="Times New Roman" w:hAnsi="Times New Roman"/>
                <w:sz w:val="22"/>
                <w:szCs w:val="22"/>
                <w:color w:val="auto"/>
                <w:vertAlign w:val="superscript"/>
              </w:rPr>
              <w:t>(4)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 2024</w:t>
            </w: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1/1/2024 – 12/31/2024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ind w:left="320" w:hanging="315"/>
        <w:spacing w:after="0" w:line="262" w:lineRule="auto"/>
        <w:tabs>
          <w:tab w:leader="none" w:pos="30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ind w:left="300" w:hanging="295"/>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5" w:lineRule="exact"/>
        <w:rPr>
          <w:rFonts w:ascii="Times New Roman" w:cs="Times New Roman" w:eastAsia="Times New Roman" w:hAnsi="Times New Roman"/>
          <w:sz w:val="14"/>
          <w:szCs w:val="14"/>
          <w:color w:val="auto"/>
        </w:rPr>
      </w:pPr>
    </w:p>
    <w:p>
      <w:pPr>
        <w:ind w:left="320" w:hanging="315"/>
        <w:spacing w:after="0" w:line="266" w:lineRule="auto"/>
        <w:tabs>
          <w:tab w:leader="none" w:pos="3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2024 XOL Transaction will increase as incremental covered production is ceded under the transaction through December 31, 2024.</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4"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335"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Under the terms of the 2016 QSR Transaction, NMIC cedes premiums written related to 20.5%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 NMIC previously ceded 100% of the risk under its pool agreement with Fannie Mae; however, such agreement expired on August 31, 2023 and NMIC no longer cedes pool risk under the 2016 QSR Transaction.</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between April 1, 2020 and December 31, 2020, in exchange for reimbursement of ceded claims and claim expenses on covered policies, a 36% ceding commission, and a profit commission of up to 50% that varies directly and inversely with ceded claims.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1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2023 QSR Transaction, NMIC cedes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Under the terms of the 2024 QSR Transaction, NMIC cedes premiums earned related to 20% of the risk on eligible policies written in 2024, in exchange for reimbursement of ceded claims and claim expenses on covered policies, a 20% ceding commission, and a profit commission of up to 56% that varies directly and inversely with ceded claims.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1" w:name="page32"/>
    <w:bookmarkEnd w:id="31"/>
    <w:p>
      <w:pPr>
        <w:jc w:val="both"/>
        <w:spacing w:after="0" w:line="267" w:lineRule="auto"/>
        <w:rPr>
          <w:sz w:val="20"/>
          <w:szCs w:val="20"/>
          <w:color w:val="auto"/>
        </w:rPr>
      </w:pPr>
      <w:r>
        <w:rPr>
          <w:rFonts w:ascii="Times New Roman" w:cs="Times New Roman" w:eastAsia="Times New Roman" w:hAnsi="Times New Roman"/>
          <w:sz w:val="17"/>
          <w:szCs w:val="17"/>
          <w:color w:val="auto"/>
        </w:rPr>
        <w:t>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15" w:lineRule="exact"/>
        <w:rPr>
          <w:sz w:val="20"/>
          <w:szCs w:val="20"/>
          <w:color w:val="auto"/>
        </w:rPr>
      </w:pPr>
    </w:p>
    <w:p>
      <w:pPr>
        <w:ind w:firstLine="627"/>
        <w:spacing w:after="0" w:line="298" w:lineRule="auto"/>
        <w:rPr>
          <w:sz w:val="20"/>
          <w:szCs w:val="20"/>
          <w:color w:val="auto"/>
        </w:rPr>
      </w:pPr>
      <w:r>
        <w:rPr>
          <w:rFonts w:ascii="Times New Roman" w:cs="Times New Roman" w:eastAsia="Times New Roman" w:hAnsi="Times New Roman"/>
          <w:sz w:val="17"/>
          <w:szCs w:val="17"/>
          <w:color w:val="auto"/>
        </w:rPr>
        <w:t>See Item 1, “</w:t>
      </w:r>
      <w:r>
        <w:rPr>
          <w:rFonts w:ascii="Times New Roman" w:cs="Times New Roman" w:eastAsia="Times New Roman" w:hAnsi="Times New Roman"/>
          <w:sz w:val="17"/>
          <w:szCs w:val="17"/>
          <w:i w:val="1"/>
          <w:iCs w:val="1"/>
          <w:color w:val="auto"/>
        </w:rPr>
        <w:t>Financial Statements - Notes to Condensed Consolidated Financial Statements - Note 5, Reinsurance”</w:t>
      </w:r>
      <w:r>
        <w:rPr>
          <w:rFonts w:ascii="Times New Roman" w:cs="Times New Roman" w:eastAsia="Times New Roman" w:hAnsi="Times New Roman"/>
          <w:sz w:val="17"/>
          <w:szCs w:val="17"/>
          <w:color w:val="auto"/>
        </w:rPr>
        <w:t xml:space="preserve"> for further discussion of these third-party reinsurance arrangements.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Portfolio Data</w:t>
      </w:r>
    </w:p>
    <w:p>
      <w:pPr>
        <w:spacing w:after="0" w:line="174"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presents NIW and primary IIF as of the dates and for the periods indicated. Unless otherwise noted, the tables below do not include the effects of our third-party reinsurance arrangements described above.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and primary IIF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3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83"/>
        </w:trPr>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89"/>
        </w:trPr>
        <w:tc>
          <w:tcPr>
            <w:tcW w:w="30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NIW</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IIF</w:t>
            </w:r>
          </w:p>
        </w:tc>
        <w:tc>
          <w:tcPr>
            <w:tcW w:w="12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NIW</w:t>
            </w:r>
          </w:p>
        </w:tc>
        <w:tc>
          <w:tcPr>
            <w:tcW w:w="5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w w:val="92"/>
              </w:rPr>
              <w:t>IIF</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NIW</w:t>
            </w:r>
          </w:p>
        </w:tc>
        <w:tc>
          <w:tcPr>
            <w:tcW w:w="860" w:type="dxa"/>
            <w:vAlign w:val="bottom"/>
            <w:tcBorders>
              <w:top w:val="single" w:sz="8" w:color="auto"/>
              <w:bottom w:val="single" w:sz="8" w:color="auto"/>
            </w:tcBorders>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Monthly</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11,038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30,854</w:t>
            </w:r>
          </w:p>
        </w:tc>
      </w:tr>
      <w:tr>
        <w:trPr>
          <w:trHeight w:val="222"/>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Single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4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11,334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NIW for the three and nine months ended September 30, 2024 was $12.2 billion and $34.1 billion, respectively, compared to $11.3 billion and $31.5 billion for the three and nine months ended September 30, 2023, respectively. NIW increased year-on-year primarily due to growth in our customer franchise and market presence tied to the increased penetration of existing customer accounts and new customer activations.</w:t>
      </w:r>
    </w:p>
    <w:p>
      <w:pPr>
        <w:spacing w:after="0" w:line="175"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7"/>
          <w:szCs w:val="17"/>
          <w:color w:val="auto"/>
        </w:rPr>
        <w:t>Primary IIF increased 7% at September 30, 2024 compared to September 30, 2023, primarily due to the NIW generated between such measurement dates, partially offset by the run-off of in-force policies. Our persistency rate was 85.5% at September 30, 2024 and 86.2% at September 30, 2023. Our persistency rate remains historically high due to a continued slowdown in the pace of mortgage refinancing activity tied to the prevailing interest and mortgage rate environment.</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net premiums written and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premiums written and earned</w:t>
            </w:r>
          </w:p>
        </w:tc>
        <w:tc>
          <w:tcPr>
            <w:tcW w:w="240" w:type="dxa"/>
            <w:vAlign w:val="bottom"/>
          </w:tcPr>
          <w:p>
            <w:pPr>
              <w:spacing w:after="0"/>
              <w:rPr>
                <w:sz w:val="16"/>
                <w:szCs w:val="16"/>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00" w:type="dxa"/>
            <w:vAlign w:val="bottom"/>
          </w:tcPr>
          <w:p>
            <w:pPr>
              <w:spacing w:after="0"/>
              <w:rPr>
                <w:sz w:val="16"/>
                <w:szCs w:val="16"/>
                <w:color w:val="auto"/>
              </w:rPr>
            </w:pPr>
          </w:p>
        </w:tc>
        <w:tc>
          <w:tcPr>
            <w:tcW w:w="294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136,681</w:t>
            </w:r>
          </w:p>
        </w:tc>
        <w:tc>
          <w:tcPr>
            <w:tcW w:w="4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123,268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400,740</w:t>
            </w:r>
          </w:p>
        </w:tc>
        <w:tc>
          <w:tcPr>
            <w:tcW w:w="4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353,388</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24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143,343</w:t>
            </w:r>
          </w:p>
        </w:tc>
        <w:tc>
          <w:tcPr>
            <w:tcW w:w="48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130,089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421,168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377,828</w:t>
            </w:r>
          </w:p>
        </w:tc>
      </w:tr>
    </w:tbl>
    <w:p>
      <w:pPr>
        <w:spacing w:after="0" w:line="225"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premiums written increased 11% and 13%, respectively, and net premiums earned increased 10% and 11%, respectively, during the three and nine months ended September 30, 2024 compared to the three and nine months ended September 30, 2023, primarily driven by growth in our monthly IIF and monthly pay premium receipts, as well as a decline in the total premiums ceded under our reinsurance treaties.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Portfolio Statistics</w:t>
      </w:r>
    </w:p>
    <w:p>
      <w:pPr>
        <w:spacing w:after="0" w:line="17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4"/>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36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89"/>
        </w:trPr>
        <w:tc>
          <w:tcPr>
            <w:tcW w:w="4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5"/>
          </w:tcPr>
          <w:p>
            <w:pPr>
              <w:jc w:val="center"/>
              <w:ind w:right="133"/>
              <w:spacing w:after="0"/>
              <w:rPr>
                <w:sz w:val="20"/>
                <w:szCs w:val="20"/>
                <w:color w:val="auto"/>
              </w:rPr>
            </w:pPr>
            <w:r>
              <w:rPr>
                <w:rFonts w:ascii="Times New Roman" w:cs="Times New Roman" w:eastAsia="Times New Roman" w:hAnsi="Times New Roman"/>
                <w:sz w:val="14"/>
                <w:szCs w:val="14"/>
                <w:i w:val="1"/>
                <w:iCs w:val="1"/>
                <w:color w:val="auto"/>
                <w:w w:val="98"/>
              </w:rPr>
              <w:t>($ Values In Millions, except as noted below)</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insurance written</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12,218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12,503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9,398</w:t>
            </w:r>
          </w:p>
        </w:tc>
        <w:tc>
          <w:tcPr>
            <w:tcW w:w="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8,927</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11,334</w:t>
            </w:r>
          </w:p>
        </w:tc>
      </w:tr>
      <w:tr>
        <w:trPr>
          <w:trHeight w:val="222"/>
        </w:trPr>
        <w:tc>
          <w:tcPr>
            <w:tcW w:w="45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222"/>
        </w:trPr>
        <w:tc>
          <w:tcPr>
            <w:tcW w:w="4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2"/>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risk written</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3,245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3,335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2,486</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2,354</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3,027</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Insurance-in-force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207,538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203,501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199,373</w:t>
            </w:r>
          </w:p>
        </w:tc>
        <w:tc>
          <w:tcPr>
            <w:tcW w:w="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197,029</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194,781</w:t>
            </w:r>
          </w:p>
        </w:tc>
      </w:tr>
      <w:tr>
        <w:trPr>
          <w:trHeight w:val="222"/>
        </w:trPr>
        <w:tc>
          <w:tcPr>
            <w:tcW w:w="45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2"/>
        </w:trPr>
        <w:tc>
          <w:tcPr>
            <w:tcW w:w="4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Risk-in-force </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55,253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53,956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52,610</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51,796</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51,011</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654,374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645,276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635,662</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629,690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622,993</w:t>
            </w:r>
          </w:p>
        </w:tc>
      </w:tr>
      <w:tr>
        <w:trPr>
          <w:trHeight w:val="235"/>
        </w:trPr>
        <w:tc>
          <w:tcPr>
            <w:tcW w:w="4540" w:type="dxa"/>
            <w:vAlign w:val="bottom"/>
          </w:tcPr>
          <w:p>
            <w:pPr>
              <w:ind w:left="220"/>
              <w:spacing w:after="0" w:line="236" w:lineRule="exact"/>
              <w:rPr>
                <w:sz w:val="20"/>
                <w:szCs w:val="20"/>
                <w:color w:val="auto"/>
              </w:rPr>
            </w:pPr>
            <w:r>
              <w:rPr>
                <w:rFonts w:ascii="Times New Roman" w:cs="Times New Roman" w:eastAsia="Times New Roman" w:hAnsi="Times New Roman"/>
                <w:sz w:val="17"/>
                <w:szCs w:val="17"/>
                <w:color w:val="auto"/>
              </w:rPr>
              <w:t xml:space="preserve">Average loan size </w:t>
            </w:r>
            <w:r>
              <w:rPr>
                <w:rFonts w:ascii="Times New Roman" w:cs="Times New Roman" w:eastAsia="Times New Roman" w:hAnsi="Times New Roman"/>
                <w:sz w:val="13"/>
                <w:szCs w:val="13"/>
                <w:i w:val="1"/>
                <w:iCs w:val="1"/>
                <w:color w:val="auto"/>
              </w:rPr>
              <w:t>($ value in thousands)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315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314</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313</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313</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Coverage percentage </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Loans in default (count)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5,712</w:t>
            </w:r>
          </w:p>
        </w:tc>
        <w:tc>
          <w:tcPr>
            <w:tcW w:w="200" w:type="dxa"/>
            <w:vAlign w:val="bottom"/>
          </w:tcPr>
          <w:p>
            <w:pPr>
              <w:spacing w:after="0"/>
              <w:rPr>
                <w:sz w:val="19"/>
                <w:szCs w:val="19"/>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4,904</w:t>
            </w:r>
          </w:p>
        </w:tc>
        <w:tc>
          <w:tcPr>
            <w:tcW w:w="180" w:type="dxa"/>
            <w:vAlign w:val="bottom"/>
          </w:tcPr>
          <w:p>
            <w:pPr>
              <w:spacing w:after="0"/>
              <w:rPr>
                <w:sz w:val="19"/>
                <w:szCs w:val="19"/>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5,109</w:t>
            </w:r>
          </w:p>
        </w:tc>
        <w:tc>
          <w:tcPr>
            <w:tcW w:w="460" w:type="dxa"/>
            <w:vAlign w:val="bottom"/>
          </w:tcPr>
          <w:p>
            <w:pPr>
              <w:spacing w:after="0"/>
              <w:rPr>
                <w:sz w:val="19"/>
                <w:szCs w:val="19"/>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5,099</w:t>
            </w:r>
          </w:p>
        </w:tc>
        <w:tc>
          <w:tcPr>
            <w:tcW w:w="34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4,594</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Default rate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0.74 %</w:t>
            </w:r>
          </w:p>
        </w:tc>
      </w:tr>
      <w:tr>
        <w:trPr>
          <w:trHeight w:val="222"/>
        </w:trPr>
        <w:tc>
          <w:tcPr>
            <w:tcW w:w="454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468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401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414</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408</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359</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r>
      <w:tr>
        <w:trPr>
          <w:trHeight w:val="222"/>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Earnings from cancellations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0.6</w:t>
            </w: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0.9</w:t>
            </w:r>
          </w:p>
        </w:tc>
      </w:tr>
      <w:tr>
        <w:trPr>
          <w:trHeight w:val="222"/>
        </w:trPr>
        <w:tc>
          <w:tcPr>
            <w:tcW w:w="45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Annual persistency </w:t>
            </w:r>
            <w:r>
              <w:rPr>
                <w:rFonts w:ascii="Times New Roman" w:cs="Times New Roman" w:eastAsia="Times New Roman" w:hAnsi="Times New Roman"/>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85.5 %</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85.8 %</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86.2 %</w:t>
            </w:r>
          </w:p>
        </w:tc>
      </w:tr>
      <w:tr>
        <w:trPr>
          <w:trHeight w:val="298"/>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Quarterly run-off </w:t>
            </w:r>
            <w:r>
              <w:rPr>
                <w:rFonts w:ascii="Times New Roman" w:cs="Times New Roman" w:eastAsia="Times New Roman" w:hAnsi="Times New Roman"/>
                <w:sz w:val="22"/>
                <w:szCs w:val="22"/>
                <w:color w:val="auto"/>
                <w:vertAlign w:val="superscript"/>
              </w:rPr>
              <w:t>(5)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r>
    </w:tbl>
    <w:p>
      <w:pPr>
        <w:spacing w:after="0" w:line="150" w:lineRule="exact"/>
        <w:rPr>
          <w:sz w:val="20"/>
          <w:szCs w:val="20"/>
          <w:color w:val="auto"/>
        </w:rPr>
      </w:pPr>
    </w:p>
    <w:p>
      <w:pPr>
        <w:ind w:left="300" w:hanging="295"/>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5"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 annualized.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presents a summary of the change in total primary IIF for the dates and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20" w:type="dxa"/>
            <w:vAlign w:val="bottom"/>
          </w:tcPr>
          <w:p>
            <w:pPr>
              <w:spacing w:after="0"/>
              <w:rPr>
                <w:sz w:val="13"/>
                <w:szCs w:val="13"/>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nine months ended September</w:t>
            </w:r>
          </w:p>
        </w:tc>
        <w:tc>
          <w:tcPr>
            <w:tcW w:w="0" w:type="dxa"/>
            <w:vAlign w:val="bottom"/>
          </w:tcPr>
          <w:p>
            <w:pPr>
              <w:spacing w:after="0"/>
              <w:rPr>
                <w:sz w:val="1"/>
                <w:szCs w:val="1"/>
                <w:color w:val="auto"/>
              </w:rPr>
            </w:pPr>
          </w:p>
        </w:tc>
      </w:tr>
      <w:tr>
        <w:trPr>
          <w:trHeight w:val="190"/>
        </w:trPr>
        <w:tc>
          <w:tcPr>
            <w:tcW w:w="53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 beginning of period</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48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0" w:type="dxa"/>
            <w:vAlign w:val="bottom"/>
          </w:tcPr>
          <w:p>
            <w:pPr>
              <w:spacing w:after="0"/>
              <w:rPr>
                <w:sz w:val="1"/>
                <w:szCs w:val="1"/>
                <w:color w:val="auto"/>
              </w:rPr>
            </w:pPr>
          </w:p>
        </w:tc>
      </w:tr>
      <w:tr>
        <w:trPr>
          <w:trHeight w:val="222"/>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NIW</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31,546</w:t>
            </w: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Cancellations, principal repayments and other reductions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(20,733)</w:t>
            </w: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IIF, end of period</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7"/>
          <w:szCs w:val="17"/>
          <w:color w:val="auto"/>
        </w:rPr>
        <w:t>The table below presents a summary of our primary IIF and RIF by book year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spacing w:after="0"/>
              <w:rPr>
                <w:sz w:val="15"/>
                <w:szCs w:val="15"/>
                <w:color w:val="auto"/>
              </w:rPr>
            </w:pPr>
          </w:p>
        </w:tc>
      </w:tr>
      <w:tr>
        <w:trPr>
          <w:trHeight w:val="188"/>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Book year</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7,994</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14,210</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16,818</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7,550</w:t>
            </w:r>
          </w:p>
        </w:tc>
      </w:tr>
      <w:tr>
        <w:trPr>
          <w:trHeight w:val="222"/>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2019 and before</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4,439</w:t>
            </w:r>
          </w:p>
        </w:tc>
      </w:tr>
      <w:tr>
        <w:trPr>
          <w:trHeight w:val="24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55,253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260" w:type="dxa"/>
            <w:vAlign w:val="bottom"/>
          </w:tcPr>
          <w:p>
            <w:pPr>
              <w:spacing w:after="0"/>
              <w:rPr>
                <w:sz w:val="16"/>
                <w:szCs w:val="16"/>
                <w:color w:val="auto"/>
              </w:rPr>
            </w:pPr>
          </w:p>
        </w:tc>
        <w:tc>
          <w:tcPr>
            <w:tcW w:w="32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80" w:type="dxa"/>
            <w:vAlign w:val="bottom"/>
          </w:tcPr>
          <w:p>
            <w:pPr>
              <w:spacing w:after="0"/>
              <w:rPr>
                <w:sz w:val="16"/>
                <w:szCs w:val="16"/>
                <w:color w:val="auto"/>
              </w:rPr>
            </w:pPr>
          </w:p>
        </w:tc>
        <w:tc>
          <w:tcPr>
            <w:tcW w:w="304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18,431</w:t>
            </w:r>
          </w:p>
        </w:tc>
      </w:tr>
      <w:tr>
        <w:trPr>
          <w:trHeight w:val="222"/>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5,227</w:t>
            </w:r>
          </w:p>
        </w:tc>
      </w:tr>
      <w:tr>
        <w:trPr>
          <w:trHeight w:val="222"/>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w:t>
            </w:r>
          </w:p>
        </w:tc>
      </w:tr>
      <w:tr>
        <w:trPr>
          <w:trHeight w:val="222"/>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22"/>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w:t>
            </w:r>
          </w:p>
        </w:tc>
      </w:tr>
      <w:tr>
        <w:trPr>
          <w:trHeight w:val="222"/>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r>
      <w:tr>
        <w:trPr>
          <w:trHeight w:val="21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31,546</w:t>
            </w:r>
          </w:p>
        </w:tc>
      </w:tr>
      <w:tr>
        <w:trPr>
          <w:trHeight w:val="215"/>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FICO</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320" w:type="dxa"/>
            <w:vAlign w:val="bottom"/>
          </w:tcPr>
          <w:p>
            <w:pPr>
              <w:spacing w:after="0"/>
              <w:rPr>
                <w:sz w:val="16"/>
                <w:szCs w:val="16"/>
                <w:color w:val="auto"/>
              </w:rPr>
            </w:pP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20" w:type="dxa"/>
            <w:vAlign w:val="bottom"/>
          </w:tcPr>
          <w:p>
            <w:pPr>
              <w:spacing w:after="0"/>
              <w:rPr>
                <w:sz w:val="16"/>
                <w:szCs w:val="16"/>
                <w:color w:val="auto"/>
              </w:rPr>
            </w:pPr>
          </w:p>
        </w:tc>
        <w:tc>
          <w:tcPr>
            <w:tcW w:w="3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1,568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2,723</w:t>
            </w:r>
          </w:p>
        </w:tc>
      </w:tr>
      <w:tr>
        <w:trPr>
          <w:trHeight w:val="222"/>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320" w:type="dxa"/>
            <w:vAlign w:val="bottom"/>
          </w:tcPr>
          <w:p>
            <w:pPr>
              <w:spacing w:after="0"/>
              <w:rPr>
                <w:sz w:val="19"/>
                <w:szCs w:val="19"/>
                <w:color w:val="auto"/>
              </w:rPr>
            </w:pP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5,720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15,779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14,822</w:t>
            </w:r>
          </w:p>
        </w:tc>
      </w:tr>
      <w:tr>
        <w:trPr>
          <w:trHeight w:val="22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3,584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10,254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10,650</w:t>
            </w:r>
          </w:p>
        </w:tc>
      </w:tr>
      <w:tr>
        <w:trPr>
          <w:trHeight w:val="222"/>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1,346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3,688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3,351</w:t>
            </w:r>
          </w:p>
        </w:tc>
      </w:tr>
      <w:tr>
        <w:trPr>
          <w:trHeight w:val="21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12,218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11,334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34,119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31,546</w:t>
            </w:r>
          </w:p>
        </w:tc>
      </w:tr>
      <w:tr>
        <w:trPr>
          <w:trHeight w:val="215"/>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LTV</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92.3 %</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92.4 %</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92.3 %</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92.1 %</w:t>
            </w: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260" w:type="dxa"/>
            <w:vAlign w:val="bottom"/>
          </w:tcPr>
          <w:p>
            <w:pPr>
              <w:spacing w:after="0"/>
              <w:rPr>
                <w:sz w:val="16"/>
                <w:szCs w:val="16"/>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00" w:type="dxa"/>
            <w:vAlign w:val="bottom"/>
          </w:tcPr>
          <w:p>
            <w:pPr>
              <w:spacing w:after="0"/>
              <w:rPr>
                <w:sz w:val="16"/>
                <w:szCs w:val="16"/>
                <w:color w:val="auto"/>
              </w:rPr>
            </w:pPr>
          </w:p>
        </w:tc>
        <w:tc>
          <w:tcPr>
            <w:tcW w:w="3020" w:type="dxa"/>
            <w:vAlign w:val="bottom"/>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30,870</w:t>
            </w:r>
          </w:p>
        </w:tc>
      </w:tr>
      <w:tr>
        <w:trPr>
          <w:trHeight w:val="222"/>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Refinance</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4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tables below present our total primary IIF and RIF by FICO and LTV, and total primary RIF by loan type as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103,764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97,026</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36,830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34,394</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27,360</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18,484</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25,149</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9,067</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4,938</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19,007</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101,872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93,908</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48</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59,371</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22,495</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12</w:t>
            </w:r>
          </w:p>
        </w:tc>
      </w:tr>
      <w:tr>
        <w:trPr>
          <w:trHeight w:val="24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194,781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9"/>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8"/>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5,876</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27,741</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14,704</w:t>
            </w:r>
          </w:p>
        </w:tc>
        <w:tc>
          <w:tcPr>
            <w:tcW w:w="190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5</w:t>
            </w:r>
          </w:p>
        </w:tc>
      </w:tr>
      <w:tr>
        <w:trPr>
          <w:trHeight w:val="24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80" w:type="dxa"/>
            <w:vAlign w:val="bottom"/>
          </w:tcPr>
          <w:p>
            <w:pPr>
              <w:spacing w:after="0"/>
              <w:rPr>
                <w:sz w:val="16"/>
                <w:szCs w:val="16"/>
                <w:color w:val="auto"/>
              </w:rPr>
            </w:pPr>
          </w:p>
        </w:tc>
      </w:tr>
      <w:tr>
        <w:trPr>
          <w:trHeight w:val="23"/>
        </w:trPr>
        <w:tc>
          <w:tcPr>
            <w:tcW w:w="85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742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1"/>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Fixed</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22"/>
        </w:trPr>
        <w:tc>
          <w:tcPr>
            <w:tcW w:w="8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Adjustable rate mortgages: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than five years</w:t>
            </w:r>
          </w:p>
        </w:tc>
        <w:tc>
          <w:tcPr>
            <w:tcW w:w="142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Five years and longer</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presents selected primary portfolio statistics, by book year, as of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w w:val="97"/>
              </w:rPr>
              <w:t>As of September 30, 2024</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0"/>
                <w:szCs w:val="10"/>
                <w:color w:val="auto"/>
              </w:rPr>
            </w:pPr>
          </w:p>
        </w:tc>
        <w:tc>
          <w:tcPr>
            <w:tcW w:w="84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 Remaining of</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Policies Ever</w:t>
            </w:r>
          </w:p>
        </w:tc>
        <w:tc>
          <w:tcPr>
            <w:tcW w:w="112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Incurred Loss</w:t>
            </w: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4"/>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120" w:type="dxa"/>
            <w:vAlign w:val="bottom"/>
          </w:tcPr>
          <w:p>
            <w:pPr>
              <w:spacing w:after="0"/>
              <w:rPr>
                <w:sz w:val="12"/>
                <w:szCs w:val="12"/>
                <w:color w:val="auto"/>
              </w:rPr>
            </w:pPr>
          </w:p>
        </w:tc>
        <w:tc>
          <w:tcPr>
            <w:tcW w:w="84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Insurance in</w:t>
            </w:r>
          </w:p>
        </w:tc>
        <w:tc>
          <w:tcPr>
            <w:tcW w:w="12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20" w:type="dxa"/>
            <w:vAlign w:val="bottom"/>
            <w:gridSpan w:val="2"/>
            <w:vMerge w:val="continue"/>
          </w:tcPr>
          <w:p>
            <w:pPr>
              <w:spacing w:after="0"/>
              <w:rPr>
                <w:sz w:val="12"/>
                <w:szCs w:val="12"/>
                <w:color w:val="auto"/>
              </w:rPr>
            </w:pPr>
          </w:p>
        </w:tc>
        <w:tc>
          <w:tcPr>
            <w:tcW w:w="112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Loans in</w:t>
            </w:r>
          </w:p>
        </w:tc>
        <w:tc>
          <w:tcPr>
            <w:tcW w:w="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Ratio (Inception</w:t>
            </w:r>
          </w:p>
        </w:tc>
        <w:tc>
          <w:tcPr>
            <w:tcW w:w="12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1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13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4"/>
              </w:rPr>
              <w:t xml:space="preserve">to Date) </w:t>
            </w:r>
            <w:r>
              <w:rPr>
                <w:rFonts w:ascii="Times New Roman" w:cs="Times New Roman" w:eastAsia="Times New Roman" w:hAnsi="Times New Roman"/>
                <w:sz w:val="18"/>
                <w:szCs w:val="18"/>
                <w:b w:val="1"/>
                <w:bCs w:val="1"/>
                <w:color w:val="auto"/>
                <w:w w:val="94"/>
                <w:vertAlign w:val="superscript"/>
              </w:rPr>
              <w:t>(1)</w:t>
            </w: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9"/>
                <w:szCs w:val="9"/>
                <w:b w:val="1"/>
                <w:bCs w:val="1"/>
                <w:color w:val="auto"/>
              </w:rPr>
              <w:t>(2)</w:t>
            </w:r>
          </w:p>
        </w:tc>
        <w:tc>
          <w:tcPr>
            <w:tcW w:w="10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ind w:left="34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2015 and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2,562</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2.5 %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22,466</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36 %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53,471</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49,130</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84 %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17.1 %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2"/>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35,880</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102,416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0" w:type="dxa"/>
            <w:vAlign w:val="bottom"/>
          </w:tcPr>
          <w:p>
            <w:pPr>
              <w:spacing w:after="0"/>
              <w:rPr>
                <w:sz w:val="1"/>
                <w:szCs w:val="1"/>
                <w:color w:val="auto"/>
              </w:rPr>
            </w:pPr>
          </w:p>
        </w:tc>
      </w:tr>
      <w:tr>
        <w:trPr>
          <w:trHeight w:val="222"/>
        </w:trPr>
        <w:tc>
          <w:tcPr>
            <w:tcW w:w="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32,892</w:t>
            </w:r>
          </w:p>
        </w:tc>
        <w:tc>
          <w:tcPr>
            <w:tcW w:w="128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96 %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90,031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87,724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4.0 %</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40"/>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207,538</w:t>
            </w:r>
          </w:p>
        </w:tc>
        <w:tc>
          <w:tcPr>
            <w:tcW w:w="1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1,299,430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654,374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Geographic Dispersion</w:t>
      </w:r>
    </w:p>
    <w:p>
      <w:pPr>
        <w:spacing w:after="0" w:line="172"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shows the distribution by state of our primary RIF as of the dates indicated. The distribution of our primary RIF as of September 30, 2024 is not necessarily representative of the geographic distribution we expect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60" w:type="dxa"/>
            <w:vAlign w:val="bottom"/>
          </w:tcPr>
          <w:p>
            <w:pPr>
              <w:spacing w:after="0"/>
              <w:rPr>
                <w:sz w:val="16"/>
                <w:szCs w:val="16"/>
                <w:color w:val="auto"/>
              </w:rPr>
            </w:pPr>
          </w:p>
        </w:tc>
      </w:tr>
      <w:tr>
        <w:trPr>
          <w:trHeight w:val="23"/>
        </w:trPr>
        <w:tc>
          <w:tcPr>
            <w:tcW w:w="86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10.3 %</w:t>
            </w:r>
          </w:p>
        </w:tc>
      </w:tr>
      <w:tr>
        <w:trPr>
          <w:trHeight w:val="222"/>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r>
      <w:tr>
        <w:trPr>
          <w:trHeight w:val="222"/>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w:t>
            </w:r>
          </w:p>
        </w:tc>
      </w:tr>
      <w:tr>
        <w:trPr>
          <w:trHeight w:val="222"/>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r>
      <w:tr>
        <w:trPr>
          <w:trHeight w:val="222"/>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r>
      <w:tr>
        <w:trPr>
          <w:trHeight w:val="222"/>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r>
      <w:tr>
        <w:trPr>
          <w:trHeight w:val="222"/>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r>
      <w:tr>
        <w:trPr>
          <w:trHeight w:val="222"/>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Ohio</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r>
      <w:tr>
        <w:trPr>
          <w:trHeight w:val="235"/>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Insurance Claims and Claim Expenses</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21"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for each transaction.</w:t>
      </w:r>
    </w:p>
    <w:p>
      <w:pPr>
        <w:spacing w:after="0" w:line="121"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7"/>
          <w:szCs w:val="17"/>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08"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7"/>
          <w:szCs w:val="17"/>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w:t>
      </w:r>
    </w:p>
    <w:p>
      <w:pPr>
        <w:spacing w:after="0" w:line="13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17"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76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5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r>
      <w:tr>
        <w:trPr>
          <w:trHeight w:val="222"/>
        </w:trPr>
        <w:tc>
          <w:tcPr>
            <w:tcW w:w="528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r>
      <w:tr>
        <w:trPr>
          <w:trHeight w:val="241"/>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528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60,987</w:t>
            </w:r>
          </w:p>
        </w:tc>
      </w:tr>
      <w:tr>
        <w:trPr>
          <w:trHeight w:val="222"/>
        </w:trPr>
        <w:tc>
          <w:tcPr>
            <w:tcW w:w="528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(46,601)</w:t>
            </w: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incurred</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14,386</w:t>
            </w:r>
          </w:p>
        </w:tc>
      </w:tr>
      <w:tr>
        <w:trPr>
          <w:trHeight w:val="241"/>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5280" w:type="dxa"/>
            <w:vAlign w:val="bottom"/>
            <w:shd w:val="clear" w:color="auto" w:fill="CCEEFF"/>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2"/>
        </w:trPr>
        <w:tc>
          <w:tcPr>
            <w:tcW w:w="5280" w:type="dxa"/>
            <w:vAlign w:val="bottom"/>
            <w:tcBorders>
              <w:bottom w:val="single" w:sz="8" w:color="CCEEFF"/>
            </w:tcBorders>
          </w:tcPr>
          <w:p>
            <w:pPr>
              <w:ind w:left="460"/>
              <w:spacing w:after="0" w:line="222"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2,394</w:t>
            </w: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r>
      <w:tr>
        <w:trPr>
          <w:trHeight w:val="241"/>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90,122</w:t>
            </w:r>
          </w:p>
        </w:tc>
      </w:tr>
      <w:tr>
        <w:trPr>
          <w:trHeight w:val="222"/>
        </w:trPr>
        <w:tc>
          <w:tcPr>
            <w:tcW w:w="528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25,956</w:t>
            </w:r>
          </w:p>
        </w:tc>
      </w:tr>
      <w:tr>
        <w:trPr>
          <w:trHeight w:val="24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116,078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20" w:hanging="315"/>
        <w:spacing w:after="0" w:line="254" w:lineRule="auto"/>
        <w:tabs>
          <w:tab w:leader="none" w:pos="31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1, “</w:t>
      </w:r>
      <w:r>
        <w:rPr>
          <w:rFonts w:ascii="Times New Roman" w:cs="Times New Roman" w:eastAsia="Times New Roman" w:hAnsi="Times New Roman"/>
          <w:sz w:val="14"/>
          <w:szCs w:val="14"/>
          <w:i w:val="1"/>
          <w:iCs w:val="1"/>
          <w:color w:val="auto"/>
        </w:rPr>
        <w:t>Financial Statements - Notes to Condensed Consolidated Financial Statements - Note 5, Reinsurance”</w:t>
      </w:r>
      <w:r>
        <w:rPr>
          <w:rFonts w:ascii="Times New Roman" w:cs="Times New Roman" w:eastAsia="Times New Roman" w:hAnsi="Times New Roman"/>
          <w:sz w:val="14"/>
          <w:szCs w:val="14"/>
          <w:color w:val="auto"/>
        </w:rPr>
        <w:t xml:space="preserve"> for additional information.</w:t>
      </w:r>
    </w:p>
    <w:p>
      <w:pPr>
        <w:jc w:val="both"/>
        <w:ind w:left="320" w:hanging="315"/>
        <w:spacing w:after="0" w:line="249" w:lineRule="auto"/>
        <w:tabs>
          <w:tab w:leader="none" w:pos="33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$63.2 million attributed to net case reserves and $7.0 million attributed to net IBNR reserves for the nine months ended September 30, 2024 and $54.4 million attributed to net case reserves and $5.8 million attributed to net IBNR reserves for the nine months ended September 30, 2023.</w:t>
      </w:r>
    </w:p>
    <w:p>
      <w:pPr>
        <w:spacing w:after="0" w:line="2" w:lineRule="exact"/>
        <w:rPr>
          <w:rFonts w:ascii="Times New Roman" w:cs="Times New Roman" w:eastAsia="Times New Roman" w:hAnsi="Times New Roman"/>
          <w:sz w:val="14"/>
          <w:szCs w:val="14"/>
          <w:color w:val="auto"/>
        </w:rPr>
      </w:pPr>
    </w:p>
    <w:p>
      <w:pPr>
        <w:jc w:val="both"/>
        <w:ind w:left="320" w:hanging="315"/>
        <w:spacing w:after="0" w:line="257" w:lineRule="auto"/>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$49.8 million attributed to net case reserves and $6.3 million attributed to net IBNR reserves for the nine months ended September 30, 2024 and $41.1 million attributed to net case reserves and $4.5 million attributed to net IBNR reserves for the nine months ended September 30, 2023.</w:t>
      </w:r>
    </w:p>
    <w:p>
      <w:pPr>
        <w:spacing w:after="0" w:line="373"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claims incurred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7"/>
          <w:szCs w:val="17"/>
          <w:color w:val="auto"/>
        </w:rPr>
        <w:t xml:space="preserve">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$45.1 million related to prior year defaults remained as of September 30,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count of loans in default: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3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32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4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3"/>
        </w:trPr>
        <w:tc>
          <w:tcPr>
            <w:tcW w:w="44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default inventory</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w:t>
            </w:r>
          </w:p>
        </w:tc>
      </w:tr>
      <w:tr>
        <w:trPr>
          <w:trHeight w:val="222"/>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Plus: new defaults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4,719</w:t>
            </w:r>
          </w:p>
        </w:tc>
      </w:tr>
      <w:tr>
        <w:trPr>
          <w:trHeight w:val="222"/>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r>
      <w:tr>
        <w:trPr>
          <w:trHeight w:val="222"/>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rescission and claims denied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5"/>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Ending default 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5,712</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w:t>
            </w:r>
          </w:p>
        </w:tc>
      </w:tr>
      <w:tr>
        <w:trPr>
          <w:trHeight w:val="20"/>
        </w:trPr>
        <w:tc>
          <w:tcPr>
            <w:tcW w:w="4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680" w:firstLine="627"/>
        <w:spacing w:after="0" w:line="295" w:lineRule="auto"/>
        <w:rPr>
          <w:sz w:val="20"/>
          <w:szCs w:val="20"/>
          <w:color w:val="auto"/>
        </w:rPr>
      </w:pPr>
      <w:r>
        <w:rPr>
          <w:rFonts w:ascii="Times New Roman" w:cs="Times New Roman" w:eastAsia="Times New Roman" w:hAnsi="Times New Roman"/>
          <w:sz w:val="17"/>
          <w:szCs w:val="17"/>
          <w:color w:val="auto"/>
        </w:rPr>
        <w:t>Ending default inventory increased from September 30, 2023 to September 30, 2024, primarily due to the growth and seasoning of our insured portfolio, partially offset by cure activity within our default population during the intervening period.</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details of our claims paid, before giving effect to claims ceded under the QSR Transactions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3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00" w:type="dxa"/>
            <w:vAlign w:val="bottom"/>
          </w:tcPr>
          <w:p>
            <w:pPr>
              <w:spacing w:after="0"/>
              <w:rPr>
                <w:sz w:val="16"/>
                <w:szCs w:val="16"/>
                <w:color w:val="auto"/>
              </w:rPr>
            </w:pPr>
          </w:p>
        </w:tc>
        <w:tc>
          <w:tcPr>
            <w:tcW w:w="31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1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00" w:type="dxa"/>
            <w:vAlign w:val="bottom"/>
            <w:gridSpan w:val="4"/>
          </w:tcPr>
          <w:p>
            <w:pPr>
              <w:jc w:val="right"/>
              <w:ind w:right="1019"/>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1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Number of claims paid </w:t>
            </w:r>
            <w:r>
              <w:rPr>
                <w:rFonts w:ascii="Times New Roman" w:cs="Times New Roman" w:eastAsia="Times New Roman" w:hAnsi="Times New Roman"/>
                <w:sz w:val="22"/>
                <w:szCs w:val="22"/>
                <w:color w:val="auto"/>
                <w:vertAlign w:val="superscript"/>
              </w:rPr>
              <w:t>(1)</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67</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168</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129</w:t>
            </w: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amount paid for claims</w:t>
            </w:r>
          </w:p>
        </w:tc>
        <w:tc>
          <w:tcPr>
            <w:tcW w:w="102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2,692</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1,402</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5,714</w:t>
            </w:r>
          </w:p>
        </w:tc>
        <w:tc>
          <w:tcPr>
            <w:tcW w:w="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3,132</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amount paid per claim</w:t>
            </w:r>
          </w:p>
        </w:tc>
        <w:tc>
          <w:tcPr>
            <w:tcW w:w="102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40</w:t>
            </w:r>
          </w:p>
        </w:tc>
        <w:tc>
          <w:tcPr>
            <w:tcW w:w="4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34</w:t>
            </w:r>
          </w:p>
        </w:tc>
        <w:tc>
          <w:tcPr>
            <w:tcW w:w="4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w:t>
            </w:r>
          </w:p>
        </w:tc>
      </w:tr>
      <w:tr>
        <w:trPr>
          <w:trHeight w:val="298"/>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Severity </w:t>
            </w:r>
            <w:r>
              <w:rPr>
                <w:rFonts w:ascii="Times New Roman" w:cs="Times New Roman" w:eastAsia="Times New Roman" w:hAnsi="Times New Roman"/>
                <w:sz w:val="22"/>
                <w:szCs w:val="22"/>
                <w:color w:val="auto"/>
                <w:vertAlign w:val="superscript"/>
              </w:rPr>
              <w:t>(2)</w:t>
            </w: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4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4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r>
    </w:tbl>
    <w:p>
      <w:pPr>
        <w:spacing w:after="0" w:line="137" w:lineRule="exact"/>
        <w:rPr>
          <w:sz w:val="20"/>
          <w:szCs w:val="20"/>
          <w:color w:val="auto"/>
        </w:rPr>
      </w:pPr>
    </w:p>
    <w:p>
      <w:pPr>
        <w:ind w:left="320" w:hanging="315"/>
        <w:spacing w:after="0" w:line="262" w:lineRule="auto"/>
        <w:tabs>
          <w:tab w:leader="none" w:pos="3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21 and 56 claims settled without payment during the three and nine months ended September 30, 2024, respectively, and 23 and 47 claims settled without payment during the three and nine months ended September 30, 2023, respectively.</w:t>
      </w:r>
    </w:p>
    <w:p>
      <w:pPr>
        <w:ind w:left="320" w:hanging="315"/>
        <w:spacing w:after="0" w:line="266" w:lineRule="auto"/>
        <w:tabs>
          <w:tab w:leader="none" w:pos="34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10"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paid 67 and 168 claims during the three and nine months ended September 30, 2024, respectively, and 62 and 129 claims during the three and nine months ended September 30, 2023,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spacing w:after="0" w:line="11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Our claims severity was 64% and 58% for the three and nine months ended September 30, 2024, respectively, compared to 46% and 51% for the three and nine months ended September 30, 2023, respectively. Our claims severity for each period was below long-term industry norms and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1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9" w:name="page40"/>
    <w:bookmarkEnd w:id="39"/>
    <w:p>
      <w:pPr>
        <w:ind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provides detail on our average reserve per default, before giving effect to reserves ceded under the QSR Transactions, as of the dates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420" w:type="dxa"/>
            <w:vAlign w:val="bottom"/>
          </w:tcPr>
          <w:p>
            <w:pPr>
              <w:spacing w:after="0"/>
              <w:rPr>
                <w:sz w:val="16"/>
                <w:szCs w:val="16"/>
                <w:color w:val="auto"/>
              </w:rPr>
            </w:pPr>
          </w:p>
        </w:tc>
        <w:tc>
          <w:tcPr>
            <w:tcW w:w="158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40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6820" w:type="dxa"/>
            <w:vAlign w:val="bottom"/>
          </w:tcPr>
          <w:p>
            <w:pPr>
              <w:spacing w:after="0"/>
              <w:rPr>
                <w:sz w:val="15"/>
                <w:szCs w:val="15"/>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Pr>
          <w:p>
            <w:pPr>
              <w:spacing w:after="0"/>
              <w:rPr>
                <w:sz w:val="16"/>
                <w:szCs w:val="16"/>
                <w:color w:val="auto"/>
              </w:rPr>
            </w:pPr>
          </w:p>
        </w:tc>
      </w:tr>
      <w:tr>
        <w:trPr>
          <w:trHeight w:val="228"/>
        </w:trPr>
        <w:tc>
          <w:tcPr>
            <w:tcW w:w="68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Case </w:t>
            </w:r>
            <w:r>
              <w:rPr>
                <w:rFonts w:ascii="Times New Roman" w:cs="Times New Roman" w:eastAsia="Times New Roman" w:hAnsi="Times New Roman"/>
                <w:sz w:val="22"/>
                <w:szCs w:val="22"/>
                <w:color w:val="auto"/>
                <w:vertAlign w:val="superscript"/>
              </w:rPr>
              <w:t>(1)</w:t>
            </w:r>
          </w:p>
        </w:tc>
        <w:tc>
          <w:tcPr>
            <w:tcW w:w="142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22"/>
        </w:trPr>
        <w:tc>
          <w:tcPr>
            <w:tcW w:w="68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(1)(2)</w:t>
            </w: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bl>
    <w:p>
      <w:pPr>
        <w:spacing w:after="0" w:line="226"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Average reserve per default decreased from September 30, 2023 to September 30, 2024, primarily due to changes in observed and forecasted housing market conditions and macroeconomic factors, as well as changes in the composition of our default inventory as measured by the size, vintage and current estimated LTV of defaulted loans between the measurement dates.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GSE Oversight</w:t>
      </w:r>
    </w:p>
    <w:p>
      <w:pPr>
        <w:spacing w:after="0" w:line="172" w:lineRule="exact"/>
        <w:rPr>
          <w:sz w:val="20"/>
          <w:szCs w:val="20"/>
          <w:color w:val="auto"/>
        </w:rPr>
      </w:pPr>
    </w:p>
    <w:p>
      <w:pPr>
        <w:jc w:val="both"/>
        <w:ind w:firstLine="666"/>
        <w:spacing w:after="0" w:line="267"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current vs. delinquent), LTV ratio and other risk features. In general, higher quality loans carry lower asset charges.</w:t>
      </w:r>
    </w:p>
    <w:p>
      <w:pPr>
        <w:spacing w:after="0" w:line="115"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which is then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adjusted on an aggregate 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 gross 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adjusted RIF</w:t>
      </w:r>
      <w:r>
        <w:rPr>
          <w:rFonts w:ascii="Times New Roman" w:cs="Times New Roman" w:eastAsia="Times New Roman" w:hAnsi="Times New Roman"/>
          <w:sz w:val="17"/>
          <w:szCs w:val="17"/>
          <w:color w:val="auto"/>
        </w:rPr>
        <w:t>.</w:t>
      </w:r>
    </w:p>
    <w:p>
      <w:pPr>
        <w:spacing w:after="0" w:line="33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2024 that NMIC was in full compliance with the PMIERs as of December 31, 2023. NMIC also has an ongoing obligation to immediately notify the GSEs in writing upon discovery of a failure to meet one or more of the PMIERs requirements. We continuously monitor NMIC's compliance with the PMIERs.</w:t>
      </w:r>
    </w:p>
    <w:p>
      <w:pPr>
        <w:spacing w:after="0" w:line="108" w:lineRule="exact"/>
        <w:rPr>
          <w:sz w:val="20"/>
          <w:szCs w:val="20"/>
          <w:color w:val="auto"/>
        </w:rPr>
      </w:pPr>
    </w:p>
    <w:p>
      <w:pPr>
        <w:jc w:val="both"/>
        <w:ind w:firstLine="627"/>
        <w:spacing w:after="0" w:line="298" w:lineRule="auto"/>
        <w:rPr>
          <w:sz w:val="20"/>
          <w:szCs w:val="20"/>
          <w:color w:val="auto"/>
        </w:rPr>
      </w:pPr>
      <w:r>
        <w:rPr>
          <w:rFonts w:ascii="Times New Roman" w:cs="Times New Roman" w:eastAsia="Times New Roman" w:hAnsi="Times New Roman"/>
          <w:sz w:val="17"/>
          <w:szCs w:val="17"/>
          <w:color w:val="auto"/>
        </w:rPr>
        <w:t xml:space="preserve">The following table provides a comparison of the PMIERs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net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as reported by NMIC as of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2"/>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8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2"/>
          </w:tcPr>
          <w:p>
            <w:pPr>
              <w:jc w:val="center"/>
              <w:ind w:left="583"/>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080" w:type="dxa"/>
            <w:vAlign w:val="bottom"/>
          </w:tcPr>
          <w:p>
            <w:pPr>
              <w:spacing w:after="0"/>
              <w:rPr>
                <w:sz w:val="16"/>
                <w:szCs w:val="16"/>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assets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3,006,892</w:t>
            </w:r>
          </w:p>
        </w:tc>
        <w:tc>
          <w:tcPr>
            <w:tcW w:w="7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2,602,680</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risk-based required assets</w:t>
            </w:r>
          </w:p>
        </w:tc>
        <w:tc>
          <w:tcPr>
            <w:tcW w:w="40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1,735,790</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1,414,233</w:t>
            </w:r>
          </w:p>
        </w:tc>
      </w:tr>
    </w:tbl>
    <w:p>
      <w:pPr>
        <w:spacing w:after="0" w:line="223"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were $3.0 billion at September 30, 2024, compared to $2.6 billion at September 30, 2023. The $404 million increase in</w:t>
      </w:r>
      <w:r>
        <w:rPr>
          <w:rFonts w:ascii="Times New Roman" w:cs="Times New Roman" w:eastAsia="Times New Roman" w:hAnsi="Times New Roman"/>
          <w:sz w:val="17"/>
          <w:szCs w:val="17"/>
          <w:i w:val="1"/>
          <w:iCs w:val="1"/>
          <w:color w:val="auto"/>
        </w:rPr>
        <w:t xml:space="preserve"> available assets </w:t>
      </w:r>
      <w:r>
        <w:rPr>
          <w:rFonts w:ascii="Times New Roman" w:cs="Times New Roman" w:eastAsia="Times New Roman" w:hAnsi="Times New Roman"/>
          <w:sz w:val="17"/>
          <w:szCs w:val="17"/>
          <w:color w:val="auto"/>
        </w:rPr>
        <w:t>between the dates presented was primarily driven by NMIC's positive cash flow from operations during the intervening period, partially offset by the payment of an ordinary course dividend from NMIC to NMIH in May 2024.</w:t>
      </w:r>
    </w:p>
    <w:p>
      <w:pPr>
        <w:spacing w:after="0" w:line="107"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 xml:space="preserve">Net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xml:space="preserve"> were $1.7 billion at September 30, 2024, compared to $1.4 billion at September 30, 2023. The $322 million increase in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between the dates presented was primarily due to the growth in our gross RIF and aggregate gross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0" w:name="page41"/>
    <w:bookmarkEnd w:id="40"/>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On August 21, 2024, the GSEs and FHFA updated PMIERs to revise the Available Asset credit mortgage insurers will receive for certain assets based on several factors, including asset class and credit rating. The updated PMIERs will take effect on a phased basis beginning March 31, 2025 and will be fully implemented on September 30, 2026. We do not expect the updated PMIERs to have a material impact on our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xml:space="preserve"> and we expect to remain in full compliance with the existing and updated PMIERs, as applicable, prior to, on and after March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80" w:type="dxa"/>
            <w:vAlign w:val="bottom"/>
          </w:tcPr>
          <w:p>
            <w:pPr>
              <w:spacing w:after="0"/>
              <w:rPr>
                <w:sz w:val="16"/>
                <w:szCs w:val="16"/>
                <w:color w:val="auto"/>
              </w:rPr>
            </w:pPr>
          </w:p>
        </w:tc>
        <w:tc>
          <w:tcPr>
            <w:tcW w:w="28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6"/>
          </w:tcPr>
          <w:p>
            <w:pPr>
              <w:jc w:val="right"/>
              <w:ind w:right="116"/>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143,343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130,089</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421,168</w:t>
            </w:r>
          </w:p>
        </w:tc>
        <w:tc>
          <w:tcPr>
            <w:tcW w:w="46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377,828</w:t>
            </w:r>
          </w:p>
        </w:tc>
        <w:tc>
          <w:tcPr>
            <w:tcW w:w="0" w:type="dxa"/>
            <w:vAlign w:val="bottom"/>
          </w:tcPr>
          <w:p>
            <w:pPr>
              <w:spacing w:after="0"/>
              <w:rPr>
                <w:sz w:val="1"/>
                <w:szCs w:val="1"/>
                <w:color w:val="auto"/>
              </w:rPr>
            </w:pPr>
          </w:p>
        </w:tc>
      </w:tr>
      <w:tr>
        <w:trPr>
          <w:trHeight w:val="222"/>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17,853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49,265</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217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166,092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148,159</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484,467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427,623</w:t>
            </w:r>
          </w:p>
        </w:tc>
        <w:tc>
          <w:tcPr>
            <w:tcW w:w="0" w:type="dxa"/>
            <w:vAlign w:val="bottom"/>
          </w:tcPr>
          <w:p>
            <w:pPr>
              <w:spacing w:after="0"/>
              <w:rPr>
                <w:sz w:val="1"/>
                <w:szCs w:val="1"/>
                <w:color w:val="auto"/>
              </w:rPr>
            </w:pPr>
          </w:p>
        </w:tc>
      </w:tr>
      <w:tr>
        <w:trPr>
          <w:trHeight w:val="20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4,812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14,386</w:t>
            </w:r>
          </w:p>
        </w:tc>
        <w:tc>
          <w:tcPr>
            <w:tcW w:w="0" w:type="dxa"/>
            <w:vAlign w:val="bottom"/>
          </w:tcPr>
          <w:p>
            <w:pPr>
              <w:spacing w:after="0"/>
              <w:rPr>
                <w:sz w:val="1"/>
                <w:szCs w:val="1"/>
                <w:color w:val="auto"/>
              </w:rPr>
            </w:pPr>
          </w:p>
        </w:tc>
      </w:tr>
      <w:tr>
        <w:trPr>
          <w:trHeight w:val="222"/>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27,749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80,983</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586</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7,076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8,059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29,794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24,146</w:t>
            </w: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46,765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40,859</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131,929</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120,101</w:t>
            </w:r>
          </w:p>
        </w:tc>
        <w:tc>
          <w:tcPr>
            <w:tcW w:w="0" w:type="dxa"/>
            <w:vAlign w:val="bottom"/>
          </w:tcPr>
          <w:p>
            <w:pPr>
              <w:spacing w:after="0"/>
              <w:rPr>
                <w:sz w:val="1"/>
                <w:szCs w:val="1"/>
                <w:color w:val="auto"/>
              </w:rPr>
            </w:pPr>
          </w:p>
        </w:tc>
      </w:tr>
      <w:tr>
        <w:trPr>
          <w:trHeight w:val="241"/>
        </w:trPr>
        <w:tc>
          <w:tcPr>
            <w:tcW w:w="5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119,327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107,300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307,522</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26,517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23,345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78,599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68,825</w:t>
            </w:r>
          </w:p>
        </w:tc>
        <w:tc>
          <w:tcPr>
            <w:tcW w:w="0" w:type="dxa"/>
            <w:vAlign w:val="bottom"/>
          </w:tcPr>
          <w:p>
            <w:pPr>
              <w:spacing w:after="0"/>
              <w:rPr>
                <w:sz w:val="1"/>
                <w:szCs w:val="1"/>
                <w:color w:val="auto"/>
              </w:rPr>
            </w:pPr>
          </w:p>
        </w:tc>
      </w:tr>
      <w:tr>
        <w:trPr>
          <w:trHeight w:val="24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92,810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83,955</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273,939</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238,697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1.02</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46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6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21.4 %</w:t>
            </w:r>
          </w:p>
        </w:tc>
        <w:tc>
          <w:tcPr>
            <w:tcW w:w="0" w:type="dxa"/>
            <w:vAlign w:val="bottom"/>
          </w:tcPr>
          <w:p>
            <w:pPr>
              <w:spacing w:after="0"/>
              <w:rPr>
                <w:sz w:val="1"/>
                <w:szCs w:val="1"/>
                <w:color w:val="auto"/>
              </w:rPr>
            </w:pPr>
          </w:p>
        </w:tc>
      </w:tr>
      <w:tr>
        <w:trPr>
          <w:trHeight w:val="21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Combined ratio</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24.1 %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25.2 %</w:t>
            </w:r>
          </w:p>
        </w:tc>
        <w:tc>
          <w:tcPr>
            <w:tcW w:w="0" w:type="dxa"/>
            <w:vAlign w:val="bottom"/>
          </w:tcPr>
          <w:p>
            <w:pPr>
              <w:spacing w:after="0"/>
              <w:rPr>
                <w:sz w:val="1"/>
                <w:szCs w:val="1"/>
                <w:color w:val="auto"/>
              </w:rPr>
            </w:pPr>
          </w:p>
        </w:tc>
      </w:tr>
      <w:tr>
        <w:trPr>
          <w:trHeight w:val="440"/>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8"/>
                <w:szCs w:val="18"/>
                <w:b w:val="1"/>
                <w:bCs w:val="1"/>
                <w:color w:val="auto"/>
                <w:vertAlign w:val="superscript"/>
              </w:rPr>
              <w:t>(3)</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right"/>
              <w:ind w:right="176"/>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107,300</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359,514</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279,450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00" w:hanging="295"/>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ratio is calculated by dividing insurance claims and claim expenses by net premiums earned.</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xml:space="preserve">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premiums earned were $143.3 million and $421.2 million for the three and nine months ended September 30, 2024, respectively, compared to $130.1 million and $377.8 million for the three and nine months ended September 30, 2023, respectively. The year-on-year increase in net premiums earned in each respective period was primarily driven by growth in our monthly IIF and monthly pay premium receipts, as well as a decline in the total premiums ceded under our reinsurance treaties.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1" w:name="page42"/>
    <w:bookmarkEnd w:id="41"/>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investment income was $22.5 million and $62.6 million for the three and nine months ended September 30, 2024, respectively, compared to $17.9 million and $49.3 million for the three and nine months ended September 30, 2023, respectively. The year-on-year increase in net investment income in each respective period was primarily driven by an increase in the book yield of our investment portfolio tied to the deployment of new cash flows and reinvestment of rolling maturities at incrementally higher rates, as well as growth in the size of our total invested asset base.</w:t>
      </w:r>
    </w:p>
    <w:p>
      <w:pPr>
        <w:spacing w:after="0" w:line="117"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Other revenues were $0.3 million and $0.7 million for the three and nine months ended September 30, 2024, respectively, compared to $0.2 million and $0.6 million for the three and nine months ended September 30, 2023, respectively. 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7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10"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Insurance claims and claim expenses were $10.3 million and $14.3 million for the three and nine months ended September 30, 2024, respectively, compared to $4.8 million and $14.4 million for the three and nine months ended September 30, 2023, respectively. The increase in insurance claims and claim expenses for the three months ended September 30, 2024 was primarily driven by the establishment of initial reserves on newly defaulted loans, as well as an increase in the average case reserve held against previously defaulted loans that have aged in their delinquency status, and was partially offset by the release of a portion of the reserves we established for anticipated claims payments in prior periods in connection with cure activity and ongoing analysis of recent loss development trends.</w:t>
      </w:r>
    </w:p>
    <w:p>
      <w:pPr>
        <w:spacing w:after="0" w:line="121"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Underwriting and operating expenses were $29.2 million and $87.3 million for the three and nine months ended September 30, 2024, respectively, compared to $27.7 million and $81.0 million for the three and nine months ended September 30, 2023, respectively. The increase in underwriting and operating expenses in each respective period primarily reflects an increase in employee compensation costs and an adjustment to the pace of amortization of certain deferred policy acquisition costs, partially offset by an increase in ceding commissions received under our QSR Transactions and a decline in certain technology expenses.</w:t>
      </w:r>
    </w:p>
    <w:p>
      <w:pPr>
        <w:spacing w:after="0" w:line="32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Service expenses were $0.2 million and $0.5 million for the three and nine months ended September 30, 2024, respectively, compared to $0.2 million and $0.6 million for the three and nine months ended September 30, 2023, respectively. 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spacing w:after="0" w:line="117"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Interest expense was $7.1 million and $29.8 million for the three and nine months ended September 30, 2024, respectively, compared to $8.1 million and $24.1 million for the three and nine months ended September 30, 2023, respectively. Interest expense for the three months ended September 30, 2024 reflects the lower interest rate achieved on the 2024 Notes as compared to the 2020 Notes they refinanced. Interest expense for the nine months ended September 30, 2024 includes $7.0 million of non-recurring costs related to the refinancing of the 2020 Notes and 2021 Revolving Credit Facility. See Item 1, “</w:t>
      </w:r>
      <w:r>
        <w:rPr>
          <w:rFonts w:ascii="Times New Roman" w:cs="Times New Roman" w:eastAsia="Times New Roman" w:hAnsi="Times New Roman"/>
          <w:sz w:val="17"/>
          <w:szCs w:val="17"/>
          <w:i w:val="1"/>
          <w:iCs w:val="1"/>
          <w:color w:val="auto"/>
        </w:rPr>
        <w:t>Financial Statements - Notes to Condensed Consolidated Financial Statements - Note 4, Debt.”</w:t>
      </w:r>
    </w:p>
    <w:p>
      <w:pPr>
        <w:spacing w:after="0" w:line="119"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Income tax expense was $26.5 million and $78.6 million for the three and nine months ended September 30, 2024, respectively, compared to $23.3 million and $68.8 million for the three and nine months ended September 30, 2023, respectively. The increase in income tax expense in each respective period was primarily driven by growth in our pre-tax income. Our effective tax rate on pre-tax income was 22.2% and 22.3% for the three and nine months ended September 30, 2024, respectively, compared to 21.8% and 22.4% for the three and nine months ended September 30, 2023,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nine months ended September 30, 2024 and 2023 reflect the discrete tax effects of the vesting of RSUs and exercise of options. See Item 1,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Notes to Condensed Consolidated Financial Statements - Note 8, Income Taxes.”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2" w:name="page43"/>
    <w:bookmarkEnd w:id="42"/>
    <w:p>
      <w:pPr>
        <w:ind w:left="74"/>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4" w:lineRule="exact"/>
        <w:rPr>
          <w:sz w:val="20"/>
          <w:szCs w:val="20"/>
          <w:color w:val="auto"/>
        </w:rPr>
      </w:pPr>
    </w:p>
    <w:p>
      <w:pPr>
        <w:jc w:val="both"/>
        <w:ind w:left="74" w:firstLine="627"/>
        <w:spacing w:after="0" w:line="263" w:lineRule="auto"/>
        <w:rPr>
          <w:sz w:val="20"/>
          <w:szCs w:val="20"/>
          <w:color w:val="auto"/>
        </w:rPr>
      </w:pPr>
      <w:r>
        <w:rPr>
          <w:rFonts w:ascii="Times New Roman" w:cs="Times New Roman" w:eastAsia="Times New Roman" w:hAnsi="Times New Roman"/>
          <w:sz w:val="17"/>
          <w:szCs w:val="17"/>
          <w:color w:val="auto"/>
        </w:rPr>
        <w:t>Net income was $92.8 million and $273.9 million for the three and nine months ended September 30, 2024, respectively, compared to $84.0 million and $238.7 million for the three and nine months ended September 30, 2023, respectively. Adjusted net income was $92.8 million and $279.5 million for the three and nine months ended September 30, 2024, respectively, compared to $84.0 million and $238.7 million for the three and nine months ended September 30, 2023, respectively. Net income and adjusted net income increased in each respective period primarily due to growth in our total revenues, partially offset by increases in our income tax expense and underwriting and operating expenses. Net income for the nine months ended September 30, 2024 includes non-recurring costs incurred in connection with the refinancing of the 2020 Notes and 2021 Revolving Credit Facility; such amounts are excluded from the calculation of adjusted net income.</w:t>
      </w:r>
    </w:p>
    <w:p>
      <w:pPr>
        <w:spacing w:after="0" w:line="335" w:lineRule="exact"/>
        <w:rPr>
          <w:sz w:val="20"/>
          <w:szCs w:val="20"/>
          <w:color w:val="auto"/>
        </w:rPr>
      </w:pPr>
    </w:p>
    <w:p>
      <w:pPr>
        <w:jc w:val="both"/>
        <w:ind w:left="74" w:firstLine="627"/>
        <w:spacing w:after="0" w:line="266" w:lineRule="auto"/>
        <w:rPr>
          <w:sz w:val="20"/>
          <w:szCs w:val="20"/>
          <w:color w:val="auto"/>
        </w:rPr>
      </w:pPr>
      <w:r>
        <w:rPr>
          <w:rFonts w:ascii="Times New Roman" w:cs="Times New Roman" w:eastAsia="Times New Roman" w:hAnsi="Times New Roman"/>
          <w:sz w:val="17"/>
          <w:szCs w:val="17"/>
          <w:color w:val="auto"/>
        </w:rPr>
        <w:t>Diluted EPS was $1.15 and $3.36 for the three and nine months ended September 30, 2024, respectively, compared to $1.00 and $2.83 for the three and nine months ended September 30, 2023, respectively. Adjusted diluted EPS was $1.15 and $3.43 for the three and nine months ended September 30, 2024, respectively, compared to $1.00 and $2.83 for the three and nine months ended September 30, 2023, respectively. Diluted and adjusted diluted EPS increased in each respective period primarily due to growth in our net income and adjusted net income, as well as a decline in the number of weighted average diluted shares outstanding tied to share repurchase activity.</w:t>
      </w:r>
    </w:p>
    <w:p>
      <w:pPr>
        <w:spacing w:after="0" w:line="119" w:lineRule="exact"/>
        <w:rPr>
          <w:sz w:val="20"/>
          <w:szCs w:val="20"/>
          <w:color w:val="auto"/>
        </w:rPr>
      </w:pPr>
    </w:p>
    <w:p>
      <w:pPr>
        <w:jc w:val="both"/>
        <w:ind w:left="74" w:firstLine="627"/>
        <w:spacing w:after="0" w:line="295" w:lineRule="auto"/>
        <w:rPr>
          <w:sz w:val="20"/>
          <w:szCs w:val="20"/>
          <w:color w:val="auto"/>
        </w:rPr>
      </w:pPr>
      <w:r>
        <w:rPr>
          <w:rFonts w:ascii="Times New Roman" w:cs="Times New Roman" w:eastAsia="Times New Roman" w:hAnsi="Times New Roman"/>
          <w:sz w:val="17"/>
          <w:szCs w:val="17"/>
          <w:color w:val="auto"/>
        </w:rPr>
        <w:t>The non-GAAP financial measures of adjusted income before tax, adjusted net income and adjusted diluted EPS are presented to enhance the comparability of financial results between periods.</w:t>
      </w:r>
    </w:p>
    <w:p>
      <w:pPr>
        <w:spacing w:after="0" w:line="136" w:lineRule="exact"/>
        <w:rPr>
          <w:sz w:val="20"/>
          <w:szCs w:val="20"/>
          <w:color w:val="auto"/>
        </w:rPr>
      </w:pPr>
    </w:p>
    <w:tbl>
      <w:tblPr>
        <w:tblLayout w:type="fixed"/>
        <w:tblInd w:w="74" w:type="dxa"/>
        <w:tblCellMar>
          <w:top w:w="0" w:type="dxa"/>
          <w:left w:w="0" w:type="dxa"/>
          <w:bottom w:w="0" w:type="dxa"/>
          <w:right w:w="0" w:type="dxa"/>
        </w:tblCellMar>
      </w:tblP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14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8"/>
                <w:szCs w:val="18"/>
                <w:color w:val="auto"/>
              </w:rPr>
            </w:pPr>
          </w:p>
        </w:tc>
        <w:tc>
          <w:tcPr>
            <w:tcW w:w="274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5"/>
        </w:trPr>
        <w:tc>
          <w:tcPr>
            <w:tcW w:w="5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307,522</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68,825</w:t>
            </w:r>
          </w:p>
        </w:tc>
      </w:tr>
      <w:tr>
        <w:trPr>
          <w:trHeight w:val="24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92,810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238,697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markets transaction costs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119,337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107,300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359,514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307,555</w:t>
            </w:r>
          </w:p>
        </w:tc>
      </w:tr>
      <w:tr>
        <w:trPr>
          <w:trHeight w:val="196"/>
        </w:trPr>
        <w:tc>
          <w:tcPr>
            <w:tcW w:w="5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2"/>
        </w:trPr>
        <w:tc>
          <w:tcPr>
            <w:tcW w:w="53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Income tax expense on adjustments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5"/>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83,955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279,450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238,723</w:t>
            </w:r>
          </w:p>
        </w:tc>
      </w:tr>
      <w:tr>
        <w:trPr>
          <w:trHeight w:val="209"/>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84,236</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bl>
    <w:p>
      <w:pPr>
        <w:spacing w:after="0" w:line="114" w:lineRule="exact"/>
        <w:rPr>
          <w:sz w:val="20"/>
          <w:szCs w:val="20"/>
          <w:color w:val="auto"/>
        </w:rPr>
      </w:pPr>
    </w:p>
    <w:p>
      <w:pPr>
        <w:ind w:left="314" w:hanging="314"/>
        <w:spacing w:after="0" w:line="265" w:lineRule="auto"/>
        <w:tabs>
          <w:tab w:leader="none" w:pos="34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09"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color w:val="auto"/>
        </w:rPr>
        <w:t>Explanation and Reconciliation of Our Use of Non-GAAP Financial Measures</w:t>
      </w:r>
    </w:p>
    <w:p>
      <w:pPr>
        <w:spacing w:after="0" w:line="172" w:lineRule="exact"/>
        <w:rPr>
          <w:sz w:val="20"/>
          <w:szCs w:val="20"/>
          <w:color w:val="auto"/>
        </w:rPr>
      </w:pPr>
    </w:p>
    <w:p>
      <w:pPr>
        <w:jc w:val="both"/>
        <w:ind w:left="74" w:firstLine="627"/>
        <w:spacing w:after="0" w:line="265" w:lineRule="auto"/>
        <w:rPr>
          <w:sz w:val="20"/>
          <w:szCs w:val="20"/>
          <w:color w:val="auto"/>
        </w:rPr>
      </w:pPr>
      <w:r>
        <w:rPr>
          <w:rFonts w:ascii="Times New Roman" w:cs="Times New Roman" w:eastAsia="Times New Roman" w:hAnsi="Times New Roman"/>
          <w:sz w:val="17"/>
          <w:szCs w:val="17"/>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330" w:lineRule="exact"/>
        <w:rPr>
          <w:sz w:val="20"/>
          <w:szCs w:val="20"/>
          <w:color w:val="auto"/>
        </w:rPr>
      </w:pPr>
    </w:p>
    <w:p>
      <w:pPr>
        <w:jc w:val="both"/>
        <w:ind w:left="74"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Adjusted income before tax </w:t>
      </w:r>
      <w:r>
        <w:rPr>
          <w:rFonts w:ascii="Times New Roman" w:cs="Times New Roman" w:eastAsia="Times New Roman" w:hAnsi="Times New Roman"/>
          <w:sz w:val="17"/>
          <w:szCs w:val="17"/>
          <w:color w:val="auto"/>
        </w:rPr>
        <w:t>is defined as GAAP income before tax, excluding the pre-tax effects of net realized gains or losses from our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portfolio, periodic costs incurred in connection with capital markets transactions, and other infrequent, unusual or non-operating items in the periods in which such items are incurred.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14"/>
          </w:cols>
          <w:pgMar w:left="246" w:top="980" w:right="339" w:bottom="1440" w:gutter="0" w:footer="0" w:header="0"/>
        </w:sectPr>
      </w:pPr>
    </w:p>
    <w:bookmarkStart w:id="43" w:name="page44"/>
    <w:bookmarkEnd w:id="43"/>
    <w:p>
      <w:pPr>
        <w:jc w:val="both"/>
        <w:ind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GAAP net income, excluding the after-tax effects of net realized gains or losses from our investment portfolio,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spacing w:after="0" w:line="107"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Adjusted diluted EPS </w:t>
      </w:r>
      <w:r>
        <w:rPr>
          <w:rFonts w:ascii="Times New Roman" w:cs="Times New Roman" w:eastAsia="Times New Roman" w:hAnsi="Times New Roman"/>
          <w:sz w:val="17"/>
          <w:szCs w:val="17"/>
          <w:color w:val="auto"/>
        </w:rPr>
        <w:t>is defined as adjusted net income divided by adjusted weighted average diluted shares outstanding. Adjusted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6"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324" w:lineRule="exact"/>
        <w:rPr>
          <w:sz w:val="20"/>
          <w:szCs w:val="20"/>
          <w:color w:val="auto"/>
        </w:rPr>
      </w:pPr>
    </w:p>
    <w:p>
      <w:pPr>
        <w:jc w:val="both"/>
        <w:ind w:left="640" w:hanging="322"/>
        <w:spacing w:after="0" w:line="277"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realized investment gains and losses</w:t>
      </w:r>
      <w:r>
        <w:rPr>
          <w:rFonts w:ascii="Times New Roman" w:cs="Times New Roman" w:eastAsia="Times New Roman" w:hAnsi="Times New Roman"/>
          <w:sz w:val="17"/>
          <w:szCs w:val="17"/>
          <w:color w:val="auto"/>
        </w:rPr>
        <w:t>. The recognition of the net realized investment gains or losses can vary significantly across periods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is highly discretionary and is influenced by factors such as market opportunities, tax and capital profile, and overall market cycles that do not reflect our current period operating results.</w:t>
      </w:r>
    </w:p>
    <w:p>
      <w:pPr>
        <w:spacing w:after="0" w:line="107" w:lineRule="exact"/>
        <w:rPr>
          <w:rFonts w:ascii="Times New Roman" w:cs="Times New Roman" w:eastAsia="Times New Roman" w:hAnsi="Times New Roman"/>
          <w:sz w:val="17"/>
          <w:szCs w:val="17"/>
          <w:color w:val="auto"/>
        </w:rPr>
      </w:pPr>
    </w:p>
    <w:p>
      <w:pPr>
        <w:jc w:val="both"/>
        <w:ind w:left="640" w:hanging="322"/>
        <w:spacing w:after="0" w:line="277" w:lineRule="auto"/>
        <w:tabs>
          <w:tab w:leader="none" w:pos="63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Capital markets transaction costs</w:t>
      </w:r>
      <w:r>
        <w:rPr>
          <w:rFonts w:ascii="Times New Roman" w:cs="Times New Roman" w:eastAsia="Times New Roman" w:hAnsi="Times New Roman"/>
          <w:sz w:val="17"/>
          <w:szCs w:val="17"/>
          <w:color w:val="auto"/>
        </w:rPr>
        <w:t>. Capital markets transaction costs result from activities that are undertaken to improve our debt profile or enhance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07" w:lineRule="exact"/>
        <w:rPr>
          <w:rFonts w:ascii="Times New Roman" w:cs="Times New Roman" w:eastAsia="Times New Roman" w:hAnsi="Times New Roman"/>
          <w:sz w:val="17"/>
          <w:szCs w:val="17"/>
          <w:i w:val="1"/>
          <w:iCs w:val="1"/>
          <w:color w:val="auto"/>
        </w:rPr>
      </w:pPr>
    </w:p>
    <w:p>
      <w:pPr>
        <w:jc w:val="both"/>
        <w:ind w:left="640" w:hanging="322"/>
        <w:spacing w:after="0" w:line="263" w:lineRule="auto"/>
        <w:tabs>
          <w:tab w:leader="none" w:pos="6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infrequent, unusual or non-operating items</w:t>
      </w:r>
      <w:r>
        <w:rPr>
          <w:rFonts w:ascii="Times New Roman" w:cs="Times New Roman" w:eastAsia="Times New Roman" w:hAnsi="Times New Roman"/>
          <w:sz w:val="17"/>
          <w:szCs w:val="17"/>
          <w:color w:val="auto"/>
        </w:rPr>
        <w:t>. Items that are the result of unforeseen or uncommon events, and are not expected to recur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4"/>
          </w:tcPr>
          <w:p>
            <w:pPr>
              <w:jc w:val="right"/>
              <w:ind w:right="119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2,708,286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22"/>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0" w:type="dxa"/>
            <w:vAlign w:val="bottom"/>
          </w:tcPr>
          <w:p>
            <w:pPr>
              <w:spacing w:after="0"/>
              <w:rPr>
                <w:sz w:val="1"/>
                <w:szCs w:val="1"/>
                <w:color w:val="auto"/>
              </w:rPr>
            </w:pPr>
          </w:p>
        </w:tc>
      </w:tr>
      <w:tr>
        <w:trPr>
          <w:trHeight w:val="222"/>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62,905</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0" w:type="dxa"/>
            <w:vAlign w:val="bottom"/>
          </w:tcPr>
          <w:p>
            <w:pPr>
              <w:spacing w:after="0"/>
              <w:rPr>
                <w:sz w:val="1"/>
                <w:szCs w:val="1"/>
                <w:color w:val="auto"/>
              </w:rPr>
            </w:pPr>
          </w:p>
        </w:tc>
      </w:tr>
      <w:tr>
        <w:trPr>
          <w:trHeight w:val="222"/>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0" w:type="dxa"/>
            <w:vAlign w:val="bottom"/>
          </w:tcPr>
          <w:p>
            <w:pPr>
              <w:spacing w:after="0"/>
              <w:rPr>
                <w:sz w:val="1"/>
                <w:szCs w:val="1"/>
                <w:color w:val="auto"/>
              </w:rPr>
            </w:pPr>
          </w:p>
        </w:tc>
      </w:tr>
      <w:tr>
        <w:trPr>
          <w:trHeight w:val="222"/>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44,512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40,384</w:t>
            </w:r>
          </w:p>
        </w:tc>
        <w:tc>
          <w:tcPr>
            <w:tcW w:w="0" w:type="dxa"/>
            <w:vAlign w:val="bottom"/>
          </w:tcPr>
          <w:p>
            <w:pPr>
              <w:spacing w:after="0"/>
              <w:rPr>
                <w:sz w:val="1"/>
                <w:szCs w:val="1"/>
                <w:color w:val="auto"/>
              </w:rPr>
            </w:pPr>
          </w:p>
        </w:tc>
      </w:tr>
      <w:tr>
        <w:trPr>
          <w:trHeight w:val="24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3,320,125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40" w:type="dxa"/>
            <w:vAlign w:val="bottom"/>
            <w:vMerge w:val="continue"/>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414,694</w:t>
            </w:r>
          </w:p>
        </w:tc>
        <w:tc>
          <w:tcPr>
            <w:tcW w:w="8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397,595</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92,295</w:t>
            </w:r>
          </w:p>
        </w:tc>
        <w:tc>
          <w:tcPr>
            <w:tcW w:w="0" w:type="dxa"/>
            <w:vAlign w:val="bottom"/>
          </w:tcPr>
          <w:p>
            <w:pPr>
              <w:spacing w:after="0"/>
              <w:rPr>
                <w:sz w:val="1"/>
                <w:szCs w:val="1"/>
                <w:color w:val="auto"/>
              </w:rPr>
            </w:pPr>
          </w:p>
        </w:tc>
      </w:tr>
      <w:tr>
        <w:trPr>
          <w:trHeight w:val="222"/>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86,189</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0" w:type="dxa"/>
            <w:vAlign w:val="bottom"/>
          </w:tcPr>
          <w:p>
            <w:pPr>
              <w:spacing w:after="0"/>
              <w:rPr>
                <w:sz w:val="1"/>
                <w:szCs w:val="1"/>
                <w:color w:val="auto"/>
              </w:rPr>
            </w:pPr>
          </w:p>
        </w:tc>
      </w:tr>
      <w:tr>
        <w:trPr>
          <w:trHeight w:val="222"/>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301,573</w:t>
            </w:r>
          </w:p>
        </w:tc>
        <w:tc>
          <w:tcPr>
            <w:tcW w:w="0" w:type="dxa"/>
            <w:vAlign w:val="bottom"/>
          </w:tcPr>
          <w:p>
            <w:pPr>
              <w:spacing w:after="0"/>
              <w:rPr>
                <w:sz w:val="1"/>
                <w:szCs w:val="1"/>
                <w:color w:val="auto"/>
              </w:rPr>
            </w:pPr>
          </w:p>
        </w:tc>
      </w:tr>
      <w:tr>
        <w:trPr>
          <w:trHeight w:val="222"/>
        </w:trPr>
        <w:tc>
          <w:tcPr>
            <w:tcW w:w="784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 xml:space="preserve">Other liabilities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c>
          <w:tcPr>
            <w:tcW w:w="0" w:type="dxa"/>
            <w:vAlign w:val="bottom"/>
          </w:tcPr>
          <w:p>
            <w:pPr>
              <w:spacing w:after="0"/>
              <w:rPr>
                <w:sz w:val="1"/>
                <w:szCs w:val="1"/>
                <w:color w:val="auto"/>
              </w:rPr>
            </w:pPr>
          </w:p>
        </w:tc>
      </w:tr>
      <w:tr>
        <w:trPr>
          <w:trHeight w:val="21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1,124,939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1,014,503</w:t>
            </w: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2,195,186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215"/>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3,320,125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“Reinsurance funds withheld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has been reclassified as “Other liabilities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in the prior period.</w:t>
      </w:r>
    </w:p>
    <w:p>
      <w:pPr>
        <w:spacing w:after="0" w:line="15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Total cash and investments were $2.8 billion as of September 30, 2024, compared to $2.5 billion as of December 31, 2023. Cash and investments at September 30, 2024 included $148.3 million held by NMIH. The increase in total cash and investments reflects the addition of incremental cash provided by operating activities and a decrease in the unrealized loss position of our fixed income portfolio primarily tied to changes in interest rates, partially offset by share repurchase activity during the nine months ended September 30, 2024.</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Premiums receivable was $78.5 million as of September 30, 2024, compared to $76.5 million as of December 31, 2023.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spacing w:after="0" w:line="110"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Net deferred policy acquisition costs were $63.8 million as of September 30, 2024, compared to $62.9 million as of December 31, 2023. The increase was primarily driven by the deferral of certain costs associated with the origination of new policies between the respective balance sheet dates, and was partially offset by the recognition of previously deferred policy acquisition costs.</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Reinsurance recoverable was $29.2 million as of September 30, 2024, compared to $27.5 million as of December 31, 2023. The increase was driven by an increase in ceded losses recoverable under our QSR Transactions.</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Prepaid federal income taxes were $235.3 million as of September 30, 2024 and December 31, 2023. Prepaid federal income taxes represent tax and loss bonds purchased in connection with our claimed tax deduction for our statutory contingency reserve position. See Item 1, “</w:t>
      </w:r>
      <w:r>
        <w:rPr>
          <w:rFonts w:ascii="Times New Roman" w:cs="Times New Roman" w:eastAsia="Times New Roman" w:hAnsi="Times New Roman"/>
          <w:sz w:val="17"/>
          <w:szCs w:val="17"/>
          <w:i w:val="1"/>
          <w:iCs w:val="1"/>
          <w:color w:val="auto"/>
        </w:rPr>
        <w:t>Financial Statements -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Condensed Consolidated Financial Statements - Note 8, Income Taxes.”</w:t>
      </w:r>
    </w:p>
    <w:p>
      <w:pPr>
        <w:spacing w:after="0" w:line="11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Other assets were $44.5 million as of September 30, 2024, compared to $40.4 million as of December 31, 2023. The increase was primarily driven by an increase in accrued investment income and prepaid expenses, as well as the capitalization of deferred debt issuance costs incurred in connection with the establishment of the 2024 Revolving Credit Facility, partially offset by a reduction in our right-of-use assets tied to the amortization of the operating lease for our corporate headquarters.</w:t>
      </w:r>
    </w:p>
    <w:p>
      <w:pPr>
        <w:spacing w:after="0" w:line="117"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Debt was $414.7 million as of September 30, 2024, compared to $397.6 million as of December 31, 2023. Debt as of September 30, 2024 represented the carrying value of the $425 million aggregate principal amount 2024 Notes which issued in May 2024. Debt at December 31, 2023 represented the carrying value of the $400 million aggregate principal amount 2020 Notes,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5" w:name="page46"/>
    <w:bookmarkEnd w:id="45"/>
    <w:p>
      <w:pPr>
        <w:jc w:val="both"/>
        <w:spacing w:after="0" w:line="298" w:lineRule="auto"/>
        <w:rPr>
          <w:sz w:val="20"/>
          <w:szCs w:val="20"/>
          <w:color w:val="auto"/>
        </w:rPr>
      </w:pPr>
      <w:r>
        <w:rPr>
          <w:rFonts w:ascii="Times New Roman" w:cs="Times New Roman" w:eastAsia="Times New Roman" w:hAnsi="Times New Roman"/>
          <w:sz w:val="17"/>
          <w:szCs w:val="17"/>
          <w:color w:val="auto"/>
        </w:rPr>
        <w:t>which were redeemed in full upon the completion of the 2024 Notes offering. For more information see Item 1, “</w:t>
      </w:r>
      <w:r>
        <w:rPr>
          <w:rFonts w:ascii="Times New Roman" w:cs="Times New Roman" w:eastAsia="Times New Roman" w:hAnsi="Times New Roman"/>
          <w:sz w:val="17"/>
          <w:szCs w:val="17"/>
          <w:i w:val="1"/>
          <w:iCs w:val="1"/>
          <w:color w:val="auto"/>
        </w:rPr>
        <w:t>Financial Statements - Notes to Condensed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Consolidated Financial Statements - Note 4, Debt.”</w:t>
      </w:r>
    </w:p>
    <w:p>
      <w:pPr>
        <w:spacing w:after="0" w:line="92"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Unearned premiums were $71.6 million as of September 30, 2024, compared to $92.3 million as of December 31, 2023.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nine months ended September 30, 2024.</w:t>
      </w:r>
    </w:p>
    <w:p>
      <w:pPr>
        <w:spacing w:after="0" w:line="11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Accounts payable and accrued expenses were $111.0 million as of September 30, 2024, compared to $86.2 million as of December 31, 2023. The increase was primarily driven by an increase in unsettled trade payables related to the purchase of certain investment securities at September 30, 2024, as well as accrued and unpaid interest on the 2024 Notes, which is payable semi-annually beginning in February 2025, and was partially offset by the settlement of certain contractual payables and accrued expenses during the nine months ended September 30, 2024.</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Reserve for insurance claims and claim expenses was $135.5 million as of September 30, 2024, compared to $124.0 million as of December 31, 2023. The increase was primarily driven by the establishment of initial reserves on newly defaulted loans during the nine months ended September 30, 2024, as well as an increase in the average case reserve held against previously defaulted loans that aged in their delinquent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7"/>
          <w:szCs w:val="17"/>
          <w:i w:val="1"/>
          <w:iCs w:val="1"/>
          <w:color w:val="auto"/>
        </w:rPr>
        <w:t>Insurance Claims and Claim Expenses</w:t>
      </w:r>
      <w:r>
        <w:rPr>
          <w:rFonts w:ascii="Times New Roman" w:cs="Times New Roman" w:eastAsia="Times New Roman" w:hAnsi="Times New Roman"/>
          <w:sz w:val="17"/>
          <w:szCs w:val="17"/>
          <w:color w:val="auto"/>
        </w:rPr>
        <w:t>,” above for further details.</w:t>
      </w:r>
    </w:p>
    <w:p>
      <w:pPr>
        <w:spacing w:after="0" w:line="12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deferred tax liability was $380.9 million as of September 30, 2024, compared to $301.6 million as of December 31, 2023. The increase was primarily due to an increase in the claimed deductibility of our statutory contingency reserve, as well as the decrease in unrealized losses recorded in other comprehensive income. For further information regarding income taxes and their impact on our results of operations and financial position, see Item 1, “</w:t>
      </w:r>
      <w:r>
        <w:rPr>
          <w:rFonts w:ascii="Times New Roman" w:cs="Times New Roman" w:eastAsia="Times New Roman" w:hAnsi="Times New Roman"/>
          <w:sz w:val="17"/>
          <w:szCs w:val="17"/>
          <w:i w:val="1"/>
          <w:iCs w:val="1"/>
          <w:color w:val="auto"/>
        </w:rPr>
        <w:t>Financial Statements - Notes to Condensed Consolidated Financial Statements - Note 8, Income 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from operating, investing and financing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320" w:type="dxa"/>
            <w:vAlign w:val="bottom"/>
          </w:tcPr>
          <w:p>
            <w:pPr>
              <w:spacing w:after="0"/>
              <w:rPr>
                <w:sz w:val="16"/>
                <w:szCs w:val="16"/>
                <w:color w:val="auto"/>
              </w:rPr>
            </w:pPr>
          </w:p>
        </w:tc>
        <w:tc>
          <w:tcPr>
            <w:tcW w:w="324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7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320" w:type="dxa"/>
            <w:vAlign w:val="bottom"/>
          </w:tcPr>
          <w:p>
            <w:pPr>
              <w:spacing w:after="0"/>
              <w:rPr>
                <w:sz w:val="18"/>
                <w:szCs w:val="18"/>
                <w:color w:val="auto"/>
              </w:rPr>
            </w:pPr>
          </w:p>
        </w:tc>
        <w:tc>
          <w:tcPr>
            <w:tcW w:w="206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8"/>
                <w:szCs w:val="18"/>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312,566</w:t>
            </w:r>
          </w:p>
        </w:tc>
      </w:tr>
      <w:tr>
        <w:trPr>
          <w:trHeight w:val="222"/>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(117,908)</w:t>
            </w:r>
          </w:p>
        </w:tc>
      </w:tr>
      <w:tr>
        <w:trPr>
          <w:trHeight w:val="222"/>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(67,997)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(62,621)</w:t>
            </w: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36,630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132,037</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Net cash provided by operating activities was $357.8 million for the nine months ended September 30, 2024, compared to $312.6 million for the nine months ended September 30, 2023. Cash provided by operating activities increased during the nine months ended September 30, 2024, primarily due to an increase in our net premium receipts, growth in our investment income and a reduction in technology service costs paid under our long-term IT services agreement with Tata Consultancy Services, partially offset by an increase in taxes paid, short-term employee incentive payments and net claim settlement costs.</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September 30, 2024 and 2023 reflects the purchase of fixed and short-term maturities with cash provided by operating activities, and the reinvestment of coupon payments, maturities and sale proceeds within our investment portfolio.</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Cash used in financing activities was $68.0 million for the nine months ended September 30, 2024, compared to $62.6 million for the nine months ended September 30, 2023. Cash used in financing activities primarily relates to the repurchase of common stock and taxes paid on the net share settlement of equity awards for certain employees. Cash used in financing activities for the nine months ended September 30, 2024 further reflects the net impact of the redemption of the 2020 Notes and issuance of the 2024 Notes during the period.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21"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September 30, 2024, NMIH had $148.3 million of cash and investments. NMIH's principal sources of net cash are dividends from its subsidiaries and investment income. NMIC paid a $96.3 million ordinary course dividend to NMIH on May 30, 2024, representing its full ordinary course dividend capacity payable under Wisconsin insurance laws for the twelve-month period ending December 31, 2024. NMIH also has access to $250 million of undrawn revolving credit capacity under the 2024 Revolving Credit Facility.</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new $200 million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During the nine months ended September 30, 2024, NMIH repurchased 2.1 million shares of common stock at a total cost of $69.4 million, including associated costs and applicable taxes. As of September 30, 2024, NMIH had $108.1 million of repurchase authority remaining.</w:t>
      </w:r>
    </w:p>
    <w:p>
      <w:pPr>
        <w:spacing w:after="0" w:line="94"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On May 21, 2024, NMIH completed the $425 million sale of the 2024 Notes, raising net proceeds of $414.1 million after giving effect to offering expenses and an initial underwriting discount. Net proceeds from the offering were primarily used to effect the redemption of the $400 million aggregate principal amount 2020 Notes. In June 2024, NMIH contributed remaining net proceeds of the offering to NMIC. For more information, see Item 1,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Notes to Condensed Consolidated Financial Statements - Note 4, Debt.”</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spacing w:after="0" w:line="121"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Under the 2024 Revolving Credit Facility, NMIH is required to pay a quarterly commitment fee on the average daily undrawn amount of 0.175% to 0.525%, based on the applicable corporate credit rating at the time. As of September 30, 2024, the applicable commitment fee was 0.225%.</w:t>
      </w:r>
    </w:p>
    <w:p>
      <w:pPr>
        <w:spacing w:after="0" w:line="94"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September 30, 2024.</w:t>
      </w:r>
    </w:p>
    <w:p>
      <w:pPr>
        <w:spacing w:after="0" w:line="110"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by the GSEs. Under Wisconsin insurance laws, NMIC and Re One may pay dividends up 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7" w:name="page48"/>
    <w:bookmarkEnd w:id="47"/>
    <w:p>
      <w:pPr>
        <w:jc w:val="both"/>
        <w:spacing w:after="0" w:line="264" w:lineRule="auto"/>
        <w:rPr>
          <w:sz w:val="20"/>
          <w:szCs w:val="20"/>
          <w:color w:val="auto"/>
        </w:rPr>
      </w:pPr>
      <w:r>
        <w:rPr>
          <w:rFonts w:ascii="Times New Roman" w:cs="Times New Roman" w:eastAsia="Times New Roman" w:hAnsi="Times New Roman"/>
          <w:sz w:val="17"/>
          <w:szCs w:val="17"/>
          <w:color w:val="auto"/>
        </w:rPr>
        <w:t>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May 30, 2024, NMIC paid a $96.3 million ordinary course dividend to NMIH, representing its full ordinary course dividend capacity payable under Wisconsin insurance laws for the twelve-month period ending December 31, 2024.</w:t>
      </w:r>
    </w:p>
    <w:p>
      <w:pPr>
        <w:spacing w:after="0" w:line="121"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09"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7"/>
          <w:szCs w:val="17"/>
          <w:i w:val="1"/>
          <w:iCs w:val="1"/>
          <w:color w:val="auto"/>
        </w:rPr>
        <w:t xml:space="preserve">minimum required asset </w:t>
      </w:r>
      <w:r>
        <w:rPr>
          <w:rFonts w:ascii="Times New Roman" w:cs="Times New Roman" w:eastAsia="Times New Roman" w:hAnsi="Times New Roman"/>
          <w:sz w:val="17"/>
          <w:szCs w:val="17"/>
          <w:color w:val="auto"/>
        </w:rPr>
        <w:t>thresholds under the PMIERs and minimum state capital requirements (respectively, as defined therein).</w:t>
      </w:r>
    </w:p>
    <w:p>
      <w:pPr>
        <w:spacing w:after="0" w:line="10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subject to a minimum floor of $400 million.</w:t>
      </w:r>
    </w:p>
    <w:p>
      <w:pPr>
        <w:spacing w:after="0" w:line="108"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spacing w:after="0" w:line="115" w:lineRule="exact"/>
        <w:rPr>
          <w:sz w:val="20"/>
          <w:szCs w:val="20"/>
          <w:color w:val="auto"/>
        </w:rPr>
      </w:pPr>
    </w:p>
    <w:p>
      <w:pPr>
        <w:jc w:val="both"/>
        <w:ind w:firstLine="627"/>
        <w:spacing w:after="0" w:line="267" w:lineRule="auto"/>
        <w:rPr>
          <w:sz w:val="20"/>
          <w:szCs w:val="20"/>
          <w:color w:val="auto"/>
        </w:rPr>
      </w:pPr>
      <w:r>
        <w:rPr>
          <w:rFonts w:ascii="Times New Roman" w:cs="Times New Roman" w:eastAsia="Times New Roman" w:hAnsi="Times New Roman"/>
          <w:sz w:val="17"/>
          <w:szCs w:val="17"/>
          <w:color w:val="auto"/>
        </w:rPr>
        <w:t xml:space="preserve">NMIC's PMIERs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As its gross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increases, the PMIERs credit for ceded RIF automatically increases as well (in an unlimited amount). Under NMIC's ILN and XOL Transactions, it generally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to the extent such requirement is within the subordinated coverage (excess of loss detachment threshold) afforded by the transaction.</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 xml:space="preserve">On August 21, 2024, the GSEs and FHFA updated PMIERs to revise the Available Asset credit mortgage insurers will receive for certain assets based on several factors, including asset class and credit rating. The updated PMIERs will take effect on a phased basis beginning March 31, 2025 and will be fully implemented on September 30, 2026. We do not expect the updated PMIERs to have a material impact on our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and we expect to remain in full compliance with the existing and updated PMIERs, as applicable, prior to, on and after March 31, 2025.</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7"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As of September 30, 2024, NMIC had a RTC ratio of 12.6:1 with $35.0 billion of performing primary RIF, net of reinsurance, and $2.8 billion of total statutory capital, including contingency reserves. Re One has no risk in force remaining and no longer reports a RTC ratio.</w:t>
      </w:r>
    </w:p>
    <w:p>
      <w:pPr>
        <w:spacing w:after="0" w:line="94"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2024, NMIC had $2.7 billion of cash and investments, including $92.8 million of cash and cash equivalents. NMIC's principal liquidity demands include funds for the payment of</w:t>
      </w:r>
    </w:p>
    <w:p>
      <w:pPr>
        <w:jc w:val="both"/>
        <w:ind w:firstLine="5"/>
        <w:spacing w:after="0" w:line="265" w:lineRule="auto"/>
        <w:tabs>
          <w:tab w:leader="none" w:pos="22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2024, NMIC generated $370 million of cash flow from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8" w:name="page49"/>
    <w:bookmarkEnd w:id="48"/>
    <w:p>
      <w:pPr>
        <w:jc w:val="both"/>
        <w:spacing w:after="0" w:line="263" w:lineRule="auto"/>
        <w:rPr>
          <w:sz w:val="20"/>
          <w:szCs w:val="20"/>
          <w:color w:val="auto"/>
        </w:rPr>
      </w:pPr>
      <w:r>
        <w:rPr>
          <w:rFonts w:ascii="Times New Roman" w:cs="Times New Roman" w:eastAsia="Times New Roman" w:hAnsi="Times New Roman"/>
          <w:sz w:val="17"/>
          <w:szCs w:val="17"/>
          <w:color w:val="auto"/>
        </w:rPr>
        <w:t>operations and received an additional $214 million of cash flow on the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Financial Strength Ratings</w:t>
      </w:r>
    </w:p>
    <w:p>
      <w:pPr>
        <w:spacing w:after="0" w:line="159"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7"/>
          <w:szCs w:val="17"/>
          <w:color w:val="auto"/>
        </w:rPr>
        <w:t>NMIC's financial strength is rated “A-” by Fitch Ratings (Fitch) and “A3” by Moody's. In October 2024, S&amp;P upgraded NMIC's financial strength rating from “BBB+” to “A-”. NMIH's 2024 Notes are rated “BBB-” by Fitch and “Baa3” by Moody's. The outlook for all ratings provided by Fitch, Moody's and S&amp;P is stable.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Investment Portfolio</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17"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7"/>
          <w:szCs w:val="17"/>
          <w:color w:val="auto"/>
        </w:rPr>
        <w:t>Our investment portfolio is comprised entirely of fixed maturity instruments. As of September 30, 2024, the fair value of our investment portfolio was $2.7 billion and we held an additional $133.3 million of cash and cash equivalents. Pre-tax book yield on the investment portfolio for the nine months ended September 30, 2024 was 3.0%.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3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present a breakdown of our investment portfolio and cash and cash equivalents by investment type and credit rating: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25</w:t>
            </w:r>
          </w:p>
        </w:tc>
      </w:tr>
      <w:tr>
        <w:trPr>
          <w:trHeight w:val="22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w:t>
            </w: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w:t>
            </w:r>
          </w:p>
        </w:tc>
      </w:tr>
      <w:tr>
        <w:trPr>
          <w:trHeight w:val="22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w:t>
            </w: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26"/>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9"/>
                <w:szCs w:val="9"/>
                <w:b w:val="1"/>
                <w:bCs w:val="1"/>
                <w:color w:val="auto"/>
              </w:rPr>
              <w:t>(1)</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5"/>
        </w:trPr>
        <w:tc>
          <w:tcPr>
            <w:tcW w:w="7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AAA </w:t>
            </w:r>
            <w:r>
              <w:rPr>
                <w:rFonts w:ascii="Times New Roman" w:cs="Times New Roman" w:eastAsia="Times New Roman" w:hAnsi="Times New Roman"/>
                <w:sz w:val="22"/>
                <w:szCs w:val="22"/>
                <w:color w:val="auto"/>
                <w:vertAlign w:val="superscript"/>
              </w:rPr>
              <w:t>(2)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2"/>
        </w:trPr>
        <w:tc>
          <w:tcPr>
            <w:tcW w:w="7460" w:type="dxa"/>
            <w:vAlign w:val="bottom"/>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34</w:t>
            </w:r>
          </w:p>
        </w:tc>
      </w:tr>
      <w:tr>
        <w:trPr>
          <w:trHeight w:val="222"/>
        </w:trPr>
        <w:tc>
          <w:tcPr>
            <w:tcW w:w="74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w:t>
            </w:r>
          </w:p>
        </w:tc>
      </w:tr>
      <w:tr>
        <w:trPr>
          <w:trHeight w:val="222"/>
        </w:trPr>
        <w:tc>
          <w:tcPr>
            <w:tcW w:w="7460" w:type="dxa"/>
            <w:vAlign w:val="bottom"/>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BBB</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74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(4)</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00" w:hanging="295"/>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2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securities rated A-1+.</w:t>
      </w:r>
    </w:p>
    <w:p>
      <w:pPr>
        <w:spacing w:after="0" w:line="8"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ind w:left="300" w:hanging="295"/>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held one security with a BB+ rating at September 30, 2024 and December 31, 2023, which is not identifiable in the table due to rounding.</w:t>
      </w:r>
    </w:p>
    <w:p>
      <w:pPr>
        <w:spacing w:after="0" w:line="232"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7"/>
          <w:szCs w:val="17"/>
          <w:i w:val="1"/>
          <w:iCs w:val="1"/>
          <w:color w:val="auto"/>
        </w:rPr>
        <w:t>Investment Securities - Allowance for credit losses</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We did not recognize an allowance for credit loss for any security in the investment portfolio as of September 30, 2024 or December 31, 2023, and we did not record any provision for credit loss for investment securities during the three or nine month periods ended September 30, 2024 or 2023.</w:t>
      </w:r>
    </w:p>
    <w:p>
      <w:pPr>
        <w:spacing w:after="0" w:line="94" w:lineRule="exact"/>
        <w:rPr>
          <w:sz w:val="20"/>
          <w:szCs w:val="20"/>
          <w:color w:val="auto"/>
        </w:rPr>
      </w:pPr>
    </w:p>
    <w:p>
      <w:pPr>
        <w:jc w:val="both"/>
        <w:ind w:firstLine="627"/>
        <w:spacing w:after="0" w:line="273" w:lineRule="auto"/>
        <w:rPr>
          <w:sz w:val="20"/>
          <w:szCs w:val="20"/>
          <w:color w:val="auto"/>
        </w:rPr>
      </w:pPr>
      <w:r>
        <w:rPr>
          <w:rFonts w:ascii="Times New Roman" w:cs="Times New Roman" w:eastAsia="Times New Roman" w:hAnsi="Times New Roman"/>
          <w:sz w:val="17"/>
          <w:szCs w:val="17"/>
          <w:color w:val="auto"/>
        </w:rPr>
        <w:t>As of September 30, 2024, the investment portfolio had gross unrealized losses of $128.0 million, of which $127.5 million 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w:t>
      </w:r>
    </w:p>
    <w:p>
      <w:pPr>
        <w:spacing w:after="0" w:line="326"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September 30, 2024, assessing their credit ratings as well as any adverse conditions specifically related to the security. Based upon our assessment of the amount and timing of cash flows to be collected over the remaining life of each instrument, we believe the unrealized losses as of September 30, 2024 are not indicative of the ultimate collectability of the current amortized cost of the securities. Rather, the unrealized losses on securities held as of September 30, 2024 were primarily driven by fluctuations in interest rates, and to a lesser extent, movements in credit spreads following the purchase of those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2023 10-K.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72"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manage market risk via a defined investment policy implemented by our treasury function with oversight from our Board's Risk Committee.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drivers of our market risk exposure monitored and managed by us include but are not limited to:</w:t>
      </w:r>
    </w:p>
    <w:p>
      <w:pPr>
        <w:spacing w:after="0" w:line="150" w:lineRule="exact"/>
        <w:rPr>
          <w:sz w:val="20"/>
          <w:szCs w:val="20"/>
          <w:color w:val="auto"/>
        </w:rPr>
      </w:pPr>
    </w:p>
    <w:p>
      <w:pPr>
        <w:jc w:val="both"/>
        <w:ind w:left="940" w:hanging="308"/>
        <w:spacing w:after="0" w:line="26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Changes to the level of interest rates</w:t>
      </w:r>
      <w:r>
        <w:rPr>
          <w:rFonts w:ascii="Times New Roman" w:cs="Times New Roman" w:eastAsia="Times New Roman" w:hAnsi="Times New Roman"/>
          <w:sz w:val="17"/>
          <w:szCs w:val="17"/>
          <w:color w:val="auto"/>
        </w:rPr>
        <w:t>. 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328"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to the term structure of interest rates</w:t>
      </w:r>
      <w:r>
        <w:rPr>
          <w:rFonts w:ascii="Times New Roman" w:cs="Times New Roman" w:eastAsia="Times New Roman" w:hAnsi="Times New Roman"/>
          <w:sz w:val="17"/>
          <w:szCs w:val="17"/>
          <w:color w:val="auto"/>
        </w:rPr>
        <w:t>. Rising or falling rates typically change by different amounts along the yield curve. These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have unforeseen impacts on the value of certain assets.</w:t>
      </w:r>
    </w:p>
    <w:p>
      <w:pPr>
        <w:spacing w:after="0" w:line="89" w:lineRule="exact"/>
        <w:rPr>
          <w:rFonts w:ascii="Times New Roman" w:cs="Times New Roman" w:eastAsia="Times New Roman" w:hAnsi="Times New Roman"/>
          <w:sz w:val="17"/>
          <w:szCs w:val="17"/>
          <w:i w:val="1"/>
          <w:iCs w:val="1"/>
          <w:color w:val="auto"/>
        </w:rPr>
      </w:pPr>
    </w:p>
    <w:p>
      <w:pPr>
        <w:jc w:val="both"/>
        <w:ind w:left="940" w:hanging="308"/>
        <w:spacing w:after="0" w:line="289"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volatility/changes in the real or perceived credit quality of investments</w:t>
      </w:r>
      <w:r>
        <w:rPr>
          <w:rFonts w:ascii="Times New Roman" w:cs="Times New Roman" w:eastAsia="Times New Roman" w:hAnsi="Times New Roman"/>
          <w:sz w:val="17"/>
          <w:szCs w:val="17"/>
          <w:color w:val="auto"/>
        </w:rPr>
        <w:t>. 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rating agency or investment advisors) assessments, will reduce the value and potentially the liquidity of investments.</w:t>
      </w:r>
    </w:p>
    <w:p>
      <w:pPr>
        <w:spacing w:after="0" w:line="313"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risk</w:t>
      </w:r>
      <w:r>
        <w:rPr>
          <w:rFonts w:ascii="Times New Roman" w:cs="Times New Roman" w:eastAsia="Times New Roman" w:hAnsi="Times New Roman"/>
          <w:sz w:val="17"/>
          <w:szCs w:val="17"/>
          <w:color w:val="auto"/>
        </w:rPr>
        <w:t>. If the investment portfolio is highly concentrated in one asset, or in multiple assets whose values are highly correlated,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total portfolio may be greatly affected by the change in value of just one asset or a group of highly correlated assets.</w:t>
      </w:r>
    </w:p>
    <w:p>
      <w:pPr>
        <w:spacing w:after="0" w:line="89" w:lineRule="exact"/>
        <w:rPr>
          <w:rFonts w:ascii="Times New Roman" w:cs="Times New Roman" w:eastAsia="Times New Roman" w:hAnsi="Times New Roman"/>
          <w:sz w:val="17"/>
          <w:szCs w:val="17"/>
          <w:color w:val="auto"/>
        </w:rPr>
      </w:pPr>
    </w:p>
    <w:p>
      <w:pPr>
        <w:ind w:left="940" w:hanging="308"/>
        <w:spacing w:after="0" w:line="298"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risk</w:t>
      </w:r>
      <w:r>
        <w:rPr>
          <w:rFonts w:ascii="Times New Roman" w:cs="Times New Roman" w:eastAsia="Times New Roman" w:hAnsi="Times New Roman"/>
          <w:sz w:val="17"/>
          <w:szCs w:val="17"/>
          <w:color w:val="auto"/>
        </w:rPr>
        <w:t>. Bonds may have call provisions that permit debtors to repay prior to maturity when it is to their advantage. This typically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rates fall below the interest rate of the debt.</w:t>
      </w:r>
    </w:p>
    <w:p>
      <w:pPr>
        <w:spacing w:after="0" w:line="9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carrying value of our investment portfolio as of September 30, 2024 and December 31, 2023 was $2.7 billion and $2.4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17"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As of September 30, 2024, the duration of our fixed income portfolio, including cash and cash equivalents, was 3.73 years, which means that an instantaneous parallel shift (movement up or down) in the yield curve of 100 basis points would result in a change of 3.73% in fair value of our fixed income portfolio. Excluding cash, our fixed income portfolio duration was 3.76 years, which means that an instantaneous parallel shift (movement up or down) in the yield curve of 100 basis points would result in a change of 3.76% in fair value of our fixed income portfolio.</w:t>
      </w:r>
    </w:p>
    <w:p>
      <w:pPr>
        <w:spacing w:after="0" w:line="115" w:lineRule="exact"/>
        <w:rPr>
          <w:sz w:val="20"/>
          <w:szCs w:val="20"/>
          <w:color w:val="auto"/>
        </w:rPr>
      </w:pPr>
    </w:p>
    <w:p>
      <w:pPr>
        <w:jc w:val="both"/>
        <w:ind w:firstLine="627"/>
        <w:spacing w:after="0" w:line="277" w:lineRule="auto"/>
        <w:rPr>
          <w:sz w:val="20"/>
          <w:szCs w:val="20"/>
          <w:color w:val="auto"/>
        </w:rPr>
      </w:pPr>
      <w:r>
        <w:rPr>
          <w:rFonts w:ascii="Times New Roman" w:cs="Times New Roman" w:eastAsia="Times New Roman" w:hAnsi="Times New Roman"/>
          <w:sz w:val="17"/>
          <w:szCs w:val="17"/>
          <w:color w:val="auto"/>
        </w:rPr>
        <w:t>We are also subject to market risk related to the 2024 Revolving Credit Facility and the ILN Transactions. As discussed in Item 1,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 Notes to Condensed Consolidated Financial Statements - Note 4, Debt” </w:t>
      </w:r>
      <w:r>
        <w:rPr>
          <w:rFonts w:ascii="Times New Roman" w:cs="Times New Roman" w:eastAsia="Times New Roman" w:hAnsi="Times New Roman"/>
          <w:sz w:val="17"/>
          <w:szCs w:val="17"/>
          <w:color w:val="auto"/>
        </w:rPr>
        <w:t>the 2024 Revolving Credit Facility bears interest at a variable rate and,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increases in market interest rates would generally result in increased interest expense on any outstanding drawn balance.</w:t>
      </w:r>
    </w:p>
    <w:p>
      <w:pPr>
        <w:spacing w:after="0" w:line="109"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conducted an evaluation of the effectiveness of our disclosure controls and procedures (as defined in Rule 13a-15(e) of the Exchange Act) as of September 30, 2024,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21"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7"/>
          <w:szCs w:val="17"/>
          <w:color w:val="auto"/>
        </w:rPr>
        <w:t>Based upon that evaluation, our Chief Executive Officer and Chief Financial Officer concluded that, as of September 30,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72" w:lineRule="exact"/>
        <w:rPr>
          <w:sz w:val="20"/>
          <w:szCs w:val="20"/>
          <w:color w:val="auto"/>
        </w:rPr>
      </w:pPr>
    </w:p>
    <w:p>
      <w:pPr>
        <w:jc w:val="both"/>
        <w:ind w:firstLine="627"/>
        <w:spacing w:after="0" w:line="295"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7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1"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7"/>
          <w:szCs w:val="17"/>
          <w:color w:val="auto"/>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of our 2023 10-K. As of the date of this report, we are not aware of any material changes in our risk factors from the risk factors disclosed in our 2023 10-K. You should carefully consider the risks and uncertainties described herein and in our 2023 10-K, which have the potential to affect our business, financial condition, results of operations, cash flows or prospects in a material and adverse manner. The risks described herein and in our 2023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NMI Holdings, Inc. common stock by us during the three months ended September 30, 2024.</w:t>
      </w:r>
    </w:p>
    <w:p>
      <w:pPr>
        <w:sectPr>
          <w:pgSz w:w="11900" w:h="16838" w:orient="portrait"/>
          <w:cols w:equalWidth="0" w:num="1">
            <w:col w:w="11240"/>
          </w:cols>
          <w:pgMar w:left="320" w:top="1139" w:right="339" w:bottom="1440" w:gutter="0" w:footer="0" w:header="0"/>
        </w:sect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2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2240" w:type="dxa"/>
            <w:vAlign w:val="bottom"/>
            <w:vMerge w:val="restart"/>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020" w:type="dxa"/>
            <w:vAlign w:val="bottom"/>
          </w:tcPr>
          <w:p>
            <w:pPr>
              <w:spacing w:after="0"/>
              <w:rPr>
                <w:sz w:val="12"/>
                <w:szCs w:val="12"/>
                <w:color w:val="auto"/>
              </w:rPr>
            </w:pPr>
          </w:p>
        </w:tc>
        <w:tc>
          <w:tcPr>
            <w:tcW w:w="1920" w:type="dxa"/>
            <w:vAlign w:val="bottom"/>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as Part of Publicly</w:t>
            </w:r>
          </w:p>
        </w:tc>
        <w:tc>
          <w:tcPr>
            <w:tcW w:w="0" w:type="dxa"/>
            <w:vAlign w:val="bottom"/>
          </w:tcPr>
          <w:p>
            <w:pPr>
              <w:spacing w:after="0"/>
              <w:rPr>
                <w:sz w:val="1"/>
                <w:szCs w:val="1"/>
                <w:color w:val="auto"/>
              </w:rPr>
            </w:pPr>
          </w:p>
        </w:tc>
      </w:tr>
      <w:tr>
        <w:trPr>
          <w:trHeight w:val="131"/>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2240" w:type="dxa"/>
            <w:vAlign w:val="bottom"/>
            <w:vMerge w:val="continue"/>
          </w:tcPr>
          <w:p>
            <w:pPr>
              <w:spacing w:after="0"/>
              <w:rPr>
                <w:sz w:val="11"/>
                <w:szCs w:val="11"/>
                <w:color w:val="auto"/>
              </w:rPr>
            </w:pPr>
          </w:p>
        </w:tc>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Pr>
          <w:p>
            <w:pPr>
              <w:jc w:val="center"/>
              <w:ind w:left="36"/>
              <w:spacing w:after="0" w:line="131" w:lineRule="exact"/>
              <w:rPr>
                <w:sz w:val="20"/>
                <w:szCs w:val="20"/>
                <w:color w:val="auto"/>
              </w:rPr>
            </w:pPr>
            <w:r>
              <w:rPr>
                <w:rFonts w:ascii="Times New Roman" w:cs="Times New Roman" w:eastAsia="Times New Roman" w:hAnsi="Times New Roman"/>
                <w:sz w:val="14"/>
                <w:szCs w:val="14"/>
                <w:b w:val="1"/>
                <w:bCs w:val="1"/>
                <w:color w:val="auto"/>
                <w:w w:val="98"/>
              </w:rPr>
              <w:t>Announced Plans or Programs</w:t>
            </w:r>
          </w:p>
        </w:tc>
        <w:tc>
          <w:tcPr>
            <w:tcW w:w="0" w:type="dxa"/>
            <w:vAlign w:val="bottom"/>
          </w:tcPr>
          <w:p>
            <w:pPr>
              <w:spacing w:after="0"/>
              <w:rPr>
                <w:sz w:val="1"/>
                <w:szCs w:val="1"/>
                <w:color w:val="auto"/>
              </w:rPr>
            </w:pPr>
          </w:p>
        </w:tc>
      </w:tr>
      <w:tr>
        <w:trPr>
          <w:trHeight w:val="52"/>
        </w:trPr>
        <w:tc>
          <w:tcPr>
            <w:tcW w:w="3060" w:type="dxa"/>
            <w:vAlign w:val="bottom"/>
            <w:vMerge w:val="continue"/>
          </w:tcPr>
          <w:p>
            <w:pPr>
              <w:spacing w:after="0"/>
              <w:rPr>
                <w:sz w:val="4"/>
                <w:szCs w:val="4"/>
                <w:color w:val="auto"/>
              </w:rPr>
            </w:pPr>
          </w:p>
        </w:tc>
        <w:tc>
          <w:tcPr>
            <w:tcW w:w="2240" w:type="dxa"/>
            <w:vAlign w:val="bottom"/>
          </w:tcPr>
          <w:p>
            <w:pPr>
              <w:jc w:val="center"/>
              <w:ind w:left="411"/>
              <w:spacing w:after="0" w:line="53" w:lineRule="exact"/>
              <w:rPr>
                <w:sz w:val="20"/>
                <w:szCs w:val="20"/>
                <w:color w:val="auto"/>
              </w:rPr>
            </w:pPr>
            <w:r>
              <w:rPr>
                <w:rFonts w:ascii="Times New Roman" w:cs="Times New Roman" w:eastAsia="Times New Roman" w:hAnsi="Times New Roman"/>
                <w:sz w:val="6"/>
                <w:szCs w:val="6"/>
                <w:b w:val="1"/>
                <w:bCs w:val="1"/>
                <w:color w:val="auto"/>
              </w:rPr>
              <w:t>Purchased</w:t>
            </w:r>
          </w:p>
        </w:tc>
        <w:tc>
          <w:tcPr>
            <w:tcW w:w="2020" w:type="dxa"/>
            <w:vAlign w:val="bottom"/>
            <w:vMerge w:val="continue"/>
          </w:tcPr>
          <w:p>
            <w:pPr>
              <w:spacing w:after="0"/>
              <w:rPr>
                <w:sz w:val="4"/>
                <w:szCs w:val="4"/>
                <w:color w:val="auto"/>
              </w:rPr>
            </w:pPr>
          </w:p>
        </w:tc>
        <w:tc>
          <w:tcPr>
            <w:tcW w:w="1920" w:type="dxa"/>
            <w:vAlign w:val="bottom"/>
            <w:vMerge w:val="restart"/>
          </w:tcPr>
          <w:p>
            <w:pPr>
              <w:jc w:val="center"/>
              <w:ind w:left="36"/>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6"/>
        </w:trPr>
        <w:tc>
          <w:tcPr>
            <w:tcW w:w="30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ind w:left="160"/>
        <w:spacing w:after="0" w:line="195"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spacing w:after="0" w:line="1" w:lineRule="exact"/>
        <w:rPr>
          <w:sz w:val="20"/>
          <w:szCs w:val="20"/>
          <w:color w:val="auto"/>
        </w:rPr>
      </w:pPr>
    </w:p>
    <w:p>
      <w:pPr>
        <w:jc w:val="center"/>
        <w:ind w:right="40"/>
        <w:spacing w:after="0" w:line="217" w:lineRule="auto"/>
        <w:rPr>
          <w:sz w:val="20"/>
          <w:szCs w:val="20"/>
          <w:color w:val="auto"/>
        </w:rPr>
      </w:pPr>
      <w:r>
        <w:rPr>
          <w:rFonts w:ascii="Times New Roman" w:cs="Times New Roman" w:eastAsia="Times New Roman" w:hAnsi="Times New Roman"/>
          <w:sz w:val="14"/>
          <w:szCs w:val="14"/>
          <w:b w:val="1"/>
          <w:bCs w:val="1"/>
          <w:color w:val="auto"/>
        </w:rPr>
        <w:t xml:space="preserve">Purchased Under the Plans or Program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2">
            <w:col w:w="9260" w:space="160"/>
            <w:col w:w="1820"/>
          </w:cols>
          <w:pgMar w:left="320" w:top="1139"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7/1/2024 to 7/31/2024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91,238</w:t>
            </w:r>
          </w:p>
        </w:tc>
        <w:tc>
          <w:tcPr>
            <w:tcW w:w="86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34.35</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91,238</w:t>
            </w: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121,787</w:t>
            </w: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8/1/2024 to 8/31/2024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220,606</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37.90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220,606</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113,426</w:t>
            </w:r>
          </w:p>
        </w:tc>
      </w:tr>
      <w:tr>
        <w:trPr>
          <w:trHeight w:val="222"/>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9/1/2024 to 9/30/2024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131,523</w:t>
            </w:r>
          </w:p>
        </w:tc>
        <w:tc>
          <w:tcPr>
            <w:tcW w:w="8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7"/>
                <w:szCs w:val="17"/>
                <w:color w:val="auto"/>
              </w:rPr>
              <w:t>40.82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131,523</w:t>
            </w:r>
          </w:p>
        </w:tc>
        <w:tc>
          <w:tcPr>
            <w:tcW w:w="7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108,056</w:t>
            </w:r>
          </w:p>
        </w:tc>
      </w:tr>
      <w:tr>
        <w:trPr>
          <w:trHeight w:val="24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443,367</w:t>
            </w:r>
          </w:p>
        </w:tc>
        <w:tc>
          <w:tcPr>
            <w:tcW w:w="8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443,367</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26" w:lineRule="exact"/>
        <w:rPr>
          <w:sz w:val="20"/>
          <w:szCs w:val="20"/>
          <w:color w:val="auto"/>
        </w:rPr>
      </w:pPr>
    </w:p>
    <w:p>
      <w:pPr>
        <w:jc w:val="both"/>
        <w:ind w:left="320" w:hanging="315"/>
        <w:spacing w:after="0" w:line="256" w:lineRule="auto"/>
        <w:tabs>
          <w:tab w:leader="none" w:pos="33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our Board of Directors approved a $125 million share repurchase program effective through December 31, 2023, excluding associated costs and applicable taxes. On July 31, 2023, our Board of Directors approved an extension of the $125 million repurchase program through December 31, 2025. On July 31, 2023, the Board also approved a new $200 million share repurchase program (excluding associated costs and applicable taxes) effective through December 31, 2025. As of September 30, 2024, no repurchase authority remained available under the February 2022 share repurchase program and $108.1 million repurchase authority remained under the July 2023 share repurchase program. See Part I, Item 1, “</w:t>
      </w:r>
      <w:r>
        <w:rPr>
          <w:rFonts w:ascii="Times New Roman" w:cs="Times New Roman" w:eastAsia="Times New Roman" w:hAnsi="Times New Roman"/>
          <w:sz w:val="14"/>
          <w:szCs w:val="14"/>
          <w:i w:val="1"/>
          <w:iCs w:val="1"/>
          <w:color w:val="auto"/>
        </w:rPr>
        <w:t>Financial Statements - 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Condensed Consolidated Financial Statements - Note 9, Stockholder's Equity” </w:t>
      </w:r>
      <w:r>
        <w:rPr>
          <w:rFonts w:ascii="Times New Roman" w:cs="Times New Roman" w:eastAsia="Times New Roman" w:hAnsi="Times New Roman"/>
          <w:sz w:val="14"/>
          <w:szCs w:val="14"/>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0" w:type="dxa"/>
            <w:vAlign w:val="bottom"/>
          </w:tcPr>
          <w:p>
            <w:pPr>
              <w:jc w:val="center"/>
              <w:ind w:right="2293"/>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080" w:type="dxa"/>
            <w:vAlign w:val="bottom"/>
            <w:vMerge w:val="restart"/>
          </w:tcPr>
          <w:p>
            <w:pPr>
              <w:ind w:left="2220"/>
              <w:spacing w:after="0"/>
              <w:rPr>
                <w:sz w:val="20"/>
                <w:szCs w:val="20"/>
                <w:color w:val="auto"/>
              </w:rPr>
            </w:pPr>
            <w:r>
              <w:rPr>
                <w:rFonts w:ascii="Times New Roman" w:cs="Times New Roman" w:eastAsia="Times New Roman" w:hAnsi="Times New Roman"/>
                <w:sz w:val="17"/>
                <w:szCs w:val="17"/>
                <w:b w:val="1"/>
                <w:bCs w:val="1"/>
                <w:color w:val="auto"/>
                <w:w w:val="99"/>
              </w:rPr>
              <w:t>Description</w:t>
            </w:r>
          </w:p>
        </w:tc>
        <w:tc>
          <w:tcPr>
            <w:tcW w:w="0" w:type="dxa"/>
            <w:vAlign w:val="bottom"/>
          </w:tcPr>
          <w:p>
            <w:pPr>
              <w:spacing w:after="0"/>
              <w:rPr>
                <w:sz w:val="1"/>
                <w:szCs w:val="1"/>
                <w:color w:val="auto"/>
              </w:rPr>
            </w:pPr>
          </w:p>
        </w:tc>
      </w:tr>
      <w:tr>
        <w:trPr>
          <w:trHeight w:val="235"/>
        </w:trPr>
        <w:tc>
          <w:tcPr>
            <w:tcW w:w="3400" w:type="dxa"/>
            <w:vAlign w:val="bottom"/>
          </w:tcPr>
          <w:p>
            <w:pPr>
              <w:jc w:val="center"/>
              <w:ind w:right="229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3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6971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1030" cy="8255"/>
                    </a:xfrm>
                    <a:prstGeom prst="rect">
                      <a:avLst/>
                    </a:prstGeom>
                    <a:noFill/>
                  </pic:spPr>
                </pic:pic>
              </a:graphicData>
            </a:graphic>
          </wp:anchor>
        </w:drawing>
      </w:r>
    </w:p>
    <w:p>
      <w:pPr>
        <w:spacing w:after="0" w:line="171" w:lineRule="exact"/>
        <w:rPr>
          <w:sz w:val="20"/>
          <w:szCs w:val="20"/>
          <w:color w:val="auto"/>
        </w:rPr>
      </w:pPr>
    </w:p>
    <w:p>
      <w:pPr>
        <w:jc w:val="right"/>
        <w:ind w:left="400"/>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1.1      </w:t>
      </w:r>
      <w:hyperlink r:id="rId65">
        <w:r>
          <w:rPr>
            <w:rFonts w:ascii="Times New Roman" w:cs="Times New Roman" w:eastAsia="Times New Roman" w:hAnsi="Times New Roman"/>
            <w:sz w:val="17"/>
            <w:szCs w:val="17"/>
            <w:u w:val="single" w:color="auto"/>
            <w:color w:val="0000FF"/>
          </w:rPr>
          <w:t>Underwriting Agreement, dated May 7, 2024, among the Company, RBC Capital Markets, LLC, Goldman Sachs &amp; Co. LLC, BMO Capital</w:t>
        </w:r>
      </w:hyperlink>
      <w:r>
        <w:rPr>
          <w:rFonts w:ascii="Times New Roman" w:cs="Times New Roman" w:eastAsia="Times New Roman" w:hAnsi="Times New Roman"/>
          <w:sz w:val="17"/>
          <w:szCs w:val="17"/>
          <w:color w:val="auto"/>
        </w:rPr>
        <w:t xml:space="preserve"> </w:t>
      </w:r>
      <w:hyperlink r:id="rId65">
        <w:r>
          <w:rPr>
            <w:rFonts w:ascii="Times New Roman" w:cs="Times New Roman" w:eastAsia="Times New Roman" w:hAnsi="Times New Roman"/>
            <w:sz w:val="17"/>
            <w:szCs w:val="17"/>
            <w:u w:val="single" w:color="auto"/>
            <w:color w:val="0000FF"/>
          </w:rPr>
          <w:t>Markets Corp., Citigroup Global Markets Inc. and Truist Securities, Inc. acting as representatives of several underwriters named therein</w:t>
        </w:r>
      </w:hyperlink>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(incorporated herein by reference to Exhibit 1.1 to our Form 8-K, filed on May 8, 2024)</w:t>
      </w:r>
    </w:p>
    <w:p>
      <w:pPr>
        <w:spacing w:after="0" w:line="1"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66">
        <w:r>
          <w:rPr>
            <w:rFonts w:ascii="Times New Roman" w:cs="Times New Roman" w:eastAsia="Times New Roman" w:hAnsi="Times New Roman"/>
            <w:sz w:val="17"/>
            <w:szCs w:val="17"/>
            <w:u w:val="single" w:color="auto"/>
            <w:color w:val="0000FF"/>
          </w:rPr>
          <w:t xml:space="preserve">Third 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3.1 to our Form 8-K, filed on May 10,</w:t>
      </w:r>
    </w:p>
    <w:p>
      <w:pPr>
        <w:ind w:left="114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67">
        <w:r>
          <w:rPr>
            <w:rFonts w:ascii="Times New Roman" w:cs="Times New Roman" w:eastAsia="Times New Roman" w:hAnsi="Times New Roman"/>
            <w:sz w:val="17"/>
            <w:szCs w:val="17"/>
            <w:u w:val="single" w:color="auto"/>
            <w:color w:val="0000FF"/>
          </w:rPr>
          <w:t xml:space="preserve">Fifth 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3.2 to our Form 8-K, filed on May 10, 2024)</w:t>
      </w:r>
    </w:p>
    <w:p>
      <w:pPr>
        <w:spacing w:after="0" w:line="32" w:lineRule="exact"/>
        <w:rPr>
          <w:sz w:val="20"/>
          <w:szCs w:val="20"/>
          <w:color w:val="auto"/>
        </w:rPr>
      </w:pPr>
    </w:p>
    <w:p>
      <w:pPr>
        <w:ind w:left="1140" w:hanging="733"/>
        <w:spacing w:after="0" w:line="241"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4.1</w:t>
      </w:r>
      <w:r>
        <w:rPr>
          <w:sz w:val="20"/>
          <w:szCs w:val="20"/>
          <w:color w:val="auto"/>
        </w:rPr>
        <w:tab/>
      </w:r>
      <w:hyperlink r:id="rId68">
        <w:r>
          <w:rPr>
            <w:rFonts w:ascii="Times New Roman" w:cs="Times New Roman" w:eastAsia="Times New Roman" w:hAnsi="Times New Roman"/>
            <w:sz w:val="17"/>
            <w:szCs w:val="17"/>
            <w:u w:val="single" w:color="auto"/>
            <w:color w:val="0000FF"/>
          </w:rPr>
          <w:t>Indenture, dated as of May 21, 2024, by and between NMI Holdings, Inc. and The Bank of New York Mellon Trust Company, N.A. as</w:t>
        </w:r>
      </w:hyperlink>
      <w:r>
        <w:rPr>
          <w:rFonts w:ascii="Times New Roman" w:cs="Times New Roman" w:eastAsia="Times New Roman" w:hAnsi="Times New Roman"/>
          <w:sz w:val="17"/>
          <w:szCs w:val="17"/>
          <w:u w:val="single" w:color="auto"/>
          <w:color w:val="0000FF"/>
        </w:rPr>
        <w:t xml:space="preserve"> </w:t>
      </w:r>
      <w:hyperlink r:id="rId68">
        <w:r>
          <w:rPr>
            <w:rFonts w:ascii="Times New Roman" w:cs="Times New Roman" w:eastAsia="Times New Roman" w:hAnsi="Times New Roman"/>
            <w:sz w:val="17"/>
            <w:szCs w:val="17"/>
            <w:u w:val="single" w:color="auto"/>
            <w:color w:val="0000FF"/>
          </w:rPr>
          <w:t>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4.1 to our Form 8-K, filed on May 21, 2024)</w:t>
        </w:r>
      </w:hyperlink>
    </w:p>
    <w:p>
      <w:pPr>
        <w:spacing w:after="0" w:line="7" w:lineRule="exact"/>
        <w:rPr>
          <w:sz w:val="20"/>
          <w:szCs w:val="20"/>
          <w:color w:val="auto"/>
        </w:rPr>
      </w:pPr>
    </w:p>
    <w:p>
      <w:pPr>
        <w:ind w:left="1140" w:hanging="733"/>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4.2</w:t>
      </w:r>
      <w:r>
        <w:rPr>
          <w:sz w:val="20"/>
          <w:szCs w:val="20"/>
          <w:color w:val="auto"/>
        </w:rPr>
        <w:tab/>
      </w:r>
      <w:hyperlink r:id="rId69">
        <w:r>
          <w:rPr>
            <w:rFonts w:ascii="Times New Roman" w:cs="Times New Roman" w:eastAsia="Times New Roman" w:hAnsi="Times New Roman"/>
            <w:sz w:val="17"/>
            <w:szCs w:val="17"/>
            <w:u w:val="single" w:color="auto"/>
            <w:color w:val="0000FF"/>
          </w:rPr>
          <w:t>Supplemental Indenture, dated as of May 21, 2024, by and between NMI Holdings, Inc. and The Bank of New York Mellon Trust Company,</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N.A. as 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the form of the Notes) (incorporated herein by reference to Exhibit 4.2 to our Form 8-K, filed on May 21, 2024)</w:t>
        </w:r>
      </w:hyperlink>
    </w:p>
    <w:p>
      <w:pPr>
        <w:spacing w:after="0" w:line="3" w:lineRule="exact"/>
        <w:rPr>
          <w:sz w:val="20"/>
          <w:szCs w:val="20"/>
          <w:color w:val="auto"/>
        </w:rPr>
      </w:pPr>
    </w:p>
    <w:p>
      <w:pPr>
        <w:ind w:left="40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4.3</w:t>
      </w:r>
      <w:r>
        <w:rPr>
          <w:sz w:val="20"/>
          <w:szCs w:val="20"/>
          <w:color w:val="auto"/>
        </w:rPr>
        <w:tab/>
      </w:r>
      <w:hyperlink r:id="rId70">
        <w:r>
          <w:rPr>
            <w:rFonts w:ascii="Times New Roman" w:cs="Times New Roman" w:eastAsia="Times New Roman" w:hAnsi="Times New Roman"/>
            <w:sz w:val="17"/>
            <w:szCs w:val="17"/>
            <w:u w:val="single" w:color="auto"/>
            <w:color w:val="0000FF"/>
          </w:rPr>
          <w:t xml:space="preserve">Description of Securities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4.4 to our Form 10-Q, filed on July 31, 2024)</w:t>
      </w:r>
    </w:p>
    <w:p>
      <w:pPr>
        <w:spacing w:after="0" w:line="32" w:lineRule="exact"/>
        <w:rPr>
          <w:sz w:val="20"/>
          <w:szCs w:val="20"/>
          <w:color w:val="auto"/>
        </w:rPr>
      </w:pPr>
    </w:p>
    <w:p>
      <w:pPr>
        <w:ind w:left="1140" w:hanging="845"/>
        <w:spacing w:after="0" w:line="24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 ~</w:t>
      </w:r>
      <w:r>
        <w:rPr>
          <w:sz w:val="20"/>
          <w:szCs w:val="20"/>
          <w:color w:val="auto"/>
        </w:rPr>
        <w:tab/>
      </w:r>
      <w:hyperlink r:id="rId71">
        <w:r>
          <w:rPr>
            <w:rFonts w:ascii="Times New Roman" w:cs="Times New Roman" w:eastAsia="Times New Roman" w:hAnsi="Times New Roman"/>
            <w:sz w:val="17"/>
            <w:szCs w:val="17"/>
            <w:u w:val="single" w:color="auto"/>
            <w:color w:val="0000FF"/>
          </w:rPr>
          <w:t xml:space="preserve">NMI Holdings, Inc. 2012 Stock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S-1 Registration Statement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(Registration No. 333-191635), filed on October 9, 2013)</w:t>
      </w:r>
    </w:p>
    <w:p>
      <w:pPr>
        <w:spacing w:after="0" w:line="7" w:lineRule="exact"/>
        <w:rPr>
          <w:sz w:val="20"/>
          <w:szCs w:val="20"/>
          <w:color w:val="auto"/>
        </w:rPr>
      </w:pPr>
    </w:p>
    <w:p>
      <w:pPr>
        <w:ind w:left="1140" w:right="26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 ~</w:t>
      </w:r>
      <w:r>
        <w:rPr>
          <w:sz w:val="20"/>
          <w:szCs w:val="20"/>
          <w:color w:val="auto"/>
        </w:rPr>
        <w:tab/>
      </w:r>
      <w:hyperlink r:id="rId72">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CEO and 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10.5 to our Form S-1 Registration Statement (Registration No. 333-191635), filed on October 9, 2013)</w:t>
      </w:r>
    </w:p>
    <w:p>
      <w:pPr>
        <w:spacing w:after="0" w:line="3" w:lineRule="exact"/>
        <w:rPr>
          <w:sz w:val="20"/>
          <w:szCs w:val="20"/>
          <w:color w:val="auto"/>
        </w:rPr>
      </w:pPr>
    </w:p>
    <w:p>
      <w:pPr>
        <w:ind w:left="1140" w:right="38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 ~</w:t>
      </w:r>
      <w:r>
        <w:rPr>
          <w:sz w:val="20"/>
          <w:szCs w:val="20"/>
          <w:color w:val="auto"/>
        </w:rPr>
        <w:tab/>
      </w:r>
      <w:hyperlink r:id="rId73">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10.6 to our Form S-1 Registration Statement (Registration No. 333-191635), filed on October 9, 2013)</w:t>
      </w:r>
    </w:p>
    <w:p>
      <w:pPr>
        <w:spacing w:after="0" w:line="3" w:lineRule="exact"/>
        <w:rPr>
          <w:sz w:val="20"/>
          <w:szCs w:val="20"/>
          <w:color w:val="auto"/>
        </w:rPr>
      </w:pPr>
    </w:p>
    <w:p>
      <w:pPr>
        <w:ind w:left="1140" w:right="20" w:hanging="845"/>
        <w:spacing w:after="0" w:line="228"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 ~</w:t>
      </w:r>
      <w:r>
        <w:rPr>
          <w:sz w:val="20"/>
          <w:szCs w:val="20"/>
          <w:color w:val="auto"/>
        </w:rPr>
        <w:tab/>
      </w:r>
      <w:hyperlink r:id="rId74">
        <w:r>
          <w:rPr>
            <w:rFonts w:ascii="Times New Roman" w:cs="Times New Roman" w:eastAsia="Times New Roman" w:hAnsi="Times New Roman"/>
            <w:sz w:val="17"/>
            <w:szCs w:val="17"/>
            <w:u w:val="single" w:color="auto"/>
            <w:color w:val="0000FF"/>
          </w:rPr>
          <w:t>Form of NMI Holdings, Inc. 2012 Stock Incentive Plan Nonqualified Stock Option Award Agreement (For Non-Employee Directors)</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 10.7 to our Form S-1 Registration Statement (Registration No. 333-191635), filed on October 9,</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2013)</w:t>
      </w:r>
    </w:p>
    <w:p>
      <w:pPr>
        <w:spacing w:after="0" w:line="12" w:lineRule="exact"/>
        <w:rPr>
          <w:sz w:val="20"/>
          <w:szCs w:val="20"/>
          <w:color w:val="auto"/>
        </w:rPr>
      </w:pPr>
    </w:p>
    <w:p>
      <w:pPr>
        <w:ind w:left="1140" w:right="80" w:hanging="845"/>
        <w:spacing w:after="0" w:line="24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10.5 ~</w:t>
      </w:r>
      <w:r>
        <w:rPr>
          <w:sz w:val="20"/>
          <w:szCs w:val="20"/>
          <w:color w:val="auto"/>
        </w:rPr>
        <w:tab/>
      </w:r>
      <w:hyperlink r:id="rId75">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CEO/CFO)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10.8 to our Form 10-K, filed on February 17, 2017)</w:t>
      </w:r>
    </w:p>
    <w:p>
      <w:pPr>
        <w:spacing w:after="0" w:line="7" w:lineRule="exact"/>
        <w:rPr>
          <w:sz w:val="20"/>
          <w:szCs w:val="20"/>
          <w:color w:val="auto"/>
        </w:rPr>
      </w:pPr>
    </w:p>
    <w:p>
      <w:pPr>
        <w:ind w:left="1140" w:right="4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10.6 ~</w:t>
      </w:r>
      <w:r>
        <w:rPr>
          <w:sz w:val="20"/>
          <w:szCs w:val="20"/>
          <w:color w:val="auto"/>
        </w:rPr>
        <w:tab/>
      </w:r>
      <w:hyperlink r:id="rId76">
        <w:r>
          <w:rPr>
            <w:rFonts w:ascii="Times New Roman" w:cs="Times New Roman" w:eastAsia="Times New Roman" w:hAnsi="Times New Roman"/>
            <w:sz w:val="17"/>
            <w:szCs w:val="17"/>
            <w:u w:val="single" w:color="auto"/>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10.9 to our Form 10-K, filed on February 17, 2017)</w:t>
      </w:r>
    </w:p>
    <w:p>
      <w:pPr>
        <w:spacing w:after="0" w:line="3" w:lineRule="exact"/>
        <w:rPr>
          <w:sz w:val="20"/>
          <w:szCs w:val="20"/>
          <w:color w:val="auto"/>
        </w:rPr>
      </w:pPr>
    </w:p>
    <w:p>
      <w:pPr>
        <w:ind w:left="1140" w:right="32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10.7 ~</w:t>
      </w:r>
      <w:r>
        <w:rPr>
          <w:sz w:val="20"/>
          <w:szCs w:val="20"/>
          <w:color w:val="auto"/>
        </w:rPr>
        <w:tab/>
      </w:r>
      <w:hyperlink r:id="rId77">
        <w:r>
          <w:rPr>
            <w:rFonts w:ascii="Times New Roman" w:cs="Times New Roman" w:eastAsia="Times New Roman" w:hAnsi="Times New Roman"/>
            <w:sz w:val="17"/>
            <w:szCs w:val="17"/>
            <w:u w:val="single" w:color="auto"/>
            <w:color w:val="0000FF"/>
          </w:rPr>
          <w:t xml:space="preserve">Form of NMI Holdings, Inc. 2012 Stock Incentive Plan Nonqualified Stock Option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10.32 to our Form 10-Q, filed on May 2, 2019)</w:t>
      </w:r>
    </w:p>
    <w:p>
      <w:pPr>
        <w:spacing w:after="0" w:line="3" w:lineRule="exact"/>
        <w:rPr>
          <w:sz w:val="20"/>
          <w:szCs w:val="20"/>
          <w:color w:val="auto"/>
        </w:rPr>
      </w:pPr>
    </w:p>
    <w:p>
      <w:pPr>
        <w:ind w:left="1140" w:hanging="845"/>
        <w:spacing w:after="0" w:line="247"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10.8 ~</w:t>
      </w:r>
      <w:r>
        <w:rPr>
          <w:sz w:val="20"/>
          <w:szCs w:val="20"/>
          <w:color w:val="auto"/>
        </w:rPr>
        <w:tab/>
      </w:r>
      <w:hyperlink r:id="rId78">
        <w:r>
          <w:rPr>
            <w:rFonts w:ascii="Times New Roman" w:cs="Times New Roman" w:eastAsia="Times New Roman" w:hAnsi="Times New Roman"/>
            <w:sz w:val="17"/>
            <w:szCs w:val="17"/>
            <w:u w:val="single" w:color="auto"/>
            <w:color w:val="0000FF"/>
          </w:rPr>
          <w:t xml:space="preserve">NMI Holdings, Inc. Amended and Restated 2014 Omnibus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Appendix A to our 2022</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Annual Proxy Statement, filed on March 29, 2022)</w:t>
      </w:r>
    </w:p>
    <w:p>
      <w:pPr>
        <w:ind w:left="280"/>
        <w:spacing w:after="0" w:line="236"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 ~</w:t>
      </w:r>
      <w:r>
        <w:rPr>
          <w:sz w:val="20"/>
          <w:szCs w:val="20"/>
          <w:color w:val="auto"/>
        </w:rPr>
        <w:tab/>
      </w:r>
      <w:hyperlink r:id="rId79">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 CEO)</w:t>
        </w:r>
      </w:hyperlink>
    </w:p>
    <w:p>
      <w:pPr>
        <w:ind w:left="1140"/>
        <w:spacing w:after="0"/>
        <w:rPr>
          <w:sz w:val="20"/>
          <w:szCs w:val="20"/>
          <w:color w:val="auto"/>
        </w:rPr>
      </w:pPr>
      <w:r>
        <w:rPr>
          <w:rFonts w:ascii="Times New Roman" w:cs="Times New Roman" w:eastAsia="Times New Roman" w:hAnsi="Times New Roman"/>
          <w:sz w:val="17"/>
          <w:szCs w:val="17"/>
          <w:color w:val="auto"/>
        </w:rPr>
        <w:t>(incorporated herein by reference to Exhibit 10.23 to our Form 10-Q filed on August 1, 2017)</w:t>
      </w:r>
    </w:p>
    <w:p>
      <w:pPr>
        <w:spacing w:after="0" w:line="20"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10.10 ~</w:t>
      </w:r>
      <w:r>
        <w:rPr>
          <w:sz w:val="20"/>
          <w:szCs w:val="20"/>
          <w:color w:val="auto"/>
        </w:rPr>
        <w:tab/>
      </w:r>
      <w:hyperlink r:id="rId80">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Executive Officers and Employees</w:t>
        </w:r>
        <w:r>
          <w:rPr>
            <w:rFonts w:ascii="Times New Roman" w:cs="Times New Roman" w:eastAsia="Times New Roman" w:hAnsi="Times New Roman"/>
            <w:sz w:val="17"/>
            <w:szCs w:val="17"/>
            <w:color w:val="000000"/>
          </w:rPr>
          <w:t>) (incorporated herein by reference to Exhibit 10.24 to our Form 10-Q filed on August 1, 2017)</w:t>
        </w:r>
      </w:hyperlink>
    </w:p>
    <w:p>
      <w:pPr>
        <w:spacing w:after="0" w:line="3" w:lineRule="exact"/>
        <w:rPr>
          <w:sz w:val="20"/>
          <w:szCs w:val="20"/>
          <w:color w:val="auto"/>
        </w:rPr>
      </w:pPr>
    </w:p>
    <w:p>
      <w:pPr>
        <w:ind w:left="1140" w:hanging="886"/>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10.11 ~</w:t>
      </w:r>
      <w:r>
        <w:rPr>
          <w:sz w:val="20"/>
          <w:szCs w:val="20"/>
          <w:color w:val="auto"/>
        </w:rPr>
        <w:tab/>
      </w:r>
      <w:hyperlink r:id="rId81">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10.38 to our Form 10-Q, filed on May 7, 2020)</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10.12 ~</w:t>
      </w:r>
      <w:r>
        <w:rPr>
          <w:sz w:val="20"/>
          <w:szCs w:val="20"/>
          <w:color w:val="auto"/>
        </w:rPr>
        <w:tab/>
      </w:r>
      <w:hyperlink r:id="rId8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Independent Directors)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10.20 to our Form 10-K, filed on February 15, 2024)</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10.13 ~</w:t>
      </w:r>
      <w:r>
        <w:rPr>
          <w:sz w:val="20"/>
          <w:szCs w:val="20"/>
          <w:color w:val="auto"/>
        </w:rPr>
        <w:tab/>
      </w:r>
      <w:hyperlink r:id="rId83">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00"/>
          </w:rPr>
          <w:t>) (incorporated herein by reference to Exhibit 10.34 to our Form 10-Q, filed on May 2, 2019)</w:t>
        </w:r>
      </w:hyperlink>
    </w:p>
    <w:p>
      <w:pPr>
        <w:spacing w:after="0" w:line="3" w:lineRule="exact"/>
        <w:rPr>
          <w:sz w:val="20"/>
          <w:szCs w:val="20"/>
          <w:color w:val="auto"/>
        </w:rPr>
      </w:pPr>
    </w:p>
    <w:p>
      <w:pPr>
        <w:ind w:left="1140" w:hanging="889"/>
        <w:spacing w:after="0" w:line="247" w:lineRule="auto"/>
        <w:tabs>
          <w:tab w:leader="none" w:pos="11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10.14 ~</w:t>
      </w:r>
      <w:r>
        <w:rPr>
          <w:sz w:val="20"/>
          <w:szCs w:val="20"/>
          <w:color w:val="auto"/>
        </w:rPr>
        <w:tab/>
      </w:r>
      <w:hyperlink r:id="rId84">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Executives)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10.22 to our Form 10-K, filed on February 15,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982" w:right="619" w:bottom="1440" w:gutter="0" w:footer="0" w:header="0"/>
        </w:sectPr>
      </w:pPr>
    </w:p>
    <w:bookmarkStart w:id="55" w:name="page56"/>
    <w:bookmarkEnd w:id="55"/>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10.15 ~</w:t>
      </w:r>
      <w:r>
        <w:rPr>
          <w:sz w:val="20"/>
          <w:szCs w:val="20"/>
          <w:color w:val="auto"/>
        </w:rPr>
        <w:tab/>
      </w:r>
      <w:hyperlink r:id="rId86">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10.23 to our Form 10-K, filed on February 15, 2024)</w:t>
        </w:r>
      </w:hyperlink>
    </w:p>
    <w:p>
      <w:pPr>
        <w:spacing w:after="0" w:line="3"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10.16 ~</w:t>
      </w:r>
      <w:r>
        <w:rPr>
          <w:sz w:val="20"/>
          <w:szCs w:val="20"/>
          <w:color w:val="auto"/>
        </w:rPr>
        <w:tab/>
      </w:r>
      <w:hyperlink r:id="rId87">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(incorporated herein by reference to Exhibit 10.24 to our Form 10-K, filed on February 15, 2024)</w:t>
        </w:r>
      </w:hyperlink>
    </w:p>
    <w:p>
      <w:pPr>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 ~</w:t>
      </w:r>
      <w:r>
        <w:rPr>
          <w:sz w:val="20"/>
          <w:szCs w:val="20"/>
          <w:color w:val="auto"/>
        </w:rPr>
        <w:tab/>
      </w:r>
      <w:hyperlink r:id="rId88">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7"/>
          <w:szCs w:val="17"/>
          <w:color w:val="000000"/>
        </w:rPr>
        <w:t>)</w:t>
      </w:r>
    </w:p>
    <w:p>
      <w:pPr>
        <w:ind w:left="900"/>
        <w:spacing w:after="0"/>
        <w:rPr>
          <w:sz w:val="20"/>
          <w:szCs w:val="20"/>
          <w:color w:val="auto"/>
        </w:rPr>
      </w:pPr>
      <w:r>
        <w:rPr>
          <w:rFonts w:ascii="Times New Roman" w:cs="Times New Roman" w:eastAsia="Times New Roman" w:hAnsi="Times New Roman"/>
          <w:sz w:val="17"/>
          <w:szCs w:val="17"/>
          <w:color w:val="auto"/>
        </w:rPr>
        <w:t>(incorporated herein by reference to Exhibit 10.35 to our Form 10-Q, filed on May 2, 2019)</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10.18 ~</w:t>
      </w:r>
      <w:r>
        <w:rPr>
          <w:sz w:val="20"/>
          <w:szCs w:val="20"/>
          <w:color w:val="auto"/>
        </w:rPr>
        <w:tab/>
      </w:r>
      <w:hyperlink r:id="rId89">
        <w:r>
          <w:rPr>
            <w:rFonts w:ascii="Times New Roman" w:cs="Times New Roman" w:eastAsia="Times New Roman" w:hAnsi="Times New Roman"/>
            <w:sz w:val="17"/>
            <w:szCs w:val="17"/>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November 25, 2014)</w:t>
      </w:r>
    </w:p>
    <w:p>
      <w:pPr>
        <w:spacing w:after="0" w:line="3"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10.19 ~</w:t>
      </w:r>
      <w:r>
        <w:rPr>
          <w:sz w:val="20"/>
          <w:szCs w:val="20"/>
          <w:color w:val="auto"/>
        </w:rPr>
        <w:tab/>
      </w:r>
      <w:hyperlink r:id="rId90">
        <w:r>
          <w:rPr>
            <w:rFonts w:ascii="Times New Roman" w:cs="Times New Roman" w:eastAsia="Times New Roman" w:hAnsi="Times New Roman"/>
            <w:sz w:val="17"/>
            <w:szCs w:val="17"/>
            <w:u w:val="single" w:color="auto"/>
            <w:color w:val="0000FF"/>
          </w:rPr>
          <w:t xml:space="preserve">NMI Holdings, Inc.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 February 17, 2016)</w:t>
      </w:r>
    </w:p>
    <w:p>
      <w:pPr>
        <w:spacing w:after="0" w:line="32" w:lineRule="exact"/>
        <w:rPr>
          <w:sz w:val="20"/>
          <w:szCs w:val="20"/>
          <w:color w:val="auto"/>
        </w:rPr>
      </w:pPr>
    </w:p>
    <w:p>
      <w:pPr>
        <w:ind w:left="900" w:hanging="889"/>
        <w:spacing w:after="0" w:line="241"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10.20 ~</w:t>
      </w:r>
      <w:r>
        <w:rPr>
          <w:sz w:val="20"/>
          <w:szCs w:val="20"/>
          <w:color w:val="auto"/>
        </w:rPr>
        <w:tab/>
      </w:r>
      <w:hyperlink r:id="rId91">
        <w:r>
          <w:rPr>
            <w:rFonts w:ascii="Times New Roman" w:cs="Times New Roman" w:eastAsia="Times New Roman" w:hAnsi="Times New Roman"/>
            <w:sz w:val="17"/>
            <w:szCs w:val="17"/>
            <w:u w:val="single" w:color="auto"/>
            <w:color w:val="0000FF"/>
          </w:rPr>
          <w:t xml:space="preserve">NMI Holdings, Inc. Amended and Restated Change in Control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10.30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our Form 10-Q, filed on October 30, 2018)</w:t>
      </w:r>
    </w:p>
    <w:p>
      <w:pPr>
        <w:spacing w:after="0" w:line="7"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 ~</w:t>
      </w:r>
      <w:r>
        <w:rPr>
          <w:sz w:val="20"/>
          <w:szCs w:val="20"/>
          <w:color w:val="auto"/>
        </w:rPr>
        <w:tab/>
      </w:r>
      <w:hyperlink r:id="rId92">
        <w:r>
          <w:rPr>
            <w:rFonts w:ascii="Times New Roman" w:cs="Times New Roman" w:eastAsia="Times New Roman" w:hAnsi="Times New Roman"/>
            <w:sz w:val="17"/>
            <w:szCs w:val="17"/>
            <w:u w:val="single" w:color="auto"/>
            <w:color w:val="0000FF"/>
          </w:rPr>
          <w:t xml:space="preserve">NMI Holdings, Inc. Clawback Policy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10.2 to our Form 8-K, filed on February 23, 2017)</w:t>
      </w:r>
    </w:p>
    <w:p>
      <w:pPr>
        <w:spacing w:after="0" w:line="21"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 ~</w:t>
      </w:r>
      <w:r>
        <w:rPr>
          <w:sz w:val="20"/>
          <w:szCs w:val="20"/>
          <w:color w:val="auto"/>
        </w:rPr>
        <w:tab/>
      </w:r>
      <w:hyperlink r:id="rId93">
        <w:r>
          <w:rPr>
            <w:rFonts w:ascii="Times New Roman" w:cs="Times New Roman" w:eastAsia="Times New Roman" w:hAnsi="Times New Roman"/>
            <w:sz w:val="17"/>
            <w:szCs w:val="17"/>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10.10 to our Form 10-Q, filed on April 28, 2016)</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 ~</w:t>
      </w:r>
      <w:r>
        <w:rPr>
          <w:sz w:val="20"/>
          <w:szCs w:val="20"/>
          <w:color w:val="auto"/>
        </w:rPr>
        <w:tab/>
      </w:r>
      <w:hyperlink r:id="rId94">
        <w:r>
          <w:rPr>
            <w:rFonts w:ascii="Times New Roman" w:cs="Times New Roman" w:eastAsia="Times New Roman" w:hAnsi="Times New Roman"/>
            <w:sz w:val="17"/>
            <w:szCs w:val="17"/>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December 28, 2018)</w:t>
      </w:r>
    </w:p>
    <w:p>
      <w:pPr>
        <w:spacing w:after="0" w:line="49"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 ~</w:t>
      </w:r>
      <w:r>
        <w:rPr>
          <w:sz w:val="20"/>
          <w:szCs w:val="20"/>
          <w:color w:val="auto"/>
        </w:rPr>
        <w:tab/>
      </w:r>
      <w:hyperlink r:id="rId95">
        <w:r>
          <w:rPr>
            <w:rFonts w:ascii="Times New Roman" w:cs="Times New Roman" w:eastAsia="Times New Roman" w:hAnsi="Times New Roman"/>
            <w:sz w:val="17"/>
            <w:szCs w:val="17"/>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September 9, 2021)</w:t>
      </w:r>
    </w:p>
    <w:p>
      <w:pPr>
        <w:spacing w:after="0" w:line="14"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96">
        <w:r>
          <w:rPr>
            <w:rFonts w:ascii="Times New Roman" w:cs="Times New Roman" w:eastAsia="Times New Roman" w:hAnsi="Times New Roman"/>
            <w:sz w:val="17"/>
            <w:szCs w:val="17"/>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December 21, 2021)</w:t>
      </w:r>
    </w:p>
    <w:p>
      <w:pPr>
        <w:spacing w:after="0" w:line="14"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97">
        <w:r>
          <w:rPr>
            <w:rFonts w:ascii="Times New Roman" w:cs="Times New Roman" w:eastAsia="Times New Roman" w:hAnsi="Times New Roman"/>
            <w:sz w:val="17"/>
            <w:szCs w:val="17"/>
            <w:u w:val="single" w:color="auto"/>
            <w:color w:val="0000FF"/>
          </w:rPr>
          <w:t>Offer Letter by and between NMI Holdings, Inc. and Aurora Swithenbank, dated March 1, 202</w:t>
        </w:r>
      </w:hyperlink>
      <w:r>
        <w:rPr>
          <w:rFonts w:ascii="Times New Roman" w:cs="Times New Roman" w:eastAsia="Times New Roman" w:hAnsi="Times New Roman"/>
          <w:sz w:val="17"/>
          <w:szCs w:val="17"/>
          <w:color w:val="000000"/>
        </w:rPr>
        <w:t>4</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(incorporated herein by reference to Exhibit</w:t>
      </w:r>
    </w:p>
    <w:p>
      <w:pPr>
        <w:ind w:left="900"/>
        <w:spacing w:after="0"/>
        <w:rPr>
          <w:sz w:val="20"/>
          <w:szCs w:val="20"/>
          <w:color w:val="auto"/>
        </w:rPr>
      </w:pPr>
      <w:r>
        <w:rPr>
          <w:rFonts w:ascii="Times New Roman" w:cs="Times New Roman" w:eastAsia="Times New Roman" w:hAnsi="Times New Roman"/>
          <w:sz w:val="17"/>
          <w:szCs w:val="17"/>
          <w:color w:val="auto"/>
        </w:rPr>
        <w:t>10.1 to our Form 8-K, filed on March 4, 2024)</w:t>
      </w:r>
    </w:p>
    <w:p>
      <w:pPr>
        <w:spacing w:after="0" w:line="20" w:lineRule="exact"/>
        <w:rPr>
          <w:sz w:val="20"/>
          <w:szCs w:val="20"/>
          <w:color w:val="auto"/>
        </w:rPr>
      </w:pPr>
    </w:p>
    <w:p>
      <w:pPr>
        <w:ind w:left="900" w:hanging="889"/>
        <w:spacing w:after="0" w:line="24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98">
        <w:r>
          <w:rPr>
            <w:rFonts w:ascii="Times New Roman" w:cs="Times New Roman" w:eastAsia="Times New Roman" w:hAnsi="Times New Roman"/>
            <w:sz w:val="17"/>
            <w:szCs w:val="17"/>
            <w:u w:val="single" w:color="auto"/>
            <w:color w:val="0000FF"/>
          </w:rPr>
          <w:t xml:space="preserve">Separation Agreement by and between NMI Holdings, Inc. and Ravi Mallela, dated March 1, 2024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Exhibit 10.2 to our Form 8-K, filed on March 4, 2024)</w:t>
      </w:r>
    </w:p>
    <w:p>
      <w:pPr>
        <w:spacing w:after="0" w:line="3" w:lineRule="exact"/>
        <w:rPr>
          <w:sz w:val="20"/>
          <w:szCs w:val="20"/>
          <w:color w:val="auto"/>
        </w:rPr>
      </w:pPr>
    </w:p>
    <w:p>
      <w:pPr>
        <w:jc w:val="right"/>
        <w:spacing w:after="0" w:line="22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10.28 +    </w:t>
      </w:r>
      <w:hyperlink r:id="rId99">
        <w:r>
          <w:rPr>
            <w:rFonts w:ascii="Times New Roman" w:cs="Times New Roman" w:eastAsia="Times New Roman" w:hAnsi="Times New Roman"/>
            <w:sz w:val="17"/>
            <w:szCs w:val="17"/>
            <w:u w:val="single" w:color="auto"/>
            <w:color w:val="0000FF"/>
          </w:rPr>
          <w:t>Commitment Letter dated July 12, 2013 for Bulk Fannie Mae-Paid Loss-on-Sale Mortgage Insurance on the Portfolio of approximately</w:t>
        </w:r>
      </w:hyperlink>
      <w:r>
        <w:rPr>
          <w:rFonts w:ascii="Times New Roman" w:cs="Times New Roman" w:eastAsia="Times New Roman" w:hAnsi="Times New Roman"/>
          <w:sz w:val="17"/>
          <w:szCs w:val="17"/>
          <w:color w:val="auto"/>
        </w:rPr>
        <w:t xml:space="preserve"> </w:t>
      </w:r>
      <w:hyperlink r:id="rId99">
        <w:r>
          <w:rPr>
            <w:rFonts w:ascii="Times New Roman" w:cs="Times New Roman" w:eastAsia="Times New Roman" w:hAnsi="Times New Roman"/>
            <w:sz w:val="17"/>
            <w:szCs w:val="17"/>
            <w:u w:val="single" w:color="auto"/>
            <w:color w:val="0000FF"/>
          </w:rPr>
          <w:t>$5.46 billion Purchased by Fannie Mae and Identified by Fannie Mae as Deal No. 2013 MIRT 01 and by the Company as Policy No. P-</w:t>
        </w:r>
      </w:hyperlink>
    </w:p>
    <w:p>
      <w:pPr>
        <w:spacing w:after="0" w:line="1" w:lineRule="exact"/>
        <w:rPr>
          <w:sz w:val="20"/>
          <w:szCs w:val="20"/>
          <w:color w:val="auto"/>
        </w:rPr>
      </w:pPr>
    </w:p>
    <w:p>
      <w:pPr>
        <w:ind w:left="900"/>
        <w:spacing w:after="0" w:line="231" w:lineRule="auto"/>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u w:val="single" w:color="auto"/>
            <w:color w:val="0000FF"/>
          </w:rPr>
          <w:t>0001-01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10.14 to our Form S-1 Registration Statement (Registration No. 333-191635), filed on</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October 9, 2013)</w:t>
      </w:r>
    </w:p>
    <w:p>
      <w:pPr>
        <w:spacing w:after="0" w:line="1" w:lineRule="exact"/>
        <w:rPr>
          <w:sz w:val="20"/>
          <w:szCs w:val="20"/>
          <w:color w:val="auto"/>
        </w:rPr>
      </w:pPr>
    </w:p>
    <w:p>
      <w:pPr>
        <w:ind w:left="900" w:hanging="820"/>
        <w:spacing w:after="0" w:line="241" w:lineRule="auto"/>
        <w:tabs>
          <w:tab w:leader="none" w:pos="8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10.29</w:t>
      </w:r>
      <w:r>
        <w:rPr>
          <w:sz w:val="20"/>
          <w:szCs w:val="20"/>
          <w:color w:val="auto"/>
        </w:rPr>
        <w:tab/>
      </w:r>
      <w:hyperlink r:id="rId100">
        <w:r>
          <w:rPr>
            <w:rFonts w:ascii="Times New Roman" w:cs="Times New Roman" w:eastAsia="Times New Roman" w:hAnsi="Times New Roman"/>
            <w:sz w:val="17"/>
            <w:szCs w:val="17"/>
            <w:u w:val="single" w:color="auto"/>
            <w:color w:val="0000FF"/>
          </w:rPr>
          <w:t>Credit Agreement, dated as of April 29, 2024, by and among the Company, the lenders party hereto, and Royal Bank of Canada, as the</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Agent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10.31 to our Form 10-Q, filed on May 1, 2024)</w:t>
        </w:r>
      </w:hyperlink>
    </w:p>
    <w:p>
      <w:pPr>
        <w:spacing w:after="0" w:line="7"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21.1</w:t>
      </w:r>
      <w:r>
        <w:rPr>
          <w:sz w:val="20"/>
          <w:szCs w:val="20"/>
          <w:color w:val="auto"/>
        </w:rPr>
        <w:tab/>
      </w:r>
      <w:hyperlink r:id="rId101">
        <w:r>
          <w:rPr>
            <w:rFonts w:ascii="Times New Roman" w:cs="Times New Roman" w:eastAsia="Times New Roman" w:hAnsi="Times New Roman"/>
            <w:sz w:val="17"/>
            <w:szCs w:val="17"/>
            <w:u w:val="single" w:color="auto"/>
            <w:color w:val="0000FF"/>
          </w:rPr>
          <w:t xml:space="preserve">Subsidiaries of NMI Holdings,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21.1 to our Form 10-Q, filed on October 30, 2015)</w:t>
      </w:r>
    </w:p>
    <w:p>
      <w:pPr>
        <w:spacing w:after="0" w:line="3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Principal Executive Officer's Certification Pursuant to Section 302 of the Sarbanes-Oxley Act of 2002</w:t>
      </w:r>
    </w:p>
    <w:p>
      <w:pPr>
        <w:spacing w:after="0" w:line="2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Principal Financial Officer's Certification Pursuant to Section 302 of the Sarbanes-Oxley Act of 2002</w:t>
      </w:r>
    </w:p>
    <w:p>
      <w:pPr>
        <w:spacing w:after="0" w:line="2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7"/>
          <w:szCs w:val="17"/>
          <w:color w:val="auto"/>
        </w:rPr>
        <w:t>32.1 #</w:t>
      </w:r>
      <w:r>
        <w:rPr>
          <w:sz w:val="20"/>
          <w:szCs w:val="20"/>
          <w:color w:val="auto"/>
        </w:rPr>
        <w:tab/>
      </w:r>
      <w:r>
        <w:rPr>
          <w:rFonts w:ascii="Times New Roman" w:cs="Times New Roman" w:eastAsia="Times New Roman" w:hAnsi="Times New Roman"/>
          <w:sz w:val="17"/>
          <w:szCs w:val="17"/>
          <w:u w:val="single" w:color="auto"/>
          <w:color w:val="0000FF"/>
        </w:rPr>
        <w:t>Certifications of CEO and CFO Pursuant to 18 U.S.C. Section 1350, as Adopted Pursuant to Section 906 of the Sarbanes-Oxley Act of 2002</w:t>
      </w:r>
    </w:p>
    <w:p>
      <w:pPr>
        <w:spacing w:after="0" w:line="27" w:lineRule="exact"/>
        <w:rPr>
          <w:sz w:val="20"/>
          <w:szCs w:val="20"/>
          <w:color w:val="auto"/>
        </w:rPr>
      </w:pPr>
    </w:p>
    <w:p>
      <w:pPr>
        <w:ind w:left="900" w:right="140" w:hanging="776"/>
        <w:spacing w:after="0" w:line="241"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97.1</w:t>
      </w:r>
      <w:r>
        <w:rPr>
          <w:sz w:val="20"/>
          <w:szCs w:val="20"/>
          <w:color w:val="auto"/>
        </w:rPr>
        <w:tab/>
      </w:r>
      <w:hyperlink r:id="rId102">
        <w:r>
          <w:rPr>
            <w:rFonts w:ascii="Times New Roman" w:cs="Times New Roman" w:eastAsia="Times New Roman" w:hAnsi="Times New Roman"/>
            <w:sz w:val="17"/>
            <w:szCs w:val="17"/>
            <w:u w:val="single" w:color="auto"/>
            <w:color w:val="0000FF"/>
          </w:rPr>
          <w:t xml:space="preserve">NMI Holdings, Inc. Compensation Recovery Policy, Effective September 13, 2023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97.1 to our</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Form 10-K, filed on February 15, 2024)</w:t>
      </w:r>
    </w:p>
    <w:p>
      <w:pPr>
        <w:spacing w:after="0" w:line="7" w:lineRule="exact"/>
        <w:rPr>
          <w:sz w:val="20"/>
          <w:szCs w:val="20"/>
          <w:color w:val="auto"/>
        </w:rPr>
      </w:pPr>
    </w:p>
    <w:p>
      <w:pPr>
        <w:ind w:left="900" w:right="200" w:hanging="763"/>
        <w:spacing w:after="0" w:line="247"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NMI Holdings, Inc.'s Quarterly Report on Form 10-Q for the quarter ended September 30, 2024 (Unaudited) formatted in XBRL (eXtensible Business Reporting Language):</w:t>
      </w:r>
    </w:p>
    <w:p>
      <w:pPr>
        <w:spacing w:after="0" w:line="2" w:lineRule="exact"/>
        <w:rPr>
          <w:rFonts w:ascii="Times New Roman" w:cs="Times New Roman" w:eastAsia="Times New Roman" w:hAnsi="Times New Roman"/>
          <w:sz w:val="17"/>
          <w:szCs w:val="17"/>
          <w:color w:val="auto"/>
        </w:rPr>
      </w:pPr>
    </w:p>
    <w:p>
      <w:pPr>
        <w:ind w:left="1100" w:hanging="207"/>
        <w:spacing w:after="0"/>
        <w:tabs>
          <w:tab w:leader="none" w:pos="11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Balance Sheets as of September 30, 2024 (Unaudited) and December 31, 2023;</w:t>
      </w:r>
    </w:p>
    <w:p>
      <w:pPr>
        <w:spacing w:after="0" w:line="31" w:lineRule="exact"/>
        <w:rPr>
          <w:rFonts w:ascii="Times New Roman" w:cs="Times New Roman" w:eastAsia="Times New Roman" w:hAnsi="Times New Roman"/>
          <w:sz w:val="17"/>
          <w:szCs w:val="17"/>
          <w:color w:val="auto"/>
        </w:rPr>
      </w:pPr>
    </w:p>
    <w:p>
      <w:pPr>
        <w:ind w:left="900" w:right="40" w:hanging="7"/>
        <w:spacing w:after="0" w:line="241" w:lineRule="auto"/>
        <w:tabs>
          <w:tab w:leader="none" w:pos="115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Operations and Comprehensive Income for the three and nine months ended September 30, 2024 and 2023 (Unaudited);</w:t>
      </w:r>
    </w:p>
    <w:p>
      <w:pPr>
        <w:spacing w:after="0" w:line="7" w:lineRule="exact"/>
        <w:rPr>
          <w:rFonts w:ascii="Times New Roman" w:cs="Times New Roman" w:eastAsia="Times New Roman" w:hAnsi="Times New Roman"/>
          <w:sz w:val="17"/>
          <w:szCs w:val="17"/>
          <w:color w:val="auto"/>
        </w:rPr>
      </w:pPr>
    </w:p>
    <w:p>
      <w:pPr>
        <w:ind w:left="900" w:right="100" w:hanging="7"/>
        <w:spacing w:after="0" w:line="247" w:lineRule="auto"/>
        <w:tabs>
          <w:tab w:leader="none" w:pos="120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Changes in Shareholders' Equity for the three months ended March 31, June 30, and September 2024 and 2023 (Unaudited);</w:t>
      </w:r>
    </w:p>
    <w:p>
      <w:pPr>
        <w:spacing w:after="0" w:line="2" w:lineRule="exact"/>
        <w:rPr>
          <w:rFonts w:ascii="Times New Roman" w:cs="Times New Roman" w:eastAsia="Times New Roman" w:hAnsi="Times New Roman"/>
          <w:sz w:val="17"/>
          <w:szCs w:val="17"/>
          <w:color w:val="auto"/>
        </w:rPr>
      </w:pPr>
    </w:p>
    <w:p>
      <w:pPr>
        <w:ind w:left="1180" w:hanging="287"/>
        <w:spacing w:after="0"/>
        <w:tabs>
          <w:tab w:leader="none" w:pos="11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Cash Flows for the nine months ended September 30, 2024 and 2023 (Unaudited);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20"/>
          </w:cols>
          <w:pgMar w:left="560" w:top="1023" w:right="619" w:bottom="1440" w:gutter="0" w:footer="0" w:header="0"/>
        </w:sectPr>
      </w:pPr>
    </w:p>
    <w:bookmarkStart w:id="56" w:name="page57"/>
    <w:bookmarkEnd w:id="56"/>
    <w:p>
      <w:pPr>
        <w:ind w:left="1007" w:hanging="7"/>
        <w:spacing w:after="0" w:line="247" w:lineRule="auto"/>
        <w:tabs>
          <w:tab w:leader="none" w:pos="12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Condensed Consolidated Financial Statements (Unaudited). The instance document does not appear in the Interactive Data File because XBRL tags are embedded within the Inline XBRL document.</w:t>
      </w:r>
    </w:p>
    <w:p>
      <w:pPr>
        <w:spacing w:after="0" w:line="3" w:lineRule="exact"/>
        <w:rPr>
          <w:sz w:val="20"/>
          <w:szCs w:val="20"/>
          <w:color w:val="auto"/>
        </w:rPr>
      </w:pPr>
    </w:p>
    <w:p>
      <w:pPr>
        <w:ind w:left="1007" w:right="140" w:hanging="763"/>
        <w:spacing w:after="0" w:line="247" w:lineRule="auto"/>
        <w:tabs>
          <w:tab w:leader="none" w:pos="100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NMI Holdings, Inc.'s Quarterly Report on Form 10-Q for the quarter ended September 30, 2024 (formatted as Inline XBRL and contained in Exhibit 101).</w:t>
      </w:r>
    </w:p>
    <w:p>
      <w:pPr>
        <w:spacing w:after="0" w:line="281" w:lineRule="exact"/>
        <w:rPr>
          <w:rFonts w:ascii="Times New Roman" w:cs="Times New Roman" w:eastAsia="Times New Roman" w:hAnsi="Times New Roman"/>
          <w:sz w:val="17"/>
          <w:szCs w:val="17"/>
          <w:color w:val="auto"/>
        </w:rPr>
      </w:pPr>
    </w:p>
    <w:p>
      <w:pPr>
        <w:ind w:left="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Filed herewith</w:t>
      </w:r>
    </w:p>
    <w:p>
      <w:pPr>
        <w:spacing w:after="0" w:line="25" w:lineRule="exact"/>
        <w:rPr>
          <w:sz w:val="20"/>
          <w:szCs w:val="20"/>
          <w:color w:val="auto"/>
        </w:rPr>
      </w:pPr>
    </w:p>
    <w:p>
      <w:pPr>
        <w:ind w:left="267" w:hanging="267"/>
        <w:spacing w:after="0"/>
        <w:tabs>
          <w:tab w:leader="none" w:pos="26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5" w:lineRule="exact"/>
        <w:rPr>
          <w:sz w:val="20"/>
          <w:szCs w:val="20"/>
          <w:color w:val="auto"/>
        </w:rPr>
      </w:pPr>
    </w:p>
    <w:p>
      <w:pPr>
        <w:ind w:left="267" w:hanging="267"/>
        <w:spacing w:after="0"/>
        <w:tabs>
          <w:tab w:leader="none" w:pos="26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5" w:lineRule="exact"/>
        <w:rPr>
          <w:sz w:val="20"/>
          <w:szCs w:val="20"/>
          <w:color w:val="auto"/>
        </w:rPr>
      </w:pPr>
    </w:p>
    <w:p>
      <w:pPr>
        <w:ind w:left="267" w:hanging="267"/>
        <w:spacing w:after="0" w:line="224" w:lineRule="auto"/>
        <w:tabs>
          <w:tab w:leader="none" w:pos="26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6"/>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47"/>
          </w:cols>
          <w:pgMar w:left="453" w:top="1023" w:right="6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64"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NMI HOLDINGS, INC.</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Date: November 6, 2024</w:t>
      </w:r>
    </w:p>
    <w:p>
      <w:pPr>
        <w:spacing w:after="0" w:line="2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By: /s/ Aurora Swithenbank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-3810</wp:posOffset>
            </wp:positionV>
            <wp:extent cx="1548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4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Name: Aurora Swithenbank</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40"/>
          </w:cols>
          <w:pgMar w:left="320" w:top="103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 Pollitzer, certify that:</w:t>
      </w:r>
    </w:p>
    <w:p>
      <w:pPr>
        <w:spacing w:after="0" w:line="118"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NMI Holdings, Inc.;</w:t>
      </w:r>
    </w:p>
    <w:p>
      <w:pPr>
        <w:spacing w:after="0" w:line="170"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320" w:hanging="315"/>
        <w:spacing w:after="0" w:line="276"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3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2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940" w:hanging="308"/>
        <w:spacing w:after="0" w:line="295" w:lineRule="auto"/>
        <w:tabs>
          <w:tab w:leader="none" w:pos="93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940" w:hanging="308"/>
        <w:spacing w:after="0" w:line="276" w:lineRule="auto"/>
        <w:tabs>
          <w:tab w:leader="none" w:pos="92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940" w:hanging="308"/>
        <w:spacing w:after="0" w:line="295" w:lineRule="auto"/>
        <w:tabs>
          <w:tab w:leader="none" w:pos="93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2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November 6, 2024</w:t>
            </w: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Adam S. Pollitzer</w:t>
            </w:r>
          </w:p>
        </w:tc>
      </w:tr>
      <w:tr>
        <w:trPr>
          <w:trHeight w:val="236"/>
        </w:trPr>
        <w:tc>
          <w:tcPr>
            <w:tcW w:w="55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Adam S. Pollitzer</w:t>
            </w:r>
          </w:p>
        </w:tc>
        <w:tc>
          <w:tcPr>
            <w:tcW w:w="580" w:type="dxa"/>
            <w:vAlign w:val="bottom"/>
          </w:tcPr>
          <w:p>
            <w:pPr>
              <w:spacing w:after="0"/>
              <w:rPr>
                <w:sz w:val="20"/>
                <w:szCs w:val="20"/>
                <w:color w:val="auto"/>
              </w:rPr>
            </w:pPr>
          </w:p>
        </w:tc>
      </w:tr>
      <w:tr>
        <w:trPr>
          <w:trHeight w:val="222"/>
        </w:trPr>
        <w:tc>
          <w:tcPr>
            <w:tcW w:w="55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55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7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Aurora Swithenbank, certify that:</w:t>
      </w:r>
    </w:p>
    <w:p>
      <w:pPr>
        <w:spacing w:after="0" w:line="170"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NMI Holdings, Inc.;</w:t>
      </w:r>
    </w:p>
    <w:p>
      <w:pPr>
        <w:spacing w:after="0" w:line="170"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94"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780" w:hanging="305"/>
        <w:spacing w:after="0" w:line="295" w:lineRule="auto"/>
        <w:tabs>
          <w:tab w:leader="none" w:pos="7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780" w:hanging="305"/>
        <w:spacing w:after="0" w:line="276" w:lineRule="auto"/>
        <w:tabs>
          <w:tab w:leader="none" w:pos="7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32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780" w:hanging="305"/>
        <w:spacing w:after="0" w:line="295" w:lineRule="auto"/>
        <w:tabs>
          <w:tab w:leader="none" w:pos="7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780" w:hanging="305"/>
        <w:spacing w:after="0" w:line="295" w:lineRule="auto"/>
        <w:tabs>
          <w:tab w:leader="none" w:pos="7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November 6, 2024</w:t>
            </w: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Aurora Swithenbank</w:t>
            </w:r>
          </w:p>
        </w:tc>
      </w:tr>
      <w:tr>
        <w:trPr>
          <w:trHeight w:val="236"/>
        </w:trPr>
        <w:tc>
          <w:tcPr>
            <w:tcW w:w="564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Aurora Swithenbank</w:t>
            </w:r>
          </w:p>
        </w:tc>
        <w:tc>
          <w:tcPr>
            <w:tcW w:w="320" w:type="dxa"/>
            <w:vAlign w:val="bottom"/>
          </w:tcPr>
          <w:p>
            <w:pPr>
              <w:spacing w:after="0"/>
              <w:rPr>
                <w:sz w:val="20"/>
                <w:szCs w:val="20"/>
                <w:color w:val="auto"/>
              </w:rPr>
            </w:pPr>
          </w:p>
        </w:tc>
      </w:tr>
      <w:tr>
        <w:trPr>
          <w:trHeight w:val="222"/>
        </w:trPr>
        <w:tc>
          <w:tcPr>
            <w:tcW w:w="56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56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7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NMI Holdings, Inc. (the "Company") on Form 10-Q for the quarter ended September 30, 2024,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November 6, 2024</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-3810</wp:posOffset>
            </wp:positionV>
            <wp:extent cx="1280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November 6, 2024</w:t>
      </w: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u w:val="single" w:color="auto"/>
          <w:color w:val="auto"/>
        </w:rPr>
        <w:t>/s/ Aurora Swithenbank</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Aurora Swithenbank</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01"/>
    </w:lvl>
    <w:lvl w:ilvl="1">
      <w:lvlJc w:val="left"/>
      <w:lvlText w:val="(%2)"/>
      <w:numFmt w:val="lowerRoman"/>
      <w:start w:val="1"/>
    </w:lvl>
  </w:abstractNum>
  <w:abstractNum w:abstractNumId="26">
    <w:nsid w:val="8138641"/>
    <w:multiLevelType w:val="hybridMultilevel"/>
    <w:lvl w:ilvl="0">
      <w:lvlJc w:val="left"/>
      <w:lvlText w:val="(%1)"/>
      <w:numFmt w:val="lowerRoman"/>
      <w:start w:val="5"/>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5"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65" Type="http://schemas.openxmlformats.org/officeDocument/2006/relationships/hyperlink" Target="https://www.sec.gov/Archives/edgar/data/1547903/000119312524134340/d816160dex11.htm" TargetMode="External"/><Relationship Id="rId66" Type="http://schemas.openxmlformats.org/officeDocument/2006/relationships/hyperlink" Target="https://www.sec.gov/Archives/edgar/data/1547903/000154790324000111/nmih-certificateofincorpor.htm" TargetMode="External"/><Relationship Id="rId67" Type="http://schemas.openxmlformats.org/officeDocument/2006/relationships/hyperlink" Target="https://www.sec.gov/Archives/edgar/data/1547903/000154790324000111/fifthamendedandrestatedbyl.htm" TargetMode="External"/><Relationship Id="rId68" Type="http://schemas.openxmlformats.org/officeDocument/2006/relationships/hyperlink" Target="https://www.sec.gov/Archives/edgar/data/1547903/000119312524144008/d768666dex41.htm" TargetMode="External"/><Relationship Id="rId69" Type="http://schemas.openxmlformats.org/officeDocument/2006/relationships/hyperlink" Target="https://www.sec.gov/Archives/edgar/data/1547903/000119312524144008/d768666dex42.htm" TargetMode="External"/><Relationship Id="rId70" Type="http://schemas.openxmlformats.org/officeDocument/2006/relationships/hyperlink" Target="https://www.sec.gov/Archives/edgar/data/1547903/000154790324000139/exhibit44nmihdescriptionof.htm" TargetMode="External"/><Relationship Id="rId71" Type="http://schemas.openxmlformats.org/officeDocument/2006/relationships/hyperlink" Target="https://www.sec.gov/Archives/edgar/data/1547903/000154790313000020/a101nmiholdingsinc2012stoc.htm" TargetMode="External"/><Relationship Id="rId72" Type="http://schemas.openxmlformats.org/officeDocument/2006/relationships/hyperlink" Target="https://www.sec.gov/Archives/edgar/data/1547903/000154790313000020/a105formofnonqualifiedstoc.htm" TargetMode="External"/><Relationship Id="rId73" Type="http://schemas.openxmlformats.org/officeDocument/2006/relationships/hyperlink" Target="https://www.sec.gov/Archives/edgar/data/1547903/000154790313000020/a106formofnonqualifiedstoc.htm" TargetMode="External"/><Relationship Id="rId74" Type="http://schemas.openxmlformats.org/officeDocument/2006/relationships/hyperlink" Target="https://www.sec.gov/Archives/edgar/data/1547903/000154790313000020/a107formofnonqualifiedstoc.htm" TargetMode="External"/><Relationship Id="rId75" Type="http://schemas.openxmlformats.org/officeDocument/2006/relationships/hyperlink" Target="https://www.sec.gov/Archives/edgar/data/1547903/000154790317000032/exhibit108-2012stockincent.htm" TargetMode="External"/><Relationship Id="rId76" Type="http://schemas.openxmlformats.org/officeDocument/2006/relationships/hyperlink" Target="https://www.sec.gov/Archives/edgar/data/1547903/000154790317000032/exhibit109-2012stockincent.htm" TargetMode="External"/><Relationship Id="rId77" Type="http://schemas.openxmlformats.org/officeDocument/2006/relationships/hyperlink" Target="https://www.sec.gov/Archives/edgar/data/1547903/000154790319000064/exhibit1032.htm" TargetMode="External"/><Relationship Id="rId78" Type="http://schemas.openxmlformats.org/officeDocument/2006/relationships/hyperlink" Target="https://www.sec.gov/ix?doc=/Archives/edgar/data/1547903/000154790324000103/nmih-20240331.htm" TargetMode="External"/><Relationship Id="rId79" Type="http://schemas.openxmlformats.org/officeDocument/2006/relationships/hyperlink" Target="https://www.sec.gov/Archives/edgar/data/1547903/000154790317000100/ex1023nqsceo.htm" TargetMode="External"/><Relationship Id="rId80" Type="http://schemas.openxmlformats.org/officeDocument/2006/relationships/hyperlink" Target="https://www.sec.gov/Archives/edgar/data/1547903/000154790317000100/ex1024nqseoee.htm" TargetMode="External"/><Relationship Id="rId81" Type="http://schemas.openxmlformats.org/officeDocument/2006/relationships/hyperlink" Target="https://www.sec.gov/Archives/edgar/data/1547903/000154790320000045/ex1038202010q.htm" TargetMode="External"/><Relationship Id="rId82" Type="http://schemas.openxmlformats.org/officeDocument/2006/relationships/hyperlink" Target="https://www.sec.gov/Archives/edgar/data/1547903/000154790324000035/ex1020ye2023rsuawardagreem.htm" TargetMode="External"/><Relationship Id="rId83" Type="http://schemas.openxmlformats.org/officeDocument/2006/relationships/hyperlink" Target="https://www.sec.gov/Archives/edgar/data/1547903/000154790319000064/exhibit1034.htm" TargetMode="External"/><Relationship Id="rId84" Type="http://schemas.openxmlformats.org/officeDocument/2006/relationships/hyperlink" Target="https://www.sec.gov/Archives/edgar/data/1547903/000154790324000035/ex1022ye2023rsuawardagreem.htm" TargetMode="External"/><Relationship Id="rId86" Type="http://schemas.openxmlformats.org/officeDocument/2006/relationships/hyperlink" Target="https://www.sec.gov/Archives/edgar/data/1547903/000154790324000035/ex1023ye2023rsuawardagreem.htm" TargetMode="External"/><Relationship Id="rId87" Type="http://schemas.openxmlformats.org/officeDocument/2006/relationships/hyperlink" Target="https://www.sec.gov/Archives/edgar/data/1547903/000154790324000035/ex1024ye2023rsuawardagreem.htm" TargetMode="External"/><Relationship Id="rId88" Type="http://schemas.openxmlformats.org/officeDocument/2006/relationships/hyperlink" Target="https://www.sec.gov/Archives/edgar/data/1547903/000154790319000064/exhibit1035.htm" TargetMode="External"/><Relationship Id="rId89" Type="http://schemas.openxmlformats.org/officeDocument/2006/relationships/hyperlink" Target="https://www.sec.gov/Archives/edgar/data/1547903/000154790314000146/exhibit101november252014.htm" TargetMode="External"/><Relationship Id="rId90" Type="http://schemas.openxmlformats.org/officeDocument/2006/relationships/hyperlink" Target="https://www.sec.gov/Archives/edgar/data/1547903/000154790316000185/ex101severancebenefitplan.htm" TargetMode="External"/><Relationship Id="rId91" Type="http://schemas.openxmlformats.org/officeDocument/2006/relationships/hyperlink" Target="https://www.sec.gov/Archives/edgar/data/1547903/000154790318000133/exhibit1030arcicsbp.htm" TargetMode="External"/><Relationship Id="rId92" Type="http://schemas.openxmlformats.org/officeDocument/2006/relationships/hyperlink" Target="https://www.sec.gov/Archives/edgar/data/1547903/000154790317000035/exhibit102.htm" TargetMode="External"/><Relationship Id="rId93" Type="http://schemas.openxmlformats.org/officeDocument/2006/relationships/hyperlink" Target="https://www.sec.gov/Archives/edgar/data/1547903/000154790316000230/exhibit1010leatherberrybil.htm" TargetMode="External"/><Relationship Id="rId94" Type="http://schemas.openxmlformats.org/officeDocument/2006/relationships/hyperlink" Target="https://www.sec.gov/Archives/edgar/data/1547903/000154790318000137/exhibit101shuster.htm" TargetMode="External"/><Relationship Id="rId95" Type="http://schemas.openxmlformats.org/officeDocument/2006/relationships/hyperlink" Target="https://www.sec.gov/Archives/edgar/data/0001547903/000154790321000153/exhibit101-nmihxapollitz.htm" TargetMode="External"/><Relationship Id="rId96" Type="http://schemas.openxmlformats.org/officeDocument/2006/relationships/hyperlink" Target="https://www.sec.gov/Archives/edgar/data/0001547903/000154790321000188/rmallelaofferletter.htm" TargetMode="External"/><Relationship Id="rId97" Type="http://schemas.openxmlformats.org/officeDocument/2006/relationships/hyperlink" Target="https://www.sec.gov/Archives/edgar/data/1547903/000154790324000041/nmih-aswithenbankofferlett.htm" TargetMode="External"/><Relationship Id="rId98" Type="http://schemas.openxmlformats.org/officeDocument/2006/relationships/hyperlink" Target="https://www.sec.gov/Archives/edgar/data/1547903/000154790324000041/nmih-rmallelaseparationagr.htm" TargetMode="External"/><Relationship Id="rId99" Type="http://schemas.openxmlformats.org/officeDocument/2006/relationships/hyperlink" Target="https://www.sec.gov/Archives/edgar/data/1547903/000154790313000020/a1014commitmentletterforbu.htm" TargetMode="External"/><Relationship Id="rId100" Type="http://schemas.openxmlformats.org/officeDocument/2006/relationships/hyperlink" Target="https://www.sec.gov/Archives/edgar/data/1547903/000154790324000103/ex1031q12024.htm" TargetMode="External"/><Relationship Id="rId101" Type="http://schemas.openxmlformats.org/officeDocument/2006/relationships/hyperlink" Target="https://www.sec.gov/Archives/edgar/data/1547903/000154790315000133/exhibit211subsidiariesofnm.htm" TargetMode="External"/><Relationship Id="rId102" Type="http://schemas.openxmlformats.org/officeDocument/2006/relationships/hyperlink" Target="https://www.sec.gov/Archives/edgar/data/1547903/000154790324000035/ex971ye2023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2024-11-07T05:13:28Z</dcterms:created>
  <dcterms:modified xsi:type="dcterms:W3CDTF">2024-11-07T05:13:28Z</dcterms:modified>
</cp:coreProperties>
</file>