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2018</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40"/>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7"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Emerging growth company x</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ectPr>
          <w:pgSz w:w="11900" w:h="16838" w:orient="portrait"/>
          <w:cols w:equalWidth="0" w:num="1">
            <w:col w:w="11420"/>
          </w:cols>
          <w:pgMar w:left="240" w:top="684" w:right="239" w:bottom="1440" w:gutter="0" w:footer="0" w:header="0"/>
        </w:sectPr>
      </w:pPr>
    </w:p>
    <w:p>
      <w:pPr>
        <w:spacing w:after="0" w:line="39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$0.01 par value per share, of the registrant outstanding on July 30, 2018 was 65,755,084 shares.</w:t>
      </w:r>
    </w:p>
    <w:p>
      <w:pPr>
        <w:sectPr>
          <w:pgSz w:w="11900" w:h="16838" w:orient="portrait"/>
          <w:cols w:equalWidth="0" w:num="1">
            <w:col w:w="11420"/>
          </w:cols>
          <w:pgMar w:left="240" w:top="68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5"/>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10"/>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10"/>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10"/>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shd w:val="clear" w:color="auto" w:fill="CCEEFF"/>
              </w:rPr>
            </w:pPr>
            <w:hyperlink w:anchor="page46">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5"/>
          </w:tcPr>
          <w:p>
            <w:pPr>
              <w:ind w:left="40"/>
              <w:spacing w:after="0" w:line="20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including governmental agencies like the Federal Housing Administration (FHA) and the Veterans Administration (VA), and potential market entry by new competitors or consolidation of existing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that impact our business or financial condition directly or the mortgage insurance industry generally or their enforcement and implementation by regulators;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7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adverse impacts arising from recent natural disasters, including, with respect to the affected areas, a decline in new business, adverse effects on home prices, and an increase in notices of default on insured mortgages;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which could be limited or eliminated in various ways, including if we experience an ownership change as defined in Section 382 of the Internal Revenue Code;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this report and in Part I, Item 1A, of our Annual Report on Form 10-K for the year ended December 31, 2017 (2017 10-K), as updated in our Quarterly Report on Form 10-Q for the quarterly period ended March 31, 2018 (First Quarter 10-Q) and as subsequently updated in other reports we file from time to time with the U.S. Securities and Exchange Commission (SEC).</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the "Company" in this document refer to NMI Holdings, Inc., a Delaware corporation, and its wholly owned subsidiaries on a consolidated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June 30, 2018 and December 31, 2017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6">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w w:val="99"/>
              </w:rPr>
              <w:t>Condensed Consolidated Statements of Operations and Comprehensive Income for the three and six months ended June 30, 2018 and 2017</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Condensed Consolidated Statements of Changes in Shareholders' Equity for the six months ended June 30, 2018 and the year ended December 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8">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six months ended June 30, 2018 and 2017</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0">
              <w:r>
                <w:rPr>
                  <w:rFonts w:ascii="Arial" w:cs="Arial" w:eastAsia="Arial" w:hAnsi="Arial"/>
                  <w:sz w:val="18"/>
                  <w:szCs w:val="18"/>
                  <w:color w:val="0000EE"/>
                  <w:w w:val="79"/>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2017</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324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Fixed maturities, available-for-sale, at fair value (amortized cost of $852,029 and $713,859 as of June</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30, 2018 and December 31, 2017, respectively)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838,265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715,875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19,196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4,212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42,363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37,925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40,250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asset,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12,378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19,929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3,695</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1,016,479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894,848</w:t>
            </w:r>
          </w:p>
        </w:tc>
      </w:tr>
      <w:tr>
        <w:trPr>
          <w:trHeight w:val="311"/>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143,882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165,658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163,166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8,761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Reinsurance funds withheld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ceding commission</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5,024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386,837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385,771</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90"/>
              </w:rPr>
              <w:t>65,753,784 and 60,517,512 shares issued and outstanding as of June 30, 2018 and December 31, 2017,</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respectively (250,000,000 shares authorized)</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605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585,488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(2,859)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629,642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509,077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1,016,479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894,848</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Pr>
          <w:p>
            <w:pPr>
              <w:spacing w:after="0"/>
              <w:rPr>
                <w:sz w:val="16"/>
                <w:szCs w:val="16"/>
                <w:color w:val="auto"/>
              </w:rPr>
            </w:pPr>
          </w:p>
        </w:tc>
        <w:tc>
          <w:tcPr>
            <w:tcW w:w="27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8"/>
              </w:rPr>
              <w:t>For the six months ended June 30,</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i w:val="1"/>
                <w:iCs w:val="1"/>
                <w:color w:val="auto"/>
              </w:rPr>
              <w:t>(In Thousands, except for per share data)</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71,142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5,735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28,048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57,473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54,037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56,045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0" w:type="dxa"/>
            <w:vAlign w:val="bottom"/>
          </w:tcPr>
          <w:p>
            <w:pPr>
              <w:spacing w:after="0"/>
              <w:rPr>
                <w:sz w:val="1"/>
                <w:szCs w:val="1"/>
                <w:color w:val="auto"/>
              </w:rPr>
            </w:pPr>
          </w:p>
        </w:tc>
      </w:tr>
      <w:tr>
        <w:trPr>
          <w:trHeight w:val="277"/>
        </w:trPr>
        <w:tc>
          <w:tcPr>
            <w:tcW w:w="5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25,241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47,596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65,664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59,823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59,577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62,689</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Net unrealized gains (losses) in accumulated other comprehensive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income, net of tax expense (benefit) of ($2,879) and $1,388 for the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three months ended June 30, 2018 and 2017, respectively,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($3,304) and $2,073 for the six months ended June 30, 2018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8"/>
              </w:rPr>
              <w:t>Reclassification adjustment for realized (gains) included in net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80"/>
              <w:spacing w:after="0"/>
              <w:rPr>
                <w:sz w:val="20"/>
                <w:szCs w:val="20"/>
                <w:color w:val="auto"/>
              </w:rPr>
            </w:pPr>
            <w:r>
              <w:rPr>
                <w:rFonts w:ascii="Arial" w:cs="Arial" w:eastAsia="Arial" w:hAnsi="Arial"/>
                <w:sz w:val="18"/>
                <w:szCs w:val="18"/>
                <w:color w:val="auto"/>
                <w:w w:val="94"/>
              </w:rPr>
              <w:t>income, net of tax expenses of $12 and $66 for the three months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80"/>
              <w:spacing w:after="0"/>
              <w:rPr>
                <w:sz w:val="20"/>
                <w:szCs w:val="20"/>
                <w:color w:val="auto"/>
              </w:rPr>
            </w:pPr>
            <w:r>
              <w:rPr>
                <w:rFonts w:ascii="Arial" w:cs="Arial" w:eastAsia="Arial" w:hAnsi="Arial"/>
                <w:sz w:val="18"/>
                <w:szCs w:val="18"/>
                <w:color w:val="auto"/>
                <w:w w:val="92"/>
              </w:rPr>
              <w:t>ended June 30, 2018 and 2017, respectively, and $10 and $45 for</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the six months ended June 30, 2018 and 2017</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8,712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35,130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15,437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gridSpan w:val="6"/>
          </w:tcPr>
          <w:p>
            <w:pPr>
              <w:ind w:left="3480"/>
              <w:spacing w:after="0"/>
              <w:rPr>
                <w:sz w:val="20"/>
                <w:szCs w:val="20"/>
                <w:color w:val="auto"/>
              </w:rPr>
            </w:pPr>
            <w:r>
              <w:rPr>
                <w:rFonts w:ascii="Arial" w:cs="Arial" w:eastAsia="Arial" w:hAnsi="Arial"/>
                <w:sz w:val="18"/>
                <w:szCs w:val="18"/>
                <w:i w:val="1"/>
                <w:iCs w:val="1"/>
                <w:color w:val="auto"/>
                <w:w w:val="95"/>
              </w:rPr>
              <w:t>See accompanying notes to consolidated financial statements.</w:t>
            </w:r>
          </w:p>
        </w:tc>
        <w:tc>
          <w:tcPr>
            <w:tcW w:w="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380" w:type="dxa"/>
            <w:vAlign w:val="bottom"/>
            <w:gridSpan w:val="3"/>
          </w:tcPr>
          <w:p>
            <w:pPr>
              <w:jc w:val="right"/>
              <w:ind w:right="311"/>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ind w:right="233"/>
              <w:spacing w:after="0" w:line="126"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1200" w:type="dxa"/>
            <w:vAlign w:val="bottom"/>
            <w:vMerge w:val="restart"/>
          </w:tcPr>
          <w:p>
            <w:pPr>
              <w:jc w:val="center"/>
              <w:ind w:right="72"/>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4"/>
                <w:szCs w:val="4"/>
                <w:color w:val="auto"/>
              </w:rPr>
            </w:pPr>
          </w:p>
        </w:tc>
        <w:tc>
          <w:tcPr>
            <w:tcW w:w="1080" w:type="dxa"/>
            <w:vAlign w:val="bottom"/>
            <w:vMerge w:val="restart"/>
          </w:tcPr>
          <w:p>
            <w:pPr>
              <w:jc w:val="right"/>
              <w:ind w:right="132"/>
              <w:spacing w:after="0" w:line="126" w:lineRule="exact"/>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900" w:type="dxa"/>
            <w:vAlign w:val="bottom"/>
          </w:tcPr>
          <w:p>
            <w:pPr>
              <w:spacing w:after="0"/>
              <w:rPr>
                <w:sz w:val="4"/>
                <w:szCs w:val="4"/>
                <w:color w:val="auto"/>
              </w:rPr>
            </w:pPr>
          </w:p>
        </w:tc>
        <w:tc>
          <w:tcPr>
            <w:tcW w:w="12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4"/>
                <w:szCs w:val="4"/>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3"/>
          </w:tcPr>
          <w:p>
            <w:pPr>
              <w:jc w:val="right"/>
              <w:ind w:right="692"/>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576,927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475,509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4"/>
              </w:rPr>
              <w:t>Cumulative effect of change in accounting principle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Common stock: class A shares issued related to</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Common stock: class A shares issued under stock</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w w:val="99"/>
              </w:rPr>
              <w:t>plans, net of shares withheld for employee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1,341</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1"/>
              </w:rPr>
              <w:t>Change in unrealized investment gains/losses, net of</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tax expense of $1,307</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2,428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22,050</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 December 31, 2017</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585,488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(74,157)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509,077</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Cumulative effect of change in accounting principle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9"/>
              </w:rPr>
              <w:t>Common stock: class A shares issued related to</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public offering</w:t>
            </w:r>
          </w:p>
        </w:tc>
        <w:tc>
          <w:tcPr>
            <w:tcW w:w="1220" w:type="dxa"/>
            <w:vAlign w:val="bottom"/>
          </w:tcPr>
          <w:p>
            <w:pPr>
              <w:jc w:val="right"/>
              <w:spacing w:after="0"/>
              <w:rPr>
                <w:sz w:val="20"/>
                <w:szCs w:val="20"/>
                <w:color w:val="auto"/>
              </w:rPr>
            </w:pPr>
            <w:r>
              <w:rPr>
                <w:rFonts w:ascii="Arial" w:cs="Arial" w:eastAsia="Arial" w:hAnsi="Arial"/>
                <w:sz w:val="18"/>
                <w:szCs w:val="18"/>
                <w:color w:val="auto"/>
              </w:rPr>
              <w:t>4,255</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79,122</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79,165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Common stock: class A shares issued related to</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Common stock: class A shares issued under stock</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w w:val="99"/>
              </w:rPr>
              <w:t>plans, net of shares withheld for employee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1"/>
              </w:rPr>
              <w:t>Change in unrealized investment gains/losses, net of</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tax benefit of $3,314</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(12,466)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47,596</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47,596</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Balances, June 30, 2018</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65,754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670,870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(26,843)</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629,642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8"/>
        <w:spacing w:after="0" w:line="275" w:lineRule="auto"/>
        <w:tabs>
          <w:tab w:leader="none" w:pos="133"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year ended December 31, 2017 and the six months ended June 30, 2018, we issued 32,368 and 29,437 common shares, respectively, with a par value of $0.01 related to the exercise of warrants, which is not identifiable in this schedule due to rounding.</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For the six months ended June 30,</w:t>
            </w:r>
          </w:p>
        </w:tc>
      </w:tr>
      <w:tr>
        <w:trPr>
          <w:trHeight w:val="263"/>
        </w:trPr>
        <w:tc>
          <w:tcPr>
            <w:tcW w:w="77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2017</w:t>
            </w:r>
          </w:p>
        </w:tc>
      </w:tr>
      <w:tr>
        <w:trPr>
          <w:trHeight w:val="237"/>
        </w:trPr>
        <w:tc>
          <w:tcPr>
            <w:tcW w:w="778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400" w:type="dxa"/>
            <w:vAlign w:val="bottom"/>
          </w:tcPr>
          <w:p>
            <w:pPr>
              <w:spacing w:after="0"/>
              <w:rPr>
                <w:sz w:val="20"/>
                <w:szCs w:val="20"/>
                <w:color w:val="auto"/>
              </w:rPr>
            </w:pPr>
          </w:p>
        </w:tc>
        <w:tc>
          <w:tcPr>
            <w:tcW w:w="2020" w:type="dxa"/>
            <w:vAlign w:val="bottom"/>
            <w:gridSpan w:val="3"/>
          </w:tcPr>
          <w:p>
            <w:pPr>
              <w:jc w:val="right"/>
              <w:ind w:right="75"/>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0"/>
                <w:szCs w:val="20"/>
                <w:color w:val="auto"/>
              </w:rPr>
            </w:pPr>
          </w:p>
        </w:tc>
      </w:tr>
      <w:tr>
        <w:trPr>
          <w:trHeight w:val="25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47,596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11,504</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gains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(Gain) Loss from change in fair value of warrant liability</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177</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3,810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3,119</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810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772</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2,851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757</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5,822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4,219</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10,864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4,449</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(6,073)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(4,067)</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(577)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(445)</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(4,438)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(4,097)</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80" w:type="dxa"/>
            <w:vAlign w:val="bottom"/>
            <w:shd w:val="clear" w:color="auto" w:fill="CCEEFF"/>
          </w:tcPr>
          <w:p>
            <w:pPr>
              <w:ind w:left="380"/>
              <w:spacing w:after="0" w:line="270" w:lineRule="exact"/>
              <w:rPr>
                <w:sz w:val="20"/>
                <w:szCs w:val="20"/>
                <w:color w:val="auto"/>
              </w:rPr>
            </w:pPr>
            <w:r>
              <w:rPr>
                <w:rFonts w:ascii="Arial" w:cs="Arial" w:eastAsia="Arial" w:hAnsi="Arial"/>
                <w:sz w:val="17"/>
                <w:szCs w:val="17"/>
                <w:color w:val="auto"/>
              </w:rPr>
              <w:t xml:space="preserve">Other assets </w:t>
            </w:r>
            <w:r>
              <w:rPr>
                <w:rFonts w:ascii="Arial" w:cs="Arial" w:eastAsia="Arial" w:hAnsi="Arial"/>
                <w:sz w:val="28"/>
                <w:szCs w:val="28"/>
                <w:color w:val="auto"/>
                <w:vertAlign w:val="superscript"/>
              </w:rPr>
              <w:t>(1)</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2,492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4,246</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2,047</w:t>
            </w:r>
          </w:p>
        </w:tc>
      </w:tr>
      <w:tr>
        <w:trPr>
          <w:trHeight w:val="270"/>
        </w:trPr>
        <w:tc>
          <w:tcPr>
            <w:tcW w:w="7780" w:type="dxa"/>
            <w:vAlign w:val="bottom"/>
          </w:tcPr>
          <w:p>
            <w:pPr>
              <w:ind w:left="380"/>
              <w:spacing w:after="0" w:line="270" w:lineRule="exact"/>
              <w:rPr>
                <w:sz w:val="20"/>
                <w:szCs w:val="20"/>
                <w:color w:val="auto"/>
              </w:rPr>
            </w:pPr>
            <w:r>
              <w:rPr>
                <w:rFonts w:ascii="Arial" w:cs="Arial" w:eastAsia="Arial" w:hAnsi="Arial"/>
                <w:sz w:val="17"/>
                <w:szCs w:val="17"/>
                <w:color w:val="auto"/>
              </w:rPr>
              <w:t xml:space="preserve">Reinsurance balances, net </w:t>
            </w:r>
            <w:r>
              <w:rPr>
                <w:rFonts w:ascii="Arial" w:cs="Arial" w:eastAsia="Arial" w:hAnsi="Arial"/>
                <w:sz w:val="28"/>
                <w:szCs w:val="28"/>
                <w:color w:val="auto"/>
                <w:vertAlign w:val="superscript"/>
              </w:rPr>
              <w:t>(1)</w:t>
            </w:r>
          </w:p>
        </w:tc>
        <w:tc>
          <w:tcPr>
            <w:tcW w:w="40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365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(7,358)</w:t>
            </w:r>
          </w:p>
        </w:tc>
      </w:tr>
      <w:tr>
        <w:trPr>
          <w:trHeight w:val="219"/>
        </w:trPr>
        <w:tc>
          <w:tcPr>
            <w:tcW w:w="7780" w:type="dxa"/>
            <w:vAlign w:val="bottom"/>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61,353</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14,592</w:t>
            </w:r>
          </w:p>
        </w:tc>
      </w:tr>
      <w:tr>
        <w:trPr>
          <w:trHeight w:val="31"/>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Purchase of short-term investments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(83,874)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(78,564)</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(219,093)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(116,991)</w:t>
            </w:r>
          </w:p>
        </w:tc>
      </w:tr>
      <w:tr>
        <w:trPr>
          <w:trHeight w:val="243"/>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maturity of short-term investments</w:t>
            </w: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52,562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94,677</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111,485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65,587</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Additions to software and equipment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(3,273)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(4,863)</w:t>
            </w:r>
          </w:p>
        </w:tc>
      </w:tr>
      <w:tr>
        <w:trPr>
          <w:trHeight w:val="31"/>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(142,193)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(40,154)</w:t>
            </w:r>
          </w:p>
        </w:tc>
      </w:tr>
      <w:tr>
        <w:trPr>
          <w:trHeight w:val="233"/>
        </w:trPr>
        <w:tc>
          <w:tcPr>
            <w:tcW w:w="778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public offering</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79,165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6,173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2,614</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(6,480)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(3,643)</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senior note, net</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149,250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Repayments of term loan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(146,625)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Payments of debt modification costs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(3,385)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(370)</w:t>
            </w:r>
          </w:p>
        </w:tc>
      </w:tr>
      <w:tr>
        <w:trPr>
          <w:trHeight w:val="31"/>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78,098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(2,149)</w:t>
            </w:r>
          </w:p>
        </w:tc>
      </w:tr>
      <w:tr>
        <w:trPr>
          <w:trHeight w:val="183"/>
        </w:trPr>
        <w:tc>
          <w:tcPr>
            <w:tcW w:w="77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(27,711)</w:t>
            </w:r>
          </w:p>
        </w:tc>
      </w:tr>
      <w:tr>
        <w:trPr>
          <w:trHeight w:val="239"/>
        </w:trPr>
        <w:tc>
          <w:tcPr>
            <w:tcW w:w="7780" w:type="dxa"/>
            <w:vAlign w:val="bottom"/>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19,196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47,746</w:t>
            </w:r>
          </w:p>
        </w:tc>
      </w:tr>
      <w:tr>
        <w:trPr>
          <w:trHeight w:val="31"/>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16,454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20,035</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Interest paid</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6,425</w:t>
            </w:r>
          </w:p>
        </w:tc>
        <w:tc>
          <w:tcPr>
            <w:tcW w:w="120" w:type="dxa"/>
            <w:vAlign w:val="bottom"/>
          </w:tcPr>
          <w:p>
            <w:pPr>
              <w:spacing w:after="0"/>
              <w:rPr>
                <w:sz w:val="20"/>
                <w:szCs w:val="20"/>
                <w:color w:val="auto"/>
              </w:rPr>
            </w:pPr>
          </w:p>
        </w:tc>
        <w:tc>
          <w:tcPr>
            <w:tcW w:w="600" w:type="dxa"/>
            <w:vAlign w:val="bottom"/>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7,292</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9"/>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tax paid</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447</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585</w:t>
            </w:r>
          </w:p>
        </w:tc>
      </w:tr>
      <w:tr>
        <w:trPr>
          <w:trHeight w:val="31"/>
        </w:trPr>
        <w:tc>
          <w:tcPr>
            <w:tcW w:w="7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Ceded losses recoverable on the QSR Transactions were reclassified from "Other Assets" in prior periods to "Reinsurance balance, net".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2012, we completed a private placement of our securities, through which we offered and sold an aggregate of 55 million of our Class A common stock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 In March 2018, we completed the sale of an additional 4.3 million shares of common stock including a 15% option to purchase additional shares, which was exercised in full.</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2017, included in our 2017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our previously reported financial information have been made to conform to current period presentation. The results of operations for the interim period may not be indicative of the results that may be expected for the full year ending December 31, 2018.</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w:t>
      </w:r>
      <w:r>
        <w:rPr>
          <w:rFonts w:ascii="Arial" w:cs="Arial" w:eastAsia="Arial" w:hAnsi="Arial"/>
          <w:sz w:val="18"/>
          <w:szCs w:val="18"/>
          <w:color w:val="auto"/>
        </w:rPr>
        <w:t xml:space="preserve"> </w:t>
      </w:r>
      <w:r>
        <w:rPr>
          <w:rFonts w:ascii="Arial" w:cs="Arial" w:eastAsia="Arial" w:hAnsi="Arial"/>
          <w:sz w:val="18"/>
          <w:szCs w:val="18"/>
          <w:i w:val="1"/>
          <w:iCs w:val="1"/>
          <w:color w:val="auto"/>
        </w:rPr>
        <w:t>to Consolidated Financial Statements - Note 2 - Summary of Accounting Principles</w:t>
      </w:r>
      <w:r>
        <w:rPr>
          <w:rFonts w:ascii="Arial" w:cs="Arial" w:eastAsia="Arial" w:hAnsi="Arial"/>
          <w:sz w:val="18"/>
          <w:szCs w:val="18"/>
          <w:color w:val="auto"/>
        </w:rPr>
        <w:t>" of our 2017 Form 10-K, other than as noted in "</w:t>
      </w:r>
      <w:r>
        <w:rPr>
          <w:rFonts w:ascii="Arial" w:cs="Arial" w:eastAsia="Arial" w:hAnsi="Arial"/>
          <w:sz w:val="18"/>
          <w:szCs w:val="18"/>
          <w:i w:val="1"/>
          <w:iCs w:val="1"/>
          <w:color w:val="auto"/>
        </w:rPr>
        <w:t>Reinsurance</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xml:space="preserve">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account for premiums, claims and claim expenses that are ceded to reinsurers on a basis consistent with those we use to account for the original policies we issue and pursuant to the terms of our reinsurance contracts. We account for premiums ceded or otherwise paid to reinsurers as reductions to premium revenue.</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Effective January 1, 2018, NMIC entered into a second quota share reinsurance transaction (2018 QSR Transaction) which is similar in nature to the quota share reinsurance transaction we entered into in September 2016 (2016 QSR Transaction, together with 2018 QSR Transaction, the QSR Transactions) (see Note 5, "</w:t>
      </w:r>
      <w:r>
        <w:rPr>
          <w:rFonts w:ascii="Arial" w:cs="Arial" w:eastAsia="Arial" w:hAnsi="Arial"/>
          <w:sz w:val="16"/>
          <w:szCs w:val="16"/>
          <w:i w:val="1"/>
          <w:iCs w:val="1"/>
          <w:color w:val="auto"/>
        </w:rPr>
        <w:t>Reinsurance</w:t>
      </w:r>
      <w:r>
        <w:rPr>
          <w:rFonts w:ascii="Arial" w:cs="Arial" w:eastAsia="Arial" w:hAnsi="Arial"/>
          <w:sz w:val="16"/>
          <w:szCs w:val="16"/>
          <w:color w:val="auto"/>
        </w:rPr>
        <w:t>"). We earn profit and ceding commissions in connection with the QSR Transactions. Profit commissions represent a percentage of the profits recognized by reinsurers that are returned to us, based on the level of claims and claim expenses that we cede. We recognize any profit commissions we earn as increases to premium revenue. Ceding commissions are calculated as a percentage of ceded written premiums under the 2016 QSR Transaction and as a percentage of ceded earned premiums under the 2018 QSR Transaction, to cover our costs to acquire and service the direct policies. We earn the ceding commissions in a manner consistent with our recognition of earnings on the underlying insurance policies, over the terms of the policies reinsured. We account for ceding commissions earned as a reduction to underwriting and operating expenses.</w:t>
      </w:r>
    </w:p>
    <w:p>
      <w:pPr>
        <w:spacing w:after="0" w:line="1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QSR Transactions, we cede a portion of claims and claim expenses reserves to our reinsurers, which are accounted for as reinsurance recoverables in "Other Assets" on the consolidated balance sheets and as reductions to claim expense on the consolidated statements of operations. We remain directly liable for all loss payments in the event we are unable to collect from any reinsurer.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 Adopted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(Topic 606). This update is intended to provide a consistent approach in recognizing revenue. In December 2016, the FASB clarified that 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contracts that are within the scope of Topic 944, </w:t>
      </w:r>
      <w:r>
        <w:rPr>
          <w:rFonts w:ascii="Arial" w:cs="Arial" w:eastAsia="Arial" w:hAnsi="Arial"/>
          <w:sz w:val="17"/>
          <w:szCs w:val="17"/>
          <w:i w:val="1"/>
          <w:iCs w:val="1"/>
          <w:color w:val="auto"/>
        </w:rPr>
        <w:t>Financial Services-Insurance</w:t>
      </w:r>
      <w:r>
        <w:rPr>
          <w:rFonts w:ascii="Arial" w:cs="Arial" w:eastAsia="Arial" w:hAnsi="Arial"/>
          <w:sz w:val="17"/>
          <w:szCs w:val="17"/>
          <w:color w:val="auto"/>
        </w:rPr>
        <w:t>, are excluded from the scope of ASU 2014-09. Accordingly, this update did not impact the recognition of revenue related to insurance premiums or investment income, which represent a majority of our total revenues. The update impacted our loan review services revenue, which is the only revenue stream in scope of the update. We adopted this update on January 1, 2018 using the modified-retrospective approach and the impact was immaterial to our consolidated financial statements.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(Subtopic 825-10). This update requires entities to reduce the carrying amount of deferred tax assets, if necessary, by the amount of any tax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not expected to be realized. We adopted this update effective January 1, 2018. The impact was immaterial to our consolidated financial statements.</w:t>
      </w:r>
    </w:p>
    <w:p>
      <w:pPr>
        <w:spacing w:after="0" w:line="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Reclassification of</w:t>
      </w:r>
      <w:r>
        <w:rPr>
          <w:rFonts w:ascii="Arial" w:cs="Arial" w:eastAsia="Arial" w:hAnsi="Arial"/>
          <w:sz w:val="18"/>
          <w:szCs w:val="18"/>
          <w:color w:val="auto"/>
        </w:rPr>
        <w:t xml:space="preserve"> Ce</w:t>
      </w:r>
      <w:r>
        <w:rPr>
          <w:rFonts w:ascii="Arial" w:cs="Arial" w:eastAsia="Arial" w:hAnsi="Arial"/>
          <w:sz w:val="18"/>
          <w:szCs w:val="18"/>
          <w:i w:val="1"/>
          <w:iCs w:val="1"/>
          <w:color w:val="auto"/>
        </w:rPr>
        <w:t>rtain Tax Effects from Accumulated Other Comprehensive Income</w:t>
      </w:r>
      <w:r>
        <w:rPr>
          <w:rFonts w:ascii="Arial" w:cs="Arial" w:eastAsia="Arial" w:hAnsi="Arial"/>
          <w:sz w:val="18"/>
          <w:szCs w:val="18"/>
          <w:color w:val="auto"/>
        </w:rPr>
        <w:t xml:space="preserve"> (Topic 220). This update permits a company to reclassify the disproportionate income tax effects as a result of the 2017 Tax Cuts and Jobs Act (the TCJA) on items within accumulated other comprehensive income (AOCI) to retained earnings. This standard will take effect for public business entities for fiscal years, and interim periods within those fiscal years, beginning after December 15, 2018. Early adoption is permitted. We adopted this update on January 1, 2018 and adjusted the disproportionate income tax effects, or "stranded tax effects," resulting in a $0.3 million reduction to our beginning retained earnings as of January 1, 2018.</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 Not Yet Adopted</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For public business entities, this update is effective for annual periods beginning after December 15, 2018 and interim periods therein. Early adoption is permitted in any period. We expect to adopt this guidance on January 1, 2019. In September 2017, ASU 2017-13, added guidance from an SEC Staff Announcement, "Transition Related to Accounting Standards Update No. 2016-02." We anticipate this standard will have an impact on our financial position, primarily due to our office space operating lease, as we will be required to recognize lease assets and lease liabilities on our consolidated balance sheet. We will continue to assess the potential impacts of this standard, including the impact the adoption of this guidance will have on our results of operations or cash flows.</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This update requires companies to measure all expected credit losses for financial assets held at the reporting date. The standard also amends the accounting for credit losses on available-for-sale debt securities and purchased financial assets with credit deterioration. The standard will take effect for public business entities for fiscal years, and interim periods within those fiscal years, beginning after December 15, 2019. We are currently evaluating the impact the adoption of this ASU will have, if any, on our consolidated financial statements.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(Topic 480),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(Topic 815). This update is intended to simplify the accounting for certain equity-linked financial instruments. This standard will take effect for</w:t>
      </w:r>
      <w:r>
        <w:rPr>
          <w:rFonts w:ascii="Arial" w:cs="Arial" w:eastAsia="Arial" w:hAnsi="Arial"/>
          <w:sz w:val="18"/>
          <w:szCs w:val="18"/>
          <w:i w:val="1"/>
          <w:iCs w:val="1"/>
          <w:color w:val="auto"/>
        </w:rPr>
        <w:t xml:space="preserve"> </w:t>
      </w:r>
      <w:r>
        <w:rPr>
          <w:rFonts w:ascii="Arial" w:cs="Arial" w:eastAsia="Arial" w:hAnsi="Arial"/>
          <w:sz w:val="18"/>
          <w:szCs w:val="18"/>
          <w:color w:val="auto"/>
        </w:rPr>
        <w:t>public business entities for fiscal years, and interim periods within those fiscal years, beginning after December 15, 2018. Early adoption is permitted. The guidance must be applied using a full or modified retrospective approach. We are currently evaluating the impact the adoption of this ASU will have, if any,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income based upon specific identification of securities sold.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June 30, 2018</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48,288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93,607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92,351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508,217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498,026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148,103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147,784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798,215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784,399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53,814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53,866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852,029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838,265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65,669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89,973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435,562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100,153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691,357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693,315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Long-term investments - other</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3"/>
                <w:szCs w:val="23"/>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22,149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22,207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713,859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2018 and December 31, 2017, approximately $5.2 million and $7.0 million, respectively, of our cash and investments were held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available-for-sale securities as of June 30, 2018 and December 31, 2017,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2018</w:t>
            </w:r>
          </w:p>
        </w:tc>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72,205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72,166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313,545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309,079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314,376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305,507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148,103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147,784</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852,029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838,265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97,406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195,795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195,626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305,798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306,930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100,153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713,859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June 30, 2018, the investment portfolio had gross unrealized losses of $14.9 million, $4.7 million of which has been in an unrealized loss position for a period of 12 months or greater. We did not consider these securities to be other-than-temporarily impaired as of June 30, 2018. We based our conclusion that these investments were not other-than-temporarily impaired as of June 30, 2018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June 30, 2018</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52,276</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17,670</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69,946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363,399</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45,034</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408,433</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79,609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6,236</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85,845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524,737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608,334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38,628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17,945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56,573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128,313</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48,978</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177,291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27,947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12,438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40,385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center"/>
              <w:ind w:right="414"/>
              <w:spacing w:after="0"/>
              <w:rPr>
                <w:sz w:val="20"/>
                <w:szCs w:val="20"/>
                <w:color w:val="auto"/>
              </w:rPr>
            </w:pPr>
            <w:r>
              <w:rPr>
                <w:rFonts w:ascii="Arial" w:cs="Arial" w:eastAsia="Arial" w:hAnsi="Arial"/>
                <w:sz w:val="14"/>
                <w:szCs w:val="14"/>
                <w:b w:val="1"/>
                <w:bCs w:val="1"/>
                <w:color w:val="auto"/>
                <w:w w:val="91"/>
              </w:rPr>
              <w:t>For the six months ended June 30,</w:t>
            </w:r>
          </w:p>
        </w:tc>
      </w:tr>
      <w:tr>
        <w:trPr>
          <w:trHeight w:val="264"/>
        </w:trPr>
        <w:tc>
          <w:tcPr>
            <w:tcW w:w="4240" w:type="dxa"/>
            <w:vAlign w:val="bottom"/>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4,099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8,092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Investment expenses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5,735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3,908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10,309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7,715</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realized investment gains (losses):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264"/>
        </w:trPr>
        <w:tc>
          <w:tcPr>
            <w:tcW w:w="4580" w:type="dxa"/>
            <w:vAlign w:val="bottom"/>
          </w:tcPr>
          <w:p>
            <w:pPr>
              <w:spacing w:after="0"/>
              <w:rPr>
                <w:sz w:val="22"/>
                <w:szCs w:val="22"/>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4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w w:val="97"/>
              </w:rPr>
              <w:t>(In Thousands)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1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4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r>
      <w:tr>
        <w:trPr>
          <w:trHeight w:val="20"/>
        </w:trPr>
        <w:tc>
          <w:tcPr>
            <w:tcW w:w="4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2018, we held no other-than-temporarily impaired securities and during the three and six months ended June 30, 2018, there were no credit losses recognized in earnings for which a portion of an OTTI loss was recognized in accumulated other comprehensive income. During the three months ended June 30, 2017, there were no OTTI losses. During the six months ended June 30, 2017, there were OTTI losses of $144 thousand recognized in earnings.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Fair value measurements based on quoted prices in active markets that we have the ability to access for identical assets or liabilities.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June 30, 2018</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46,238</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92,351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92,351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498,026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498,026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147,784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147,784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 – other</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70,320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70,320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116,558</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738,161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854,719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6,391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89,848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437,835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100,944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 - other</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41,403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101,600</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633,471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735,071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252"/>
        <w:spacing w:after="0" w:line="277" w:lineRule="auto"/>
        <w:rPr>
          <w:sz w:val="20"/>
          <w:szCs w:val="20"/>
          <w:color w:val="auto"/>
        </w:rPr>
      </w:pPr>
      <w:r>
        <w:rPr>
          <w:rFonts w:ascii="Arial" w:cs="Arial" w:eastAsia="Arial" w:hAnsi="Arial"/>
          <w:sz w:val="18"/>
          <w:szCs w:val="18"/>
          <w:color w:val="auto"/>
        </w:rPr>
        <w:t>There were no transfers between Level 1 and Level 2, nor any transfers in or out of Level 3, of the fair value hierarchy during the six months ended June 30, 2018 and the year ended December 31,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For the six months ended June 30,</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Balance, June 30</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3,544</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As of June 30,</w:t>
            </w:r>
          </w:p>
        </w:tc>
        <w:tc>
          <w:tcPr>
            <w:tcW w:w="132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95"/>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22"/>
                <w:szCs w:val="22"/>
                <w:color w:val="auto"/>
              </w:rPr>
            </w:pPr>
          </w:p>
        </w:tc>
        <w:tc>
          <w:tcPr>
            <w:tcW w:w="1320" w:type="dxa"/>
            <w:vAlign w:val="bottom"/>
          </w:tcPr>
          <w:p>
            <w:pPr>
              <w:jc w:val="right"/>
              <w:ind w:right="753"/>
              <w:spacing w:after="0"/>
              <w:rPr>
                <w:sz w:val="20"/>
                <w:szCs w:val="20"/>
                <w:color w:val="auto"/>
              </w:rPr>
            </w:pPr>
            <w:r>
              <w:rPr>
                <w:rFonts w:ascii="Arial" w:cs="Arial" w:eastAsia="Arial" w:hAnsi="Arial"/>
                <w:sz w:val="14"/>
                <w:szCs w:val="14"/>
                <w:b w:val="1"/>
                <w:bCs w:val="1"/>
                <w:color w:val="auto"/>
              </w:rPr>
              <w:t>2017</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Price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16.30</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11.45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440" w:type="dxa"/>
            <w:vAlign w:val="bottom"/>
          </w:tcPr>
          <w:p>
            <w:pPr>
              <w:spacing w:after="0"/>
              <w:rPr>
                <w:sz w:val="21"/>
                <w:szCs w:val="21"/>
                <w:color w:val="auto"/>
              </w:rPr>
            </w:pPr>
          </w:p>
        </w:tc>
        <w:tc>
          <w:tcPr>
            <w:tcW w:w="1380" w:type="dxa"/>
            <w:vAlign w:val="bottom"/>
          </w:tcPr>
          <w:p>
            <w:pPr>
              <w:jc w:val="right"/>
              <w:ind w:right="155"/>
              <w:spacing w:after="0"/>
              <w:rPr>
                <w:sz w:val="20"/>
                <w:szCs w:val="20"/>
                <w:color w:val="auto"/>
              </w:rPr>
            </w:pPr>
            <w:r>
              <w:rPr>
                <w:rFonts w:ascii="Arial" w:cs="Arial" w:eastAsia="Arial" w:hAnsi="Arial"/>
                <w:sz w:val="18"/>
                <w:szCs w:val="18"/>
                <w:color w:val="auto"/>
              </w:rPr>
              <w:t>2.60%</w:t>
            </w:r>
          </w:p>
        </w:tc>
        <w:tc>
          <w:tcPr>
            <w:tcW w:w="62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1.68%</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2.49 years</w:t>
            </w: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3.75 years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32.7%</w:t>
            </w:r>
          </w:p>
        </w:tc>
        <w:tc>
          <w:tcPr>
            <w:tcW w:w="62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30.6%</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w:t>
            </w:r>
          </w:p>
        </w:tc>
      </w:tr>
      <w:tr>
        <w:trPr>
          <w:trHeight w:val="27"/>
        </w:trPr>
        <w:tc>
          <w:tcPr>
            <w:tcW w:w="7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changes in fair value of the warrant liability for the six months ended June 30, 2018 and 2017 are primarily attributable to changes in the price of our common stock during the respective periods, with additional impact related to changes in the Black-Scholes model inputs and exercises of outstanding warrants.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 Obligations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May 24, 2018, we entered into a credit agreement (2018 Credit Agreement), which provides for (i) a $150 million five-year senior secured term loan facility (2018 Term Loan) that matures on May 24, 2023; and (ii) a $85 million three-year secured revolving credit facility (2018 Revolving Credit Facility) that matures on May 24, 2021. Proceeds from the 2018 Term Loan were used to repay in full the outstanding amount due under our $150 million amended term loan due November 10, 2019 (the 2015 Term Loan) and to pay fees and expenses incurred in connection with the 2018 Credit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Term Loan</w:t>
      </w:r>
    </w:p>
    <w:p>
      <w:pPr>
        <w:spacing w:after="0" w:line="225" w:lineRule="exact"/>
        <w:rPr>
          <w:sz w:val="20"/>
          <w:szCs w:val="20"/>
          <w:color w:val="auto"/>
        </w:rPr>
      </w:pPr>
    </w:p>
    <w:p>
      <w:pPr>
        <w:ind w:right="400" w:firstLine="648"/>
        <w:spacing w:after="0" w:line="288" w:lineRule="auto"/>
        <w:rPr>
          <w:sz w:val="20"/>
          <w:szCs w:val="20"/>
          <w:color w:val="auto"/>
        </w:rPr>
      </w:pPr>
      <w:r>
        <w:rPr>
          <w:rFonts w:ascii="Arial" w:cs="Arial" w:eastAsia="Arial" w:hAnsi="Arial"/>
          <w:sz w:val="16"/>
          <w:szCs w:val="16"/>
          <w:color w:val="auto"/>
        </w:rPr>
        <w:t>The 2018 Term Loan bears interest at the Eurodollar Rate, as defined in the 2018 Credit Agreement and subject to a 1.00% floor, plus an annual margin rate of 4.75%, representing an all-in rate of 6.84% as of June 30, 2018, payable monthly based on our current interest period election. Quarterly principal payments of $375 thousand are also required starting on September 30, 2018. The 2018 Term Loan has a prepayment premium of 1% for</w:t>
      </w:r>
    </w:p>
    <w:p>
      <w:pPr>
        <w:ind w:right="180"/>
        <w:spacing w:after="0" w:line="261" w:lineRule="auto"/>
        <w:rPr>
          <w:sz w:val="20"/>
          <w:szCs w:val="20"/>
          <w:color w:val="auto"/>
        </w:rPr>
      </w:pPr>
      <w:r>
        <w:rPr>
          <w:rFonts w:ascii="Arial" w:cs="Arial" w:eastAsia="Arial" w:hAnsi="Arial"/>
          <w:sz w:val="18"/>
          <w:szCs w:val="18"/>
          <w:color w:val="auto"/>
        </w:rPr>
        <w:t>any refinancing prepayments made on or prior to the date that is six months after the date of the 2018 Credit Agreement, after which there is no prepayment penalty.</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Interest expense for the quarter ending June 30, 2018 includes amounts related to our interest payment, one-time financing costs and the amortization of issuance costs and original issue discounts. For the six months ended June 30, 2018, we recorded $9.0 million of interest expense, including $2.2 million of costs related to the extinguishment of the 2015 Term Loan and issuance of the 2018 Term Loan. Capitalized debt issuance costs totaling $1.8 million and original issue discounts totaling $986 thousand are being amortized to interest expense using the effective interest method over the contractual life of the 2018 Term Loan. As of June 30, 2018, the remaining unamortized issuance cost and original issue discounts totaled $2.7 million, and the outstanding balance of the Term Loan was $150 million.</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subject to certain covenants under the 2018 Term Loan (as defined in the 2018 Credit Agreement), including (but not limited to) a maximum debt-to-total capitalization ratio (as defined in the 2018 Credit Agreement) of 35% under the 2018 Term Loan. We were in compliance with all covenants as of June 30,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due under the 2018 Term Loan as of June 30, 2018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As of June 30, 2018</w:t>
            </w: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6"/>
                <w:szCs w:val="16"/>
                <w:color w:val="auto"/>
              </w:rPr>
            </w:pPr>
          </w:p>
        </w:tc>
      </w:tr>
      <w:tr>
        <w:trPr>
          <w:trHeight w:val="223"/>
        </w:trPr>
        <w:tc>
          <w:tcPr>
            <w:tcW w:w="9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gridSpan w:val="2"/>
          </w:tcPr>
          <w:p>
            <w:pPr>
              <w:jc w:val="center"/>
              <w:ind w:right="500"/>
              <w:spacing w:after="0"/>
              <w:rPr>
                <w:sz w:val="20"/>
                <w:szCs w:val="20"/>
                <w:color w:val="auto"/>
              </w:rPr>
            </w:pPr>
            <w:r>
              <w:rPr>
                <w:rFonts w:ascii="Arial" w:cs="Arial" w:eastAsia="Arial" w:hAnsi="Arial"/>
                <w:sz w:val="16"/>
                <w:szCs w:val="16"/>
                <w:i w:val="1"/>
                <w:iCs w:val="1"/>
                <w:color w:val="auto"/>
                <w:w w:val="91"/>
              </w:rPr>
              <w:t>(In thousands)</w:t>
            </w:r>
          </w:p>
        </w:tc>
      </w:tr>
      <w:tr>
        <w:trPr>
          <w:trHeight w:val="33"/>
        </w:trPr>
        <w:tc>
          <w:tcPr>
            <w:tcW w:w="9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143,250</w:t>
            </w:r>
          </w:p>
        </w:tc>
        <w:tc>
          <w:tcPr>
            <w:tcW w:w="100" w:type="dxa"/>
            <w:vAlign w:val="bottom"/>
          </w:tcPr>
          <w:p>
            <w:pPr>
              <w:spacing w:after="0"/>
              <w:rPr>
                <w:sz w:val="21"/>
                <w:szCs w:val="2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Revolving Credit Facility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Borrowings under the 2018 Revolving Credit Facility may be used for general corporate purposes and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As of June 30, 2018, no borrowings had been made under the 2018 Revolving Credit Facility.</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are required to pay a quarterly commitment fee on the average daily undrawn amount of the 2018 Revolving Credit Facility, which ranges from 0.30% to 0.60%, based on the applicable corporate credit rating at the time. As of June 30, 2018, the applicable commitment fee was 0.50%. We recorded $46 thousand of commitment fees in interest expense for the period from May 24, 2018 through June 30, 2018.</w:t>
      </w:r>
    </w:p>
    <w:p>
      <w:pPr>
        <w:spacing w:after="0" w:line="181"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We incurred issuance costs of $1.5 million in connection with the establishment of the 2018 Revolving Credit Facility, which were deferred and recorded within Other Assets. These costs will be amortized through interest expense over the three-year life of the 2018 Revolving Credit Facility on a straight line basis. As of June 30, 2018, the remaining issuance cost was $1.5 million, net of $42 thousand of accumulated amortization.</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subject to certain covenants under the 2018 Revolving Credit Facility, including (but not limited to) the following: a maximum debt-to-total capitalization ratio of 35%, a minimum liquidity requirement, compliance with the PMIERs financial requirements (subject to any GSE-approved waivers), and minimum consolidated net worth and statutory capital requirements (respectively, as defined therein). We were in compliance with all covenants as of June 30,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enter into third-party reinsurance transactions to actively manage our risk, ensure PMIERs compliance and support the growth of our business. The GSEs and the Wisconsin Office of the Commissioner of Insurance (Wisconsin OCI) have approved all such transactions (subject to certain conditions and ongoing review, including levels of approved capital credit).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30, 2018</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44"/>
        </w:trPr>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40" w:type="dxa"/>
            <w:vAlign w:val="bottom"/>
            <w:gridSpan w:val="4"/>
          </w:tcPr>
          <w:p>
            <w:pPr>
              <w:ind w:left="90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00" w:type="dxa"/>
            <w:vAlign w:val="bottom"/>
          </w:tcPr>
          <w:p>
            <w:pPr>
              <w:ind w:left="40"/>
              <w:spacing w:after="0"/>
              <w:rPr>
                <w:sz w:val="20"/>
                <w:szCs w:val="20"/>
                <w:color w:val="auto"/>
              </w:rPr>
            </w:pPr>
            <w:r>
              <w:rPr>
                <w:rFonts w:ascii="Arial" w:cs="Arial" w:eastAsia="Arial" w:hAnsi="Arial"/>
                <w:sz w:val="18"/>
                <w:szCs w:val="18"/>
                <w:color w:val="auto"/>
              </w:rPr>
              <w:t>Net premiums written</w:t>
            </w: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70,677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46,672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136,704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85,916</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(6,886)</w:t>
            </w: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(13,231)</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written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64,443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39,786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123,473</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74,389</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40"/>
              <w:spacing w:after="0"/>
              <w:rPr>
                <w:sz w:val="20"/>
                <w:szCs w:val="20"/>
                <w:color w:val="auto"/>
              </w:rPr>
            </w:pPr>
            <w:r>
              <w:rPr>
                <w:rFonts w:ascii="Arial" w:cs="Arial" w:eastAsia="Arial" w:hAnsi="Arial"/>
                <w:sz w:val="18"/>
                <w:szCs w:val="18"/>
                <w:color w:val="auto"/>
              </w:rPr>
              <w:t>Net premiums earned</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70,609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44,233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81,671</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w:t>
            </w: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(17,683)</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(10,529)</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61,615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37,917</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116,529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71,142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2017, NMIC entered into a reinsurance agreement with Oaktown Re Ltd. (Oaktown Re) that provides for up to $211.3 million of aggregate excess-of-loss reinsurance coverage at inception for new delinquencies on an existing portfolio of mortgage insurance policies written from 2013 through December 31, 2016. For the reinsurance coverage period, NMIC will retain the first layer of $126.8 million of aggregate losses and Oaktown Re will then provide second layer coverage up to the outstanding reinsurance coverage amount. NMIC will then retain losses in excess of the outstanding reinsurance coverage amount. The outstanding reinsurance coverage amount decreases from $211.3 million at inception over a ten-year period as the underlying covered mortgages amortize and/or are repaid and was $156.1 million as of June 30, 2018. The outstanding reinsurance coverage amount will stop amortizing if certain credit enhancement or delinquency thresholds are triggered.</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Oaktown Re financed the coverage by issuing mortgage insurance-linked notes in an aggregate amount of $211.3 million to unaffiliated investors (the 2017 Notes). The 2017 Notes mature on April 26, 2027. All of the proceeds paid to Oaktown Re from the sale of the 2017 Notes were deposited into a reinsurance trust to collateralize and fund the obligations of Oaktown Re to NMIC under the reinsurance agreement. Funds in the reinsurance trust account are required to be invested in high credit quality money market funds at all times. We refer collectively to NMIC's reinsurance agreement with Oaktown Re and the issuance of the 2017 Notes by Oaktown Re as the 2017 ILN Transaction. Under the terms of the 2017 ILN Transaction, NMIC makes risk premium payments for the applicable outstanding reinsurance coverage amount and pays Oaktown Re for anticipated operating expenses (capped at $300 thousand per year). For the three and six months ended June 30, 2018, NMIC ceded risk premiums of $1.6 million and $3.3 million, respectively. For the three and six months ended June 30, 2017, NMIC ceded risk premiums of $1.4 million. NMIC did not cede any losses to Oaktown Re.</w:t>
      </w:r>
    </w:p>
    <w:p>
      <w:pPr>
        <w:spacing w:after="0" w:line="1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reinsurance agreement, NMIC holds an optional termination right if certain events occur,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will result in mandatory termination of the agreement, including NMIC's failure to pay premiums or consent to reductions in the trust account to make principal payments to noteholders, among others.</w:t>
      </w:r>
    </w:p>
    <w:p>
      <w:pPr>
        <w:spacing w:after="0" w:line="1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the time the 2017 ILN Transaction was entered into with Oaktown Re, we evaluated the applicability of the accounting guidance that addresses variable interest entities (VIEs). As a result of the evaluation of the 2017 ILN Transaction, we concluded that Oaktown Re is a VIE. However, given that NMIC does not have significant economic exposure in Oaktown Re, we do not consolidate Oaktown Re in our consolidated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QSR Transaction</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Effective September 1, 2016, NMIC entered into the 2016 QSR Transaction with a panel of third-party reinsurers. Each of the third-party reinsurers has an insurer financial strength rating of A- or better by Standard and Poor’s Rating Services (S&amp;P), A.M. Best or both.</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QSR Transaction, NMIC ceded premiums written related to:</w:t>
      </w:r>
    </w:p>
    <w:p>
      <w:pPr>
        <w:spacing w:after="0" w:line="144" w:lineRule="exact"/>
        <w:rPr>
          <w:sz w:val="20"/>
          <w:szCs w:val="20"/>
          <w:color w:val="auto"/>
        </w:rPr>
      </w:pPr>
    </w:p>
    <w:p>
      <w:pPr>
        <w:ind w:left="720" w:hanging="388"/>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18"/>
          <w:szCs w:val="18"/>
          <w:color w:val="auto"/>
        </w:rPr>
        <w:t>25% of existing risk written on eligible policies as of August 31, 2016;</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existing risk under our pool agreement with Fannie Mae;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 of risk on eligible policies written from September 1, 2016 through December 31, 2017.</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2016 QSR Transaction is scheduled to terminate on December 31, 2027, except with respect to the ceded pool risk, which is scheduled to terminate on August 31, 2023. However, NMIC has the option, based on certain conditions and subject to a termination fee, to terminate the agreement as of December 31, 2020, or at the end of any calendar quarter thereafter, which would result in NMIC reassuming the related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QSR Transaction</w:t>
      </w:r>
    </w:p>
    <w:p>
      <w:pPr>
        <w:spacing w:after="0" w:line="11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Effective January 1, 2018, NMIC entered into the 2018 QSR Transaction with a panel of third-party reinsurers. Each of the third-party reinsurers has an insurer financial strength rating of A- or better by S&amp;P, A.M. Best or both. Under the 2018 QSR Transaction, NMIC cedes premiums earned related to 25% of risk on eligible policies written in 2018 and 20% to 30% (such amount to be determined by NMIC at its sole election by December 1, 2018) in 2019.</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2018 QSR Transaction is scheduled to terminate on December 31, 2029. However, NMIC has the option, based on certain conditions and subject to a termination fee, to terminate the agreement as of December 31, 2022, or at the end of any calendar quarter thereafter, which would result in NMIC reassuming the related risk.</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amounts related to the QSR Transactions: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20" w:type="dxa"/>
            <w:vAlign w:val="bottom"/>
            <w:tcBorders>
              <w:bottom w:val="single" w:sz="8" w:color="auto"/>
            </w:tcBorders>
            <w:gridSpan w:val="2"/>
          </w:tcPr>
          <w:p>
            <w:pPr>
              <w:jc w:val="right"/>
              <w:ind w:right="1214"/>
              <w:spacing w:after="0"/>
              <w:rPr>
                <w:sz w:val="20"/>
                <w:szCs w:val="20"/>
                <w:color w:val="auto"/>
              </w:rPr>
            </w:pPr>
            <w:r>
              <w:rPr>
                <w:rFonts w:ascii="Arial" w:cs="Arial" w:eastAsia="Arial" w:hAnsi="Arial"/>
                <w:sz w:val="14"/>
                <w:szCs w:val="14"/>
                <w:b w:val="1"/>
                <w:bCs w:val="1"/>
                <w:color w:val="auto"/>
              </w:rPr>
              <w:t>For the three months ended</w:t>
            </w:r>
          </w:p>
        </w:tc>
        <w:tc>
          <w:tcPr>
            <w:tcW w:w="2900" w:type="dxa"/>
            <w:vAlign w:val="bottom"/>
            <w:tcBorders>
              <w:bottom w:val="single" w:sz="8" w:color="auto"/>
            </w:tcBorders>
            <w:gridSpan w:val="2"/>
          </w:tcPr>
          <w:p>
            <w:pPr>
              <w:jc w:val="right"/>
              <w:ind w:right="752"/>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4700" w:type="dxa"/>
            <w:vAlign w:val="bottom"/>
          </w:tcPr>
          <w:p>
            <w:pPr>
              <w:spacing w:after="0"/>
              <w:rPr>
                <w:sz w:val="22"/>
                <w:szCs w:val="22"/>
                <w:color w:val="auto"/>
              </w:rPr>
            </w:pPr>
          </w:p>
        </w:tc>
        <w:tc>
          <w:tcPr>
            <w:tcW w:w="18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June 30, 2018</w:t>
            </w:r>
          </w:p>
        </w:tc>
        <w:tc>
          <w:tcPr>
            <w:tcW w:w="20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June 30, 2017</w:t>
            </w: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0"/>
              </w:rPr>
              <w:t>June 30, 2018</w:t>
            </w: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4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risk-in-force</w:t>
            </w:r>
          </w:p>
        </w:tc>
        <w:tc>
          <w:tcPr>
            <w:tcW w:w="18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3,606,928</w:t>
            </w:r>
          </w:p>
        </w:tc>
        <w:tc>
          <w:tcPr>
            <w:tcW w:w="200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rPr>
              <w:t>2,403,027</w:t>
            </w:r>
          </w:p>
        </w:tc>
        <w:tc>
          <w:tcPr>
            <w:tcW w:w="142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3,606,928</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2,403,027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Ceded premiums written</w:t>
            </w:r>
          </w:p>
        </w:tc>
        <w:tc>
          <w:tcPr>
            <w:tcW w:w="1820" w:type="dxa"/>
            <w:vAlign w:val="bottom"/>
          </w:tcPr>
          <w:p>
            <w:pPr>
              <w:jc w:val="right"/>
              <w:ind w:right="194"/>
              <w:spacing w:after="0"/>
              <w:rPr>
                <w:sz w:val="20"/>
                <w:szCs w:val="20"/>
                <w:color w:val="auto"/>
              </w:rPr>
            </w:pPr>
            <w:r>
              <w:rPr>
                <w:rFonts w:ascii="Arial" w:cs="Arial" w:eastAsia="Arial" w:hAnsi="Arial"/>
                <w:sz w:val="18"/>
                <w:szCs w:val="18"/>
                <w:color w:val="auto"/>
              </w:rPr>
              <w:t>(15,318)</w:t>
            </w:r>
          </w:p>
        </w:tc>
        <w:tc>
          <w:tcPr>
            <w:tcW w:w="2000" w:type="dxa"/>
            <w:vAlign w:val="bottom"/>
          </w:tcPr>
          <w:p>
            <w:pPr>
              <w:jc w:val="right"/>
              <w:ind w:right="474"/>
              <w:spacing w:after="0"/>
              <w:rPr>
                <w:sz w:val="20"/>
                <w:szCs w:val="20"/>
                <w:color w:val="auto"/>
              </w:rPr>
            </w:pPr>
            <w:r>
              <w:rPr>
                <w:rFonts w:ascii="Arial" w:cs="Arial" w:eastAsia="Arial" w:hAnsi="Arial"/>
                <w:sz w:val="18"/>
                <w:szCs w:val="18"/>
                <w:color w:val="auto"/>
              </w:rPr>
              <w:t>(12,034)</w:t>
            </w:r>
          </w:p>
        </w:tc>
        <w:tc>
          <w:tcPr>
            <w:tcW w:w="1420" w:type="dxa"/>
            <w:vAlign w:val="bottom"/>
          </w:tcPr>
          <w:p>
            <w:pPr>
              <w:jc w:val="right"/>
              <w:ind w:right="174"/>
              <w:spacing w:after="0"/>
              <w:rPr>
                <w:sz w:val="20"/>
                <w:szCs w:val="20"/>
                <w:color w:val="auto"/>
              </w:rPr>
            </w:pPr>
            <w:r>
              <w:rPr>
                <w:rFonts w:ascii="Arial" w:cs="Arial" w:eastAsia="Arial" w:hAnsi="Arial"/>
                <w:sz w:val="18"/>
                <w:szCs w:val="18"/>
                <w:color w:val="auto"/>
              </w:rPr>
              <w:t>(29,843)</w:t>
            </w:r>
          </w:p>
        </w:tc>
        <w:tc>
          <w:tcPr>
            <w:tcW w:w="1480" w:type="dxa"/>
            <w:vAlign w:val="bottom"/>
          </w:tcPr>
          <w:p>
            <w:pPr>
              <w:jc w:val="right"/>
              <w:spacing w:after="0"/>
              <w:rPr>
                <w:sz w:val="20"/>
                <w:szCs w:val="20"/>
                <w:color w:val="auto"/>
              </w:rPr>
            </w:pPr>
            <w:r>
              <w:rPr>
                <w:rFonts w:ascii="Arial" w:cs="Arial" w:eastAsia="Arial" w:hAnsi="Arial"/>
                <w:sz w:val="18"/>
                <w:szCs w:val="18"/>
                <w:color w:val="auto"/>
              </w:rPr>
              <w:t>(22,326)</w:t>
            </w:r>
          </w:p>
        </w:tc>
      </w:tr>
      <w:tr>
        <w:trPr>
          <w:trHeight w:val="27"/>
        </w:trPr>
        <w:tc>
          <w:tcPr>
            <w:tcW w:w="4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premiums earned</w:t>
            </w:r>
          </w:p>
        </w:tc>
        <w:tc>
          <w:tcPr>
            <w:tcW w:w="182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(18,077)</w:t>
            </w:r>
          </w:p>
        </w:tc>
        <w:tc>
          <w:tcPr>
            <w:tcW w:w="2000" w:type="dxa"/>
            <w:vAlign w:val="bottom"/>
            <w:tcBorders>
              <w:bottom w:val="single" w:sz="8" w:color="CCEEFF"/>
            </w:tcBorders>
            <w:shd w:val="clear" w:color="auto" w:fill="CCEEFF"/>
          </w:tcPr>
          <w:p>
            <w:pPr>
              <w:jc w:val="right"/>
              <w:ind w:right="474"/>
              <w:spacing w:after="0"/>
              <w:rPr>
                <w:sz w:val="20"/>
                <w:szCs w:val="20"/>
                <w:color w:val="auto"/>
              </w:rPr>
            </w:pPr>
            <w:r>
              <w:rPr>
                <w:rFonts w:ascii="Arial" w:cs="Arial" w:eastAsia="Arial" w:hAnsi="Arial"/>
                <w:sz w:val="18"/>
                <w:szCs w:val="18"/>
                <w:color w:val="auto"/>
              </w:rPr>
              <w:t>(11,463)</w:t>
            </w:r>
          </w:p>
        </w:tc>
        <w:tc>
          <w:tcPr>
            <w:tcW w:w="14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(34,295)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Ceded claims and claims expenses</w:t>
            </w:r>
          </w:p>
        </w:tc>
        <w:tc>
          <w:tcPr>
            <w:tcW w:w="1820" w:type="dxa"/>
            <w:vAlign w:val="bottom"/>
          </w:tcPr>
          <w:p>
            <w:pPr>
              <w:jc w:val="right"/>
              <w:ind w:right="254"/>
              <w:spacing w:after="0"/>
              <w:rPr>
                <w:sz w:val="20"/>
                <w:szCs w:val="20"/>
                <w:color w:val="auto"/>
              </w:rPr>
            </w:pPr>
            <w:r>
              <w:rPr>
                <w:rFonts w:ascii="Arial" w:cs="Arial" w:eastAsia="Arial" w:hAnsi="Arial"/>
                <w:sz w:val="18"/>
                <w:szCs w:val="18"/>
                <w:color w:val="auto"/>
              </w:rPr>
              <w:t>173</w:t>
            </w:r>
          </w:p>
        </w:tc>
        <w:tc>
          <w:tcPr>
            <w:tcW w:w="2000" w:type="dxa"/>
            <w:vAlign w:val="bottom"/>
          </w:tcPr>
          <w:p>
            <w:pPr>
              <w:jc w:val="right"/>
              <w:ind w:right="534"/>
              <w:spacing w:after="0"/>
              <w:rPr>
                <w:sz w:val="20"/>
                <w:szCs w:val="20"/>
                <w:color w:val="auto"/>
              </w:rPr>
            </w:pPr>
            <w:r>
              <w:rPr>
                <w:rFonts w:ascii="Arial" w:cs="Arial" w:eastAsia="Arial" w:hAnsi="Arial"/>
                <w:sz w:val="18"/>
                <w:szCs w:val="18"/>
                <w:color w:val="auto"/>
              </w:rPr>
              <w:t>342</w:t>
            </w:r>
          </w:p>
        </w:tc>
        <w:tc>
          <w:tcPr>
            <w:tcW w:w="1420" w:type="dxa"/>
            <w:vAlign w:val="bottom"/>
          </w:tcPr>
          <w:p>
            <w:pPr>
              <w:jc w:val="right"/>
              <w:ind w:right="234"/>
              <w:spacing w:after="0"/>
              <w:rPr>
                <w:sz w:val="20"/>
                <w:szCs w:val="20"/>
                <w:color w:val="auto"/>
              </w:rPr>
            </w:pPr>
            <w:r>
              <w:rPr>
                <w:rFonts w:ascii="Arial" w:cs="Arial" w:eastAsia="Arial" w:hAnsi="Arial"/>
                <w:sz w:val="18"/>
                <w:szCs w:val="18"/>
                <w:color w:val="auto"/>
              </w:rPr>
              <w:t>716</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610</w:t>
            </w:r>
          </w:p>
        </w:tc>
      </w:tr>
      <w:tr>
        <w:trPr>
          <w:trHeight w:val="27"/>
        </w:trPr>
        <w:tc>
          <w:tcPr>
            <w:tcW w:w="4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Ceding commission written</w:t>
            </w:r>
          </w:p>
        </w:tc>
        <w:tc>
          <w:tcPr>
            <w:tcW w:w="18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3,064</w:t>
            </w:r>
          </w:p>
        </w:tc>
        <w:tc>
          <w:tcPr>
            <w:tcW w:w="200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rPr>
              <w:t>2,407</w:t>
            </w:r>
          </w:p>
        </w:tc>
        <w:tc>
          <w:tcPr>
            <w:tcW w:w="142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5,969</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Ceding commission earned</w:t>
            </w:r>
          </w:p>
        </w:tc>
        <w:tc>
          <w:tcPr>
            <w:tcW w:w="1820" w:type="dxa"/>
            <w:vAlign w:val="bottom"/>
          </w:tcPr>
          <w:p>
            <w:pPr>
              <w:jc w:val="right"/>
              <w:ind w:right="254"/>
              <w:spacing w:after="0"/>
              <w:rPr>
                <w:sz w:val="20"/>
                <w:szCs w:val="20"/>
                <w:color w:val="auto"/>
              </w:rPr>
            </w:pPr>
            <w:r>
              <w:rPr>
                <w:rFonts w:ascii="Arial" w:cs="Arial" w:eastAsia="Arial" w:hAnsi="Arial"/>
                <w:sz w:val="18"/>
                <w:szCs w:val="18"/>
                <w:color w:val="auto"/>
              </w:rPr>
              <w:t>3,536</w:t>
            </w:r>
          </w:p>
        </w:tc>
        <w:tc>
          <w:tcPr>
            <w:tcW w:w="2000" w:type="dxa"/>
            <w:vAlign w:val="bottom"/>
          </w:tcPr>
          <w:p>
            <w:pPr>
              <w:jc w:val="right"/>
              <w:ind w:right="534"/>
              <w:spacing w:after="0"/>
              <w:rPr>
                <w:sz w:val="20"/>
                <w:szCs w:val="20"/>
                <w:color w:val="auto"/>
              </w:rPr>
            </w:pPr>
            <w:r>
              <w:rPr>
                <w:rFonts w:ascii="Arial" w:cs="Arial" w:eastAsia="Arial" w:hAnsi="Arial"/>
                <w:sz w:val="18"/>
                <w:szCs w:val="18"/>
                <w:color w:val="auto"/>
              </w:rPr>
              <w:t>2,275</w:t>
            </w:r>
          </w:p>
        </w:tc>
        <w:tc>
          <w:tcPr>
            <w:tcW w:w="1420" w:type="dxa"/>
            <w:vAlign w:val="bottom"/>
          </w:tcPr>
          <w:p>
            <w:pPr>
              <w:jc w:val="right"/>
              <w:ind w:right="234"/>
              <w:spacing w:after="0"/>
              <w:rPr>
                <w:sz w:val="20"/>
                <w:szCs w:val="20"/>
                <w:color w:val="auto"/>
              </w:rPr>
            </w:pPr>
            <w:r>
              <w:rPr>
                <w:rFonts w:ascii="Arial" w:cs="Arial" w:eastAsia="Arial" w:hAnsi="Arial"/>
                <w:sz w:val="18"/>
                <w:szCs w:val="18"/>
                <w:color w:val="auto"/>
              </w:rPr>
              <w:t>6,687</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4,340</w:t>
            </w:r>
          </w:p>
        </w:tc>
      </w:tr>
      <w:tr>
        <w:trPr>
          <w:trHeight w:val="27"/>
        </w:trPr>
        <w:tc>
          <w:tcPr>
            <w:tcW w:w="4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commission</w:t>
            </w:r>
          </w:p>
        </w:tc>
        <w:tc>
          <w:tcPr>
            <w:tcW w:w="18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10,707</w:t>
            </w:r>
          </w:p>
        </w:tc>
        <w:tc>
          <w:tcPr>
            <w:tcW w:w="200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6,536</w:t>
            </w:r>
          </w:p>
        </w:tc>
        <w:tc>
          <w:tcPr>
            <w:tcW w:w="14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19,908</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12,187</w:t>
            </w:r>
          </w:p>
        </w:tc>
      </w:tr>
      <w:tr>
        <w:trPr>
          <w:trHeight w:val="27"/>
        </w:trPr>
        <w:tc>
          <w:tcPr>
            <w:tcW w:w="47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premiums are ceded on an earned basis as defined in the agreement. NMIC receives a 20% ceding commission for premiums ceded under the QSR Transactions. NMIC also receives a profit commission, provided that the loss ratio on the loans covered under the 2016 QSR Transaction and 2018 QSR Transaction generally remains below 60% and 61%, respectively, as measured annually. Ceded claims and claim expenses under the QSR Transactions reduce NMIC's profit commission on a dollar-for-dollar basis.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our 2016 QSR Transaction was $2.4 million as of June 30, 2018.</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2018 QSR Transaction, cash payments for ceded premiums earned are settled on a quarterly basis, offset by amounts due to NMIC for ceding and profit commissions. Any loss recoveries and any potential profit commission to NMIC are also settled quarterly. NMIC's reinsurance recoverable balance is supported by trust accounts established and maintained by each reinsurer in accordance with the PMIERs funding requirements for risk ceded to non-affiliates. The reinsurance recoverable on loss reserves related to our 2018 QSR Transaction was $8 thousand as of June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establish reserves to recognize the estimated liability for insurance claims and claim expenses related to defaults on insured mortgage loans. Consistent with industry practice, we establish reserves for loans that have been reported to us by servicers as having been in default for at least 60 days, referred to as case reserves, and additional loans that we estimate (based on actuarial review) have been in default for at least 60 days that have not yet been reported to us by servicers, referred to as incurred but not reported (IBNR) reserves. We also establish claims expense reserves, which represent the estimated cost of the claim administration process, including legal and other fees, as well as other general expenses of administering the claims settlement process. As of June 30, 2018, we had reserves for insurance claims and claims expenses of $10.6 million for 768 primary loans in default. During the first six months of 2018, we paid 35 claims totaling $1.1 million, including 26 claims covered under the QSR Transactions representing $237 thousand of ceded claims and claims expenses.</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June 30, 2018, 54 loans in the pool were past due by 60 days or more. These 54 loans represent approximately $3.2 million of risk-in-force (RIF). Due to the size of the remaining deductible, the low level of notices of default (NODs) reported on loans in the pool through June 30, 2018 and the expected severity (all loans in the pool have loan-to-value ratios (LTV) ratios under 80%), we did not have any case or IBNR reserves for pool risks at June 30, 2018. In connection with the settlement of pool claims, we applied $574 thousand to the pool deductible through June 30, 2018. At June 30, 2018, the remaining pool deductible was $9.8 million. We have not paid any pool claims to date. 100% of our pool RIF is reinsured under the 2016 QSR Transaction.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For the six months ended June 30,</w:t>
            </w:r>
          </w:p>
        </w:tc>
        <w:tc>
          <w:tcPr>
            <w:tcW w:w="60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60" w:type="dxa"/>
            <w:vAlign w:val="bottom"/>
            <w:gridSpan w:val="3"/>
          </w:tcPr>
          <w:p>
            <w:pPr>
              <w:jc w:val="right"/>
              <w:ind w:right="636"/>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2,704</w:t>
            </w:r>
          </w:p>
        </w:tc>
      </w:tr>
      <w:tr>
        <w:trPr>
          <w:trHeight w:val="318"/>
        </w:trPr>
        <w:tc>
          <w:tcPr>
            <w:tcW w:w="79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2,331</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r>
      <w:tr>
        <w:trPr>
          <w:trHeight w:val="318"/>
        </w:trPr>
        <w:tc>
          <w:tcPr>
            <w:tcW w:w="79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318"/>
        </w:trPr>
        <w:tc>
          <w:tcPr>
            <w:tcW w:w="79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4,149</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899</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10,601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5,048</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80" w:firstLine="8"/>
        <w:spacing w:after="0" w:line="244" w:lineRule="auto"/>
        <w:tabs>
          <w:tab w:leader="none" w:pos="187"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 xml:space="preserve">Related to ceded losses recoverable on the QSR Transactions, included in "Other Assets" on the Condensed Consolidated Balance Sheets. See Note 5, </w:t>
      </w:r>
      <w:r>
        <w:rPr>
          <w:rFonts w:ascii="Arial" w:cs="Arial" w:eastAsia="Arial" w:hAnsi="Arial"/>
          <w:sz w:val="14"/>
          <w:szCs w:val="14"/>
          <w:i w:val="1"/>
          <w:iCs w:val="1"/>
          <w:color w:val="auto"/>
        </w:rPr>
        <w:t>"Reinsurance"</w:t>
      </w:r>
      <w:r>
        <w:rPr>
          <w:rFonts w:ascii="Arial" w:cs="Arial" w:eastAsia="Arial" w:hAnsi="Arial"/>
          <w:sz w:val="14"/>
          <w:szCs w:val="14"/>
          <w:color w:val="auto"/>
        </w:rPr>
        <w:t xml:space="preserve"> for additional information.</w:t>
      </w:r>
    </w:p>
    <w:p>
      <w:pPr>
        <w:spacing w:after="0" w:line="11" w:lineRule="exact"/>
        <w:rPr>
          <w:rFonts w:ascii="Arial" w:cs="Arial" w:eastAsia="Arial" w:hAnsi="Arial"/>
          <w:sz w:val="22"/>
          <w:szCs w:val="22"/>
          <w:color w:val="auto"/>
          <w:vertAlign w:val="superscript"/>
        </w:rPr>
      </w:pPr>
    </w:p>
    <w:p>
      <w:pPr>
        <w:ind w:firstLine="8"/>
        <w:spacing w:after="0" w:line="244" w:lineRule="auto"/>
        <w:tabs>
          <w:tab w:leader="none" w:pos="187"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w:t>
      </w:r>
    </w:p>
    <w:p>
      <w:pPr>
        <w:spacing w:after="0" w:line="1" w:lineRule="exact"/>
        <w:rPr>
          <w:rFonts w:ascii="Arial" w:cs="Arial" w:eastAsia="Arial" w:hAnsi="Arial"/>
          <w:sz w:val="22"/>
          <w:szCs w:val="22"/>
          <w:color w:val="auto"/>
          <w:vertAlign w:val="superscript"/>
        </w:rPr>
      </w:pPr>
    </w:p>
    <w:p>
      <w:pPr>
        <w:ind w:left="200" w:hanging="192"/>
        <w:spacing w:after="0" w:line="196"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defaults occurring in prior years, which have been continuously in default since that time.</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"claims incurred" section of the table above shows claims and claim expenses incurred on NODs for current and prior years, including IBNR reserves. The amount of claims incurred relating to current year NODs represents the estimated amount of claims and claims expenses to be ultimately paid on such loans in default. We recognized $940 thousand and $323 thousand of favorable prior year development during the six months ended June 30, 2018 and 2017, respectively, due to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$5.9 million related to prior year defaults remained as of June 30,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Basic earnings per share is based on the weighted average number of shares of common stock outstanding, while diluted earnings per share is based on the weighted average number of shares of common stock outstanding and common stock equivalents that would be issuable upon the vesting of service based RSUs, and exercise of vested and unvested stock options and outstanding warrants. The following table reconciles the net income and the weighted average shares of common stock outstanding used in the computations of basic and diluted earnings per share of common stock: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 June 30,</w:t>
            </w:r>
          </w:p>
        </w:tc>
        <w:tc>
          <w:tcPr>
            <w:tcW w:w="260" w:type="dxa"/>
            <w:vAlign w:val="bottom"/>
          </w:tcPr>
          <w:p>
            <w:pPr>
              <w:spacing w:after="0"/>
              <w:rPr>
                <w:sz w:val="16"/>
                <w:szCs w:val="16"/>
                <w:color w:val="auto"/>
              </w:rPr>
            </w:pPr>
          </w:p>
        </w:tc>
        <w:tc>
          <w:tcPr>
            <w:tcW w:w="25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264"/>
        </w:trPr>
        <w:tc>
          <w:tcPr>
            <w:tcW w:w="56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gridSpan w:val="5"/>
          </w:tcPr>
          <w:p>
            <w:pPr>
              <w:ind w:left="60"/>
              <w:spacing w:after="0"/>
              <w:rPr>
                <w:sz w:val="20"/>
                <w:szCs w:val="20"/>
                <w:color w:val="auto"/>
              </w:rPr>
            </w:pPr>
            <w:r>
              <w:rPr>
                <w:rFonts w:ascii="Arial" w:cs="Arial" w:eastAsia="Arial" w:hAnsi="Arial"/>
                <w:sz w:val="14"/>
                <w:szCs w:val="14"/>
                <w:i w:val="1"/>
                <w:iCs w:val="1"/>
                <w:color w:val="auto"/>
              </w:rPr>
              <w:t>(In Thousands, except for per share data)</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65,664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59,823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63,891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59,577</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Warrant gain, net of tax</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11,504</w:t>
            </w:r>
          </w:p>
        </w:tc>
      </w:tr>
      <w:tr>
        <w:trPr>
          <w:trHeight w:val="297"/>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59,577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effect of issuable shares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3,112</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62,689</w:t>
            </w:r>
          </w:p>
        </w:tc>
      </w:tr>
      <w:tr>
        <w:trPr>
          <w:trHeight w:val="297"/>
        </w:trPr>
        <w:tc>
          <w:tcPr>
            <w:tcW w:w="56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5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Anti-dilutive shares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r>
      <w:tr>
        <w:trPr>
          <w:trHeight w:val="27"/>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issued 992 thousand warrants in connection with the Private Placement. Each warrant gives the holder thereof the right to purchase one share of common stock at an exercise price equal to $10.00. The warrants were issued with an aggregate fair value of $5.1 million.</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six months ended June 30, 2018, 63 thousand warrants were exercised resulting in 29 thousand common shares issued. No warrants were exercised during the six months ended June 30, 2017. Upon exercise, we reclassified the fair value of the warrants from warrant liability to additional paid-in capital and recognized a loss of approximately $42 thousand.</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U.S. taxpayer and are subject to a statutory U.S. federal corporate income tax rate of 21% for the current and all future years following the enactment of the TCJA on December 22, 2017. We were subject to a statutory U.S. federal corporate income tax rate of 35% for all prior years through December 31, 2017. NMIH files a consolidated U.S. federal and various state income tax returns on behalf of itself and its subsidiaries. Our provision for income taxes for interim reporting periods is established based on our estimated annual effective tax rates for a given year. Our effective tax rate on our pre-tax income was 21.9% and 19.2% for the three and six months ended June 30, 2018, respectively, compared to 36.7% and 29.1% for the three and six months ended June 30, 2017, respectively. The decrease in the effective tax rates for the three and six months ended June 30, 2018 compared to the three and six months ended June 30, 2017 is attributable to the decrease in the statutory U.S. federal corporate income tax rate. We currently pay no federal income tax primarily due to the forecasted utilization of our federal net operating loss carryforwards, which were $93.3 million as of December 31, 2017. As a result, the interim provision for income taxes represents changes to deferred tax assets.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amounts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TCJA reduced the statutory U.S. federal corporate income tax rate from 35% to 21% and changed the tax deductibility of certain expenses for tax years beginning after December 31, 2017. We have not completed our full assessment of the tax effects of the enactment of the TCJA on our deferred tax balances as of June 30, 2018 and December 31, 2017; however, in certain cases, as described below, we have made reasonable estimates of the effects on our deferred tax balances. We recognized a $13.6 million income tax expense in the year ended December 31, 2017 for the items we could reasonably estimate. We are still analyzing the TCJA and refining our calculations, which could impact the measurement of our existing deferred tax assets including those related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share-based compensation. For tax years beginning after December 31, 2017, the TCJA expanded the number of individuals whose compensation is subject to a $1 million cap on tax deductibility and includes performance-based compensation in the calculation. As a result, we recorded a provisional amount to reduce the future tax benefit related to share-based compensation. We will continue to make and refine our calculations as additional analysis is completed. In addition, our estimates may also be affected as we incorporate additional guidance that may be issued by the U.S. Treasury Department, the IRS, or other standard-setting bodies.</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w:t>
      </w:r>
      <w:r>
        <w:rPr>
          <w:rFonts w:ascii="Arial" w:cs="Arial" w:eastAsia="Arial" w:hAnsi="Arial"/>
          <w:sz w:val="16"/>
          <w:szCs w:val="16"/>
          <w:color w:val="auto"/>
        </w:rPr>
        <w:t xml:space="preserve"> Ce</w:t>
      </w:r>
      <w:r>
        <w:rPr>
          <w:rFonts w:ascii="Arial" w:cs="Arial" w:eastAsia="Arial" w:hAnsi="Arial"/>
          <w:sz w:val="16"/>
          <w:szCs w:val="16"/>
          <w:i w:val="1"/>
          <w:iCs w:val="1"/>
          <w:color w:val="auto"/>
        </w:rPr>
        <w:t>rtain Tax Effects from Accumulated Other Comprehensive Income</w:t>
      </w:r>
      <w:r>
        <w:rPr>
          <w:rFonts w:ascii="Arial" w:cs="Arial" w:eastAsia="Arial" w:hAnsi="Arial"/>
          <w:sz w:val="16"/>
          <w:szCs w:val="16"/>
          <w:color w:val="auto"/>
        </w:rPr>
        <w:t xml:space="preserve"> (Topic 220). This update permits a company to reclassify the disproportionate income tax effects as a result of the TCJA on items within AOCI to retained earnings. We adopted this update on January 1, 2018 and adjusted the disproportionate income tax effects, or "stranded tax effects," resulting in a $0.3 million reduction to our beginning retained earnings as of January 1, 2018. The disproportionate tax effects that remain in AOCI of $4.2 million were not related to the TCJA and will remain in AOCI until certain events occur. Our elected accounting policy for available-for-sale debt securities is the "aggregate portfolio" approach.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Offerings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2018, we completed the sale of 3.7 million shares of common stock and granted the underwriters on the transaction a 15% overallotment option to purchase additional shares. The overallotment option was exercised in full, resulting in a total of 4.3 million shares of common stock issued. The common stock offering generated total proceeds of approximately $79.2 million, net of underwriting discounts, commissions and other direct offering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Regulatory Information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net income (loss)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3"/>
          </w:tcPr>
          <w:p>
            <w:pPr>
              <w:jc w:val="right"/>
              <w:ind w:right="262"/>
              <w:spacing w:after="0"/>
              <w:rPr>
                <w:sz w:val="20"/>
                <w:szCs w:val="20"/>
                <w:color w:val="auto"/>
              </w:rPr>
            </w:pPr>
            <w:r>
              <w:rPr>
                <w:rFonts w:ascii="Arial" w:cs="Arial" w:eastAsia="Arial" w:hAnsi="Arial"/>
                <w:sz w:val="14"/>
                <w:szCs w:val="14"/>
                <w:b w:val="1"/>
                <w:bCs w:val="1"/>
                <w:color w:val="auto"/>
                <w:w w:val="95"/>
              </w:rPr>
              <w:t>For the three months ended June 30,</w:t>
            </w:r>
          </w:p>
        </w:tc>
        <w:tc>
          <w:tcPr>
            <w:tcW w:w="340" w:type="dxa"/>
            <w:vAlign w:val="bottom"/>
          </w:tcPr>
          <w:p>
            <w:pPr>
              <w:spacing w:after="0"/>
              <w:rPr>
                <w:sz w:val="16"/>
                <w:szCs w:val="16"/>
                <w:color w:val="auto"/>
              </w:rPr>
            </w:pPr>
          </w:p>
        </w:tc>
        <w:tc>
          <w:tcPr>
            <w:tcW w:w="234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0"/>
              </w:rPr>
              <w:t>For the six months ended June 30,</w:t>
            </w:r>
          </w:p>
        </w:tc>
      </w:tr>
      <w:tr>
        <w:trPr>
          <w:trHeight w:val="276"/>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50"/>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2,066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(11,616)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(4,748)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r>
      <w:tr>
        <w:trPr>
          <w:trHeight w:val="27"/>
        </w:trPr>
        <w:tc>
          <w:tcPr>
            <w:tcW w:w="5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statutory surplus, contingency reserve and risk-to-capital (RTC) ratios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3"/>
          </w:tcPr>
          <w:p>
            <w:pPr>
              <w:jc w:val="right"/>
              <w:ind w:right="994"/>
              <w:spacing w:after="0"/>
              <w:rPr>
                <w:sz w:val="20"/>
                <w:szCs w:val="20"/>
                <w:color w:val="auto"/>
              </w:rPr>
            </w:pPr>
            <w:r>
              <w:rPr>
                <w:rFonts w:ascii="Arial" w:cs="Arial" w:eastAsia="Arial" w:hAnsi="Arial"/>
                <w:sz w:val="14"/>
                <w:szCs w:val="14"/>
                <w:i w:val="1"/>
                <w:iCs w:val="1"/>
                <w:color w:val="auto"/>
              </w:rPr>
              <w:t>(Dollars 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surplus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439,754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371,084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Contingency reserve</w:t>
            </w:r>
          </w:p>
        </w:tc>
        <w:tc>
          <w:tcPr>
            <w:tcW w:w="2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253,817</w:t>
            </w: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186,641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RTC Ratio</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13.7:1</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13.2:1</w:t>
            </w:r>
          </w:p>
        </w:tc>
      </w:tr>
      <w:tr>
        <w:trPr>
          <w:trHeight w:val="27"/>
        </w:trPr>
        <w:tc>
          <w:tcPr>
            <w:tcW w:w="7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Delaware corporate law provides that dividends are only payable out of a corporation's surplus or, subject to certain limitations, recent net profits. NMIC and Re One's ability to pay dividends to NMIH is subject to Wisconsin OCI notice or approval. Certain other states in which NMIC is licensed also have statutes or regulations that restrict its ability to pay dividends. Since inception, NMIC and Re One have not paid any dividends to NMIH.</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Subsequent Event</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25, 2018, NMIC entered into a reinsurance agreement with Oaktown Re II Ltd. (Oaktown Re II), a Bermuda domiciled special purpose reinsurer, that provides for up to $264.5 million of aggregate excess-of-loss reinsurance coverage at inception for new delinquencies on an existing portfolio of mortgage insurance policies written between January 1, 2017 and May 31, 2018. For the reinsurance coverage period, NMIC will retain the first layer of $125.3 million of aggregate losses and Oaktown Re II will then provide second layer coverage up to the outstanding reinsurance coverage amount. NMIC will then retain losses in excess of the outstanding reinsurance coverage amount.</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Oaktown Re II financed the coverage by issuing mortgage insurance-linked notes in an aggregate amount of $264.5 million to unaffiliated investors (the 2018 Notes). The 2018 Notes mature on July 25, 2028. All of the proceeds paid to Oaktown Re II from the sale of the 2018 Notes were deposited into a reinsurance trust to collateralize and fund the obligations of Oaktown Re II to NMIC under the reinsurance agreement. Funds in the reinsurance trust account are required to be invested in high credit quality money market funds at all times. We refer collectively to NMIC's reinsurance agreement with Oaktown Re II and the issuance of the 2018 Notes by Oaktown Re II as the 2018 ILN Transaction. Under the terms of the 2018 ILN Transaction, NMIC makes risk premium payments for the applicable outstanding reinsurance coverage amount and pays Oaktown Re II for anticipated operating expenses (capped at $250,000 per year).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2017 10-K, for a more complete understanding of our financial position and results of operations. In addition, investors should review the "Cautionary Note Regarding Forward-Looking Statements" above and the "Risk Factors" detailed in Part I, Item 1A of our 2017 10-K and Part II, Item 1A of our First Quarter 10-Q,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private MI through our wholly 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statutorily required reinsurance to NMIC on insured loans with coverage levels in excess of 25% after giving effect to third-party reinsurance. Our subsidiary, NMIS, provides outsourced loan review services to mortgage loan originators.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June 30, 2018, we had master policy relationships with 1,313 customers, including national and regional mortgage banks, money center banks, credit unions, community banks, builder-owned mortgage lenders and other non bank lenders. As of June 30, 2018, we had $61.2 billion of total insurance-in-force (IIF), including primary IIF of $58.1 billion, and $14.4 billion of gross RIF, including primary RIF of $14.3 billion.</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our success in acquiring a large and diverse group of lender customers and growing a portfolio of high-quality IIF traces to our founding principles, whereby we aim to help qualified individuals achieve the dream of homeownership, ensure that we remain a strong and credible counter-party, deliver a unique customer service experience, establish a differentiated risk management approach that emphasizes the individual underwriting review or validation of the vast majority of the loans we insure, and foster a culture of collaboration and excellence that helps us attract and retain experienced industry leaders.</w:t>
      </w:r>
    </w:p>
    <w:p>
      <w:pPr>
        <w:spacing w:after="0" w:line="10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under the symbol "NMIH."</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 Our headquarters are located in Emeryville, California and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Risk In Force</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New insurance written (NIW) is the aggregate unpaid principal balance of mortgages underpinning new policies written during a given period. Our NIW is affected by the overall size of the mortgage origination market and the volume of high-LTV mortgage originations, which tend to be generated to a greater extent in purchase originations as compared to refinancings. Our NIW is also affected by the percentage of such high-LTV originations covered by private versus public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21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set our premium rates on individual policies based on the risk characteristics of the underlying mortgage loans and borrowers, and in accordance with our filed rates and applicable rating rules. Effective June 4, 2018, we implemented our proprietary risk-based pricing platform, which we refer to as Rate GPS</w:t>
      </w:r>
      <w:r>
        <w:rPr>
          <w:rFonts w:ascii="Arial" w:cs="Arial" w:eastAsia="Arial" w:hAnsi="Arial"/>
          <w:sz w:val="25"/>
          <w:szCs w:val="25"/>
          <w:color w:val="auto"/>
          <w:vertAlign w:val="superscript"/>
        </w:rPr>
        <w:t>SM</w:t>
      </w:r>
      <w:r>
        <w:rPr>
          <w:rFonts w:ascii="Arial" w:cs="Arial" w:eastAsia="Arial" w:hAnsi="Arial"/>
          <w:sz w:val="18"/>
          <w:szCs w:val="18"/>
          <w:color w:val="auto"/>
        </w:rPr>
        <w:t>. Rate GPS considers up to 30 individual risk variables to assist in our underwriting selection process and determine policy pricing on an individual loan basis. Rate GPS evaluates a broader and more granular spectrum of risk attributes than our previous rate card pricing system and, we believe, provides us with an increased ability to align our premium rates with the risks of each individual loan. Although we expect most new business to be priced through Rate GPS, we will continue to offer a rate card pricing option to a limited number of lender customers who require a rate card for operational reasons. We believe Rate GPS will enhance our ability to continue building a high-quality mortgage insurance portfolio, and allow us to achieve risk-adjusted returns in line with our pricing expectations.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Premiums are generally fixed over the estimated life of the underlying loans. Net premiums written are equal to gross premiums written minus ceded premiums written under our reinsurance arrangements and less premium refunds. As a result, net premiums written are generally influenced by:</w:t>
      </w:r>
    </w:p>
    <w:p>
      <w:pPr>
        <w:spacing w:after="0" w:line="9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NIW;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17"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claims payments and home prices;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initially recorded as unearned premium and earned over the estimated life of the policy. A majority of our single premium policies in force as of June 30, 2018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substantially all of our single premium policies are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or greater premium rate, our profitability is likely to decline.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utilize third-party reinsurance to actively manage our risk, ensure PMIERs compliance and support the growth of our business. We currently have both quota share and excess-of-loss reinsurance agreements in place, which impact our results of operations and regulatory capital and PMIERs asset positions. Under a quota share reinsurance agreement, the reinsurer receives 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91" w:lineRule="auto"/>
        <w:rPr>
          <w:sz w:val="20"/>
          <w:szCs w:val="20"/>
          <w:color w:val="auto"/>
        </w:rPr>
      </w:pPr>
      <w:r>
        <w:rPr>
          <w:rFonts w:ascii="Arial" w:cs="Arial" w:eastAsia="Arial" w:hAnsi="Arial"/>
          <w:sz w:val="16"/>
          <w:szCs w:val="16"/>
          <w:color w:val="auto"/>
        </w:rPr>
        <w:t>premium in exchange for covering an agreed-upon portion of incurred losses. Such a quota share arrangement reduces net premiums written and earned and also reduces net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In general, there are no ceding commissions under excess-of-loss reinsurance agreements. We expect to continue to evaluate reinsurance opportunities in the normal course of business.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entered into the 2018 QSR Transaction, which took effect January 1, 2018. Under the terms of the 2018 QSR Transaction, NMIC will cede 25% of its eligible policies written in 2018 and 20% to 30% (such amount to be determined by NMIC at its sole election by December 1, 2018) of eligible policies written in 2019, in exchange for reimbursement of ceded claims and claims expenses on covered policies, a 20% ceding commission, and a profit commission of up to 61% that varies directly and inversely with ceded claims.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entered into the 2016 QSR Transaction in September 2016. Under the terms of the 2016 QSR Transaction, NMIC (1) ceded 100% of the risk relating to our pool agreement with Fannie Mae, (2) ceded 25% of existing risk written on eligible policies as of August 31, 2016 and (3) ceded 25% of the risk relating to eligible primary insurance policies written between September 1, 2016 and December 31, 2017, in exchange for reimbursement of ceded claims and claims expenses on covered policies, a 20% ceding commission, and a profit commission of up to 60% that varies directly and inversely with ceded claims.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2017, NMIC secured $211.3 million of aggregate excess-of-loss reinsurance coverage at inception for an existing portfolio of MI policies written from 2013 through December 31, 2016, through a mortgage insurance-linked notes offering by Oaktown Re. The reinsurance coverage amount under the terms of the 2017 ILN Transaction decreases from $211.3 million at inception over a ten-year period as the underlying covered mortgages amortize and/or are repaid, and was $156.1 million as of June 30, 2018. For the reinsurance coverage period, NMIC will retain the first layer of $126.8 million of aggregate losses and Oaktown Re will then provide a second layer of coverage up to the outstanding reinsurance coverage amount. NMIC retains losses in excess of the outstanding reinsurance coverage amount.</w:t>
      </w:r>
    </w:p>
    <w:p>
      <w:pPr>
        <w:spacing w:after="0" w:line="13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July 2018, NMIC secured $264.5 million of aggregate excess-of-loss reinsurance coverage at inception for an existing portfolio of MI policies written from January 1, 2017 through May 31, 2018, through a mortgage insurance-linked notes offering by Oaktown Re II. The reinsurance coverage amount under the terms of the 2018 ILN Transaction decreases from $264.5 million at inception over a ten-year period as the underlying covered mortgages amortize and/or are repaid. For the reinsurance coverage period, NMIC will retain the first layer of $125.3 million of aggregate losses and Oaktown Re II will then provide a second layer of coverage up to the outstanding reinsurance coverage amount. NMIC retains losses in excess of the outstanding reinsurance coverage amount.</w:t>
      </w:r>
    </w:p>
    <w:p>
      <w:pPr>
        <w:spacing w:after="0" w:line="10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for further discussion of these third-party reinsurance arrangements.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As of and for the three months ended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jc w:val="right"/>
              <w:ind w:right="313"/>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4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4"/>
              </w:rPr>
              <w:t>June 30, 2018</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June 30, 2017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June 30,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June 30, 2017</w:t>
            </w:r>
          </w:p>
        </w:tc>
      </w:tr>
      <w:tr>
        <w:trPr>
          <w:trHeight w:val="264"/>
        </w:trPr>
        <w:tc>
          <w:tcPr>
            <w:tcW w:w="40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NIW</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IIF</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NIW</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NIW</w:t>
            </w:r>
          </w:p>
        </w:tc>
        <w:tc>
          <w:tcPr>
            <w:tcW w:w="1000" w:type="dxa"/>
            <w:vAlign w:val="bottom"/>
            <w:tcBorders>
              <w:bottom w:val="single" w:sz="8" w:color="auto"/>
            </w:tcBorders>
          </w:tcPr>
          <w:p>
            <w:pPr>
              <w:spacing w:after="0"/>
              <w:rPr>
                <w:sz w:val="22"/>
                <w:szCs w:val="22"/>
                <w:color w:val="auto"/>
              </w:rPr>
            </w:pPr>
          </w:p>
        </w:tc>
      </w:tr>
      <w:tr>
        <w:trPr>
          <w:trHeight w:val="264"/>
        </w:trPr>
        <w:tc>
          <w:tcPr>
            <w:tcW w:w="4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15"/>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41,843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Single</w:t>
            </w:r>
          </w:p>
        </w:tc>
        <w:tc>
          <w:tcPr>
            <w:tcW w:w="30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16,246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13,764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1,605</w:t>
            </w:r>
          </w:p>
        </w:tc>
      </w:tr>
      <w:tr>
        <w:trPr>
          <w:trHeight w:val="27"/>
        </w:trPr>
        <w:tc>
          <w:tcPr>
            <w:tcW w:w="4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58,089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5,037</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8,596</w:t>
            </w:r>
          </w:p>
        </w:tc>
      </w:tr>
      <w:tr>
        <w:trPr>
          <w:trHeight w:val="176"/>
        </w:trPr>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3,064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61,153</w:t>
            </w:r>
          </w:p>
        </w:tc>
        <w:tc>
          <w:tcPr>
            <w:tcW w:w="120" w:type="dxa"/>
            <w:vAlign w:val="bottom"/>
          </w:tcPr>
          <w:p>
            <w:pPr>
              <w:spacing w:after="0"/>
              <w:rPr>
                <w:sz w:val="22"/>
                <w:szCs w:val="22"/>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42,076</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5,037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12,973</w:t>
            </w:r>
          </w:p>
        </w:tc>
        <w:tc>
          <w:tcPr>
            <w:tcW w:w="3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8,596</w:t>
            </w:r>
          </w:p>
        </w:tc>
      </w:tr>
      <w:tr>
        <w:trPr>
          <w:trHeight w:val="20"/>
        </w:trPr>
        <w:tc>
          <w:tcPr>
            <w:tcW w:w="4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June 30, 2018, NIW increased 29%, compared to the three months ended June 30, 2017, primarily because of the growth in our monthly policy volume tied to increased penetration of existing customer accounts and new customer account activations, partially offset by a reduction in our single policy production. NIW increased 51% for the six months ended June 30, 2018, compared to the six months ended June 30, 2017, primarily due to the growth within and expansion of our customer base . For the three and six months ended June 30, 2018, monthly premium NIW increased 39% and 60%, respectively, compared to the same periods a year ago.</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six months ended June 30, 2018, 86% of our NIW related to monthly premium policies. As of June 30, 2018, monthly premium policies accounted for 72% of our primary IIF, as compared to 64% at June 30, 2017. We expect the break-down of monthly premium policies and single premium policies (which we refer to as "mix") in our primary IIF to continue to trend toward our current NIW mix over time. Our total IIF increased 45% as of June 30, 2018 compared to June 30, 2017, primarily because of the NIW we generated between such measurement dates and the high persistency of our policies in force.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60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June 30, 2018</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4"/>
              </w:rPr>
              <w:t>June 30, 2017</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June 30, 2017</w:t>
            </w:r>
          </w:p>
        </w:tc>
      </w:tr>
      <w:tr>
        <w:trPr>
          <w:trHeight w:val="250"/>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3"/>
          </w:tcPr>
          <w:p>
            <w:pPr>
              <w:ind w:left="7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60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Net premiums written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64,443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39,786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123,473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74,389</w:t>
            </w:r>
          </w:p>
        </w:tc>
      </w:tr>
      <w:tr>
        <w:trPr>
          <w:trHeight w:val="341"/>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Net premiums earned </w:t>
            </w:r>
            <w:r>
              <w:rPr>
                <w:rFonts w:ascii="Arial" w:cs="Arial" w:eastAsia="Arial" w:hAnsi="Arial"/>
                <w:sz w:val="25"/>
                <w:szCs w:val="25"/>
                <w:color w:val="auto"/>
                <w:vertAlign w:val="superscript"/>
              </w:rPr>
              <w:t>(1)</w:t>
            </w:r>
          </w:p>
        </w:tc>
        <w:tc>
          <w:tcPr>
            <w:tcW w:w="16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61,615</w:t>
            </w:r>
          </w:p>
        </w:tc>
        <w:tc>
          <w:tcPr>
            <w:tcW w:w="26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37,917</w:t>
            </w:r>
          </w:p>
        </w:tc>
        <w:tc>
          <w:tcPr>
            <w:tcW w:w="260" w:type="dxa"/>
            <w:vAlign w:val="bottom"/>
          </w:tcPr>
          <w:p>
            <w:pPr>
              <w:spacing w:after="0"/>
              <w:rPr>
                <w:sz w:val="24"/>
                <w:szCs w:val="24"/>
                <w:color w:val="auto"/>
              </w:rPr>
            </w:pPr>
          </w:p>
        </w:tc>
        <w:tc>
          <w:tcPr>
            <w:tcW w:w="1100" w:type="dxa"/>
            <w:vAlign w:val="bottom"/>
          </w:tcPr>
          <w:p>
            <w:pPr>
              <w:ind w:left="400"/>
              <w:spacing w:after="0"/>
              <w:rPr>
                <w:sz w:val="20"/>
                <w:szCs w:val="20"/>
                <w:color w:val="auto"/>
              </w:rPr>
            </w:pPr>
            <w:r>
              <w:rPr>
                <w:rFonts w:ascii="Arial" w:cs="Arial" w:eastAsia="Arial" w:hAnsi="Arial"/>
                <w:sz w:val="18"/>
                <w:szCs w:val="18"/>
                <w:color w:val="auto"/>
              </w:rPr>
              <w:t>116,529</w:t>
            </w:r>
          </w:p>
        </w:tc>
        <w:tc>
          <w:tcPr>
            <w:tcW w:w="26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71,142</w:t>
            </w:r>
          </w:p>
        </w:tc>
      </w:tr>
    </w:tbl>
    <w:p>
      <w:pPr>
        <w:spacing w:after="0" w:line="80"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Net premiums written and earned are reported net of reinsurance and premium refunds.</w:t>
      </w:r>
    </w:p>
    <w:p>
      <w:pPr>
        <w:spacing w:after="0" w:line="14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three and six months ended June 30, 2018, net premiums written increased 62% and 66%, respectively, and net premiums earned increased 62% and 64%, respectively, compared to the same periods in 2017. The increases in net premiums written and earned are due to the growth of our IIF and increased monthly policy production, partially offset by increased cessions under the QSR Transactions tied to the growth of our direct premium volume and inception of the 2017 ILN Transaction in May 2017. Pool premiums written and earned for the three and six months ended June 30, 2018, were $0.8 million and $1.7 million, respectively, before the effects of the 2016 QSR Transaction, under which all of our written and earned pool premiums have been ceded.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 and for the periods indicated.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As of and for the three months ended</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76"/>
        </w:trPr>
        <w:tc>
          <w:tcPr>
            <w:tcW w:w="3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8"/>
              </w:rPr>
              <w:t>June 30, 2018</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March 31, 2018</w:t>
            </w:r>
          </w:p>
        </w:tc>
        <w:tc>
          <w:tcPr>
            <w:tcW w:w="152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December 31, 2017</w:t>
            </w:r>
          </w:p>
        </w:tc>
        <w:tc>
          <w:tcPr>
            <w:tcW w:w="15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8"/>
              </w:rPr>
              <w:t>June 30, 2017</w:t>
            </w:r>
          </w:p>
        </w:tc>
      </w:tr>
      <w:tr>
        <w:trPr>
          <w:trHeight w:val="250"/>
        </w:trPr>
        <w:tc>
          <w:tcPr>
            <w:tcW w:w="3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w w:val="96"/>
              </w:rPr>
              <w:t>Values In Millions)</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New insurance written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6,460</w:t>
            </w:r>
          </w:p>
        </w:tc>
        <w:tc>
          <w:tcPr>
            <w:tcW w:w="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6,876</w:t>
            </w:r>
          </w:p>
        </w:tc>
        <w:tc>
          <w:tcPr>
            <w:tcW w:w="56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5,037</w:t>
            </w:r>
          </w:p>
        </w:tc>
      </w:tr>
      <w:tr>
        <w:trPr>
          <w:trHeight w:val="243"/>
        </w:trPr>
        <w:tc>
          <w:tcPr>
            <w:tcW w:w="3880" w:type="dxa"/>
            <w:vAlign w:val="bottom"/>
          </w:tcPr>
          <w:p>
            <w:pPr>
              <w:ind w:left="700"/>
              <w:spacing w:after="0"/>
              <w:rPr>
                <w:sz w:val="20"/>
                <w:szCs w:val="20"/>
                <w:color w:val="auto"/>
              </w:rPr>
            </w:pPr>
            <w:r>
              <w:rPr>
                <w:rFonts w:ascii="Arial" w:cs="Arial" w:eastAsia="Arial" w:hAnsi="Arial"/>
                <w:sz w:val="18"/>
                <w:szCs w:val="18"/>
                <w:color w:val="auto"/>
              </w:rPr>
              <w:t>Percentage of monthly premium</w:t>
            </w: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Percentage of single premium</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New risk written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1,647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1,580</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1,665</w:t>
            </w:r>
          </w:p>
        </w:tc>
        <w:tc>
          <w:tcPr>
            <w:tcW w:w="5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1,496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1,242</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Insurance in force (IIF)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58,089</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53,434</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48,465</w:t>
            </w: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43,259</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38,629</w:t>
            </w:r>
          </w:p>
        </w:tc>
      </w:tr>
      <w:tr>
        <w:trPr>
          <w:trHeight w:val="243"/>
        </w:trPr>
        <w:tc>
          <w:tcPr>
            <w:tcW w:w="3880" w:type="dxa"/>
            <w:vAlign w:val="bottom"/>
          </w:tcPr>
          <w:p>
            <w:pPr>
              <w:ind w:left="700"/>
              <w:spacing w:after="0"/>
              <w:rPr>
                <w:sz w:val="20"/>
                <w:szCs w:val="20"/>
                <w:color w:val="auto"/>
              </w:rPr>
            </w:pPr>
            <w:r>
              <w:rPr>
                <w:rFonts w:ascii="Arial" w:cs="Arial" w:eastAsia="Arial" w:hAnsi="Arial"/>
                <w:sz w:val="18"/>
                <w:szCs w:val="18"/>
                <w:color w:val="auto"/>
              </w:rPr>
              <w:t>Percentage of monthly premium</w:t>
            </w: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Percentage of single premium</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38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14,308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13,085</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11,843</w:t>
            </w:r>
          </w:p>
        </w:tc>
        <w:tc>
          <w:tcPr>
            <w:tcW w:w="5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10,572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9,417</w:t>
            </w:r>
          </w:p>
        </w:tc>
      </w:tr>
      <w:tr>
        <w:trPr>
          <w:trHeight w:val="270"/>
        </w:trPr>
        <w:tc>
          <w:tcPr>
            <w:tcW w:w="3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241,993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223,263</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202,351</w:t>
            </w: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180,089</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161,195</w:t>
            </w:r>
          </w:p>
        </w:tc>
      </w:tr>
      <w:tr>
        <w:trPr>
          <w:trHeight w:val="270"/>
        </w:trPr>
        <w:tc>
          <w:tcPr>
            <w:tcW w:w="38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0.240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0.239</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0.240</w:t>
            </w:r>
          </w:p>
        </w:tc>
        <w:tc>
          <w:tcPr>
            <w:tcW w:w="5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0.240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0.240</w:t>
            </w:r>
          </w:p>
        </w:tc>
      </w:tr>
      <w:tr>
        <w:trPr>
          <w:trHeight w:val="270"/>
        </w:trPr>
        <w:tc>
          <w:tcPr>
            <w:tcW w:w="3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Average coverage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Loans in default (count)</w:t>
            </w:r>
          </w:p>
        </w:tc>
        <w:tc>
          <w:tcPr>
            <w:tcW w:w="18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928</w:t>
            </w:r>
          </w:p>
        </w:tc>
        <w:tc>
          <w:tcPr>
            <w:tcW w:w="5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249</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Percentage of loans in default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Risk in force on defaulted 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57</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53</w:t>
            </w:r>
          </w:p>
        </w:tc>
        <w:tc>
          <w:tcPr>
            <w:tcW w:w="5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Earnings from cancellations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5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3.8</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341"/>
        </w:trPr>
        <w:tc>
          <w:tcPr>
            <w:tcW w:w="3880" w:type="dxa"/>
            <w:vAlign w:val="bottom"/>
          </w:tcPr>
          <w:p>
            <w:pPr>
              <w:ind w:left="26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5"/>
                <w:szCs w:val="25"/>
                <w:color w:val="auto"/>
                <w:vertAlign w:val="superscript"/>
              </w:rPr>
              <w:t>(5)</w:t>
            </w:r>
          </w:p>
        </w:tc>
        <w:tc>
          <w:tcPr>
            <w:tcW w:w="180" w:type="dxa"/>
            <w:vAlign w:val="bottom"/>
          </w:tcPr>
          <w:p>
            <w:pPr>
              <w:spacing w:after="0"/>
              <w:rPr>
                <w:sz w:val="24"/>
                <w:szCs w:val="24"/>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72" w:lineRule="exact"/>
        <w:rPr>
          <w:sz w:val="20"/>
          <w:szCs w:val="20"/>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Calculated as end of period RIF divided by IIF.</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Calculated as net primary and pool premiums earned, net of reinsurance, divided by average gross primary IIF for the period, annualized.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any 12-month period.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Defined as the percentage of IIF that is no longer on our books after any 3-month period.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the change in total primary IIF during the periods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1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June 30, 2017</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34,779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48,465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32,168</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NIW</w:t>
            </w:r>
          </w:p>
        </w:tc>
        <w:tc>
          <w:tcPr>
            <w:tcW w:w="1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6,513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12,973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18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18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58,089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38,629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58,089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38,629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9" w:name="page30"/>
    <w:bookmarkEnd w:id="29"/>
    <w:p>
      <w:pPr>
        <w:jc w:val="both"/>
        <w:ind w:firstLine="648"/>
        <w:spacing w:after="0" w:line="276"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June 30, 2018</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2017</w:t>
            </w:r>
          </w:p>
        </w:tc>
        <w:tc>
          <w:tcPr>
            <w:tcW w:w="100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RIF</w:t>
            </w: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RIF</w:t>
            </w:r>
          </w:p>
        </w:tc>
      </w:tr>
      <w:tr>
        <w:trPr>
          <w:trHeight w:val="250"/>
        </w:trPr>
        <w:tc>
          <w:tcPr>
            <w:tcW w:w="4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0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12,758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2017</w:t>
            </w:r>
          </w:p>
        </w:tc>
        <w:tc>
          <w:tcPr>
            <w:tcW w:w="108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19,784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8,460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2,078</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16,800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19,288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2015</w:t>
            </w:r>
          </w:p>
        </w:tc>
        <w:tc>
          <w:tcPr>
            <w:tcW w:w="108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7,505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2,284</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2013</w:t>
            </w:r>
          </w:p>
        </w:tc>
        <w:tc>
          <w:tcPr>
            <w:tcW w:w="10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58,089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14,308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38,629</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9,417</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primary NIW. We manage our portfolio credit risk by using several loan eligibility matrices which prescribe the maximum LTV, minimum borrower credit score, maximum borrower debt-to-income ratio, maximum loan size, property type, loan type, loan term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Primary NIW by FICO</w:t>
            </w: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Millions)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4,059</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740-759</w:t>
            </w:r>
          </w:p>
        </w:tc>
        <w:tc>
          <w:tcPr>
            <w:tcW w:w="2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1,343</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700-719</w:t>
            </w:r>
          </w:p>
        </w:tc>
        <w:tc>
          <w:tcPr>
            <w:tcW w:w="2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965</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&lt;=679</w:t>
            </w:r>
          </w:p>
        </w:tc>
        <w:tc>
          <w:tcPr>
            <w:tcW w:w="2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515</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8,596</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Weighted average FICO</w:t>
            </w:r>
          </w:p>
        </w:tc>
        <w:tc>
          <w:tcPr>
            <w:tcW w:w="2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749</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ind w:right="933"/>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39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June 30, 2018</w:t>
            </w: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June 30, 2018</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7"/>
          </w:tcPr>
          <w:p>
            <w:pPr>
              <w:jc w:val="right"/>
              <w:ind w:right="1360"/>
              <w:spacing w:after="0"/>
              <w:rPr>
                <w:sz w:val="20"/>
                <w:szCs w:val="20"/>
                <w:color w:val="auto"/>
              </w:rPr>
            </w:pPr>
            <w:r>
              <w:rPr>
                <w:rFonts w:ascii="Arial" w:cs="Arial" w:eastAsia="Arial" w:hAnsi="Arial"/>
                <w:sz w:val="14"/>
                <w:szCs w:val="14"/>
                <w:i w:val="1"/>
                <w:iCs w:val="1"/>
                <w:color w:val="auto"/>
              </w:rPr>
              <w:t>($ In Millions)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971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748</w:t>
            </w: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96"/>
              <w:spacing w:after="0"/>
              <w:rPr>
                <w:sz w:val="20"/>
                <w:szCs w:val="20"/>
                <w:color w:val="auto"/>
              </w:rPr>
            </w:pPr>
            <w:r>
              <w:rPr>
                <w:rFonts w:ascii="Arial" w:cs="Arial" w:eastAsia="Arial" w:hAnsi="Arial"/>
                <w:sz w:val="18"/>
                <w:szCs w:val="18"/>
                <w:color w:val="auto"/>
              </w:rPr>
              <w:t>2,932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5,696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3,909</w:t>
            </w:r>
          </w:p>
        </w:tc>
      </w:tr>
      <w:tr>
        <w:trPr>
          <w:trHeight w:val="27"/>
        </w:trPr>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3,644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2,607</w:t>
            </w: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96"/>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1,332</w:t>
            </w:r>
          </w:p>
        </w:tc>
      </w:tr>
      <w:tr>
        <w:trPr>
          <w:trHeight w:val="27"/>
        </w:trPr>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6,513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12,973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8,596</w:t>
            </w:r>
          </w:p>
        </w:tc>
      </w:tr>
      <w:tr>
        <w:trPr>
          <w:trHeight w:val="257"/>
        </w:trPr>
        <w:tc>
          <w:tcPr>
            <w:tcW w:w="398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20"/>
        </w:trPr>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548"/>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right"/>
              <w:ind w:right="836"/>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993"/>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3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June 30, 2018</w:t>
            </w: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w w:val="90"/>
              </w:rPr>
              <w:t>June 30, 2018</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5"/>
          </w:tcPr>
          <w:p>
            <w:pPr>
              <w:jc w:val="right"/>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6,137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4,518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11,562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7,502</w:t>
            </w: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1,094</w:t>
            </w:r>
          </w:p>
        </w:tc>
      </w:tr>
      <w:tr>
        <w:trPr>
          <w:trHeight w:val="27"/>
        </w:trPr>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6,513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5,037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12,973</w:t>
            </w:r>
          </w:p>
        </w:tc>
        <w:tc>
          <w:tcPr>
            <w:tcW w:w="8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8,596</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Primary IIF by FICO</w:t>
            </w: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5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2018</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2017</w:t>
            </w:r>
          </w:p>
        </w:tc>
        <w:tc>
          <w:tcPr>
            <w:tcW w:w="740" w:type="dxa"/>
            <w:vAlign w:val="bottom"/>
            <w:tcBorders>
              <w:bottom w:val="single" w:sz="8" w:color="auto"/>
            </w:tcBorders>
          </w:tcPr>
          <w:p>
            <w:pPr>
              <w:spacing w:after="0"/>
              <w:rPr>
                <w:sz w:val="22"/>
                <w:szCs w:val="22"/>
                <w:color w:val="auto"/>
              </w:rPr>
            </w:pPr>
          </w:p>
        </w:tc>
      </w:tr>
      <w:tr>
        <w:trPr>
          <w:trHeight w:val="250"/>
        </w:trPr>
        <w:tc>
          <w:tcPr>
            <w:tcW w:w="5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In Millions)</w:t>
            </w:r>
          </w:p>
        </w:tc>
        <w:tc>
          <w:tcPr>
            <w:tcW w:w="15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27,311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19,224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740-759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9,460</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812"/>
              <w:spacing w:after="0"/>
              <w:rPr>
                <w:sz w:val="20"/>
                <w:szCs w:val="20"/>
                <w:color w:val="auto"/>
              </w:rPr>
            </w:pPr>
            <w:r>
              <w:rPr>
                <w:rFonts w:ascii="Arial" w:cs="Arial" w:eastAsia="Arial" w:hAnsi="Arial"/>
                <w:sz w:val="18"/>
                <w:szCs w:val="18"/>
                <w:color w:val="auto"/>
              </w:rPr>
              <w:t>6,269</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7,722</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4,927</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700-719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6,355</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812"/>
              <w:spacing w:after="0"/>
              <w:rPr>
                <w:sz w:val="20"/>
                <w:szCs w:val="20"/>
                <w:color w:val="auto"/>
              </w:rPr>
            </w:pPr>
            <w:r>
              <w:rPr>
                <w:rFonts w:ascii="Arial" w:cs="Arial" w:eastAsia="Arial" w:hAnsi="Arial"/>
                <w:sz w:val="18"/>
                <w:szCs w:val="18"/>
                <w:color w:val="auto"/>
              </w:rPr>
              <w:t>3,973</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4,174</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2,615</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&lt;=679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3,067</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812"/>
              <w:spacing w:after="0"/>
              <w:rPr>
                <w:sz w:val="20"/>
                <w:szCs w:val="20"/>
                <w:color w:val="auto"/>
              </w:rPr>
            </w:pPr>
            <w:r>
              <w:rPr>
                <w:rFonts w:ascii="Arial" w:cs="Arial" w:eastAsia="Arial" w:hAnsi="Arial"/>
                <w:sz w:val="18"/>
                <w:szCs w:val="18"/>
                <w:color w:val="auto"/>
              </w:rPr>
              <w:t>1,621</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58,089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38,629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81"/>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Primary RIF by FICO</w:t>
            </w: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64"/>
        </w:trPr>
        <w:tc>
          <w:tcPr>
            <w:tcW w:w="5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2018</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2017</w:t>
            </w:r>
          </w:p>
        </w:tc>
        <w:tc>
          <w:tcPr>
            <w:tcW w:w="740" w:type="dxa"/>
            <w:vAlign w:val="bottom"/>
            <w:tcBorders>
              <w:bottom w:val="single" w:sz="8" w:color="auto"/>
            </w:tcBorders>
          </w:tcPr>
          <w:p>
            <w:pPr>
              <w:spacing w:after="0"/>
              <w:rPr>
                <w:sz w:val="22"/>
                <w:szCs w:val="22"/>
                <w:color w:val="auto"/>
              </w:rPr>
            </w:pPr>
          </w:p>
        </w:tc>
      </w:tr>
      <w:tr>
        <w:trPr>
          <w:trHeight w:val="250"/>
        </w:trPr>
        <w:tc>
          <w:tcPr>
            <w:tcW w:w="5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In Millions)</w:t>
            </w:r>
          </w:p>
        </w:tc>
        <w:tc>
          <w:tcPr>
            <w:tcW w:w="15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6,758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4,720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740-759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2,344</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812"/>
              <w:spacing w:after="0"/>
              <w:rPr>
                <w:sz w:val="20"/>
                <w:szCs w:val="20"/>
                <w:color w:val="auto"/>
              </w:rPr>
            </w:pPr>
            <w:r>
              <w:rPr>
                <w:rFonts w:ascii="Arial" w:cs="Arial" w:eastAsia="Arial" w:hAnsi="Arial"/>
                <w:sz w:val="18"/>
                <w:szCs w:val="18"/>
                <w:color w:val="auto"/>
              </w:rPr>
              <w:t>1,535</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1,905</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1,198</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700-719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1,558</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812"/>
              <w:spacing w:after="0"/>
              <w:rPr>
                <w:sz w:val="20"/>
                <w:szCs w:val="20"/>
                <w:color w:val="auto"/>
              </w:rPr>
            </w:pPr>
            <w:r>
              <w:rPr>
                <w:rFonts w:ascii="Arial" w:cs="Arial" w:eastAsia="Arial" w:hAnsi="Arial"/>
                <w:sz w:val="18"/>
                <w:szCs w:val="18"/>
                <w:color w:val="auto"/>
              </w:rPr>
              <w:t>960</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1,016</w:t>
            </w: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rPr>
              <w:t>627</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&lt;=679</w:t>
            </w:r>
          </w:p>
        </w:tc>
        <w:tc>
          <w:tcPr>
            <w:tcW w:w="520" w:type="dxa"/>
            <w:vAlign w:val="bottom"/>
          </w:tcPr>
          <w:p>
            <w:pPr>
              <w:spacing w:after="0"/>
              <w:rPr>
                <w:sz w:val="21"/>
                <w:szCs w:val="21"/>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727</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812"/>
              <w:spacing w:after="0"/>
              <w:rPr>
                <w:sz w:val="20"/>
                <w:szCs w:val="20"/>
                <w:color w:val="auto"/>
              </w:rPr>
            </w:pPr>
            <w:r>
              <w:rPr>
                <w:rFonts w:ascii="Arial" w:cs="Arial" w:eastAsia="Arial" w:hAnsi="Arial"/>
                <w:sz w:val="18"/>
                <w:szCs w:val="18"/>
                <w:color w:val="auto"/>
              </w:rPr>
              <w:t>377</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14,308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rPr>
              <w:t>9,417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08"/>
        </w:trPr>
        <w:tc>
          <w:tcPr>
            <w:tcW w:w="552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As of</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June 30, 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5"/>
          </w:tcPr>
          <w:p>
            <w:pPr>
              <w:jc w:val="right"/>
              <w:ind w:right="931"/>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0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 In Millions)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92"/>
              <w:spacing w:after="0"/>
              <w:rPr>
                <w:sz w:val="20"/>
                <w:szCs w:val="20"/>
                <w:color w:val="auto"/>
              </w:rPr>
            </w:pPr>
            <w:r>
              <w:rPr>
                <w:rFonts w:ascii="Arial" w:cs="Arial" w:eastAsia="Arial" w:hAnsi="Arial"/>
                <w:sz w:val="18"/>
                <w:szCs w:val="18"/>
                <w:color w:val="auto"/>
                <w:w w:val="87"/>
              </w:rPr>
              <w:t>95.01% and above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2,367</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1"/>
              </w:rPr>
              <w:t>90.01% to 95.00%</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26,119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17,441</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Arial" w:cs="Arial" w:eastAsia="Arial" w:hAnsi="Arial"/>
                <w:sz w:val="18"/>
                <w:szCs w:val="18"/>
                <w:color w:val="auto"/>
                <w:w w:val="91"/>
              </w:rPr>
              <w:t>85.01% to 90.00%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17,319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12,157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0"/>
              </w:rPr>
              <w:t>85.00% and below</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8,904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6,664</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58,089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38,629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As of</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June 30, 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5"/>
          </w:tcPr>
          <w:p>
            <w:pPr>
              <w:jc w:val="right"/>
              <w:ind w:right="931"/>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0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 In Millions)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92"/>
              <w:spacing w:after="0"/>
              <w:rPr>
                <w:sz w:val="20"/>
                <w:szCs w:val="20"/>
                <w:color w:val="auto"/>
              </w:rPr>
            </w:pPr>
            <w:r>
              <w:rPr>
                <w:rFonts w:ascii="Arial" w:cs="Arial" w:eastAsia="Arial" w:hAnsi="Arial"/>
                <w:sz w:val="18"/>
                <w:szCs w:val="18"/>
                <w:color w:val="auto"/>
                <w:w w:val="87"/>
              </w:rPr>
              <w:t>95.01% and above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1"/>
              </w:rPr>
              <w:t>90.01% to 95.00%</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7,610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5,120</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Arial" w:cs="Arial" w:eastAsia="Arial" w:hAnsi="Arial"/>
                <w:sz w:val="18"/>
                <w:szCs w:val="18"/>
                <w:color w:val="auto"/>
                <w:w w:val="91"/>
              </w:rPr>
              <w:t>85.01% to 90.00%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0"/>
              </w:rPr>
              <w:t>85.00% and below</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14,308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9,417</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0"/>
        </w:trPr>
        <w:tc>
          <w:tcPr>
            <w:tcW w:w="55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Primary RIF by Loan Type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Borders>
              <w:bottom w:val="single" w:sz="8" w:color="auto"/>
            </w:tcBorders>
          </w:tcPr>
          <w:p>
            <w:pPr>
              <w:spacing w:after="0"/>
              <w:rPr>
                <w:sz w:val="22"/>
                <w:szCs w:val="22"/>
                <w:color w:val="auto"/>
              </w:rPr>
            </w:pPr>
          </w:p>
        </w:tc>
      </w:tr>
      <w:tr>
        <w:trPr>
          <w:trHeight w:val="324"/>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Adjustable rate mortgages: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52"/>
              <w:spacing w:after="0"/>
              <w:rPr>
                <w:sz w:val="20"/>
                <w:szCs w:val="20"/>
                <w:color w:val="auto"/>
              </w:rPr>
            </w:pPr>
            <w:r>
              <w:rPr>
                <w:rFonts w:ascii="Arial" w:cs="Arial" w:eastAsia="Arial" w:hAnsi="Arial"/>
                <w:sz w:val="18"/>
                <w:szCs w:val="18"/>
                <w:color w:val="auto"/>
                <w:w w:val="89"/>
              </w:rPr>
              <w:t>Less than five years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Five years and longer</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7"/>
        </w:trPr>
        <w:tc>
          <w:tcPr>
            <w:tcW w:w="550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selected primary portfolio statistics, by book year, as of June 30,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As of June 30, 2018</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3"/>
                <w:szCs w:val="13"/>
                <w:color w:val="auto"/>
              </w:rPr>
            </w:pPr>
          </w:p>
        </w:tc>
        <w:tc>
          <w:tcPr>
            <w:tcW w:w="92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tcPr>
          <w:p>
            <w:pPr>
              <w:jc w:val="right"/>
              <w:ind w:right="56"/>
              <w:spacing w:after="0" w:line="153" w:lineRule="exact"/>
              <w:rPr>
                <w:sz w:val="20"/>
                <w:szCs w:val="20"/>
                <w:color w:val="auto"/>
              </w:rPr>
            </w:pPr>
            <w:r>
              <w:rPr>
                <w:rFonts w:ascii="Arial" w:cs="Arial" w:eastAsia="Arial" w:hAnsi="Arial"/>
                <w:sz w:val="14"/>
                <w:szCs w:val="14"/>
                <w:b w:val="1"/>
                <w:bCs w:val="1"/>
                <w:color w:val="auto"/>
              </w:rPr>
              <w:t>% Remaining of</w:t>
            </w:r>
          </w:p>
        </w:tc>
        <w:tc>
          <w:tcPr>
            <w:tcW w:w="10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Policies Ever</w:t>
            </w:r>
          </w:p>
        </w:tc>
        <w:tc>
          <w:tcPr>
            <w:tcW w:w="120" w:type="dxa"/>
            <w:vAlign w:val="bottom"/>
          </w:tcPr>
          <w:p>
            <w:pPr>
              <w:spacing w:after="0"/>
              <w:rPr>
                <w:sz w:val="13"/>
                <w:szCs w:val="13"/>
                <w:color w:val="auto"/>
              </w:rPr>
            </w:pPr>
          </w:p>
        </w:tc>
        <w:tc>
          <w:tcPr>
            <w:tcW w:w="118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of Claims</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Incurred Loss</w:t>
            </w:r>
          </w:p>
        </w:tc>
        <w:tc>
          <w:tcPr>
            <w:tcW w:w="12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1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Book year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Insurance</w:t>
            </w:r>
          </w:p>
        </w:tc>
        <w:tc>
          <w:tcPr>
            <w:tcW w:w="12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Insurance in</w:t>
            </w:r>
          </w:p>
        </w:tc>
        <w:tc>
          <w:tcPr>
            <w:tcW w:w="128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Original</w:t>
            </w: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Loans in</w:t>
            </w:r>
          </w:p>
        </w:tc>
        <w:tc>
          <w:tcPr>
            <w:tcW w:w="80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Ratio (Inception to</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Written</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Force</w:t>
            </w: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Insurance</w:t>
            </w: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 Force</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Force</w:t>
            </w: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Default</w:t>
            </w: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Paid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Date) </w:t>
            </w:r>
            <w:r>
              <w:rPr>
                <w:rFonts w:ascii="Arial" w:cs="Arial" w:eastAsia="Arial" w:hAnsi="Arial"/>
                <w:sz w:val="8"/>
                <w:szCs w:val="8"/>
                <w:b w:val="1"/>
                <w:bCs w:val="1"/>
                <w:color w:val="auto"/>
                <w:w w:val="94"/>
              </w:rPr>
              <w:t>(1)</w:t>
            </w: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5"/>
              </w:rPr>
              <w:t>($ Values 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1,210</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35%</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14,786</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3.6%</w:t>
            </w: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7,505</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60%</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52,548</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34,641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16,800</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79%</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83,626</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69,454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2.2%</w:t>
            </w: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19,784</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92%</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85,897</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80,646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12,973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12,758</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98%</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51,457</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50,836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0.5%</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71,777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58,089</w:t>
            </w:r>
          </w:p>
        </w:tc>
        <w:tc>
          <w:tcPr>
            <w:tcW w:w="1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288,969</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241,993</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4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hanging="488"/>
        <w:spacing w:after="0"/>
        <w:tabs>
          <w:tab w:leader="none" w:pos="82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ratio of total claims incurred (paid and reserved) divided by cumulative premiums earned, net of reinsurance.</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sum of the number of claims paid ever to date and number of loans in default as of the end of the period divided by policies ever in force.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38"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June 30, 2018, our RIF continues to be relatively more concentrated in California, primarily as a result of the size of the California mortgage market relative to the rest of the country and the location and timing of our acquisition of new customers. The distribution of risk as of June 30, 2018 is not necessarily representative of the geographic distribution we expect in the future.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w:t>
            </w:r>
          </w:p>
        </w:tc>
        <w:tc>
          <w:tcPr>
            <w:tcW w:w="216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160" w:type="dxa"/>
            <w:vAlign w:val="bottom"/>
            <w:gridSpan w:val="3"/>
          </w:tcPr>
          <w:p>
            <w:pPr>
              <w:ind w:left="460"/>
              <w:spacing w:after="0"/>
              <w:rPr>
                <w:sz w:val="20"/>
                <w:szCs w:val="20"/>
                <w:color w:val="auto"/>
              </w:rPr>
            </w:pPr>
            <w:r>
              <w:rPr>
                <w:rFonts w:ascii="Arial" w:cs="Arial" w:eastAsia="Arial" w:hAnsi="Arial"/>
                <w:sz w:val="14"/>
                <w:szCs w:val="14"/>
                <w:b w:val="1"/>
                <w:bCs w:val="1"/>
                <w:color w:val="auto"/>
              </w:rPr>
              <w:t>June 30, 2018</w:t>
            </w:r>
          </w:p>
        </w:tc>
        <w:tc>
          <w:tcPr>
            <w:tcW w:w="1480" w:type="dxa"/>
            <w:vAlign w:val="bottom"/>
          </w:tcPr>
          <w:p>
            <w:pPr>
              <w:jc w:val="right"/>
              <w:ind w:right="371"/>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7.5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Virginia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6.0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Michigan</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Colorado</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3.9</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Utah</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Illinois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3.3</w:t>
            </w: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Insurance claims and claim expenses incurred represent estimated future payments on newly defaulted insured loans and any change in our claim estimates for previously existing defaults. Claims incurred is generally affected by a variety of factors, including the state of the economy, changes in housing values, loan and borrower level risk characteristics, the size of loans insured and the percentage of coverage on insured loans.</w:t>
      </w:r>
    </w:p>
    <w:p>
      <w:pPr>
        <w:spacing w:after="0" w:line="1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Reserves for claims and allocated claim expenses are established for mortgage loan defaults, which we refer to as case reserves, when we are notified that a borrower has missed two or more mortgage payments (</w:t>
      </w:r>
      <w:r>
        <w:rPr>
          <w:rFonts w:ascii="Arial" w:cs="Arial" w:eastAsia="Arial" w:hAnsi="Arial"/>
          <w:sz w:val="17"/>
          <w:szCs w:val="17"/>
          <w:i w:val="1"/>
          <w:iCs w:val="1"/>
          <w:color w:val="auto"/>
        </w:rPr>
        <w:t>i.e.</w:t>
      </w:r>
      <w:r>
        <w:rPr>
          <w:rFonts w:ascii="Arial" w:cs="Arial" w:eastAsia="Arial" w:hAnsi="Arial"/>
          <w:sz w:val="17"/>
          <w:szCs w:val="17"/>
          <w:color w:val="auto"/>
        </w:rPr>
        <w:t>, an NOD). We also make estimates of IBNR defaults, which are defaults that have been incurred but have not been reported by loan servicers, based on historical reporting trends, and establish IBNR reserves for those estimates. We also establish reserves for unallocated claims expenses not associated with a specific claim. The claims expenses consist of the estimated cost of the claim administration process, including legal and other fees as well as other general expenses of administering the claims settlement process.</w:t>
      </w:r>
    </w:p>
    <w:p>
      <w:pPr>
        <w:spacing w:after="0" w:line="1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valuation.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We will not cede reserves to the reinsurer under the 2017 ILN and 2018 ILN Transactions unless losses exceed the respective retained coverage layers. Reserves are not established for future claims on insured loans which are not currently in default.</w:t>
      </w:r>
    </w:p>
    <w:p>
      <w:pPr>
        <w:spacing w:after="0" w:line="1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on our experience and industry data, we believe that claims incidence for mortgage insurance is generally highest in the third through sixth years after loan origination. Although the claims experience on new primary insurance written by us to date has been favorable, we expect incurred claims to increase as a greater amount of our existing insured portfolio reaches its anticipated period of highest claim frequency. We estimate that the loss ratio over the life of our existing primary insured portfolio will be between 20% and 25% of earned premiums, and we price to that expectation. Additionally, our pool insurance agreement with Fannie Mae contains a claim deductible through which Fannie Mae absorbs specified losses before we are obligated to pay any claims. We have not established any pool reserves for claims or IBNR to date.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profile of new business we write in the future. In addition, claims experience will be affected by future macroeconomic factors such as housing prices, interest rates and employment and other events, such as natural disasters. To date, our claims experience is developing at a slower pace than historical trends indicate, as a result of high quality underwriting, a strong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macroeconomic environment and a favorable housing market. For additional discussion of our reserves, see,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6, Reserves for Insurance Claims and Claims Expenses</w:t>
      </w:r>
      <w:r>
        <w:rPr>
          <w:rFonts w:ascii="Arial" w:cs="Arial" w:eastAsia="Arial" w:hAnsi="Arial"/>
          <w:sz w:val="18"/>
          <w:szCs w:val="18"/>
          <w:color w:val="auto"/>
        </w:rPr>
        <w:t>."</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insure mortgages for homes in areas that have been impacted by recent natural disasters, including hurricanes Harvey and Irma and the California wildfires. We do not provide coverage for property or casualty claims related to physical damage of a home underpinning an insured mortgage. We experienced an increase in NODs on insured loans in the impacted areas in the fourth quarter of 2017 and the first quarter of 2018. In the second quarter of 2018, we experienced an increase in cure activity on this NOD population. Our ultimate claims exposure for loans in the impacted areas will depend on the number of NODs received, proximate cause of each default, cure rate of the NOD population, and potential repair cost curtailment for appropriate claims on damaged properties as permitted by our Master Policy. In the event of natural disasters, cure rates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June 30, 2017</w:t>
            </w: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ind w:left="80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270"/>
        </w:trPr>
        <w:tc>
          <w:tcPr>
            <w:tcW w:w="56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318"/>
        </w:trPr>
        <w:tc>
          <w:tcPr>
            <w:tcW w:w="56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2,331</w:t>
            </w:r>
          </w:p>
        </w:tc>
      </w:tr>
      <w:tr>
        <w:trPr>
          <w:trHeight w:val="270"/>
        </w:trPr>
        <w:tc>
          <w:tcPr>
            <w:tcW w:w="56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w:t>
            </w:r>
          </w:p>
        </w:tc>
      </w:tr>
      <w:tr>
        <w:trPr>
          <w:trHeight w:val="318"/>
        </w:trPr>
        <w:tc>
          <w:tcPr>
            <w:tcW w:w="56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563</w:t>
            </w: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r>
      <w:tr>
        <w:trPr>
          <w:trHeight w:val="318"/>
        </w:trPr>
        <w:tc>
          <w:tcPr>
            <w:tcW w:w="56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4,149</w:t>
            </w:r>
          </w:p>
        </w:tc>
      </w:tr>
      <w:tr>
        <w:trPr>
          <w:trHeight w:val="264"/>
        </w:trPr>
        <w:tc>
          <w:tcPr>
            <w:tcW w:w="562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2,382</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899</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5,048</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560" w:firstLine="8"/>
        <w:spacing w:after="0" w:line="244" w:lineRule="auto"/>
        <w:tabs>
          <w:tab w:leader="none" w:pos="187"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Related to ceded losses recoverable under the QSR Transactions, included in "Other Assets" on the Condensed Consolidated Balance Sheets. See Item 1, "</w:t>
      </w:r>
      <w:r>
        <w:rPr>
          <w:rFonts w:ascii="Arial" w:cs="Arial" w:eastAsia="Arial" w:hAnsi="Arial"/>
          <w:sz w:val="14"/>
          <w:szCs w:val="14"/>
          <w:i w:val="1"/>
          <w:iCs w:val="1"/>
          <w:color w:val="auto"/>
        </w:rPr>
        <w:t>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Statements - Notes to Consolidated Financial Statements - Note 5, Reinsurance" </w:t>
      </w:r>
      <w:r>
        <w:rPr>
          <w:rFonts w:ascii="Arial" w:cs="Arial" w:eastAsia="Arial" w:hAnsi="Arial"/>
          <w:sz w:val="14"/>
          <w:szCs w:val="14"/>
          <w:color w:val="auto"/>
        </w:rPr>
        <w:t>for additional information.</w:t>
      </w:r>
    </w:p>
    <w:p>
      <w:pPr>
        <w:spacing w:after="0" w:line="11" w:lineRule="exact"/>
        <w:rPr>
          <w:rFonts w:ascii="Arial" w:cs="Arial" w:eastAsia="Arial" w:hAnsi="Arial"/>
          <w:sz w:val="22"/>
          <w:szCs w:val="22"/>
          <w:color w:val="auto"/>
          <w:vertAlign w:val="superscript"/>
        </w:rPr>
      </w:pPr>
    </w:p>
    <w:p>
      <w:pPr>
        <w:ind w:firstLine="8"/>
        <w:spacing w:after="0" w:line="244" w:lineRule="auto"/>
        <w:tabs>
          <w:tab w:leader="none" w:pos="187"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w:t>
      </w:r>
    </w:p>
    <w:p>
      <w:pPr>
        <w:spacing w:after="0" w:line="1" w:lineRule="exact"/>
        <w:rPr>
          <w:rFonts w:ascii="Arial" w:cs="Arial" w:eastAsia="Arial" w:hAnsi="Arial"/>
          <w:sz w:val="22"/>
          <w:szCs w:val="22"/>
          <w:color w:val="auto"/>
          <w:vertAlign w:val="superscript"/>
        </w:rPr>
      </w:pPr>
    </w:p>
    <w:p>
      <w:pPr>
        <w:ind w:left="200" w:hanging="192"/>
        <w:spacing w:after="0" w:line="196"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defaults occurring in prior years, which have been continuously in default since that time.</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"claims incurred" section of the table above shows claims and claim expenses incurred on NODs for current and prior years, including IBNR reserves. The amount of claims incurred for current year NODs represents the estimated amount to be ultimately paid on such loans in default. The decreases during the periods presented in reserves held for prior year defaults represent favorable development and are generally the result of NOD cures and ongoing analysis of recent loss development trends. We may increase or decrease our original estimates as we learn additional information about individual defaults and claims, and continue to observe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and analyze loss development trends in our portfolio. Gross reserves of $5.9 million related to prior year defaults remained as of June 30,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For the three months ended</w:t>
            </w:r>
          </w:p>
        </w:tc>
        <w:tc>
          <w:tcPr>
            <w:tcW w:w="306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160" w:type="dxa"/>
            <w:vAlign w:val="bottom"/>
          </w:tcPr>
          <w:p>
            <w:pPr>
              <w:spacing w:after="0"/>
              <w:rPr>
                <w:sz w:val="22"/>
                <w:szCs w:val="22"/>
                <w:color w:val="auto"/>
              </w:rPr>
            </w:pPr>
          </w:p>
        </w:tc>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2018</w:t>
            </w: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2017</w:t>
            </w: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2018</w:t>
            </w:r>
          </w:p>
        </w:tc>
        <w:tc>
          <w:tcPr>
            <w:tcW w:w="148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271</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r>
      <w:tr>
        <w:trPr>
          <w:trHeight w:val="20"/>
        </w:trPr>
        <w:tc>
          <w:tcPr>
            <w:tcW w:w="5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the ending default inventory at June 30, 2018 compared to June 30, 2017 was primarily due to new defaults on insured loans in areas impacted by hurricanes Harvey and Irma and the California wildfires, as well as the aging of earlier book years and an increase in the overall number of policies in our portfolio which, historically drives a general increase in defaults.</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details of our claims paid, before giving effect to claims ceded under the 2016 QSR Transaction, for the periods indicated. No claims paid were ceded under the 2018 QSR Transaction during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 2017</w:t>
            </w: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3"/>
          </w:tcPr>
          <w:p>
            <w:pPr>
              <w:jc w:val="right"/>
              <w:ind w:right="1036"/>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6"/>
        </w:trPr>
        <w:tc>
          <w:tcPr>
            <w:tcW w:w="50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Total amount paid for claims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607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429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1,089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571</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amount paid per claim </w:t>
            </w:r>
            <w:r>
              <w:rPr>
                <w:rFonts w:ascii="Arial" w:cs="Arial" w:eastAsia="Arial" w:hAnsi="Arial"/>
                <w:sz w:val="25"/>
                <w:szCs w:val="25"/>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48</w:t>
            </w:r>
          </w:p>
        </w:tc>
      </w:tr>
      <w:tr>
        <w:trPr>
          <w:trHeight w:val="341"/>
        </w:trPr>
        <w:tc>
          <w:tcPr>
            <w:tcW w:w="5000" w:type="dxa"/>
            <w:vAlign w:val="bottom"/>
          </w:tcPr>
          <w:p>
            <w:pPr>
              <w:ind w:left="40"/>
              <w:spacing w:after="0"/>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(3)</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72"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Count includes claims settled without payment.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Calculation is net of claims settled without payment.</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divided by the related RIF on the loan at the time the claim is perfected.</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the number of claims paid for the three and six months ended June 30, 2018, compared to the same periods ended June 30, 2017 is due to an increase in our default inventory. Claims settled without payment are included in claim counts, but excluded from averages. Over time, we expect the severity of claims paid to be between 85% and 95% of the coverage amount. We believe our severity for the period ended June 30, 2018 is below long-term expectations due to home price appreciation in recent periods.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our average reserve per default, before giving effect to reserves ceded under the QSR Transactions, as of the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 June 30, 2018</w:t>
            </w: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3"/>
              </w:rPr>
              <w:t>As of June 30, 2017</w:t>
            </w:r>
          </w:p>
        </w:tc>
      </w:tr>
      <w:tr>
        <w:trPr>
          <w:trHeight w:val="250"/>
        </w:trPr>
        <w:tc>
          <w:tcPr>
            <w:tcW w:w="6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Pr>
          <w:p>
            <w:pPr>
              <w:spacing w:after="0"/>
              <w:rPr>
                <w:sz w:val="21"/>
                <w:szCs w:val="21"/>
                <w:color w:val="auto"/>
              </w:rPr>
            </w:pP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IBNR</w:t>
            </w:r>
          </w:p>
        </w:tc>
        <w:tc>
          <w:tcPr>
            <w:tcW w:w="300" w:type="dxa"/>
            <w:vAlign w:val="bottom"/>
          </w:tcPr>
          <w:p>
            <w:pPr>
              <w:spacing w:after="0"/>
              <w:rPr>
                <w:sz w:val="21"/>
                <w:szCs w:val="21"/>
                <w:color w:val="auto"/>
              </w:rPr>
            </w:pPr>
          </w:p>
        </w:tc>
        <w:tc>
          <w:tcPr>
            <w:tcW w:w="188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0"/>
        </w:trPr>
        <w:tc>
          <w:tcPr>
            <w:tcW w:w="6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average reserve per default at June 30, 2018 decreased from June 30, 2017, primarily due to defaults on insured loans in areas impacted by hurricanes Harvey and Irma and the California wildfires. As of June 30, 2018, 215 of the 768 loans in default relate to homes in areas declared by FEMA to be disaster zones following the aforementioned natural disasters. We anticipate that this population of loans in default will cure at a higher rate than the estimated rate we apply to non-disaster related loans in default,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due to our Master Policy coverage terms, historical industry experience, and current economic indicators and relief programs. As such, we have established lower reserves for these NODs than we otherwise do for similarly situated NODs in non-disaster zones. Over time, we anticipate that our average reserve per default will revert to our historical averages as the NODs in these zones cure.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current vs. delinquent), LTV and other risk features. An asset charge is calculated for each insured loan based on its risk profile. In general, higher quality loans carry lower charges.</w:t>
      </w:r>
    </w:p>
    <w:p>
      <w:pPr>
        <w:spacing w:after="0" w:line="1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Under the PMIERs financial requirements,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must maintain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that equal or exceed </w:t>
      </w:r>
      <w:r>
        <w:rPr>
          <w:rFonts w:ascii="Arial" w:cs="Arial" w:eastAsia="Arial" w:hAnsi="Arial"/>
          <w:sz w:val="16"/>
          <w:szCs w:val="16"/>
          <w:i w:val="1"/>
          <w:iCs w:val="1"/>
          <w:color w:val="auto"/>
        </w:rPr>
        <w:t>minimum required assets</w:t>
      </w:r>
      <w:r>
        <w:rPr>
          <w:rFonts w:ascii="Arial" w:cs="Arial" w:eastAsia="Arial" w:hAnsi="Arial"/>
          <w:sz w:val="16"/>
          <w:szCs w:val="16"/>
          <w:color w:val="auto"/>
        </w:rPr>
        <w:t xml:space="preserve">, which is an amount equal to the greater of (i) $400 million or (ii) a total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is a function of the risk profile of an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net RIF, calculated by applying on a loan-by-loan basis certain risk-based factors derived from tables set out in the PMIERs to the net RIF, and other transactional adjustments approved by the GSEs, such as with respect to our 2017 ILN Transaction and QSR Transactions.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for primary insurance is subject to a floor of 5.6% of total, performing, primary RIF, and the </w:t>
      </w:r>
      <w:r>
        <w:rPr>
          <w:rFonts w:ascii="Arial" w:cs="Arial" w:eastAsia="Arial" w:hAnsi="Arial"/>
          <w:sz w:val="16"/>
          <w:szCs w:val="16"/>
          <w:i w:val="1"/>
          <w:iCs w:val="1"/>
          <w:color w:val="auto"/>
        </w:rPr>
        <w:t>risk-based required asset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amount </w:t>
      </w:r>
      <w:r>
        <w:rPr>
          <w:rFonts w:ascii="Arial" w:cs="Arial" w:eastAsia="Arial" w:hAnsi="Arial"/>
          <w:sz w:val="16"/>
          <w:szCs w:val="16"/>
          <w:color w:val="auto"/>
        </w:rPr>
        <w:t>for pool insurance considers both the factors in the tables and the</w:t>
      </w:r>
      <w:r>
        <w:rPr>
          <w:rFonts w:ascii="Arial" w:cs="Arial" w:eastAsia="Arial" w:hAnsi="Arial"/>
          <w:sz w:val="16"/>
          <w:szCs w:val="16"/>
          <w:i w:val="1"/>
          <w:iCs w:val="1"/>
          <w:color w:val="auto"/>
        </w:rPr>
        <w:t xml:space="preserve"> net remaining stop loss </w:t>
      </w:r>
      <w:r>
        <w:rPr>
          <w:rFonts w:ascii="Arial" w:cs="Arial" w:eastAsia="Arial" w:hAnsi="Arial"/>
          <w:sz w:val="16"/>
          <w:szCs w:val="16"/>
          <w:color w:val="auto"/>
        </w:rPr>
        <w:t>for each pool insurance policy. The PMIERs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requirements also increase the amount of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that must be held by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for LPMI policies originated on or after January 1, 2016.</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2018 that NMIC was in full compliance with the PMIERs as of December 31, 2017. NMIC also has an ongoing obligation to immediately notify the GSEs in writing upon discovery of a material failure to meet one or more of the PMIERs requirements. We continuously monitor our compliance with the PMIERs.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the PMIERs financial requirements as reported by NMIC as of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6"/>
                <w:szCs w:val="16"/>
                <w:color w:val="auto"/>
              </w:rPr>
            </w:pPr>
          </w:p>
        </w:tc>
      </w:tr>
      <w:tr>
        <w:trPr>
          <w:trHeight w:val="250"/>
        </w:trPr>
        <w:tc>
          <w:tcPr>
            <w:tcW w:w="8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June 30, 2018</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0"/>
              </w:rPr>
              <w:t>June 30, 2017</w:t>
            </w:r>
          </w:p>
        </w:tc>
      </w:tr>
      <w:tr>
        <w:trPr>
          <w:trHeight w:val="250"/>
        </w:trPr>
        <w:tc>
          <w:tcPr>
            <w:tcW w:w="8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gridSpan w:val="3"/>
          </w:tcPr>
          <w:p>
            <w:pPr>
              <w:jc w:val="right"/>
              <w:ind w:right="716"/>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9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Available assets</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653,080</w:t>
            </w:r>
          </w:p>
        </w:tc>
        <w:tc>
          <w:tcPr>
            <w:tcW w:w="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485,019</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Risk-based required assets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587,235</w:t>
            </w:r>
          </w:p>
        </w:tc>
        <w:tc>
          <w:tcPr>
            <w:tcW w:w="2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298,091</w:t>
            </w:r>
          </w:p>
        </w:tc>
      </w:tr>
    </w:tbl>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The increase in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of $168 million as of June 30, 2018 compared to June 30, 2017 is driven by our positive cash flow from operations and a $70 million capital contribution from NMIH to NMIC during the second quarter of 2018, partially offset by an increase in our unearned premium reserve. The increase in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is due to the growth of our gross RIF and, to a lesser extent, an increase in our NOD population, which has a higher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charge, partially offset by the cession of risk relating to our third-party reinsurance agreements.</w:t>
      </w:r>
    </w:p>
    <w:p>
      <w:pPr>
        <w:spacing w:after="0" w:line="10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December 18, 2017, the GSEs provided us with a confidential summary of the proposed changes to the PMIERs financial, business and other requirements that they are developing with the FHFA. On June 27, 2018, we received a revised draft of the proposed changes to the PMIERs. All of the information and discussions regarding the revised PMIERs are subject to non-disclosure agreements. We currently expect the GSEs to issue final revised PMIERs in the third quarter of 2018, and that any changes therein will become effective on March 31, 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GSE-imposed asset requirements, NMIC is also subject to state regulatory minimum capital requirements based on its RIF. While formulations of this minimum capital may vary by jurisdiction, the most common measure allows for a maximum permitted RTC ratio of 25:1.</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2018, NMIC's primary RIF, net of reinsurance, was approximately $9.5 billion. NMIC ceded 100% of its pool RIF pursuant to the 2016 QSR Transaction. Based on NMIC's total statutory surplus of $659.2 million (including contingency reserves) as of June 30, 2018, NMIC's RTC ratio was 14.4:1. Re One had total statutory capital of $34.4 million as of June 30,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with a RTC ratio of 0.9:1. We continuously monitor our compliance with state capital requirements.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2018, Moody's Investors Service (Moody's) upgraded its financial strength rating from "Ba1" to "Baa3" for NMIC and issued a "Ba3" rating for NMIH's $150 million senior secured 2018 Term Loan, compared to its previous "B1" rating on the 2015 Term Loan. The outlook for both ratings is stable. In July 2018, S&amp;P affirmed its "BBB-" financial strength and long-term counter-party credit ratings on NMIC and its "BB-" long-term counter-party credit rating on NMIH. The outlook on both ratings is positive.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public MIs like the FHA and the VA. Private MI companies compete based on service, customer relationships, underwriting and other factors, including price. We expect the MI market to remain competitive, with pressure for industry participants to grow or maintain their market share.</w:t>
      </w:r>
    </w:p>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private MI industry overall competes more broadly with public MIs who significantly increased their presence in the MI market following the financial crisis. Although there has been broad policy consensus toward the need for private capital to play a larger role and government credit risk to be reduced in the U.S. housing finance system, it remains difficult to predict whether the combined market share of public MIs will recede to historical levels. A range of factors influence a lender's decision to choose private over public MI, including among others, premium rates and other charges, loan eligibility requirements, cancelability, loan size limits and the relative ease of use of private MI products compared to public MI alternatives.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June 30, 2017</w:t>
            </w:r>
          </w:p>
        </w:tc>
      </w:tr>
      <w:tr>
        <w:trPr>
          <w:trHeight w:val="251"/>
        </w:trPr>
        <w:tc>
          <w:tcPr>
            <w:tcW w:w="49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60" w:type="dxa"/>
            <w:vAlign w:val="bottom"/>
            <w:gridSpan w:val="5"/>
          </w:tcPr>
          <w:p>
            <w:pPr>
              <w:ind w:left="9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61,615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37,917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116,529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71,142</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5,735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10,309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7,715</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realized investment gains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130</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265</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67,453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42,198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127,005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79,252</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Insurance claims and claim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2,008</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Underwriting and operating expenses</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29,020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28,048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57,473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54,037</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29,663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29,421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59,685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56,045</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(177)</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(5,560)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(8,979)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(6,794)</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32,339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58,870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16,236</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7,098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4,732</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25,241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47,596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11,504</w:t>
            </w: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9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49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r>
      <w:tr>
        <w:trPr>
          <w:trHeight w:val="23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7"/>
        </w:trPr>
        <w:tc>
          <w:tcPr>
            <w:tcW w:w="4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Loss ratio is calculated by dividing the provision for insurance claims and claims expenses by net premiums earned.</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Expense ratio is calculated by dividing other underwriting and operating expenses by net premiums earned.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2018, net premiums earned increased $23.7 million or 62% and $45.4 million or 64%, respectively, compared to the three and six months ended June 30, 2017. The increase in both periods is primarily due to the growth of our IIF and increased monthly policy production, partially offset by cessions under the QSR Transactions tied to the growth of our direct premium volume and the inception of the 2017 ILN Transaction in May 2017.</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six months ended June 30, 2018, net investment income increased $1.8 million and $2.6 million, compared to the three and six months ended June 30, 2017, due to an increase in the size of and improved yields on our total investment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Insurance claims and claim expenses decreased $0.7 million or 53% for the three months ended June 30, 2018, compared to the three months ended June 30, 2017. The decrease was primarily driven by the cure activity and decline in the number of NODs on insured loans impacted by Hurricanes Harvey and Irma and the California wildfires, and the release of previously established reserves on such loans. Insurance claims and claim expenses increased $0.2 million, or 10% for the six months ended June 30, 2018, compared to the six months ended June 30, 2017, as a result of an increase in NODs, driven by new defaults on insured loans, and an increase in the overall number of policies in our portfolio and aging of earlier book years, offset by the partial release of reserves related to prior year defaults.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jc w:val="both"/>
        <w:ind w:firstLine="648"/>
        <w:spacing w:after="0" w:line="255" w:lineRule="auto"/>
        <w:rPr>
          <w:sz w:val="20"/>
          <w:szCs w:val="20"/>
          <w:color w:val="auto"/>
        </w:rPr>
      </w:pPr>
      <w:r>
        <w:rPr>
          <w:rFonts w:ascii="Arial" w:cs="Arial" w:eastAsia="Arial" w:hAnsi="Arial"/>
          <w:sz w:val="18"/>
          <w:szCs w:val="18"/>
          <w:color w:val="auto"/>
        </w:rPr>
        <w:t>Underwriting and operating expenses increased $1.0 million or 3% and $3.4 million or 6%, for the three and six months ended June 30, 2018, respectively, compared to the three and six months ended June 30, 2017. Employee compensation accounts for the majority of our operating expenses. We increased the size of our workforce from 297 employees as of June 30, 2017 to 301 employees as of June 30, 2018 to support the growth of our business, particularly in our operating functions. We incurred $0.7 million of underwriting and operating expenses in the second quarter of 2018 in connection with the 2018 ILN Transaction. Underwriting and operating expenses for the six months ended June 30, 2017 included $4.8 million related to the 2017 ILN Transaction and an amendment of the 2015 Credit Agreement.</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was $5.6 million $9.0 million for three and six months ended June 30, 2018, respectively, compared to $3.3 million and $6.8 million, respectively, for the three and six months ended June 30, 2017. Interest expense in the second quarter of 2018 included $2.2 million of costs related to the extinguishment of the 2015 Term Loan and issuance of the 2018 Term Loan. We expect interest costs to decline in the future in connection with the reduction in the interest spread payable on our borrowings under the 2018 Term Loan as compared to the 2015 Term Loan. See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Notes to Condensed Consolidated Financial Statements - Note 4, Debt Obligations.</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Income tax expense increased to $11.3 million for the six months ended June 30, 2018 from $4.7 million for the six months ended June 30, 2017 because of the growth in our pre-tax income, partially offset by a decrease in our effective tax rate. Our effective tax rate on our pre-tax income decreased to 19.2% for the six months ended June 30, 2018 from 29.1% for the six months ended June 30, 2017, primarily because the TCJA reduced the statutory U.S. federal corporate income tax rate to 21% for the current and all future years from 35% for all prior years through December 31, 2017. Our provision for income taxes for interim periods is established based on our estimated annual effective tax rate for a given year. We expect our annual effective tax rate for the year ending December 31, 2018 will approximate the current 21% statutory U.S. federal corporate income tax rate. See Item 1, "</w:t>
      </w:r>
      <w:r>
        <w:rPr>
          <w:rFonts w:ascii="Arial" w:cs="Arial" w:eastAsia="Arial" w:hAnsi="Arial"/>
          <w:sz w:val="17"/>
          <w:szCs w:val="17"/>
          <w:i w:val="1"/>
          <w:iCs w:val="1"/>
          <w:color w:val="auto"/>
        </w:rPr>
        <w:t>Financial Statements -</w:t>
      </w:r>
      <w:r>
        <w:rPr>
          <w:rFonts w:ascii="Arial" w:cs="Arial" w:eastAsia="Arial" w:hAnsi="Arial"/>
          <w:sz w:val="17"/>
          <w:szCs w:val="17"/>
          <w:color w:val="auto"/>
        </w:rPr>
        <w:t xml:space="preserve"> </w:t>
      </w:r>
      <w:r>
        <w:rPr>
          <w:rFonts w:ascii="Arial" w:cs="Arial" w:eastAsia="Arial" w:hAnsi="Arial"/>
          <w:sz w:val="17"/>
          <w:szCs w:val="17"/>
          <w:i w:val="1"/>
          <w:iCs w:val="1"/>
          <w:color w:val="auto"/>
        </w:rPr>
        <w:t>Notes to Condensed Consolidated Financial Statements - Note 9, Income Taxes.</w:t>
      </w:r>
      <w:r>
        <w:rPr>
          <w:rFonts w:ascii="Arial" w:cs="Arial" w:eastAsia="Arial" w:hAnsi="Arial"/>
          <w:sz w:val="17"/>
          <w:szCs w:val="17"/>
          <w:color w:val="auto"/>
        </w:rPr>
        <w:t>"</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838,265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715,875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16,454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19,196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42,363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37,925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reinsurance premiums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35,798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40,250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17,166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13,692</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1,016,479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894,848</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Term loan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147,262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143,882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163,166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21,407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23,364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Reinsurance funds withheld</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31,011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34,102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ceding commission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7,472</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386,837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385,771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629,642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509,077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1,016,479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894,848</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2018, we had approximately $854.7 million in cash and investments, including $57.8 million held at NMIH. The increase in cash and cash equivalents and investments from December 31, 2017 primarily relates to net proceeds of approximately $79.2 million from the common stock offering completed in March 2018 and cash generated from operations.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Premiums receivable was $31.3 million as of June 30, 2018, compared to $25.2 million as of December 31, 2017. The increase was primarily driven by the increase in our monthly premium policies in force, where premiums are generally paid one month in arrears.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jc w:val="both"/>
        <w:ind w:firstLine="648"/>
        <w:spacing w:after="0" w:line="259" w:lineRule="auto"/>
        <w:rPr>
          <w:sz w:val="20"/>
          <w:szCs w:val="20"/>
          <w:color w:val="auto"/>
        </w:rPr>
      </w:pPr>
      <w:r>
        <w:rPr>
          <w:rFonts w:ascii="Arial" w:cs="Arial" w:eastAsia="Arial" w:hAnsi="Arial"/>
          <w:sz w:val="18"/>
          <w:szCs w:val="18"/>
          <w:color w:val="auto"/>
        </w:rPr>
        <w:t>Net deferred policy acquisition costs were $42.4 million as of June 30, 2018, compared to $37.9 million at December 31, 2017. The increase was driven by growth in the number of policies written during the period ended June 30, 2018 and the deferral of certain costs associated with the origination of those policies, partially offset by the amortization of previously deferred acquisition costs and the capitalization of ceding commissions associated with the 2016 QSR Transaction during the period.</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Prepaid reinsurance premiums were $35.8 million as of June 30, 2018, compared to $40.3 million as of December 31, 2017. The prepaid reinsurance premiums balance represents the ceded unearned premiums reserve on the single premium policies under the 2016 QSR Transaction. The reinsurance coverage period of the 2016 QSR Transaction ended for new premiums written after December 31, 2017, and under our 2018 QSR Transaction we cede premiums on an earned basis. Consequently, we did not cede any unearned premium reserves on single premium policies with coverage effective dates on or after January 1, 2018. The decrease in prepaid reinsurance premiums reflects the amortization of the unearned premium balance on single premium policies ceded under the 2016 QSR Transaction.</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deferred tax assets decreased to $12.4 million as of June 30, 2018, from $19.9 million at December 31, 2017, primarily due to the utilization of net operating loss carryforwards during the period. For further information regarding income taxes and their impact on our results of operations and financial position, see Item 1, "</w:t>
      </w:r>
      <w:r>
        <w:rPr>
          <w:rFonts w:ascii="Arial" w:cs="Arial" w:eastAsia="Arial" w:hAnsi="Arial"/>
          <w:sz w:val="17"/>
          <w:szCs w:val="17"/>
          <w:i w:val="1"/>
          <w:iCs w:val="1"/>
          <w:color w:val="auto"/>
        </w:rPr>
        <w:t>Financial Statements - Notes to Condensed Consolidated Financial Statements - Note 9, Income Taxes.</w:t>
      </w:r>
      <w:r>
        <w:rPr>
          <w:rFonts w:ascii="Arial" w:cs="Arial" w:eastAsia="Arial" w:hAnsi="Arial"/>
          <w:sz w:val="17"/>
          <w:szCs w:val="17"/>
          <w:color w:val="auto"/>
        </w:rPr>
        <w: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assets increased to $17.1 million as of June 30, 2018 from $13.7 million as of December 31, 2017, driven by an increase in accrued investment income and prepaid expense for advance payments on rent and insurance costs, as well as the capitalization of $1.5 million deferred debt issuance costs in connection with the establishment of the 2018 Revolving Credit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Unearned premiums increased $2.5 million to $165.7 million as of June 30, 2018, primarily due to single premium policy origination during the period, partially offset by the amortization through earnings of existing unearned premiums in accordance with the expiration of risk on the related policies and the cancellation of other single premium policies.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payable and accrued expense decreased to $21.4 million as of June 30, 2018, from $23.4 million at December 31, 2017. The decrease was driven by the payment, during the first quarter of 2018, of bonuses accrued at year end.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Reserve for insurance claims and claim expenses increased $1.8 million to $10.6 million at June 30, 2018, primarily due to an increase in the number of new defaults and the aging of existing defaults in our general loan population, offset by the release of reserves on cured defaults on insured loans impacted by natural disasters in 2017. See "</w:t>
      </w:r>
      <w:r>
        <w:rPr>
          <w:rFonts w:ascii="Arial" w:cs="Arial" w:eastAsia="Arial" w:hAnsi="Arial"/>
          <w:sz w:val="18"/>
          <w:szCs w:val="18"/>
          <w:i w:val="1"/>
          <w:iCs w:val="1"/>
          <w:color w:val="auto"/>
        </w:rPr>
        <w:t>- Insurance Claims and Claims Expenses</w:t>
      </w:r>
      <w:r>
        <w:rPr>
          <w:rFonts w:ascii="Arial" w:cs="Arial" w:eastAsia="Arial" w:hAnsi="Arial"/>
          <w:sz w:val="18"/>
          <w:szCs w:val="18"/>
          <w:color w:val="auto"/>
        </w:rPr>
        <w:t>," above for further details.</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Reinsurance funds withheld was $31.0 million as of June 30, 2018, representing ceded premiums written, less our profit and ceding commission receivables under the 2016 QSR Transaction. The decrease in reinsurance funds withheld of $3.1 million from December 31, 2017, was a result of a decline in ceded premiums written on single premium policies, due to the end of the effective reinsurance coverage period of the 2016 QSR Transaction at December 31, 2017. See, Item 1, "</w:t>
      </w:r>
      <w:r>
        <w:rPr>
          <w:rFonts w:ascii="Arial" w:cs="Arial" w:eastAsia="Arial" w:hAnsi="Arial"/>
          <w:sz w:val="16"/>
          <w:szCs w:val="16"/>
          <w:i w:val="1"/>
          <w:iCs w:val="1"/>
          <w:color w:val="auto"/>
        </w:rPr>
        <w:t>Financial Statements - Notes to Condensed Consolidated Financial Statements - Note 5, Reinsurance</w:t>
      </w:r>
      <w:r>
        <w:rPr>
          <w:rFonts w:ascii="Arial" w:cs="Arial" w:eastAsia="Arial" w:hAnsi="Arial"/>
          <w:sz w:val="16"/>
          <w:szCs w:val="16"/>
          <w:color w:val="auto"/>
        </w:rPr>
        <w: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Warrant liability decreased to $6.4 million at June 30, 2018, compared to $7.5 million at December 31, 2017, primarily due to the decrease in our common stock price during the period, with additional impact related to changes in the Black-Scholes model inputs and exercises of outstanding warrants. For further information regarding valuation of our warrant liability and their impact on our results of operations and financial position, see Item 1,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Notes to Condensed Consolidated Financial Statements - Note 3, Fair Value of Financial Instruments.</w:t>
      </w:r>
      <w:r>
        <w:rPr>
          <w:rFonts w:ascii="Arial" w:cs="Arial" w:eastAsia="Arial" w:hAnsi="Arial"/>
          <w:sz w:val="17"/>
          <w:szCs w:val="17"/>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For the six months ended June 30,</w:t>
            </w:r>
          </w:p>
        </w:tc>
      </w:tr>
      <w:tr>
        <w:trPr>
          <w:trHeight w:val="250"/>
        </w:trPr>
        <w:tc>
          <w:tcPr>
            <w:tcW w:w="79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w:t>
            </w:r>
          </w:p>
        </w:tc>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61,353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14,592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(142,193)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(40,154)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78,098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(27,711)</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operating activities was $61.4 million for the six months ended June 30, 2018, compared to $14.6 million for the six months ended June 30, 2017. The increase in cash generated from operating activities was primarily driven by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65"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growth in premiums written and investment income, and a reduction in interest payments, partially offset by higher claims paid due to an increase in our default inventory.</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for the periods presented was driven by the purchase of fixed and short-term maturities during those periods. Cash used in investing activities for the six months ended June 30, 2018, reflects, in part, the investment of net proceeds from the common stock offering completed in March 2018.</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provided by financing activities was $78.1 million for the six months ended June 30, 2018, compared to cash used in financing activities of $2.1 million for the six months ended June 30, 2017. The increase was driven by the $79.2 million net cash proceeds of the common stock offering we completed in March 2018, partially offset by the net cash paid in connection with the extinguishment of the 2015 Term Loan, and establishment of the 2018 Term Loan and 2018 Revolving Credit Facility, as well as an increase in taxes paid on the net share settlement of equity awards.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payment of principal and interest related to the Term Loan; (iv) tax payments to the Internal Revenue Service; (v) capital support for its subsidiaries; and</w:t>
      </w:r>
    </w:p>
    <w:p>
      <w:pPr>
        <w:spacing w:after="0" w:line="32" w:lineRule="exact"/>
        <w:rPr>
          <w:rFonts w:ascii="Arial" w:cs="Arial" w:eastAsia="Arial" w:hAnsi="Arial"/>
          <w:sz w:val="16"/>
          <w:szCs w:val="16"/>
          <w:color w:val="auto"/>
        </w:rPr>
      </w:pPr>
    </w:p>
    <w:p>
      <w:pPr>
        <w:jc w:val="both"/>
        <w:ind w:firstLine="8"/>
        <w:spacing w:after="0" w:line="255"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surplus or recent net profits (subject to certain limitations).</w:t>
      </w:r>
    </w:p>
    <w:p>
      <w:pPr>
        <w:spacing w:after="0" w:line="13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June 30, 2018, NMIH had $57.8 million of cash and investments. NMIH's principal source of net operating cash is investment income. NMIH also has access to the $85 million 2018 Revolving Credit Facility and in the future could benefit from dividends from NMIC and Re One, if available and permitted under law and by the GSEs.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2018, NMIH completed the sale of 4.3 million shares of common stock, including the exercise of a 15% overallotment option to purchase additional shares, and raised proceeds of approximately $79.2 million, net of underwriting discounts, commissions and other direct offering expenses. In April, 2018, NMIH made a capital contribution of $70 million to NMIC.</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but such approval may be changed or revoked at any time. With the Wisconsin OCI's approval, NMIH began allocating the interest expense on its 2015 Term Loan to NMIC in the first quarter of 2017, consistent with the benefits NMIC received when NMIH down-streamed the loan proceeds to NMIC. NMIH received similar approval from the Wisconsin OCI to allocate interest expense to NMIC on the 2018 Term Loan and 2018 Revolving Credit Facility.</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ability to pay dividends to NMIH is subject to insurance department notice or approval. Under Wisconsin law, insurance companies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preceeding December 31.</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has never paid any dividends to NMIH. NMIC reported a statutory net loss for the 12 months ended December 31, 2017 and cannot pay any dividends to NMIH through December 31, 2018 without the prior approval of the Wisconsin OCI. Re One has never paid dividends to NMIH. Re One currently has the capacity to pay ordinary dividends of $505 thousand to NMIH. Certain other states in which NMIC and Re One are licensed also have statutes or regulations that may restrict their ability to pay dividends.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NMIC's capital needs depend on many factors including its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state capital requirements. NMIC's capital needs also depend on its decision to access the reinsurance markets. NMIH may require liquidity to fund the capital needs of its insurance subsidiaries.</w:t>
      </w:r>
    </w:p>
    <w:p>
      <w:pPr>
        <w:spacing w:after="0" w:line="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24, 2018, NMIH entered into the 2018 Credit Agreement covering the 2018 Term Loan and 2018 Revolving Credit Facility. The 2018 Term Loan bears interest at the Eurodollar Rate, as defined in the 2018 Credit Agreement and subject to a 1.00% floor, plus an annual margin rate of 4.75%, payable monthly based on our current interest period election. Borrowings under the 2018 Revolving Credit Facility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The 2018 Credit Agreement also requires a quarterly commitment fee on the average daily undrawn amount ranging from 0.30% to 0.60%, based on the applicable corporate credit rating at the time.</w:t>
      </w:r>
    </w:p>
    <w:p>
      <w:pPr>
        <w:spacing w:after="0" w:line="1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2018 Credit Agreement contains certain covenants for the 2018 Term Loan , including (but not limited to) the financial covenant of a maximum debt-to-total capitalization ratio of 35%, and certain covenants for the 2018 Revolving Credit Facility, including (but not limited to) the following financial covenants: a maximum debt-to-total capitalization ratio of 35%, a minimum liquidity requirement, compliance with the PMIERs financial requirements (subject to any GSE-approved waivers), and minimum consolidated net worth and statutory capital requirements.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primary objectives with respect to our investment portfolio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Substantially all of our investment portfolio is held in fixed maturity instruments. As of June 30, 2018, the fair value of our investment portfolio was $838.3 million. We also had an additional $16.5 million of cash and equivalents as of June 30, 2018. Pre-tax book yield on the portfolio for the six months ended June 30, 2018 was 2.6%. The book yield is calculated as period-to-date net investment income divided by the average amortized cost of the investment portfolio. Yield on the investment portfolio is likely to change over time based on movements in interest rates, the duration or mix of our investment portfolio and other factors.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60" w:type="dxa"/>
            <w:vAlign w:val="bottom"/>
          </w:tcPr>
          <w:p>
            <w:pPr>
              <w:spacing w:after="0"/>
              <w:rPr>
                <w:sz w:val="16"/>
                <w:szCs w:val="16"/>
                <w:color w:val="auto"/>
              </w:rPr>
            </w:pPr>
          </w:p>
        </w:tc>
        <w:tc>
          <w:tcPr>
            <w:tcW w:w="1800" w:type="dxa"/>
            <w:vAlign w:val="bottom"/>
            <w:gridSpan w:val="3"/>
          </w:tcPr>
          <w:p>
            <w:pPr>
              <w:ind w:left="40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Pr>
          <w:p>
            <w:pPr>
              <w:spacing w:after="0"/>
              <w:rPr>
                <w:sz w:val="16"/>
                <w:szCs w:val="16"/>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r>
      <w:tr>
        <w:trPr>
          <w:trHeight w:val="257"/>
        </w:trPr>
        <w:tc>
          <w:tcPr>
            <w:tcW w:w="7700" w:type="dxa"/>
            <w:vAlign w:val="bottom"/>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4"/>
        </w:trPr>
        <w:tc>
          <w:tcPr>
            <w:tcW w:w="7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8"/>
                <w:szCs w:val="8"/>
                <w:b w:val="1"/>
                <w:bCs w:val="1"/>
                <w:color w:val="auto"/>
              </w:rPr>
              <w:t>(1)</w:t>
            </w:r>
          </w:p>
        </w:tc>
        <w:tc>
          <w:tcPr>
            <w:tcW w:w="6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June 30, 2018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70"/>
        </w:trPr>
        <w:tc>
          <w:tcPr>
            <w:tcW w:w="770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AA</w:t>
            </w:r>
            <w:r>
              <w:rPr>
                <w:rFonts w:ascii="Arial" w:cs="Arial" w:eastAsia="Arial" w:hAnsi="Arial"/>
                <w:sz w:val="12"/>
                <w:szCs w:val="12"/>
                <w:color w:val="auto"/>
              </w:rPr>
              <w:t>(2)</w:t>
            </w:r>
          </w:p>
        </w:tc>
        <w:tc>
          <w:tcPr>
            <w:tcW w:w="1760" w:type="dxa"/>
            <w:vAlign w:val="bottom"/>
            <w:gridSpan w:val="2"/>
          </w:tcPr>
          <w:p>
            <w:pPr>
              <w:jc w:val="right"/>
              <w:ind w:right="42"/>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gridSpan w:val="2"/>
          </w:tcPr>
          <w:p>
            <w:pPr>
              <w:jc w:val="right"/>
              <w:ind w:right="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r>
      <w:tr>
        <w:trPr>
          <w:trHeight w:val="270"/>
        </w:trPr>
        <w:tc>
          <w:tcPr>
            <w:tcW w:w="770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A</w:t>
            </w:r>
            <w:r>
              <w:rPr>
                <w:rFonts w:ascii="Arial" w:cs="Arial" w:eastAsia="Arial" w:hAnsi="Arial"/>
                <w:sz w:val="12"/>
                <w:szCs w:val="12"/>
                <w:color w:val="auto"/>
              </w:rPr>
              <w:t>(2)</w:t>
            </w:r>
          </w:p>
        </w:tc>
        <w:tc>
          <w:tcPr>
            <w:tcW w:w="17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r>
      <w:tr>
        <w:trPr>
          <w:trHeight w:val="270"/>
        </w:trPr>
        <w:tc>
          <w:tcPr>
            <w:tcW w:w="7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BBB</w:t>
            </w:r>
            <w:r>
              <w:rPr>
                <w:rFonts w:ascii="Arial" w:cs="Arial" w:eastAsia="Arial" w:hAnsi="Arial"/>
                <w:sz w:val="25"/>
                <w:szCs w:val="25"/>
                <w:color w:val="auto"/>
                <w:vertAlign w:val="superscript"/>
              </w:rPr>
              <w:t>(2)</w:t>
            </w:r>
          </w:p>
        </w:tc>
        <w:tc>
          <w:tcPr>
            <w:tcW w:w="6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3"/>
                <w:szCs w:val="23"/>
                <w:color w:val="auto"/>
              </w:rPr>
            </w:pPr>
          </w:p>
        </w:tc>
      </w:tr>
      <w:tr>
        <w:trPr>
          <w:trHeight w:val="257"/>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2"/>
                <w:szCs w:val="22"/>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Excluded certain operating cash accounts.</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 ratings.</w:t>
      </w:r>
    </w:p>
    <w:p>
      <w:pPr>
        <w:spacing w:after="0" w:line="1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investments are rated by one or more nationally recognized statistical rating organizations. If multiple ratings are available, we assign the middle rating for classification purposes, otherwise we assign the lowest rating.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71"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We had no material off-balance sheet arrangements as of June 30, 2018. In connection with the 2017 ILN Transaction, we have certain future contractual commitments to Oaktown Re, a special purpose VIE that is not consolidated in our financial results. See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5, Reinsurance."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fair value measurements, our investment portfolio, deferred policy acquisition costs, premium deficiency reserves, income taxes, reserves for insurance claims and claims expenses, warrants and share-based compensation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2017 10-K.</w:t>
      </w:r>
    </w:p>
    <w:p>
      <w:pPr>
        <w:sectPr>
          <w:pgSz w:w="11900" w:h="16838" w:orient="portrait"/>
          <w:cols w:equalWidth="0" w:num="1">
            <w:col w:w="11420"/>
          </w:cols>
          <w:pgMar w:left="240" w:top="580"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0"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660" w:hanging="328"/>
        <w:spacing w:after="0" w:line="297" w:lineRule="auto"/>
        <w:tabs>
          <w:tab w:leader="none" w:pos="6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0" w:lineRule="exact"/>
        <w:rPr>
          <w:rFonts w:ascii="Arial" w:cs="Arial" w:eastAsia="Arial" w:hAnsi="Arial"/>
          <w:sz w:val="16"/>
          <w:szCs w:val="16"/>
          <w:i w:val="1"/>
          <w:iCs w:val="1"/>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June 30, 2018 and December 31, 2017 was $838 million and $716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2018, the duration of our fixed income portfolio, including cash and cash equivalents, was 3.63 years, which means that an instantaneous parallel shift (movement up or down) in the yield curve of 100 basis points would result in a change of 3.63% in fair value of our fixed income portfolio. Excluding cash, our fixed income portfolio duration was 3.88 years, which means that an instantaneous parallel shift (movement up or down) in the yield curve of 100 basis points would result in a change of 3.88% in fair value of our fixed income portfolio.</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also subject to market risk related to our 2018 Term Loan and 2017 ILN Transaction. As discussed in Item 1, "</w:t>
      </w:r>
      <w:r>
        <w:rPr>
          <w:rFonts w:ascii="Arial" w:cs="Arial" w:eastAsia="Arial" w:hAnsi="Arial"/>
          <w:sz w:val="17"/>
          <w:szCs w:val="17"/>
          <w:i w:val="1"/>
          <w:iCs w:val="1"/>
          <w:color w:val="auto"/>
        </w:rPr>
        <w:t>Financial Statements - Notes</w:t>
      </w:r>
      <w:r>
        <w:rPr>
          <w:rFonts w:ascii="Arial" w:cs="Arial" w:eastAsia="Arial" w:hAnsi="Arial"/>
          <w:sz w:val="17"/>
          <w:szCs w:val="17"/>
          <w:color w:val="auto"/>
        </w:rPr>
        <w:t xml:space="preserve"> </w:t>
      </w:r>
      <w:r>
        <w:rPr>
          <w:rFonts w:ascii="Arial" w:cs="Arial" w:eastAsia="Arial" w:hAnsi="Arial"/>
          <w:sz w:val="17"/>
          <w:szCs w:val="17"/>
          <w:i w:val="1"/>
          <w:iCs w:val="1"/>
          <w:color w:val="auto"/>
        </w:rPr>
        <w:t>to Condensed Consolidated Financial Statements - Note 4, Debt Obligations,</w:t>
      </w:r>
      <w:r>
        <w:rPr>
          <w:rFonts w:ascii="Arial" w:cs="Arial" w:eastAsia="Arial" w:hAnsi="Arial"/>
          <w:sz w:val="17"/>
          <w:szCs w:val="17"/>
          <w:color w:val="auto"/>
        </w:rPr>
        <w:t>" the 2018 Term Loan bears interest at a variable rate and, as a result, increases</w:t>
      </w:r>
      <w:r>
        <w:rPr>
          <w:rFonts w:ascii="Arial" w:cs="Arial" w:eastAsia="Arial" w:hAnsi="Arial"/>
          <w:sz w:val="17"/>
          <w:szCs w:val="17"/>
          <w:i w:val="1"/>
          <w:iCs w:val="1"/>
          <w:color w:val="auto"/>
        </w:rPr>
        <w:t xml:space="preserve"> </w:t>
      </w:r>
      <w:r>
        <w:rPr>
          <w:rFonts w:ascii="Arial" w:cs="Arial" w:eastAsia="Arial" w:hAnsi="Arial"/>
          <w:sz w:val="17"/>
          <w:szCs w:val="17"/>
          <w:color w:val="auto"/>
        </w:rPr>
        <w:t>in market interest rates would generally result in increased interest expense on our outstanding principal.</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risk premium amounts under the 2017 ILN Transaction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June 30, 2018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June 30, 2018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Risk factors that affect our business and financial results are discussed in Part I, Item 1A of our 2017 10-K. As of the date of this report, we are not aware of any material changes in our risk factors from the risk factors disclosed in our 2017 10-K, as updated in our First Quarter 10-Q. You should carefully consider the risks and uncertainties described herein and in our 2017 10-K and First Quarter 10-Q, which have the potential to affect our business, financial condition, results of operations, cash flows or prospects in a material and adverse manner. The risks described herein and in our 2017 10-K and First Quarter 10-Q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index to exhibits has been filed as part of this report and is incorporated herein by reference.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NMI HOLDINGS, INC.</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Date: August 1, 2018</w:t>
      </w:r>
    </w:p>
    <w:p>
      <w:pPr>
        <w:spacing w:after="0" w:line="37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-10160</wp:posOffset>
            </wp:positionV>
            <wp:extent cx="3038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8475" cy="8890"/>
                    </a:xfrm>
                    <a:prstGeom prst="rect">
                      <a:avLst/>
                    </a:prstGeom>
                    <a:noFill/>
                  </pic:spPr>
                </pic:pic>
              </a:graphicData>
            </a:graphic>
          </wp:anchor>
        </w:drawing>
      </w:r>
    </w:p>
    <w:p>
      <w:pPr>
        <w:spacing w:after="0" w:line="7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Name:Adam S. Pollitzer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6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2"/>
          </w:tcPr>
          <w:p>
            <w:pPr>
              <w:ind w:left="36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10"/>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0000FF"/>
                <w:w w:val="94"/>
              </w:rPr>
            </w:pPr>
            <w:hyperlink r:id="rId11">
              <w:r>
                <w:rPr>
                  <w:rFonts w:ascii="Arial" w:cs="Arial" w:eastAsia="Arial" w:hAnsi="Arial"/>
                  <w:sz w:val="18"/>
                  <w:szCs w:val="18"/>
                  <w:color w:val="0000FF"/>
                  <w:w w:val="94"/>
                </w:rPr>
                <w:t>Stock Purchase Agreement, dated November 30, 2011</w:t>
              </w:r>
            </w:hyperlink>
            <w:r>
              <w:rPr>
                <w:rFonts w:ascii="Arial" w:cs="Arial" w:eastAsia="Arial" w:hAnsi="Arial"/>
                <w:sz w:val="18"/>
                <w:szCs w:val="18"/>
                <w:color w:val="000000"/>
                <w:w w:val="94"/>
              </w:rPr>
              <w:t>,</w:t>
            </w:r>
            <w:r>
              <w:rPr>
                <w:rFonts w:ascii="Arial" w:cs="Arial" w:eastAsia="Arial" w:hAnsi="Arial"/>
                <w:sz w:val="18"/>
                <w:szCs w:val="18"/>
                <w:color w:val="0000FF"/>
                <w:w w:val="94"/>
              </w:rPr>
              <w:t xml:space="preserve"> </w:t>
            </w:r>
            <w:r>
              <w:rPr>
                <w:rFonts w:ascii="Arial" w:cs="Arial" w:eastAsia="Arial" w:hAnsi="Arial"/>
                <w:sz w:val="18"/>
                <w:szCs w:val="18"/>
                <w:color w:val="000000"/>
                <w:w w:val="94"/>
              </w:rPr>
              <w:t>between NMI Holdings, Inc. and MAC Financial Ltd. (incorporated herein by</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reference to Exhibit 2.1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6"/>
              </w:rPr>
            </w:pPr>
            <w:hyperlink r:id="rId12">
              <w:r>
                <w:rPr>
                  <w:rFonts w:ascii="Arial" w:cs="Arial" w:eastAsia="Arial" w:hAnsi="Arial"/>
                  <w:sz w:val="18"/>
                  <w:szCs w:val="18"/>
                  <w:color w:val="0000FF"/>
                  <w:w w:val="96"/>
                </w:rPr>
                <w:t>Amendment to Stock Purchase Agreement, dated April 6, 2012</w:t>
              </w:r>
            </w:hyperlink>
            <w:r>
              <w:rPr>
                <w:rFonts w:ascii="Arial" w:cs="Arial" w:eastAsia="Arial" w:hAnsi="Arial"/>
                <w:sz w:val="18"/>
                <w:szCs w:val="18"/>
                <w:color w:val="000000"/>
                <w:w w:val="96"/>
              </w:rPr>
              <w:t>,</w:t>
            </w:r>
            <w:r>
              <w:rPr>
                <w:rFonts w:ascii="Arial" w:cs="Arial" w:eastAsia="Arial" w:hAnsi="Arial"/>
                <w:sz w:val="18"/>
                <w:szCs w:val="18"/>
                <w:color w:val="0000FF"/>
                <w:w w:val="96"/>
              </w:rPr>
              <w:t xml:space="preserve"> </w:t>
            </w:r>
            <w:r>
              <w:rPr>
                <w:rFonts w:ascii="Arial" w:cs="Arial" w:eastAsia="Arial" w:hAnsi="Arial"/>
                <w:sz w:val="18"/>
                <w:szCs w:val="18"/>
                <w:color w:val="000000"/>
                <w:w w:val="96"/>
              </w:rPr>
              <w:t>between NMI Holdings, Inc. and MAC Financial Ltd. (incorporated</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5"/>
              </w:rPr>
              <w:t>herein by reference to Exhibit 2.2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 xml:space="preserve">Second Amended and Restated Certificate of Incorporation </w:t>
              </w:r>
            </w:hyperlink>
            <w:r>
              <w:rPr>
                <w:rFonts w:ascii="Arial" w:cs="Arial" w:eastAsia="Arial" w:hAnsi="Arial"/>
                <w:sz w:val="18"/>
                <w:szCs w:val="18"/>
                <w:color w:val="000000"/>
                <w:w w:val="91"/>
              </w:rPr>
              <w:t>(incorporated</w:t>
            </w:r>
            <w:r>
              <w:rPr>
                <w:rFonts w:ascii="Arial" w:cs="Arial" w:eastAsia="Arial" w:hAnsi="Arial"/>
                <w:sz w:val="18"/>
                <w:szCs w:val="18"/>
                <w:color w:val="0000FF"/>
                <w:w w:val="91"/>
              </w:rPr>
              <w:t xml:space="preserve"> </w:t>
            </w:r>
            <w:r>
              <w:rPr>
                <w:rFonts w:ascii="Arial" w:cs="Arial" w:eastAsia="Arial" w:hAnsi="Arial"/>
                <w:sz w:val="18"/>
                <w:szCs w:val="18"/>
                <w:color w:val="000000"/>
                <w:w w:val="91"/>
              </w:rPr>
              <w:t>herein by reference to Exhibit 3.1 to our Form S-1 Registration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5"/>
              </w:rPr>
            </w:pPr>
            <w:hyperlink r:id="rId14">
              <w:r>
                <w:rPr>
                  <w:rFonts w:ascii="Arial" w:cs="Arial" w:eastAsia="Arial" w:hAnsi="Arial"/>
                  <w:sz w:val="18"/>
                  <w:szCs w:val="18"/>
                  <w:color w:val="0000FF"/>
                  <w:w w:val="95"/>
                </w:rPr>
                <w:t xml:space="preserve">Third Amended and Restated By-Laws </w:t>
              </w:r>
            </w:hyperlink>
            <w:r>
              <w:rPr>
                <w:rFonts w:ascii="Arial" w:cs="Arial" w:eastAsia="Arial" w:hAnsi="Arial"/>
                <w:sz w:val="18"/>
                <w:szCs w:val="18"/>
                <w:color w:val="000000"/>
                <w:w w:val="95"/>
              </w:rPr>
              <w:t>(incorporated</w:t>
            </w:r>
            <w:r>
              <w:rPr>
                <w:rFonts w:ascii="Arial" w:cs="Arial" w:eastAsia="Arial" w:hAnsi="Arial"/>
                <w:sz w:val="18"/>
                <w:szCs w:val="18"/>
                <w:color w:val="0000FF"/>
                <w:w w:val="95"/>
              </w:rPr>
              <w:t xml:space="preserve"> </w:t>
            </w:r>
            <w:r>
              <w:rPr>
                <w:rFonts w:ascii="Arial" w:cs="Arial" w:eastAsia="Arial" w:hAnsi="Arial"/>
                <w:sz w:val="18"/>
                <w:szCs w:val="18"/>
                <w:color w:val="000000"/>
                <w:w w:val="95"/>
              </w:rPr>
              <w:t>herein by reference to Exhibit 3.1 to our Form 8-K, filed on December 9, 2014)</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80" w:type="dxa"/>
            <w:vAlign w:val="bottom"/>
            <w:gridSpan w:val="19"/>
          </w:tcPr>
          <w:p>
            <w:pPr>
              <w:spacing w:after="0"/>
              <w:rPr>
                <w:rFonts w:ascii="Arial" w:cs="Arial" w:eastAsia="Arial" w:hAnsi="Arial"/>
                <w:sz w:val="18"/>
                <w:szCs w:val="18"/>
                <w:color w:val="0000FF"/>
                <w:w w:val="94"/>
              </w:rPr>
            </w:pPr>
            <w:hyperlink r:id="rId15">
              <w:r>
                <w:rPr>
                  <w:rFonts w:ascii="Arial" w:cs="Arial" w:eastAsia="Arial" w:hAnsi="Arial"/>
                  <w:sz w:val="18"/>
                  <w:szCs w:val="18"/>
                  <w:color w:val="0000FF"/>
                  <w:w w:val="94"/>
                </w:rPr>
                <w:t xml:space="preserve">Specimen Class A common stock certificate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herein by reference to Exhibit 4.1 to our Form S-1 Registration Statement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 xml:space="preserve">Registration Rights Agreement between NMI Holdings, Inc. and FBR Capital Markets &amp; Co., dated April 24, 2012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herein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by reference to Exhibit 4.2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4"/>
              </w:rPr>
            </w:pPr>
            <w:hyperlink r:id="rId17">
              <w:r>
                <w:rPr>
                  <w:rFonts w:ascii="Arial" w:cs="Arial" w:eastAsia="Arial" w:hAnsi="Arial"/>
                  <w:sz w:val="18"/>
                  <w:szCs w:val="18"/>
                  <w:color w:val="0000FF"/>
                  <w:w w:val="94"/>
                </w:rPr>
                <w:t xml:space="preserve">Registration Rights Agreement by and between MAC Financial Ltd. and NMI Holdings, Inc., dated April 24, 2012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herein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by reference to Exhibit 4.3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4"/>
              </w:rPr>
            </w:pPr>
            <w:hyperlink r:id="rId18">
              <w:r>
                <w:rPr>
                  <w:rFonts w:ascii="Arial" w:cs="Arial" w:eastAsia="Arial" w:hAnsi="Arial"/>
                  <w:sz w:val="18"/>
                  <w:szCs w:val="18"/>
                  <w:color w:val="0000FF"/>
                  <w:w w:val="94"/>
                </w:rPr>
                <w:t>Registration Rights Agreement between FBR &amp; Co., FBR Capital Markets LT, Inc., FBR Capital Markets &amp; Co., FBR Capital Markets</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top w:val="single" w:sz="8" w:color="0000FF"/>
            </w:tcBorders>
            <w:gridSpan w:val="17"/>
          </w:tcPr>
          <w:p>
            <w:pPr>
              <w:spacing w:after="0" w:line="196" w:lineRule="exact"/>
              <w:rPr>
                <w:rFonts w:ascii="Arial" w:cs="Arial" w:eastAsia="Arial" w:hAnsi="Arial"/>
                <w:sz w:val="18"/>
                <w:szCs w:val="18"/>
                <w:color w:val="0000FF"/>
                <w:w w:val="93"/>
              </w:rPr>
            </w:pPr>
            <w:hyperlink r:id="rId18">
              <w:r>
                <w:rPr>
                  <w:rFonts w:ascii="Arial" w:cs="Arial" w:eastAsia="Arial" w:hAnsi="Arial"/>
                  <w:sz w:val="18"/>
                  <w:szCs w:val="18"/>
                  <w:color w:val="0000FF"/>
                  <w:w w:val="93"/>
                </w:rPr>
                <w:t xml:space="preserve">PT, Inc. and NMI Holdings, Inc., dated April 24, 2012 </w:t>
              </w:r>
              <w:r>
                <w:rPr>
                  <w:rFonts w:ascii="Arial" w:cs="Arial" w:eastAsia="Arial" w:hAnsi="Arial"/>
                  <w:sz w:val="18"/>
                  <w:szCs w:val="18"/>
                  <w:color w:val="000000"/>
                  <w:w w:val="93"/>
                </w:rPr>
                <w:t>(incorporated herein by reference to Exhibit 4.4 to our Form S-1 Registration</w:t>
              </w:r>
            </w:hyperlink>
          </w:p>
        </w:tc>
        <w:tc>
          <w:tcPr>
            <w:tcW w:w="26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0" w:type="dxa"/>
            <w:vAlign w:val="bottom"/>
            <w:tcBorders>
              <w:bottom w:val="single" w:sz="8" w:color="0000FF"/>
            </w:tcBorders>
            <w:gridSpan w:val="14"/>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Warrant No. 1 to Purchase Common Stock of NMI Holdings, Inc. issued to FBR Capital Markets &amp; Co., dated June 13,</w:t>
              </w:r>
            </w:hyperlink>
          </w:p>
        </w:tc>
        <w:tc>
          <w:tcPr>
            <w:tcW w:w="1380" w:type="dxa"/>
            <w:vAlign w:val="bottom"/>
            <w:gridSpan w:val="5"/>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 xml:space="preserve">2013 </w:t>
              </w:r>
              <w:r>
                <w:rPr>
                  <w:rFonts w:ascii="Arial" w:cs="Arial" w:eastAsia="Arial" w:hAnsi="Arial"/>
                  <w:sz w:val="18"/>
                  <w:szCs w:val="18"/>
                  <w:color w:val="000000"/>
                  <w:w w:val="94"/>
                </w:rPr>
                <w:t>(incorporated herein by reference to Exhibit 4.5 to our Form S-1 Registration Statement (Registration No. 333-</w:t>
              </w:r>
            </w:hyperlink>
            <w:r>
              <w:rPr>
                <w:rFonts w:ascii="Arial" w:cs="Arial" w:eastAsia="Arial" w:hAnsi="Arial"/>
                <w:sz w:val="18"/>
                <w:szCs w:val="18"/>
                <w:color w:val="0000FF"/>
                <w:w w:val="94"/>
              </w:rPr>
              <w:t xml:space="preserve">191635), </w:t>
            </w:r>
            <w:r>
              <w:rPr>
                <w:rFonts w:ascii="Arial" w:cs="Arial" w:eastAsia="Arial" w:hAnsi="Arial"/>
                <w:sz w:val="18"/>
                <w:szCs w:val="18"/>
                <w:color w:val="000000"/>
                <w:w w:val="94"/>
              </w:rPr>
              <w:t>filed on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 xml:space="preserve">Form of Warrant to Purchase Common Stock of NMI Holdings, Inc. issued to former stockholders of MAC Financial Ltd. </w:t>
              </w:r>
            </w:hyperlink>
            <w:r>
              <w:rPr>
                <w:rFonts w:ascii="Arial" w:cs="Arial" w:eastAsia="Arial" w:hAnsi="Arial"/>
                <w:sz w:val="18"/>
                <w:szCs w:val="18"/>
                <w:color w:val="000000"/>
                <w:w w:val="93"/>
              </w:rPr>
              <w:t>(incorporated</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480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5"/>
              </w:rPr>
              <w:t>herein by reference to Exhibit 4.6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10.1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 xml:space="preserve">NMI Holdings Inc. 2012 Stock Incentive Plan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herein by reference to Exhibit 10.1 to our Form S-1 Registration Statement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10.2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5"/>
              </w:rPr>
            </w:pPr>
            <w:hyperlink r:id="rId22">
              <w:r>
                <w:rPr>
                  <w:rFonts w:ascii="Arial" w:cs="Arial" w:eastAsia="Arial" w:hAnsi="Arial"/>
                  <w:sz w:val="18"/>
                  <w:szCs w:val="18"/>
                  <w:color w:val="0000FF"/>
                  <w:w w:val="95"/>
                </w:rPr>
                <w:t>Form of NMI Holdings, Inc. 2012 Stock Incentive Plan Restricted Stock Unit Award Agreement for Chief Executive Officer and Chief</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7"/>
              </w:rPr>
            </w:pPr>
            <w:hyperlink r:id="rId22">
              <w:r>
                <w:rPr>
                  <w:rFonts w:ascii="Arial" w:cs="Arial" w:eastAsia="Arial" w:hAnsi="Arial"/>
                  <w:sz w:val="18"/>
                  <w:szCs w:val="18"/>
                  <w:color w:val="0000FF"/>
                  <w:w w:val="97"/>
                </w:rPr>
                <w:t xml:space="preserve">Financial Officer </w:t>
              </w:r>
              <w:r>
                <w:rPr>
                  <w:rFonts w:ascii="Arial" w:cs="Arial" w:eastAsia="Arial" w:hAnsi="Arial"/>
                  <w:sz w:val="18"/>
                  <w:szCs w:val="18"/>
                  <w:color w:val="000000"/>
                  <w:w w:val="97"/>
                </w:rPr>
                <w:t>(incorporated herein by reference to Exhibit 10.2 to our Form S-1 Registration Statement (Registration No. 333-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 xml:space="preserve">Form of NMI Holdings, Inc. 2012 Stock Incentive Plan Restricted Stock Unit Award Agreement for Management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herein by</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8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reference to Exhibit 10.3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10.4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5"/>
              </w:rPr>
            </w:pPr>
            <w:hyperlink r:id="rId24">
              <w:r>
                <w:rPr>
                  <w:rFonts w:ascii="Arial" w:cs="Arial" w:eastAsia="Arial" w:hAnsi="Arial"/>
                  <w:sz w:val="18"/>
                  <w:szCs w:val="18"/>
                  <w:color w:val="0000FF"/>
                  <w:w w:val="95"/>
                </w:rPr>
                <w:t xml:space="preserve">Form of NMI Holdings, Inc. 2012 Stock Incentive Plan Restricted Stock Unit Award Agreement for Directors </w:t>
              </w:r>
            </w:hyperlink>
            <w:r>
              <w:rPr>
                <w:rFonts w:ascii="Arial" w:cs="Arial" w:eastAsia="Arial" w:hAnsi="Arial"/>
                <w:sz w:val="18"/>
                <w:szCs w:val="18"/>
                <w:color w:val="000000"/>
                <w:w w:val="95"/>
              </w:rPr>
              <w:t>(incorporated</w:t>
            </w:r>
            <w:r>
              <w:rPr>
                <w:rFonts w:ascii="Arial" w:cs="Arial" w:eastAsia="Arial" w:hAnsi="Arial"/>
                <w:sz w:val="18"/>
                <w:szCs w:val="18"/>
                <w:color w:val="0000FF"/>
                <w:w w:val="95"/>
              </w:rPr>
              <w:t xml:space="preserve"> </w:t>
            </w:r>
            <w:r>
              <w:rPr>
                <w:rFonts w:ascii="Arial" w:cs="Arial" w:eastAsia="Arial" w:hAnsi="Arial"/>
                <w:sz w:val="18"/>
                <w:szCs w:val="18"/>
                <w:color w:val="000000"/>
                <w:w w:val="95"/>
              </w:rPr>
              <w:t>herein by</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80" w:type="dxa"/>
            <w:vAlign w:val="bottom"/>
            <w:gridSpan w:val="7"/>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reference to Exhibit 10.4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10.5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60" w:type="dxa"/>
            <w:vAlign w:val="bottom"/>
            <w:tcBorders>
              <w:bottom w:val="single" w:sz="8" w:color="0000FF"/>
            </w:tcBorders>
            <w:gridSpan w:val="18"/>
          </w:tcPr>
          <w:p>
            <w:pP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Form of NMI Holdings, Inc. 2012 Stock Incentive Plan Nonqualified Stock Option Award Agreement for Chief Executive Officer and</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 xml:space="preserve">Chief Financial Officer </w:t>
              </w:r>
              <w:r>
                <w:rPr>
                  <w:rFonts w:ascii="Arial" w:cs="Arial" w:eastAsia="Arial" w:hAnsi="Arial"/>
                  <w:sz w:val="18"/>
                  <w:szCs w:val="18"/>
                  <w:color w:val="000000"/>
                  <w:w w:val="93"/>
                </w:rPr>
                <w:t>(incorporated herein by reference to Exhibit 10.5 to our Form S-1 Registration Statement (Registration No. 333-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74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10.6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6"/>
              </w:rPr>
            </w:pPr>
            <w:hyperlink r:id="rId26">
              <w:r>
                <w:rPr>
                  <w:rFonts w:ascii="Arial" w:cs="Arial" w:eastAsia="Arial" w:hAnsi="Arial"/>
                  <w:sz w:val="18"/>
                  <w:szCs w:val="18"/>
                  <w:color w:val="0000FF"/>
                  <w:w w:val="96"/>
                </w:rPr>
                <w:t xml:space="preserve">Form of NMI Holdings, Inc. 2012 Stock Incentive Plan Nonqualified Stock Option Award Agreement for Management </w:t>
              </w:r>
            </w:hyperlink>
            <w:r>
              <w:rPr>
                <w:rFonts w:ascii="Arial" w:cs="Arial" w:eastAsia="Arial" w:hAnsi="Arial"/>
                <w:sz w:val="18"/>
                <w:szCs w:val="18"/>
                <w:color w:val="000000"/>
                <w:w w:val="96"/>
              </w:rPr>
              <w:t>(incorporated</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820" w:type="dxa"/>
            <w:vAlign w:val="bottom"/>
            <w:gridSpan w:val="10"/>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4"/>
              </w:rPr>
              <w:t>herein by reference to Exhibit 10.6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10.7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FF"/>
                <w:w w:val="94"/>
              </w:rPr>
            </w:pPr>
            <w:hyperlink r:id="rId27">
              <w:r>
                <w:rPr>
                  <w:rFonts w:ascii="Arial" w:cs="Arial" w:eastAsia="Arial" w:hAnsi="Arial"/>
                  <w:sz w:val="18"/>
                  <w:szCs w:val="18"/>
                  <w:color w:val="0000FF"/>
                  <w:w w:val="94"/>
                </w:rPr>
                <w:t xml:space="preserve">Form of NMI Holdings, Inc. 2012 Stock Incentive Plan Nonqualified Stock Option Award Agreement for Directors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herein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820" w:type="dxa"/>
            <w:vAlign w:val="bottom"/>
            <w:gridSpan w:val="10"/>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by reference to Exhibit 10.7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10.8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60" w:type="dxa"/>
            <w:vAlign w:val="bottom"/>
            <w:tcBorders>
              <w:bottom w:val="single" w:sz="8" w:color="0000FF"/>
            </w:tcBorders>
            <w:gridSpan w:val="18"/>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Form of NMI Holdings, Inc. 2012 Stock Incentive Plan Nonqualified Stock Option Award Agreement for Chief Executive Officer and</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Chief Financial Office</w:t>
              </w:r>
              <w:r>
                <w:rPr>
                  <w:rFonts w:ascii="Arial" w:cs="Arial" w:eastAsia="Arial" w:hAnsi="Arial"/>
                  <w:sz w:val="18"/>
                  <w:szCs w:val="18"/>
                  <w:color w:val="000000"/>
                </w:rPr>
                <w:t>r (incorporated herein by reference to Exhibit 10.8 to our Form 10-K, filed on February 17, 2017)</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10.9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80" w:type="dxa"/>
            <w:vAlign w:val="bottom"/>
            <w:gridSpan w:val="19"/>
          </w:tcPr>
          <w:p>
            <w:pPr>
              <w:spacing w:after="0"/>
              <w:rPr>
                <w:rFonts w:ascii="Arial" w:cs="Arial" w:eastAsia="Arial" w:hAnsi="Arial"/>
                <w:sz w:val="18"/>
                <w:szCs w:val="18"/>
                <w:color w:val="0000FF"/>
                <w:w w:val="97"/>
              </w:rPr>
            </w:pPr>
            <w:hyperlink r:id="rId29">
              <w:r>
                <w:rPr>
                  <w:rFonts w:ascii="Arial" w:cs="Arial" w:eastAsia="Arial" w:hAnsi="Arial"/>
                  <w:sz w:val="18"/>
                  <w:szCs w:val="18"/>
                  <w:color w:val="0000FF"/>
                  <w:w w:val="97"/>
                </w:rPr>
                <w:t xml:space="preserve">Form of NMI Holdings, Inc. 2012 Stock Incentive Plan Nonqualified Stock Option Award Agreement for Employees  </w:t>
              </w:r>
            </w:hyperlink>
            <w:r>
              <w:rPr>
                <w:rFonts w:ascii="Arial" w:cs="Arial" w:eastAsia="Arial" w:hAnsi="Arial"/>
                <w:sz w:val="18"/>
                <w:szCs w:val="18"/>
                <w:color w:val="000000"/>
                <w:w w:val="97"/>
              </w:rPr>
              <w:t>(incorporated</w:t>
            </w: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4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rPr>
              <w:t>herein by reference to Exhibit 10.9 to our Form 10-K, filed on February 17, 2017)</w:t>
            </w:r>
          </w:p>
        </w:tc>
        <w:tc>
          <w:tcPr>
            <w:tcW w:w="1040" w:type="dxa"/>
            <w:vAlign w:val="bottom"/>
            <w:gridSpan w:val="3"/>
          </w:tcPr>
          <w:p>
            <w:pPr>
              <w:spacing w:after="0"/>
              <w:rPr>
                <w:sz w:val="20"/>
                <w:szCs w:val="20"/>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10.10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60" w:type="dxa"/>
            <w:vAlign w:val="bottom"/>
            <w:tcBorders>
              <w:bottom w:val="single" w:sz="8" w:color="0000FF"/>
            </w:tcBorders>
            <w:gridSpan w:val="18"/>
          </w:tcPr>
          <w:p>
            <w:pP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Amended and Restated Employment Agreement by and between NMI Holdings, Inc. and Bradley M. Shuster, dated December 23,</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 xml:space="preserve">2015 </w:t>
              </w:r>
              <w:r>
                <w:rPr>
                  <w:rFonts w:ascii="Arial" w:cs="Arial" w:eastAsia="Arial" w:hAnsi="Arial"/>
                  <w:sz w:val="18"/>
                  <w:szCs w:val="18"/>
                  <w:color w:val="000000"/>
                </w:rPr>
                <w:t>(incorporated herein by reference to Exhibit 10.1 to our Form 8-K, filed on December 29, 2015)</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80" w:top="580" w:right="379" w:bottom="1440" w:gutter="0" w:footer="0" w:header="0"/>
        </w:sectPr>
      </w:pPr>
    </w:p>
    <w:bookmarkStart w:id="48" w:name="page49"/>
    <w:bookmarkEnd w:id="48"/>
    <w:p>
      <w:pPr>
        <w:jc w:val="both"/>
        <w:ind w:left="920" w:right="20" w:hanging="91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 ~</w:t>
      </w:r>
      <w:r>
        <w:rPr>
          <w:sz w:val="20"/>
          <w:szCs w:val="20"/>
          <w:color w:val="auto"/>
        </w:rPr>
        <w:tab/>
      </w:r>
      <w:hyperlink r:id="rId31">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10.12 ~</w:t>
      </w:r>
      <w:r>
        <w:rPr>
          <w:sz w:val="20"/>
          <w:szCs w:val="20"/>
          <w:color w:val="auto"/>
        </w:rPr>
        <w:tab/>
      </w:r>
      <w:hyperlink r:id="rId32">
        <w:r>
          <w:rPr>
            <w:rFonts w:ascii="Arial" w:cs="Arial" w:eastAsia="Arial" w:hAnsi="Arial"/>
            <w:sz w:val="16"/>
            <w:szCs w:val="16"/>
            <w:u w:val="single" w:color="auto"/>
            <w:color w:val="0000FF"/>
          </w:rPr>
          <w:t xml:space="preserve">Offer Letter by and between NMI Holdings, Inc. and Adam Pollitzer, dated February 1, 2017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to our Form 8-K, filed on February 3, 2017)</w:t>
      </w:r>
    </w:p>
    <w:p>
      <w:pPr>
        <w:spacing w:after="0" w:line="49" w:lineRule="exact"/>
        <w:rPr>
          <w:sz w:val="20"/>
          <w:szCs w:val="20"/>
          <w:color w:val="auto"/>
        </w:rPr>
      </w:pPr>
    </w:p>
    <w:p>
      <w:pPr>
        <w:jc w:val="both"/>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 ~</w:t>
      </w:r>
      <w:r>
        <w:rPr>
          <w:sz w:val="20"/>
          <w:szCs w:val="20"/>
          <w:color w:val="auto"/>
        </w:rPr>
        <w:tab/>
      </w:r>
      <w:hyperlink r:id="rId33">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November 25, 2014)</w:t>
      </w:r>
    </w:p>
    <w:p>
      <w:pPr>
        <w:spacing w:after="0" w:line="8" w:lineRule="exact"/>
        <w:rPr>
          <w:sz w:val="20"/>
          <w:szCs w:val="20"/>
          <w:color w:val="auto"/>
        </w:rPr>
      </w:pPr>
    </w:p>
    <w:p>
      <w:pPr>
        <w:jc w:val="both"/>
        <w:ind w:left="920" w:hanging="916"/>
        <w:spacing w:after="0" w:line="25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10.14 +</w:t>
      </w:r>
      <w:r>
        <w:rPr>
          <w:sz w:val="20"/>
          <w:szCs w:val="20"/>
          <w:color w:val="auto"/>
        </w:rPr>
        <w:tab/>
      </w:r>
      <w:hyperlink r:id="rId34">
        <w:r>
          <w:rPr>
            <w:rFonts w:ascii="Arial" w:cs="Arial" w:eastAsia="Arial" w:hAnsi="Arial"/>
            <w:sz w:val="18"/>
            <w:szCs w:val="18"/>
            <w:u w:val="single" w:color="auto"/>
            <w:color w:val="0000FF"/>
          </w:rPr>
          <w:t>Commitment Letter dated July 12, 2013 for Bulk Fannie Mae-Paid Loss-on-Sale Mortgage Insurance on the Portfolio of approximately</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34">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 filed</w:t>
        </w:r>
      </w:hyperlink>
      <w:r>
        <w:rPr>
          <w:rFonts w:ascii="Arial" w:cs="Arial" w:eastAsia="Arial" w:hAnsi="Arial"/>
          <w:sz w:val="18"/>
          <w:szCs w:val="18"/>
          <w:color w:val="0000FF"/>
        </w:rPr>
        <w:t xml:space="preserve"> </w:t>
      </w:r>
      <w:r>
        <w:rPr>
          <w:rFonts w:ascii="Arial" w:cs="Arial" w:eastAsia="Arial" w:hAnsi="Arial"/>
          <w:sz w:val="18"/>
          <w:szCs w:val="18"/>
          <w:color w:val="000000"/>
        </w:rPr>
        <w:t>on October 9, 2013)</w:t>
      </w:r>
    </w:p>
    <w:p>
      <w:pPr>
        <w:spacing w:after="0" w:line="25" w:lineRule="exact"/>
        <w:rPr>
          <w:rFonts w:ascii="Arial" w:cs="Arial" w:eastAsia="Arial" w:hAnsi="Arial"/>
          <w:sz w:val="18"/>
          <w:szCs w:val="18"/>
          <w:u w:val="single" w:color="auto"/>
          <w:color w:val="0000FF"/>
        </w:rPr>
      </w:pPr>
    </w:p>
    <w:p>
      <w:pPr>
        <w:jc w:val="both"/>
        <w:ind w:left="920" w:hanging="843"/>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10.15</w:t>
      </w:r>
      <w:r>
        <w:rPr>
          <w:sz w:val="20"/>
          <w:szCs w:val="20"/>
          <w:color w:val="auto"/>
        </w:rPr>
        <w:tab/>
      </w:r>
      <w:hyperlink r:id="rId35">
        <w:r>
          <w:rPr>
            <w:rFonts w:ascii="Arial" w:cs="Arial" w:eastAsia="Arial" w:hAnsi="Arial"/>
            <w:sz w:val="17"/>
            <w:szCs w:val="17"/>
            <w:u w:val="single" w:color="auto"/>
            <w:color w:val="0000FF"/>
          </w:rPr>
          <w:t>Credit Agreement, dated November 10, 2015, between NMI Holdings, Inc., the lenders party thereto and JPMorgan Chase Bank, N.A., as</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36">
        <w:r>
          <w:rPr>
            <w:rFonts w:ascii="Arial" w:cs="Arial" w:eastAsia="Arial" w:hAnsi="Arial"/>
            <w:sz w:val="18"/>
            <w:szCs w:val="18"/>
            <w:u w:val="single" w:color="auto"/>
            <w:color w:val="0000FF"/>
          </w:rPr>
          <w:t>Amendment No. 1, dated February 10,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February 10, 2017)</w:t>
      </w:r>
    </w:p>
    <w:p>
      <w:pPr>
        <w:spacing w:after="0" w:line="19"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10.17</w:t>
      </w:r>
      <w:r>
        <w:rPr>
          <w:sz w:val="20"/>
          <w:szCs w:val="20"/>
          <w:color w:val="auto"/>
        </w:rPr>
        <w:tab/>
      </w:r>
      <w:hyperlink r:id="rId37">
        <w:r>
          <w:rPr>
            <w:rFonts w:ascii="Arial" w:cs="Arial" w:eastAsia="Arial" w:hAnsi="Arial"/>
            <w:sz w:val="18"/>
            <w:szCs w:val="18"/>
            <w:u w:val="single" w:color="auto"/>
            <w:color w:val="0000FF"/>
          </w:rPr>
          <w:t>Amendment No. 2, dated October 25,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October 26, 2017)</w:t>
      </w:r>
    </w:p>
    <w:p>
      <w:pPr>
        <w:spacing w:after="0" w:line="19" w:lineRule="exact"/>
        <w:rPr>
          <w:sz w:val="20"/>
          <w:szCs w:val="20"/>
          <w:color w:val="auto"/>
        </w:rPr>
      </w:pPr>
    </w:p>
    <w:p>
      <w:pPr>
        <w:jc w:val="both"/>
        <w:ind w:left="920" w:hanging="843"/>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10.18</w:t>
      </w:r>
      <w:r>
        <w:rPr>
          <w:sz w:val="20"/>
          <w:szCs w:val="20"/>
          <w:color w:val="auto"/>
        </w:rPr>
        <w:tab/>
      </w:r>
      <w:hyperlink r:id="rId38">
        <w:r>
          <w:rPr>
            <w:rFonts w:ascii="Arial" w:cs="Arial" w:eastAsia="Arial" w:hAnsi="Arial"/>
            <w:sz w:val="18"/>
            <w:szCs w:val="18"/>
            <w:u w:val="single" w:color="auto"/>
            <w:color w:val="0000FF"/>
          </w:rPr>
          <w:t>Credit Agreement, dated May 24, 2018, between NMI Holdings, Inc., the lender party thereto, and JPMorgan Chase Bank, N.A., as</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 on May 25, 2018)</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10.19 ~</w:t>
      </w:r>
      <w:r>
        <w:rPr>
          <w:sz w:val="20"/>
          <w:szCs w:val="20"/>
          <w:color w:val="auto"/>
        </w:rPr>
        <w:tab/>
      </w:r>
      <w:hyperlink r:id="rId39">
        <w:r>
          <w:rPr>
            <w:rFonts w:ascii="Arial" w:cs="Arial" w:eastAsia="Arial" w:hAnsi="Arial"/>
            <w:sz w:val="18"/>
            <w:szCs w:val="18"/>
            <w:u w:val="single" w:color="auto"/>
            <w:color w:val="0000FF"/>
          </w:rPr>
          <w:t xml:space="preserve">NMI Holdings, Inc. Amended and Restated 2014 Omnibus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30, 2017)</w:t>
      </w:r>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10.20 ~</w:t>
      </w:r>
      <w:r>
        <w:rPr>
          <w:sz w:val="20"/>
          <w:szCs w:val="20"/>
          <w:color w:val="auto"/>
        </w:rPr>
        <w:tab/>
      </w:r>
      <w:hyperlink r:id="rId40">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10.21 ~</w:t>
      </w:r>
      <w:r>
        <w:rPr>
          <w:sz w:val="20"/>
          <w:szCs w:val="20"/>
          <w:color w:val="auto"/>
        </w:rPr>
        <w:tab/>
      </w:r>
      <w:hyperlink r:id="rId41">
        <w:r>
          <w:rPr>
            <w:rFonts w:ascii="Arial" w:cs="Arial" w:eastAsia="Arial" w:hAnsi="Arial"/>
            <w:sz w:val="18"/>
            <w:szCs w:val="18"/>
            <w:u w:val="single" w:color="auto"/>
            <w:color w:val="0000FF"/>
          </w:rPr>
          <w:t>Form of NMI Holdings, Inc. Amended and Restated 2014 Omnibus Incentive Plan Restricted Stock Unit Award Agreement for Executive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10.22 ~</w:t>
      </w:r>
      <w:r>
        <w:rPr>
          <w:sz w:val="20"/>
          <w:szCs w:val="20"/>
          <w:color w:val="auto"/>
        </w:rPr>
        <w:tab/>
      </w:r>
      <w:hyperlink r:id="rId42">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10.23 ~</w:t>
      </w:r>
      <w:r>
        <w:rPr>
          <w:sz w:val="20"/>
          <w:szCs w:val="20"/>
          <w:color w:val="auto"/>
        </w:rPr>
        <w:tab/>
      </w:r>
      <w:hyperlink r:id="rId43">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8"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10.24 ~</w:t>
      </w:r>
      <w:r>
        <w:rPr>
          <w:sz w:val="20"/>
          <w:szCs w:val="20"/>
          <w:color w:val="auto"/>
        </w:rPr>
        <w:tab/>
      </w:r>
      <w:hyperlink r:id="rId44">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Chief 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10.25 ~</w:t>
      </w:r>
      <w:r>
        <w:rPr>
          <w:sz w:val="20"/>
          <w:szCs w:val="20"/>
          <w:color w:val="auto"/>
        </w:rPr>
        <w:tab/>
      </w:r>
      <w:hyperlink r:id="rId45">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46">
        <w:r>
          <w:rPr>
            <w:rFonts w:ascii="Arial" w:cs="Arial" w:eastAsia="Arial" w:hAnsi="Arial"/>
            <w:sz w:val="18"/>
            <w:szCs w:val="18"/>
            <w:u w:val="single" w:color="auto"/>
            <w:color w:val="0000FF"/>
          </w:rPr>
          <w:t xml:space="preserve">Form of NMI Holdings, Inc. 2014 Omnibus Incentive Plan Phantom Unit Award Agreement for Independent Directors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10.21 to our Form 10-Q, filed on August 5, 2015)</w:t>
      </w:r>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10.27 ~</w:t>
      </w:r>
      <w:r>
        <w:rPr>
          <w:sz w:val="20"/>
          <w:szCs w:val="20"/>
          <w:color w:val="auto"/>
        </w:rPr>
        <w:tab/>
      </w:r>
      <w:hyperlink r:id="rId47">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8"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10.28 ~</w:t>
      </w:r>
      <w:r>
        <w:rPr>
          <w:sz w:val="20"/>
          <w:szCs w:val="20"/>
          <w:color w:val="auto"/>
        </w:rPr>
        <w:tab/>
      </w:r>
      <w:hyperlink r:id="rId48">
        <w:r>
          <w:rPr>
            <w:rFonts w:ascii="Arial" w:cs="Arial" w:eastAsia="Arial" w:hAnsi="Arial"/>
            <w:sz w:val="17"/>
            <w:szCs w:val="17"/>
            <w:u w:val="single" w:color="auto"/>
            <w:color w:val="0000FF"/>
          </w:rPr>
          <w:t xml:space="preserve">NMI Holdings, Inc. Severance Benefit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10.1 to our Form 8-K, filed on February 17,</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2016)</w:t>
      </w:r>
    </w:p>
    <w:p>
      <w:pPr>
        <w:spacing w:after="0" w:line="49"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49">
        <w:r>
          <w:rPr>
            <w:rFonts w:ascii="Arial" w:cs="Arial" w:eastAsia="Arial" w:hAnsi="Arial"/>
            <w:sz w:val="18"/>
            <w:szCs w:val="18"/>
            <w:u w:val="single" w:color="auto"/>
            <w:color w:val="0000FF"/>
          </w:rPr>
          <w:t xml:space="preserve">NMI Holdings, Inc. Change in Control Severance Benefit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8-K, filed 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February 23, 2017)</w:t>
      </w:r>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10.30 ~</w:t>
      </w:r>
      <w:r>
        <w:rPr>
          <w:sz w:val="20"/>
          <w:szCs w:val="20"/>
          <w:color w:val="auto"/>
        </w:rPr>
        <w:tab/>
      </w:r>
      <w:hyperlink r:id="rId50">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6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51">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6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51">
        <w:r>
          <w:rPr>
            <w:rFonts w:ascii="Arial" w:cs="Arial" w:eastAsia="Arial" w:hAnsi="Arial"/>
            <w:sz w:val="16"/>
            <w:szCs w:val="16"/>
            <w:u w:val="single" w:color="auto"/>
            <w:color w:val="0000FF"/>
          </w:rPr>
          <w:t xml:space="preserve">Principal Executive Officer's Certification </w:t>
        </w:r>
      </w:hyperlink>
      <w:r>
        <w:rPr>
          <w:rFonts w:ascii="Arial" w:cs="Arial" w:eastAsia="Arial" w:hAnsi="Arial"/>
          <w:sz w:val="16"/>
          <w:szCs w:val="16"/>
          <w:color w:val="000000"/>
        </w:rPr>
        <w:t>Pursuant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to Section 302 of the Sarbanes-Oxley Act of 2002</w:t>
      </w:r>
    </w:p>
    <w:p>
      <w:pPr>
        <w:spacing w:after="0" w:line="6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53">
        <w:r>
          <w:rPr>
            <w:rFonts w:ascii="Arial" w:cs="Arial" w:eastAsia="Arial" w:hAnsi="Arial"/>
            <w:sz w:val="16"/>
            <w:szCs w:val="16"/>
            <w:u w:val="single" w:color="auto"/>
            <w:color w:val="0000FF"/>
          </w:rPr>
          <w:t xml:space="preserve">Principal Financial Officer's Certification </w:t>
        </w:r>
      </w:hyperlink>
      <w:r>
        <w:rPr>
          <w:rFonts w:ascii="Arial" w:cs="Arial" w:eastAsia="Arial" w:hAnsi="Arial"/>
          <w:sz w:val="16"/>
          <w:szCs w:val="16"/>
          <w:color w:val="000000"/>
        </w:rPr>
        <w:t>Pursuant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to Section 302 of the Sarbanes-Oxley Act of 2002</w:t>
      </w:r>
    </w:p>
    <w:p>
      <w:pPr>
        <w:spacing w:after="0" w:line="63" w:lineRule="exact"/>
        <w:rPr>
          <w:sz w:val="20"/>
          <w:szCs w:val="20"/>
          <w:color w:val="auto"/>
        </w:rPr>
      </w:pPr>
    </w:p>
    <w:p>
      <w:pPr>
        <w:ind w:left="4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54">
        <w:r>
          <w:rPr>
            <w:rFonts w:ascii="Arial" w:cs="Arial" w:eastAsia="Arial" w:hAnsi="Arial"/>
            <w:sz w:val="16"/>
            <w:szCs w:val="16"/>
            <w:u w:val="single" w:color="auto"/>
            <w:color w:val="0000FF"/>
          </w:rPr>
          <w:t xml:space="preserve">Certifications of CEO and CFO </w:t>
        </w:r>
      </w:hyperlink>
      <w:r>
        <w:rPr>
          <w:rFonts w:ascii="Arial" w:cs="Arial" w:eastAsia="Arial" w:hAnsi="Arial"/>
          <w:sz w:val="16"/>
          <w:szCs w:val="16"/>
          <w:color w:val="000000"/>
        </w:rPr>
        <w:t>Pursuant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to 18 U.S.C. Section 1350, as Adopted Pursuant to Section 906 of the Sarbanes-Oxley Act of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2002</w:t>
      </w:r>
    </w:p>
    <w:p>
      <w:pPr>
        <w:spacing w:after="0" w:line="26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80"/>
          </w:cols>
          <w:pgMar w:left="620" w:top="746" w:right="399" w:bottom="1440" w:gutter="0" w:footer="0" w:header="0"/>
        </w:sectPr>
      </w:pPr>
    </w:p>
    <w:bookmarkStart w:id="49" w:name="page50"/>
    <w:bookmarkEnd w:id="49"/>
    <w:p>
      <w:pPr>
        <w:ind w:left="941" w:right="520" w:hanging="843"/>
        <w:spacing w:after="0" w:line="258" w:lineRule="auto"/>
        <w:tabs>
          <w:tab w:leader="none" w:pos="92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June 30, 2018 formatted in XBRL (eXtensible Business Reporting Language):</w:t>
      </w:r>
    </w:p>
    <w:p>
      <w:pPr>
        <w:spacing w:after="0" w:line="1" w:lineRule="exact"/>
        <w:rPr>
          <w:sz w:val="20"/>
          <w:szCs w:val="20"/>
          <w:color w:val="auto"/>
        </w:rPr>
      </w:pPr>
    </w:p>
    <w:p>
      <w:pPr>
        <w:ind w:left="1141" w:hanging="209"/>
        <w:spacing w:after="0"/>
        <w:tabs>
          <w:tab w:leader="none" w:pos="11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Condensed Consolidated Balance Sheets as of June 30, 2018 and December 31, 2017</w:t>
      </w:r>
    </w:p>
    <w:p>
      <w:pPr>
        <w:spacing w:after="0" w:line="9" w:lineRule="exact"/>
        <w:rPr>
          <w:rFonts w:ascii="Arial" w:cs="Arial" w:eastAsia="Arial" w:hAnsi="Arial"/>
          <w:sz w:val="18"/>
          <w:szCs w:val="18"/>
          <w:color w:val="auto"/>
        </w:rPr>
      </w:pPr>
    </w:p>
    <w:p>
      <w:pPr>
        <w:ind w:left="941" w:right="160" w:hanging="9"/>
        <w:spacing w:after="0" w:line="250" w:lineRule="auto"/>
        <w:tabs>
          <w:tab w:leader="none" w:pos="12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for the three and six months ended June 30, 2018 and 2017</w:t>
      </w:r>
    </w:p>
    <w:p>
      <w:pPr>
        <w:ind w:left="941" w:right="480" w:firstLine="216"/>
        <w:spacing w:after="0" w:line="250" w:lineRule="auto"/>
        <w:tabs>
          <w:tab w:leader="none" w:pos="1481"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Condensed Consolidated Statements of Changes in Shareholders' Equity for the six months ended June 30, 2018 and the year ended December 31, 2017</w:t>
      </w:r>
    </w:p>
    <w:p>
      <w:pPr>
        <w:ind w:left="1241" w:hanging="309"/>
        <w:spacing w:after="0"/>
        <w:tabs>
          <w:tab w:leader="none" w:pos="12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2018 and 2017, and</w:t>
      </w:r>
    </w:p>
    <w:p>
      <w:pPr>
        <w:spacing w:after="0" w:line="9" w:lineRule="exact"/>
        <w:rPr>
          <w:rFonts w:ascii="Arial" w:cs="Arial" w:eastAsia="Arial" w:hAnsi="Arial"/>
          <w:sz w:val="18"/>
          <w:szCs w:val="18"/>
          <w:color w:val="auto"/>
        </w:rPr>
      </w:pPr>
    </w:p>
    <w:p>
      <w:pPr>
        <w:ind w:left="1181" w:hanging="249"/>
        <w:spacing w:after="0"/>
        <w:tabs>
          <w:tab w:leader="none" w:pos="11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188"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w:t>
      </w:r>
    </w:p>
    <w:p>
      <w:pPr>
        <w:spacing w:after="0" w:line="73" w:lineRule="exact"/>
        <w:rPr>
          <w:sz w:val="20"/>
          <w:szCs w:val="20"/>
          <w:color w:val="auto"/>
        </w:rPr>
      </w:pPr>
    </w:p>
    <w:p>
      <w:pPr>
        <w:jc w:val="both"/>
        <w:ind w:left="221" w:hanging="221"/>
        <w:spacing w:after="0" w:line="278" w:lineRule="auto"/>
        <w:tabs>
          <w:tab w:leader="none" w:pos="22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221" w:right="20" w:hanging="221"/>
        <w:spacing w:after="0" w:line="278" w:lineRule="auto"/>
        <w:tabs>
          <w:tab w:leader="none" w:pos="221"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1"/>
          </w:cols>
          <w:pgMar w:left="599" w:top="74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1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03" w:lineRule="exact"/>
        <w:rPr>
          <w:rFonts w:ascii="Arial" w:cs="Arial" w:eastAsia="Arial" w:hAnsi="Arial"/>
          <w:sz w:val="18"/>
          <w:szCs w:val="18"/>
          <w:color w:val="auto"/>
        </w:rPr>
      </w:pPr>
    </w:p>
    <w:p>
      <w:pPr>
        <w:ind w:left="340" w:hanging="332"/>
        <w:spacing w:after="0" w:line="405"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332"/>
        <w:spacing w:after="0" w:line="36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36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980" w:hanging="324"/>
        <w:spacing w:after="0" w:line="360"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80" w:hanging="324"/>
        <w:spacing w:after="0" w:line="360"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980" w:hanging="324"/>
        <w:spacing w:after="0" w:line="381"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hanging="324"/>
        <w:spacing w:after="0" w:line="360"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hanging="332"/>
        <w:spacing w:after="0" w:line="381"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38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7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7" w:lineRule="exact"/>
        <w:rPr>
          <w:sz w:val="20"/>
          <w:szCs w:val="20"/>
          <w:color w:val="auto"/>
        </w:rPr>
      </w:pPr>
    </w:p>
    <w:p>
      <w:pPr>
        <w:ind w:left="440" w:hanging="324"/>
        <w:spacing w:after="0" w:line="387"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Arial" w:cs="Arial" w:eastAsia="Arial" w:hAnsi="Arial"/>
                <w:sz w:val="18"/>
                <w:szCs w:val="18"/>
                <w:color w:val="auto"/>
              </w:rPr>
              <w:t>August 1, 2018</w:t>
            </w:r>
          </w:p>
        </w:tc>
        <w:tc>
          <w:tcPr>
            <w:tcW w:w="4460" w:type="dxa"/>
            <w:vAlign w:val="bottom"/>
          </w:tcPr>
          <w:p>
            <w:pPr>
              <w:spacing w:after="0"/>
              <w:rPr>
                <w:sz w:val="20"/>
                <w:szCs w:val="20"/>
                <w:color w:val="auto"/>
              </w:rPr>
            </w:pPr>
            <w:r>
              <w:rPr>
                <w:rFonts w:ascii="Arial" w:cs="Arial" w:eastAsia="Arial" w:hAnsi="Arial"/>
                <w:sz w:val="18"/>
                <w:szCs w:val="18"/>
                <w:color w:val="auto"/>
              </w:rPr>
              <w:t>/s/ Bradley M. Shuster</w:t>
            </w:r>
          </w:p>
        </w:tc>
      </w:tr>
      <w:tr>
        <w:trPr>
          <w:trHeight w:val="291"/>
        </w:trPr>
        <w:tc>
          <w:tcPr>
            <w:tcW w:w="110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Bradley M. Shuster</w:t>
            </w:r>
          </w:p>
        </w:tc>
      </w:tr>
      <w:tr>
        <w:trPr>
          <w:trHeight w:val="270"/>
        </w:trPr>
        <w:tc>
          <w:tcPr>
            <w:tcW w:w="11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11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0880"/>
          </w:cols>
          <w:pgMar w:left="780" w:top="17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21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03" w:lineRule="exact"/>
        <w:rPr>
          <w:rFonts w:ascii="Arial" w:cs="Arial" w:eastAsia="Arial" w:hAnsi="Arial"/>
          <w:sz w:val="18"/>
          <w:szCs w:val="18"/>
          <w:color w:val="auto"/>
        </w:rPr>
      </w:pPr>
    </w:p>
    <w:p>
      <w:pPr>
        <w:ind w:left="340" w:hanging="332"/>
        <w:spacing w:after="0" w:line="40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332"/>
        <w:spacing w:after="0" w:line="36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36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jc w:val="both"/>
        <w:ind w:left="820" w:hanging="326"/>
        <w:spacing w:after="0" w:line="360"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820" w:hanging="326"/>
        <w:spacing w:after="0" w:line="360"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820" w:hanging="326"/>
        <w:spacing w:after="0" w:line="381" w:lineRule="auto"/>
        <w:tabs>
          <w:tab w:leader="none" w:pos="8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20" w:hanging="326"/>
        <w:spacing w:after="0" w:line="360"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hanging="332"/>
        <w:spacing w:after="0" w:line="38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20" w:hanging="326"/>
        <w:spacing w:after="0" w:line="360"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hanging="326"/>
        <w:spacing w:after="0" w:line="387"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August 1, 2018</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831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7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June 30, 2018,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58"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300" w:hanging="320"/>
        <w:spacing w:after="0" w:line="38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August 1, 2018</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Bradley M. Shuster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August 1, 2018</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both"/>
        <w:ind w:right="20"/>
        <w:spacing w:after="0" w:line="37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2"/>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lowerRoman"/>
      <w:start w:val="3"/>
    </w:lvl>
  </w:abstractNum>
  <w:abstractNum w:abstractNumId="18">
    <w:nsid w:val="75A2A8D4"/>
    <w:multiLevelType w:val="hybridMultilevel"/>
    <w:lvl w:ilvl="0">
      <w:lvlJc w:val="left"/>
      <w:lvlText w:val="(%1)"/>
      <w:numFmt w:val="lowerRoman"/>
      <w:start w:val="6"/>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Roman"/>
      <w:start w:val="1"/>
    </w:lvl>
    <w:lvl w:ilvl="1">
      <w:lvlJc w:val="left"/>
      <w:lvlText w:val="(%2)"/>
      <w:numFmt w:val="lowerRoman"/>
      <w:start w:val="3"/>
    </w:lvl>
  </w:abstractNum>
  <w:abstractNum w:abstractNumId="22">
    <w:nsid w:val="B03E0C6"/>
    <w:multiLevelType w:val="hybridMultilevel"/>
    <w:lvl w:ilvl="0">
      <w:lvlJc w:val="left"/>
      <w:lvlText w:val="(%1)"/>
      <w:numFmt w:val="lowerRoman"/>
      <w:start w:val="4"/>
    </w:lvl>
    <w:lvl w:ilvl="1">
      <w:lvlJc w:val="left"/>
      <w:lvlText w:val="%2"/>
      <w:numFmt w:val="lowerRoman"/>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lowerLetter"/>
      <w:start w:val="2"/>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52" Type="http://schemas.openxmlformats.org/officeDocument/2006/relationships/image" Target="media/image4.png"/><Relationship Id="rId11" Type="http://schemas.openxmlformats.org/officeDocument/2006/relationships/hyperlink" Target="http://www.sec.gov/Archives/edgar/data/1547903/000154790313000020/a21macstockpurchaseagreeme.htm" TargetMode="External"/><Relationship Id="rId12" Type="http://schemas.openxmlformats.org/officeDocument/2006/relationships/hyperlink" Target="http://www.sec.gov/Archives/edgar/data/1547903/000154790313000020/a22amendmenttomacpurhcasea.htm" TargetMode="External"/><Relationship Id="rId13" Type="http://schemas.openxmlformats.org/officeDocument/2006/relationships/hyperlink" Target="http://www.sec.gov/Archives/edgar/data/1547903/000154790313000020/a31secondamendedandrestate.htm" TargetMode="External"/><Relationship Id="rId14" Type="http://schemas.openxmlformats.org/officeDocument/2006/relationships/hyperlink" Target="http://www.sec.gov/Archives/edgar/data/1547903/000154790314000152/exhibit31december92014.htm" TargetMode="External"/><Relationship Id="rId15" Type="http://schemas.openxmlformats.org/officeDocument/2006/relationships/hyperlink" Target="http://www.sec.gov/Archives/edgar/data/1547903/000154790313000020/a41specimenclassacommonsto.htm" TargetMode="External"/><Relationship Id="rId16" Type="http://schemas.openxmlformats.org/officeDocument/2006/relationships/hyperlink" Target="http://www.sec.gov/Archives/edgar/data/1547903/000154790313000020/a42registrationrightsagree.htm" TargetMode="External"/><Relationship Id="rId17" Type="http://schemas.openxmlformats.org/officeDocument/2006/relationships/hyperlink" Target="http://www.sec.gov/Archives/edgar/data/1547903/000154790313000020/a43registrationrightsagree.htm" TargetMode="External"/><Relationship Id="rId18" Type="http://schemas.openxmlformats.org/officeDocument/2006/relationships/hyperlink" Target="http://www.sec.gov/Archives/edgar/data/1547903/000154790313000020/a44registrationrightsagree.htm" TargetMode="External"/><Relationship Id="rId19" Type="http://schemas.openxmlformats.org/officeDocument/2006/relationships/hyperlink" Target="http://www.sec.gov/Archives/edgar/data/1547903/000154790313000020/a45warrantno1fbrcapitalmar.htm" TargetMode="External"/><Relationship Id="rId20" Type="http://schemas.openxmlformats.org/officeDocument/2006/relationships/hyperlink" Target="http://www.sec.gov/Archives/edgar/data/1547903/000154790313000020/a46warrantno2macfinancial4.htm" TargetMode="External"/><Relationship Id="rId21" Type="http://schemas.openxmlformats.org/officeDocument/2006/relationships/hyperlink" Target="http://www.sec.gov/Archives/edgar/data/1547903/000154790313000020/a101nmiholdingsinc2012stoc.htm" TargetMode="External"/><Relationship Id="rId22" Type="http://schemas.openxmlformats.org/officeDocument/2006/relationships/hyperlink" Target="http://www.sec.gov/Archives/edgar/data/1547903/000154790313000020/a102formofnmiholdingsinc20.htm" TargetMode="External"/><Relationship Id="rId23" Type="http://schemas.openxmlformats.org/officeDocument/2006/relationships/hyperlink" Target="http://www.sec.gov/Archives/edgar/data/1547903/000154790313000020/a103formofnmiholdingsinc20.htm" TargetMode="External"/><Relationship Id="rId24" Type="http://schemas.openxmlformats.org/officeDocument/2006/relationships/hyperlink" Target="http://www.sec.gov/Archives/edgar/data/1547903/000154790313000020/a104formofnmiholdingsinc20.htm" TargetMode="External"/><Relationship Id="rId25" Type="http://schemas.openxmlformats.org/officeDocument/2006/relationships/hyperlink" Target="http://www.sec.gov/Archives/edgar/data/1547903/000154790313000020/a105formofnonqualifiedstoc.htm" TargetMode="External"/><Relationship Id="rId26" Type="http://schemas.openxmlformats.org/officeDocument/2006/relationships/hyperlink" Target="http://www.sec.gov/Archives/edgar/data/1547903/000154790313000020/a106formofnonqualifiedstoc.htm" TargetMode="External"/><Relationship Id="rId27" Type="http://schemas.openxmlformats.org/officeDocument/2006/relationships/hyperlink" Target="http://www.sec.gov/Archives/edgar/data/1547903/000154790313000020/a107formofnonqualifiedstoc.htm" TargetMode="External"/><Relationship Id="rId28" Type="http://schemas.openxmlformats.org/officeDocument/2006/relationships/hyperlink" Target="http://www.sec.gov/Archives/edgar/data/1547903/000154790317000032/exhibit108-2012stockincent.htm" TargetMode="External"/><Relationship Id="rId29" Type="http://schemas.openxmlformats.org/officeDocument/2006/relationships/hyperlink" Target="http://www.sec.gov/Archives/edgar/data/1547903/000154790317000032/exhibit109-2012stockincent.htm" TargetMode="External"/><Relationship Id="rId30" Type="http://schemas.openxmlformats.org/officeDocument/2006/relationships/hyperlink" Target="http://www.sec.gov/Archives/edgar/data/1547903/000154790315000172/a20151223shusteremployment.htm" TargetMode="External"/><Relationship Id="rId31" Type="http://schemas.openxmlformats.org/officeDocument/2006/relationships/hyperlink" Target="http://www.sec.gov/Archives/edgar/data/1547903/000154790316000230/exhibit1010leatherberrybil.htm" TargetMode="External"/><Relationship Id="rId32" Type="http://schemas.openxmlformats.org/officeDocument/2006/relationships/hyperlink" Target="http://www.sec.gov/Archives/edgar/data/1547903/000154790317000003/exhibit101offerletterdated.htm" TargetMode="External"/><Relationship Id="rId33" Type="http://schemas.openxmlformats.org/officeDocument/2006/relationships/hyperlink" Target="http://www.sec.gov/Archives/edgar/data/1547903/000154790314000146/exhibit101november252014.htm" TargetMode="External"/><Relationship Id="rId34" Type="http://schemas.openxmlformats.org/officeDocument/2006/relationships/hyperlink" Target="http://www.sec.gov/Archives/edgar/data/1547903/000154790313000020/a1014commitmentletterforbu.htm" TargetMode="External"/><Relationship Id="rId35" Type="http://schemas.openxmlformats.org/officeDocument/2006/relationships/hyperlink" Target="http://www.sec.gov/Archives/edgar/data/1547903/000154790315000142/nmihexhibit41tlb.htm" TargetMode="External"/><Relationship Id="rId36" Type="http://schemas.openxmlformats.org/officeDocument/2006/relationships/hyperlink" Target="http://www.sec.gov/Archives/edgar/data/1547903/000154790317000005/exhibit101tlaandannex.htm" TargetMode="External"/><Relationship Id="rId37" Type="http://schemas.openxmlformats.org/officeDocument/2006/relationships/hyperlink" Target="http://www.sec.gov/Archives/edgar/data/1547903/000154790317000115/exhibit101amendmentno2.htm" TargetMode="External"/><Relationship Id="rId38" Type="http://schemas.openxmlformats.org/officeDocument/2006/relationships/hyperlink" Target="http://www.sec.gov/Archives/edgar/data/1547903/000154790318000088/exhibit41-creditagreement.htm" TargetMode="External"/><Relationship Id="rId39" Type="http://schemas.openxmlformats.org/officeDocument/2006/relationships/hyperlink" Target="http://www.sec.gov/Archives/edgar/data/1547903/000154790317000043/nmihproxy2017.htm" TargetMode="External"/><Relationship Id="rId40" Type="http://schemas.openxmlformats.org/officeDocument/2006/relationships/hyperlink" Target="http://www.sec.gov/Archives/edgar/data/1547903/000154790317000100/ex1019rsuceo.htm" TargetMode="External"/><Relationship Id="rId41" Type="http://schemas.openxmlformats.org/officeDocument/2006/relationships/hyperlink" Target="http://www.sec.gov/Archives/edgar/data/1547903/000154790317000100/ex1020rsueo.htm" TargetMode="External"/><Relationship Id="rId42" Type="http://schemas.openxmlformats.org/officeDocument/2006/relationships/hyperlink" Target="http://www.sec.gov/Archives/edgar/data/1547903/000154790317000100/ex1021rsuee.htm" TargetMode="External"/><Relationship Id="rId43" Type="http://schemas.openxmlformats.org/officeDocument/2006/relationships/hyperlink" Target="http://www.sec.gov/Archives/edgar/data/1547903/000154790317000100/ex1022rsuindependentdirect.htm" TargetMode="External"/><Relationship Id="rId44" Type="http://schemas.openxmlformats.org/officeDocument/2006/relationships/hyperlink" Target="http://www.sec.gov/Archives/edgar/data/1547903/000154790317000100/ex1023nqsceo.htm" TargetMode="External"/><Relationship Id="rId45" Type="http://schemas.openxmlformats.org/officeDocument/2006/relationships/hyperlink" Target="http://www.sec.gov/Archives/edgar/data/1547903/000154790317000100/ex1024nqseoee.htm" TargetMode="External"/><Relationship Id="rId46" Type="http://schemas.openxmlformats.org/officeDocument/2006/relationships/hyperlink" Target="http://www.sec.gov/Archives/edgar/data/1547903/000154790315000112/exhibit1021formofphantomun.htm" TargetMode="External"/><Relationship Id="rId47" Type="http://schemas.openxmlformats.org/officeDocument/2006/relationships/hyperlink" Target="http://www.sec.gov/Archives/edgar/data/1547903/000154790317000032/exhibit1026-2014omnibusinc.htm" TargetMode="External"/><Relationship Id="rId48" Type="http://schemas.openxmlformats.org/officeDocument/2006/relationships/hyperlink" Target="http://www.sec.gov/Archives/edgar/data/1547903/000154790316000185/ex101severancebenefitplan.htm" TargetMode="External"/><Relationship Id="rId49" Type="http://schemas.openxmlformats.org/officeDocument/2006/relationships/hyperlink" Target="http://www.sec.gov/Archives/edgar/data/1547903/000154790317000035/exhbit101.htm" TargetMode="External"/><Relationship Id="rId50" Type="http://schemas.openxmlformats.org/officeDocument/2006/relationships/hyperlink" Target="http://www.sec.gov/Archives/edgar/data/1547903/000154790317000035/exhibit102.htm" TargetMode="External"/><Relationship Id="rId51"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2019-12-28T21:11:41Z</dcterms:created>
  <dcterms:modified xsi:type="dcterms:W3CDTF">2019-12-28T21:11:41Z</dcterms:modified>
</cp:coreProperties>
</file>