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35" w:lineRule="exact"/>
        <w:rPr>
          <w:sz w:val="24"/>
          <w:szCs w:val="24"/>
          <w:color w:val="auto"/>
        </w:rPr>
      </w:pPr>
    </w:p>
    <w:p>
      <w:pPr>
        <w:ind w:left="720"/>
        <w:spacing w:after="0"/>
        <w:rPr>
          <w:sz w:val="20"/>
          <w:szCs w:val="20"/>
          <w:color w:val="auto"/>
        </w:rPr>
      </w:pPr>
      <w:r>
        <w:rPr>
          <w:rFonts w:ascii="Arial" w:cs="Arial" w:eastAsia="Arial" w:hAnsi="Arial"/>
          <w:sz w:val="14"/>
          <w:szCs w:val="14"/>
          <w:color w:val="auto"/>
        </w:rPr>
        <w:t>ANNUAL REPORT PURSUANT TO SECTION 13 OR 15(d) OF THE SECURITIES EXCHANGE ACT OF 1934</w:t>
      </w:r>
    </w:p>
    <w:p>
      <w:pPr>
        <w:ind w:left="720" w:hanging="685"/>
        <w:spacing w:after="0"/>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2017</w:t>
      </w:r>
    </w:p>
    <w:p>
      <w:pPr>
        <w:spacing w:after="0" w:line="9"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ind w:left="74"/>
              <w:spacing w:after="0"/>
              <w:rPr>
                <w:sz w:val="20"/>
                <w:szCs w:val="20"/>
                <w:color w:val="auto"/>
              </w:rPr>
            </w:pPr>
            <w:r>
              <w:rPr>
                <w:rFonts w:ascii="Arial" w:cs="Arial" w:eastAsia="Arial" w:hAnsi="Arial"/>
                <w:sz w:val="14"/>
                <w:szCs w:val="14"/>
                <w:color w:val="auto"/>
                <w:w w:val="95"/>
              </w:rPr>
              <w:t>OR</w:t>
            </w:r>
          </w:p>
        </w:tc>
        <w:tc>
          <w:tcPr>
            <w:tcW w:w="1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84"/>
        </w:trPr>
        <w:tc>
          <w:tcPr>
            <w:tcW w:w="380" w:type="dxa"/>
            <w:vAlign w:val="bottom"/>
          </w:tcPr>
          <w:p>
            <w:pPr>
              <w:spacing w:after="0"/>
              <w:rPr>
                <w:sz w:val="24"/>
                <w:szCs w:val="24"/>
                <w:color w:val="auto"/>
              </w:rPr>
            </w:pPr>
          </w:p>
        </w:tc>
        <w:tc>
          <w:tcPr>
            <w:tcW w:w="9480" w:type="dxa"/>
            <w:vAlign w:val="bottom"/>
            <w:gridSpan w:val="10"/>
          </w:tcPr>
          <w:p>
            <w:pPr>
              <w:ind w:left="30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tc>
      </w:tr>
      <w:tr>
        <w:trPr>
          <w:trHeight w:val="154"/>
        </w:trPr>
        <w:tc>
          <w:tcPr>
            <w:tcW w:w="380" w:type="dxa"/>
            <w:vAlign w:val="bottom"/>
          </w:tcPr>
          <w:p>
            <w:pPr>
              <w:spacing w:after="0" w:line="154" w:lineRule="exact"/>
              <w:rPr>
                <w:sz w:val="20"/>
                <w:szCs w:val="20"/>
                <w:color w:val="auto"/>
              </w:rPr>
            </w:pPr>
            <w:r>
              <w:rPr>
                <w:rFonts w:ascii="Arial" w:cs="Arial" w:eastAsia="Arial" w:hAnsi="Arial"/>
                <w:sz w:val="14"/>
                <w:szCs w:val="14"/>
                <w:color w:val="auto"/>
              </w:rPr>
              <w:t>o</w:t>
            </w:r>
          </w:p>
        </w:tc>
        <w:tc>
          <w:tcPr>
            <w:tcW w:w="2060" w:type="dxa"/>
            <w:vAlign w:val="bottom"/>
            <w:gridSpan w:val="2"/>
          </w:tcPr>
          <w:p>
            <w:pPr>
              <w:ind w:left="300"/>
              <w:spacing w:after="0" w:line="154" w:lineRule="exact"/>
              <w:rPr>
                <w:sz w:val="20"/>
                <w:szCs w:val="20"/>
                <w:color w:val="auto"/>
              </w:rPr>
            </w:pPr>
            <w:r>
              <w:rPr>
                <w:rFonts w:ascii="Arial" w:cs="Arial" w:eastAsia="Arial" w:hAnsi="Arial"/>
                <w:sz w:val="14"/>
                <w:szCs w:val="14"/>
                <w:color w:val="auto"/>
                <w:w w:val="96"/>
              </w:rPr>
              <w:t>For the transition period from</w:t>
            </w:r>
          </w:p>
        </w:tc>
        <w:tc>
          <w:tcPr>
            <w:tcW w:w="600" w:type="dxa"/>
            <w:vAlign w:val="bottom"/>
          </w:tcPr>
          <w:p>
            <w:pPr>
              <w:spacing w:after="0"/>
              <w:rPr>
                <w:sz w:val="13"/>
                <w:szCs w:val="13"/>
                <w:color w:val="auto"/>
              </w:rPr>
            </w:pPr>
          </w:p>
        </w:tc>
        <w:tc>
          <w:tcPr>
            <w:tcW w:w="4160" w:type="dxa"/>
            <w:vAlign w:val="bottom"/>
            <w:gridSpan w:val="5"/>
          </w:tcPr>
          <w:p>
            <w:pPr>
              <w:jc w:val="center"/>
              <w:ind w:right="3874"/>
              <w:spacing w:after="0" w:line="154"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73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5"/>
              </w:rPr>
              <w:t xml:space="preserve">Commission file number </w:t>
            </w:r>
            <w:r>
              <w:rPr>
                <w:rFonts w:ascii="Arial" w:cs="Arial" w:eastAsia="Arial" w:hAnsi="Arial"/>
                <w:sz w:val="14"/>
                <w:szCs w:val="14"/>
                <w:b w:val="1"/>
                <w:bCs w:val="1"/>
                <w:color w:val="auto"/>
                <w:w w:val="95"/>
              </w:rPr>
              <w:t>001-36174</w:t>
            </w:r>
          </w:p>
        </w:tc>
        <w:tc>
          <w:tcPr>
            <w:tcW w:w="1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42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left="74"/>
              <w:spacing w:after="0"/>
              <w:rPr>
                <w:sz w:val="20"/>
                <w:szCs w:val="20"/>
                <w:color w:val="auto"/>
              </w:rPr>
            </w:pPr>
            <w:r>
              <w:rPr>
                <w:rFonts w:ascii="Arial" w:cs="Arial" w:eastAsia="Arial" w:hAnsi="Arial"/>
                <w:sz w:val="32"/>
                <w:szCs w:val="32"/>
                <w:b w:val="1"/>
                <w:bCs w:val="1"/>
                <w:color w:val="auto"/>
                <w:w w:val="96"/>
              </w:rPr>
              <w:t>NMI Holdings, Inc.</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color w:val="auto"/>
                <w:w w:val="87"/>
              </w:rPr>
              <w:t>(Exact name of registrant as specified in its charter)</w:t>
            </w:r>
          </w:p>
        </w:tc>
        <w:tc>
          <w:tcPr>
            <w:tcW w:w="14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r>
      <w:tr>
        <w:trPr>
          <w:trHeight w:val="326"/>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right="3254"/>
              <w:spacing w:after="0"/>
              <w:rPr>
                <w:sz w:val="20"/>
                <w:szCs w:val="20"/>
                <w:color w:val="auto"/>
              </w:rPr>
            </w:pPr>
            <w:r>
              <w:rPr>
                <w:rFonts w:ascii="Arial" w:cs="Arial" w:eastAsia="Arial" w:hAnsi="Arial"/>
                <w:sz w:val="14"/>
                <w:szCs w:val="14"/>
                <w:b w:val="1"/>
                <w:bCs w:val="1"/>
                <w:color w:val="auto"/>
              </w:rPr>
              <w:t>DELAWARE</w:t>
            </w:r>
          </w:p>
        </w:tc>
        <w:tc>
          <w:tcPr>
            <w:tcW w:w="2660" w:type="dxa"/>
            <w:vAlign w:val="bottom"/>
            <w:gridSpan w:val="2"/>
          </w:tcPr>
          <w:p>
            <w:pPr>
              <w:jc w:val="right"/>
              <w:ind w:right="1253"/>
              <w:spacing w:after="0"/>
              <w:rPr>
                <w:sz w:val="20"/>
                <w:szCs w:val="20"/>
                <w:color w:val="auto"/>
              </w:rPr>
            </w:pPr>
            <w:r>
              <w:rPr>
                <w:rFonts w:ascii="Arial" w:cs="Arial" w:eastAsia="Arial" w:hAnsi="Arial"/>
                <w:sz w:val="14"/>
                <w:szCs w:val="14"/>
                <w:b w:val="1"/>
                <w:bCs w:val="1"/>
                <w:color w:val="auto"/>
              </w:rPr>
              <w:t>45-4914248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660" w:type="dxa"/>
            <w:vAlign w:val="bottom"/>
            <w:gridSpan w:val="2"/>
          </w:tcPr>
          <w:p>
            <w:pPr>
              <w:jc w:val="center"/>
              <w:ind w:right="593"/>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82"/>
        </w:trPr>
        <w:tc>
          <w:tcPr>
            <w:tcW w:w="380" w:type="dxa"/>
            <w:vAlign w:val="bottom"/>
          </w:tcPr>
          <w:p>
            <w:pPr>
              <w:spacing w:after="0"/>
              <w:rPr>
                <w:sz w:val="24"/>
                <w:szCs w:val="24"/>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4"/>
                <w:szCs w:val="14"/>
                <w:b w:val="1"/>
                <w:bCs w:val="1"/>
                <w:color w:val="auto"/>
                <w:w w:val="94"/>
              </w:rPr>
              <w:t>2100 Powell Street, Emeryville, CA</w:t>
            </w:r>
          </w:p>
        </w:tc>
        <w:tc>
          <w:tcPr>
            <w:tcW w:w="2660" w:type="dxa"/>
            <w:vAlign w:val="bottom"/>
            <w:gridSpan w:val="2"/>
          </w:tcPr>
          <w:p>
            <w:pPr>
              <w:jc w:val="right"/>
              <w:ind w:right="1413"/>
              <w:spacing w:after="0"/>
              <w:rPr>
                <w:sz w:val="20"/>
                <w:szCs w:val="20"/>
                <w:color w:val="auto"/>
              </w:rPr>
            </w:pPr>
            <w:r>
              <w:rPr>
                <w:rFonts w:ascii="Arial" w:cs="Arial" w:eastAsia="Arial" w:hAnsi="Arial"/>
                <w:sz w:val="14"/>
                <w:szCs w:val="14"/>
                <w:b w:val="1"/>
                <w:bCs w:val="1"/>
                <w:color w:val="auto"/>
              </w:rPr>
              <w:t>94608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40" w:type="dxa"/>
            <w:vAlign w:val="bottom"/>
          </w:tcPr>
          <w:p>
            <w:pPr>
              <w:spacing w:after="0"/>
              <w:rPr>
                <w:sz w:val="23"/>
                <w:szCs w:val="23"/>
                <w:color w:val="auto"/>
              </w:rPr>
            </w:pPr>
          </w:p>
        </w:tc>
        <w:tc>
          <w:tcPr>
            <w:tcW w:w="2520" w:type="dxa"/>
            <w:vAlign w:val="bottom"/>
          </w:tcPr>
          <w:p>
            <w:pPr>
              <w:jc w:val="center"/>
              <w:ind w:right="733"/>
              <w:spacing w:after="0"/>
              <w:rPr>
                <w:sz w:val="20"/>
                <w:szCs w:val="20"/>
                <w:color w:val="auto"/>
              </w:rPr>
            </w:pPr>
            <w:r>
              <w:rPr>
                <w:rFonts w:ascii="Arial" w:cs="Arial" w:eastAsia="Arial" w:hAnsi="Arial"/>
                <w:sz w:val="13"/>
                <w:szCs w:val="13"/>
                <w:b w:val="1"/>
                <w:bCs w:val="1"/>
                <w:color w:val="auto"/>
                <w:w w:val="93"/>
              </w:rPr>
              <w:t>(Zip Code)</w:t>
            </w:r>
          </w:p>
        </w:tc>
      </w:tr>
      <w:tr>
        <w:trPr>
          <w:trHeight w:val="281"/>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left="1628"/>
              <w:spacing w:after="0"/>
              <w:rPr>
                <w:sz w:val="20"/>
                <w:szCs w:val="20"/>
                <w:color w:val="auto"/>
              </w:rPr>
            </w:pPr>
            <w:r>
              <w:rPr>
                <w:rFonts w:ascii="Arial" w:cs="Arial" w:eastAsia="Arial" w:hAnsi="Arial"/>
                <w:sz w:val="14"/>
                <w:szCs w:val="14"/>
                <w:b w:val="1"/>
                <w:bCs w:val="1"/>
                <w:color w:val="auto"/>
                <w:w w:val="93"/>
              </w:rPr>
              <w:t>(855) 530-6642</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4"/>
        </w:trPr>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left="7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28"/>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20" w:type="dxa"/>
            <w:vAlign w:val="bottom"/>
            <w:gridSpan w:val="4"/>
          </w:tcPr>
          <w:p>
            <w:pPr>
              <w:jc w:val="center"/>
              <w:ind w:right="227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2"/>
        </w:trPr>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spacing w:after="0"/>
              <w:rPr>
                <w:sz w:val="21"/>
                <w:szCs w:val="21"/>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79"/>
        </w:trPr>
        <w:tc>
          <w:tcPr>
            <w:tcW w:w="380" w:type="dxa"/>
            <w:vAlign w:val="bottom"/>
          </w:tcPr>
          <w:p>
            <w:pPr>
              <w:spacing w:after="0"/>
              <w:rPr>
                <w:sz w:val="24"/>
                <w:szCs w:val="24"/>
                <w:color w:val="auto"/>
              </w:rPr>
            </w:pPr>
          </w:p>
        </w:tc>
        <w:tc>
          <w:tcPr>
            <w:tcW w:w="6820" w:type="dxa"/>
            <w:vAlign w:val="bottom"/>
            <w:gridSpan w:val="8"/>
          </w:tcPr>
          <w:p>
            <w:pPr>
              <w:jc w:val="center"/>
              <w:ind w:right="1954"/>
              <w:spacing w:after="0"/>
              <w:rPr>
                <w:sz w:val="20"/>
                <w:szCs w:val="20"/>
                <w:color w:val="auto"/>
              </w:rPr>
            </w:pPr>
            <w:r>
              <w:rPr>
                <w:rFonts w:ascii="Arial" w:cs="Arial" w:eastAsia="Arial" w:hAnsi="Arial"/>
                <w:sz w:val="14"/>
                <w:szCs w:val="14"/>
                <w:color w:val="auto"/>
                <w:w w:val="91"/>
              </w:rPr>
              <w:t>Class A Common Stock, $.01 par value per share</w:t>
            </w:r>
          </w:p>
        </w:tc>
        <w:tc>
          <w:tcPr>
            <w:tcW w:w="140" w:type="dxa"/>
            <w:vAlign w:val="bottom"/>
          </w:tcPr>
          <w:p>
            <w:pPr>
              <w:spacing w:after="0"/>
              <w:rPr>
                <w:sz w:val="24"/>
                <w:szCs w:val="24"/>
                <w:color w:val="auto"/>
              </w:rPr>
            </w:pPr>
          </w:p>
        </w:tc>
        <w:tc>
          <w:tcPr>
            <w:tcW w:w="2520" w:type="dxa"/>
            <w:vAlign w:val="bottom"/>
          </w:tcPr>
          <w:p>
            <w:pPr>
              <w:jc w:val="center"/>
              <w:ind w:right="73"/>
              <w:spacing w:after="0"/>
              <w:rPr>
                <w:sz w:val="20"/>
                <w:szCs w:val="20"/>
                <w:color w:val="auto"/>
              </w:rPr>
            </w:pPr>
            <w:r>
              <w:rPr>
                <w:rFonts w:ascii="Arial" w:cs="Arial" w:eastAsia="Arial" w:hAnsi="Arial"/>
                <w:sz w:val="14"/>
                <w:szCs w:val="14"/>
                <w:color w:val="auto"/>
                <w:w w:val="99"/>
              </w:rPr>
              <w:t>NASDAQ Stock Market LLC</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Arial" w:cs="Arial" w:eastAsia="Arial" w:hAnsi="Arial"/>
          <w:sz w:val="14"/>
          <w:szCs w:val="14"/>
          <w:b w:val="1"/>
          <w:bCs w:val="1"/>
          <w:color w:val="auto"/>
        </w:rPr>
        <w:t>YES o NO x</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w:t>
      </w:r>
      <w:r>
        <w:rPr>
          <w:rFonts w:ascii="Arial" w:cs="Arial" w:eastAsia="Arial" w:hAnsi="Arial"/>
          <w:sz w:val="14"/>
          <w:szCs w:val="14"/>
          <w:b w:val="1"/>
          <w:bCs w:val="1"/>
          <w:color w:val="auto"/>
        </w:rPr>
        <w:t>YES o NO x</w:t>
      </w:r>
    </w:p>
    <w:p>
      <w:pPr>
        <w:spacing w:after="0" w:line="16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 x NO o</w:t>
      </w:r>
    </w:p>
    <w:p>
      <w:pPr>
        <w:spacing w:after="0" w:line="167" w:lineRule="exact"/>
        <w:rPr>
          <w:sz w:val="24"/>
          <w:szCs w:val="24"/>
          <w:color w:val="auto"/>
        </w:rPr>
      </w:pPr>
    </w:p>
    <w:p>
      <w:pPr>
        <w:jc w:val="both"/>
        <w:ind w:right="20"/>
        <w:spacing w:after="0" w:line="273"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4"/>
          <w:szCs w:val="14"/>
          <w:b w:val="1"/>
          <w:bCs w:val="1"/>
          <w:color w:val="auto"/>
        </w:rPr>
        <w:t>YES x NO o</w:t>
      </w:r>
    </w:p>
    <w:p>
      <w:pPr>
        <w:spacing w:after="0" w:line="120"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4"/>
          <w:szCs w:val="14"/>
          <w:b w:val="1"/>
          <w:bCs w:val="1"/>
          <w:color w:val="auto"/>
        </w:rPr>
        <w:t>x</w:t>
      </w:r>
    </w:p>
    <w:p>
      <w:pPr>
        <w:spacing w:after="0" w:line="12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Emerging growth company x</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32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w:cs="Arial" w:eastAsia="Arial" w:hAnsi="Arial"/>
          <w:sz w:val="14"/>
          <w:szCs w:val="14"/>
          <w:b w:val="1"/>
          <w:bCs w:val="1"/>
          <w:color w:val="auto"/>
        </w:rPr>
        <w:t>YES o NO x</w:t>
      </w:r>
    </w:p>
    <w:p>
      <w:pPr>
        <w:spacing w:after="0" w:line="16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As of June 30, 2017, the last business day of the registrant's most recently completed second fiscal quarter, the calculated aggregate market value of common stock held by non-affiliates was $671,117,064.</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per share, of the registrant outstanding on February 13, 2018 was 60,610,731 shares.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Portions of the registrant's Proxy Statement for the 2018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2017.</w:t>
      </w:r>
    </w:p>
    <w:p>
      <w:pPr>
        <w:sectPr>
          <w:pgSz w:w="11900" w:h="16838" w:orient="portrait"/>
          <w:cols w:equalWidth="0" w:num="1">
            <w:col w:w="11420"/>
          </w:cols>
          <w:pgMar w:left="240" w:top="68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8"/>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140" w:type="dxa"/>
            <w:vAlign w:val="bottom"/>
            <w:tcBorders>
              <w:bottom w:val="single" w:sz="8" w:color="CCEEFF"/>
            </w:tcBorders>
            <w:gridSpan w:val="2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Cautionary Note Regarding Forward Looking Statements</w:t>
            </w:r>
          </w:p>
        </w:tc>
        <w:tc>
          <w:tcPr>
            <w:tcW w:w="116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420" w:type="dxa"/>
            <w:vAlign w:val="bottom"/>
            <w:tcBorders>
              <w:bottom w:val="single" w:sz="8" w:color="CCEEFF"/>
            </w:tcBorders>
            <w:gridSpan w:val="21"/>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1A.</w:t>
            </w:r>
          </w:p>
        </w:tc>
        <w:tc>
          <w:tcPr>
            <w:tcW w:w="9060" w:type="dxa"/>
            <w:vAlign w:val="bottom"/>
            <w:gridSpan w:val="23"/>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1B.</w:t>
            </w:r>
          </w:p>
        </w:tc>
        <w:tc>
          <w:tcPr>
            <w:tcW w:w="9060" w:type="dxa"/>
            <w:vAlign w:val="bottom"/>
            <w:gridSpan w:val="23"/>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2"/>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7020" w:type="dxa"/>
            <w:vAlign w:val="bottom"/>
            <w:gridSpan w:val="11"/>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9060" w:type="dxa"/>
            <w:vAlign w:val="bottom"/>
            <w:gridSpan w:val="23"/>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9060" w:type="dxa"/>
            <w:vAlign w:val="bottom"/>
            <w:gridSpan w:val="23"/>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73"/>
                <w:shd w:val="clear" w:color="auto" w:fill="CCEEFF"/>
              </w:rPr>
            </w:pPr>
            <w:hyperlink w:anchor="page47">
              <w:r>
                <w:rPr>
                  <w:rFonts w:ascii="Arial" w:cs="Arial" w:eastAsia="Arial" w:hAnsi="Arial"/>
                  <w:sz w:val="17"/>
                  <w:szCs w:val="17"/>
                  <w:color w:val="0000EE"/>
                  <w:w w:val="73"/>
                  <w:shd w:val="clear" w:color="auto" w:fill="CCEEFF"/>
                </w:rPr>
                <w:t>47</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8060" w:type="dxa"/>
            <w:vAlign w:val="bottom"/>
            <w:gridSpan w:val="22"/>
            <w:shd w:val="clear" w:color="auto" w:fill="CCEEFF"/>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Market for Registrant's Common Equity, Related Stockholder Matters and Issuer Purchases of Equity Securities</w:t>
              </w:r>
            </w:hyperlink>
          </w:p>
        </w:tc>
        <w:tc>
          <w:tcPr>
            <w:tcW w:w="1000" w:type="dxa"/>
            <w:vAlign w:val="bottom"/>
            <w:shd w:val="clear" w:color="auto" w:fill="CCEEFF"/>
          </w:tcPr>
          <w:p>
            <w:pPr>
              <w:spacing w:after="0"/>
              <w:rPr>
                <w:sz w:val="24"/>
                <w:szCs w:val="24"/>
                <w:color w:val="auto"/>
              </w:rPr>
            </w:pPr>
          </w:p>
        </w:tc>
        <w:tc>
          <w:tcPr>
            <w:tcW w:w="1280" w:type="dxa"/>
            <w:vAlign w:val="bottom"/>
            <w:gridSpan w:val="7"/>
            <w:shd w:val="clear" w:color="auto" w:fill="CCEEFF"/>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6.</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400" w:type="dxa"/>
            <w:vAlign w:val="bottom"/>
            <w:tcBorders>
              <w:top w:val="single" w:sz="8" w:color="0000EE"/>
            </w:tcBorders>
            <w:gridSpan w:val="2"/>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gridSpan w:val="2"/>
            <w:vMerge w:val="restart"/>
          </w:tcPr>
          <w:p>
            <w:pPr>
              <w:spacing w:after="0"/>
              <w:rPr>
                <w:sz w:val="2"/>
                <w:szCs w:val="2"/>
                <w:color w:val="auto"/>
              </w:rPr>
            </w:pPr>
          </w:p>
        </w:tc>
        <w:tc>
          <w:tcPr>
            <w:tcW w:w="180" w:type="dxa"/>
            <w:vAlign w:val="bottom"/>
            <w:tcBorders>
              <w:top w:val="single" w:sz="8" w:color="0000EE"/>
            </w:tcBorders>
            <w:vMerge w:val="restart"/>
          </w:tcPr>
          <w:p>
            <w:pPr>
              <w:spacing w:after="0"/>
              <w:rPr>
                <w:sz w:val="2"/>
                <w:szCs w:val="2"/>
                <w:color w:val="auto"/>
              </w:rPr>
            </w:pPr>
          </w:p>
        </w:tc>
        <w:tc>
          <w:tcPr>
            <w:tcW w:w="880" w:type="dxa"/>
            <w:vAlign w:val="bottom"/>
            <w:tcBorders>
              <w:top w:val="single" w:sz="8" w:color="0000EE"/>
            </w:tcBorders>
            <w:gridSpan w:val="2"/>
            <w:vMerge w:val="restart"/>
          </w:tcPr>
          <w:p>
            <w:pPr>
              <w:spacing w:after="0"/>
              <w:rPr>
                <w:sz w:val="2"/>
                <w:szCs w:val="2"/>
                <w:color w:val="auto"/>
              </w:rPr>
            </w:pPr>
          </w:p>
        </w:tc>
        <w:tc>
          <w:tcPr>
            <w:tcW w:w="30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vMerge w:val="restart"/>
          </w:tcPr>
          <w:p>
            <w:pPr>
              <w:spacing w:after="0"/>
              <w:rPr>
                <w:sz w:val="2"/>
                <w:szCs w:val="2"/>
                <w:color w:val="auto"/>
              </w:rPr>
            </w:pPr>
          </w:p>
        </w:tc>
        <w:tc>
          <w:tcPr>
            <w:tcW w:w="760" w:type="dxa"/>
            <w:vAlign w:val="bottom"/>
            <w:tcBorders>
              <w:top w:val="single" w:sz="8" w:color="0000EE"/>
            </w:tcBorders>
            <w:vMerge w:val="restart"/>
          </w:tcPr>
          <w:p>
            <w:pPr>
              <w:spacing w:after="0"/>
              <w:rPr>
                <w:sz w:val="2"/>
                <w:szCs w:val="2"/>
                <w:color w:val="auto"/>
              </w:rPr>
            </w:pPr>
          </w:p>
        </w:tc>
        <w:tc>
          <w:tcPr>
            <w:tcW w:w="280" w:type="dxa"/>
            <w:vAlign w:val="bottom"/>
            <w:tcBorders>
              <w:top w:val="single" w:sz="8" w:color="0000EE"/>
            </w:tcBorders>
            <w:vMerge w:val="restart"/>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0000EE"/>
            </w:tcBorders>
            <w:vMerge w:val="restart"/>
          </w:tcPr>
          <w:p>
            <w:pPr>
              <w:spacing w:after="0"/>
              <w:rPr>
                <w:sz w:val="2"/>
                <w:szCs w:val="2"/>
                <w:color w:val="auto"/>
              </w:rPr>
            </w:pPr>
          </w:p>
        </w:tc>
        <w:tc>
          <w:tcPr>
            <w:tcW w:w="800" w:type="dxa"/>
            <w:vAlign w:val="bottom"/>
            <w:tcBorders>
              <w:top w:val="single" w:sz="8" w:color="0000EE"/>
            </w:tcBorders>
            <w:vMerge w:val="restart"/>
          </w:tcPr>
          <w:p>
            <w:pPr>
              <w:spacing w:after="0"/>
              <w:rPr>
                <w:sz w:val="2"/>
                <w:szCs w:val="2"/>
                <w:color w:val="auto"/>
              </w:rPr>
            </w:pPr>
          </w:p>
        </w:tc>
        <w:tc>
          <w:tcPr>
            <w:tcW w:w="7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CCEEFF"/>
            </w:tcBorders>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720" w:type="dxa"/>
            <w:vAlign w:val="bottom"/>
            <w:gridSpan w:val="8"/>
            <w:shd w:val="clear" w:color="auto" w:fill="CCEEFF"/>
          </w:tcPr>
          <w:p>
            <w:pPr>
              <w:spacing w:after="0" w:line="176" w:lineRule="exact"/>
              <w:rPr>
                <w:rFonts w:ascii="Arial" w:cs="Arial" w:eastAsia="Arial" w:hAnsi="Arial"/>
                <w:sz w:val="18"/>
                <w:szCs w:val="18"/>
                <w:color w:val="0000EE"/>
                <w:w w:val="89"/>
                <w:shd w:val="clear" w:color="auto" w:fill="CCEEFF"/>
              </w:rPr>
            </w:pPr>
            <w:hyperlink w:anchor="page49">
              <w:r>
                <w:rPr>
                  <w:rFonts w:ascii="Arial" w:cs="Arial" w:eastAsia="Arial" w:hAnsi="Arial"/>
                  <w:sz w:val="18"/>
                  <w:szCs w:val="18"/>
                  <w:color w:val="0000EE"/>
                  <w:w w:val="89"/>
                  <w:shd w:val="clear" w:color="auto" w:fill="CCEEFF"/>
                </w:rPr>
                <w:t>Selected Financial Data</w:t>
              </w:r>
            </w:hyperlink>
          </w:p>
        </w:tc>
        <w:tc>
          <w:tcPr>
            <w:tcW w:w="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49">
              <w:r>
                <w:rPr>
                  <w:rFonts w:ascii="Arial" w:cs="Arial" w:eastAsia="Arial" w:hAnsi="Arial"/>
                  <w:sz w:val="17"/>
                  <w:szCs w:val="17"/>
                  <w:color w:val="0000EE"/>
                  <w:w w:val="73"/>
                  <w:shd w:val="clear" w:color="auto" w:fill="CCEEFF"/>
                </w:rPr>
                <w:t>49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7.</w:t>
            </w:r>
          </w:p>
        </w:tc>
        <w:tc>
          <w:tcPr>
            <w:tcW w:w="6440" w:type="dxa"/>
            <w:vAlign w:val="bottom"/>
            <w:gridSpan w:val="19"/>
            <w:shd w:val="clear" w:color="auto" w:fill="CCEEFF"/>
          </w:tcPr>
          <w:p>
            <w:pPr>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4"/>
            <w:shd w:val="clear" w:color="auto" w:fill="CCEEFF"/>
          </w:tcPr>
          <w:p>
            <w:pPr>
              <w:spacing w:after="0"/>
              <w:rPr>
                <w:sz w:val="21"/>
                <w:szCs w:val="21"/>
                <w:color w:val="auto"/>
              </w:rPr>
            </w:pPr>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7A.</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1780" w:type="dxa"/>
            <w:vAlign w:val="bottom"/>
            <w:tcBorders>
              <w:top w:val="single" w:sz="8" w:color="CCEEFF"/>
            </w:tcBorders>
            <w:gridSpan w:val="2"/>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3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shd w:val="clear" w:color="auto" w:fill="CCEEFF"/>
              </w:rPr>
            </w:pPr>
            <w:hyperlink w:anchor="page75">
              <w:r>
                <w:rPr>
                  <w:rFonts w:ascii="Arial" w:cs="Arial" w:eastAsia="Arial" w:hAnsi="Arial"/>
                  <w:sz w:val="18"/>
                  <w:szCs w:val="18"/>
                  <w:color w:val="0000EE"/>
                  <w:w w:val="92"/>
                  <w:shd w:val="clear" w:color="auto" w:fill="CCEEFF"/>
                </w:rPr>
                <w:t>Quantitative and Qualitative Disclosures About Market Risk</w:t>
              </w:r>
            </w:hyperlink>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75">
              <w:r>
                <w:rPr>
                  <w:rFonts w:ascii="Arial" w:cs="Arial" w:eastAsia="Arial" w:hAnsi="Arial"/>
                  <w:sz w:val="17"/>
                  <w:szCs w:val="17"/>
                  <w:color w:val="0000EE"/>
                  <w:w w:val="73"/>
                  <w:shd w:val="clear" w:color="auto" w:fill="CCEEFF"/>
                </w:rPr>
                <w:t>75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8.</w:t>
            </w:r>
          </w:p>
        </w:tc>
        <w:tc>
          <w:tcPr>
            <w:tcW w:w="9060" w:type="dxa"/>
            <w:vAlign w:val="bottom"/>
            <w:gridSpan w:val="23"/>
            <w:shd w:val="clear" w:color="auto" w:fill="CCEEFF"/>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1360" w:type="dxa"/>
            <w:vAlign w:val="bottom"/>
            <w:tcBorders>
              <w:top w:val="single" w:sz="8" w:color="CCEEFF"/>
            </w:tcBorders>
            <w:gridSpan w:val="2"/>
          </w:tcPr>
          <w:p>
            <w:pPr>
              <w:spacing w:after="0"/>
              <w:rPr>
                <w:sz w:val="2"/>
                <w:szCs w:val="2"/>
                <w:color w:val="auto"/>
              </w:rPr>
            </w:pPr>
          </w:p>
        </w:tc>
        <w:tc>
          <w:tcPr>
            <w:tcW w:w="1040" w:type="dxa"/>
            <w:vAlign w:val="bottom"/>
            <w:tcBorders>
              <w:top w:val="single" w:sz="8" w:color="CCEEFF"/>
            </w:tcBorders>
            <w:gridSpan w:val="2"/>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1780" w:type="dxa"/>
            <w:vAlign w:val="bottom"/>
            <w:tcBorders>
              <w:top w:val="single" w:sz="8" w:color="CCEEFF"/>
            </w:tcBorders>
            <w:gridSpan w:val="2"/>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0000EE"/>
            </w:tcBorders>
            <w:gridSpan w:val="3"/>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4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shd w:val="clear" w:color="auto" w:fill="CCEEFF"/>
              </w:rPr>
            </w:pPr>
            <w:hyperlink w:anchor="page110">
              <w:r>
                <w:rPr>
                  <w:rFonts w:ascii="Arial" w:cs="Arial" w:eastAsia="Arial" w:hAnsi="Arial"/>
                  <w:sz w:val="18"/>
                  <w:szCs w:val="18"/>
                  <w:color w:val="0000EE"/>
                  <w:w w:val="90"/>
                  <w:shd w:val="clear" w:color="auto" w:fill="CCEEFF"/>
                </w:rPr>
                <w:t>Changes in and Disagreements with Accountants on Accounting and Financial Disclosure</w:t>
              </w:r>
            </w:hyperlink>
          </w:p>
        </w:tc>
        <w:tc>
          <w:tcPr>
            <w:tcW w:w="800" w:type="dxa"/>
            <w:vAlign w:val="bottom"/>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26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110">
              <w:r>
                <w:rPr>
                  <w:rFonts w:ascii="Arial" w:cs="Arial" w:eastAsia="Arial" w:hAnsi="Arial"/>
                  <w:sz w:val="18"/>
                  <w:szCs w:val="18"/>
                  <w:color w:val="0000EE"/>
                  <w:w w:val="79"/>
                  <w:shd w:val="clear" w:color="auto" w:fill="CCEEFF"/>
                </w:rPr>
                <w:t>110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Borders>
              <w:top w:val="single" w:sz="8" w:color="CCEEFF"/>
            </w:tcBorders>
          </w:tcPr>
          <w:p>
            <w:pPr>
              <w:spacing w:after="0"/>
              <w:rPr>
                <w:sz w:val="2"/>
                <w:szCs w:val="2"/>
                <w:color w:val="auto"/>
              </w:rPr>
            </w:pPr>
          </w:p>
        </w:tc>
        <w:tc>
          <w:tcPr>
            <w:tcW w:w="100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9A.</w:t>
            </w:r>
          </w:p>
        </w:tc>
        <w:tc>
          <w:tcPr>
            <w:tcW w:w="9060" w:type="dxa"/>
            <w:vAlign w:val="bottom"/>
            <w:gridSpan w:val="23"/>
            <w:shd w:val="clear" w:color="auto" w:fill="CCEEFF"/>
          </w:tcPr>
          <w:p>
            <w:pPr>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9B.</w:t>
            </w:r>
          </w:p>
        </w:tc>
        <w:tc>
          <w:tcPr>
            <w:tcW w:w="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gridSpan w:val="4"/>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440" w:type="dxa"/>
            <w:vAlign w:val="bottom"/>
            <w:tcBorders>
              <w:top w:val="single" w:sz="8" w:color="0000EE"/>
            </w:tcBorders>
            <w:gridSpan w:val="3"/>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180" w:type="dxa"/>
            <w:vAlign w:val="bottom"/>
            <w:tcBorders>
              <w:top w:val="single" w:sz="8" w:color="CCEEFF"/>
            </w:tcBorders>
            <w:vMerge w:val="restart"/>
          </w:tcPr>
          <w:p>
            <w:pPr>
              <w:spacing w:after="0"/>
              <w:rPr>
                <w:sz w:val="2"/>
                <w:szCs w:val="2"/>
                <w:color w:val="auto"/>
              </w:rPr>
            </w:pPr>
          </w:p>
        </w:tc>
        <w:tc>
          <w:tcPr>
            <w:tcW w:w="880" w:type="dxa"/>
            <w:vAlign w:val="bottom"/>
            <w:tcBorders>
              <w:top w:val="single" w:sz="8" w:color="CCEEFF"/>
            </w:tcBorders>
            <w:gridSpan w:val="2"/>
            <w:vMerge w:val="restart"/>
          </w:tcPr>
          <w:p>
            <w:pPr>
              <w:spacing w:after="0"/>
              <w:rPr>
                <w:sz w:val="2"/>
                <w:szCs w:val="2"/>
                <w:color w:val="auto"/>
              </w:rPr>
            </w:pPr>
          </w:p>
        </w:tc>
        <w:tc>
          <w:tcPr>
            <w:tcW w:w="300" w:type="dxa"/>
            <w:vAlign w:val="bottom"/>
            <w:tcBorders>
              <w:top w:val="single" w:sz="8" w:color="CCEEFF"/>
            </w:tcBorders>
            <w:vMerge w:val="restart"/>
          </w:tcPr>
          <w:p>
            <w:pPr>
              <w:spacing w:after="0"/>
              <w:rPr>
                <w:sz w:val="2"/>
                <w:szCs w:val="2"/>
                <w:color w:val="auto"/>
              </w:rPr>
            </w:pPr>
          </w:p>
        </w:tc>
        <w:tc>
          <w:tcPr>
            <w:tcW w:w="920" w:type="dxa"/>
            <w:vAlign w:val="bottom"/>
            <w:tcBorders>
              <w:top w:val="single" w:sz="8" w:color="CCEEFF"/>
            </w:tcBorders>
            <w:gridSpan w:val="2"/>
            <w:vMerge w:val="restart"/>
          </w:tcPr>
          <w:p>
            <w:pPr>
              <w:spacing w:after="0"/>
              <w:rPr>
                <w:sz w:val="2"/>
                <w:szCs w:val="2"/>
                <w:color w:val="auto"/>
              </w:rPr>
            </w:pPr>
          </w:p>
        </w:tc>
        <w:tc>
          <w:tcPr>
            <w:tcW w:w="1360" w:type="dxa"/>
            <w:vAlign w:val="bottom"/>
            <w:tcBorders>
              <w:top w:val="single" w:sz="8" w:color="CCEEFF"/>
            </w:tcBorders>
            <w:gridSpan w:val="2"/>
            <w:vMerge w:val="restart"/>
          </w:tcPr>
          <w:p>
            <w:pPr>
              <w:spacing w:after="0"/>
              <w:rPr>
                <w:sz w:val="2"/>
                <w:szCs w:val="2"/>
                <w:color w:val="auto"/>
              </w:rPr>
            </w:pPr>
          </w:p>
        </w:tc>
        <w:tc>
          <w:tcPr>
            <w:tcW w:w="1840" w:type="dxa"/>
            <w:vAlign w:val="bottom"/>
            <w:tcBorders>
              <w:top w:val="single" w:sz="8" w:color="CCEEFF"/>
            </w:tcBorders>
            <w:gridSpan w:val="3"/>
            <w:vMerge w:val="restart"/>
          </w:tcPr>
          <w:p>
            <w:pPr>
              <w:spacing w:after="0"/>
              <w:rPr>
                <w:sz w:val="2"/>
                <w:szCs w:val="2"/>
                <w:color w:val="auto"/>
              </w:rPr>
            </w:pPr>
          </w:p>
        </w:tc>
        <w:tc>
          <w:tcPr>
            <w:tcW w:w="1780" w:type="dxa"/>
            <w:vAlign w:val="bottom"/>
            <w:tcBorders>
              <w:top w:val="single" w:sz="8" w:color="CCEEFF"/>
            </w:tcBorders>
            <w:gridSpan w:val="2"/>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260" w:type="dxa"/>
            <w:vAlign w:val="bottom"/>
            <w:tcBorders>
              <w:top w:val="single" w:sz="8" w:color="0000EE"/>
            </w:tcBorders>
            <w:gridSpan w:val="4"/>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shd w:val="clear" w:color="auto" w:fill="CCEEFF"/>
              </w:rPr>
            </w:pPr>
            <w:hyperlink w:anchor="page110">
              <w:r>
                <w:rPr>
                  <w:rFonts w:ascii="Arial" w:cs="Arial" w:eastAsia="Arial" w:hAnsi="Arial"/>
                  <w:sz w:val="18"/>
                  <w:szCs w:val="18"/>
                  <w:color w:val="0000EE"/>
                  <w:w w:val="91"/>
                  <w:shd w:val="clear" w:color="auto" w:fill="CCEEFF"/>
                </w:rPr>
                <w:t>Other Information</w:t>
              </w:r>
            </w:hyperlink>
          </w:p>
        </w:tc>
        <w:tc>
          <w:tcPr>
            <w:tcW w:w="20" w:type="dxa"/>
            <w:vAlign w:val="bottom"/>
            <w:tcBorders>
              <w:bottom w:val="single" w:sz="8" w:color="0000EE"/>
            </w:tcBorders>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26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110">
              <w:r>
                <w:rPr>
                  <w:rFonts w:ascii="Arial" w:cs="Arial" w:eastAsia="Arial" w:hAnsi="Arial"/>
                  <w:sz w:val="18"/>
                  <w:szCs w:val="18"/>
                  <w:color w:val="0000EE"/>
                  <w:w w:val="79"/>
                  <w:shd w:val="clear" w:color="auto" w:fill="CCEEFF"/>
                </w:rPr>
                <w:t>110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PART III</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gridSpan w:val="7"/>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10.</w:t>
            </w:r>
          </w:p>
        </w:tc>
        <w:tc>
          <w:tcPr>
            <w:tcW w:w="9060" w:type="dxa"/>
            <w:vAlign w:val="bottom"/>
            <w:gridSpan w:val="23"/>
            <w:shd w:val="clear" w:color="auto" w:fill="CCEEFF"/>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Directors, Executive Officers and Corporate Governance</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11.</w:t>
            </w:r>
          </w:p>
        </w:tc>
        <w:tc>
          <w:tcPr>
            <w:tcW w:w="4080" w:type="dxa"/>
            <w:vAlign w:val="bottom"/>
            <w:gridSpan w:val="16"/>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Executive Compensation</w:t>
              </w:r>
            </w:hyperlink>
          </w:p>
        </w:tc>
        <w:tc>
          <w:tcPr>
            <w:tcW w:w="4980" w:type="dxa"/>
            <w:vAlign w:val="bottom"/>
            <w:gridSpan w:val="7"/>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12.</w:t>
            </w:r>
          </w:p>
        </w:tc>
        <w:tc>
          <w:tcPr>
            <w:tcW w:w="9060" w:type="dxa"/>
            <w:vAlign w:val="bottom"/>
            <w:gridSpan w:val="23"/>
            <w:shd w:val="clear" w:color="auto" w:fill="CCEEFF"/>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Security Ownership of Certain Beneficial Owners and Management and Related Stockholder Matters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13.</w:t>
            </w:r>
          </w:p>
        </w:tc>
        <w:tc>
          <w:tcPr>
            <w:tcW w:w="7280" w:type="dxa"/>
            <w:vAlign w:val="bottom"/>
            <w:gridSpan w:val="21"/>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14.</w:t>
            </w:r>
          </w:p>
        </w:tc>
        <w:tc>
          <w:tcPr>
            <w:tcW w:w="2860" w:type="dxa"/>
            <w:vAlign w:val="bottom"/>
            <w:gridSpan w:val="13"/>
            <w:shd w:val="clear" w:color="auto" w:fill="CCEEFF"/>
          </w:tcPr>
          <w:p>
            <w:pPr>
              <w:spacing w:after="0" w:line="202"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Principal Accountant Fees and Services</w:t>
              </w:r>
            </w:hyperlink>
          </w:p>
        </w:tc>
        <w:tc>
          <w:tcPr>
            <w:tcW w:w="6200" w:type="dxa"/>
            <w:vAlign w:val="bottom"/>
            <w:gridSpan w:val="10"/>
            <w:shd w:val="clear" w:color="auto" w:fill="CCEEFF"/>
          </w:tcPr>
          <w:p>
            <w:pPr>
              <w:spacing w:after="0"/>
              <w:rPr>
                <w:sz w:val="17"/>
                <w:szCs w:val="17"/>
                <w:color w:val="auto"/>
              </w:rPr>
            </w:pPr>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Exhibits and Financial Statement Schedules</w:t>
              </w:r>
            </w:hyperlink>
          </w:p>
        </w:tc>
        <w:tc>
          <w:tcPr>
            <w:tcW w:w="5900" w:type="dxa"/>
            <w:vAlign w:val="bottom"/>
            <w:tcBorders>
              <w:bottom w:val="single" w:sz="8" w:color="CCEEFF"/>
            </w:tcBorders>
            <w:gridSpan w:val="9"/>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line="202"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112</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Signatures</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113">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140" w:type="dxa"/>
            <w:vAlign w:val="bottom"/>
            <w:gridSpan w:val="26"/>
            <w:shd w:val="clear" w:color="auto" w:fill="CCEEFF"/>
          </w:tcPr>
          <w:p>
            <w:pPr>
              <w:ind w:left="40"/>
              <w:spacing w:after="0" w:line="202"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Index to Financial Statement Schedules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140" w:type="dxa"/>
            <w:vAlign w:val="bottom"/>
            <w:gridSpan w:val="26"/>
          </w:tcPr>
          <w:p>
            <w:pPr>
              <w:ind w:left="40"/>
              <w:spacing w:after="0" w:line="202"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Exhibit Index</w:t>
              </w:r>
            </w:hyperlink>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939"/>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20" w:type="dxa"/>
            <w:vAlign w:val="bottom"/>
            <w:gridSpan w:val="17"/>
          </w:tcPr>
          <w:p>
            <w:pPr>
              <w:jc w:val="right"/>
              <w:ind w:right="76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current or future versions of their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other private mortgage insurers and governmental mortgage insurers like the Federal Housing Administration (FHA) and the Veterans Administration (VA) (collectively, public MIs), and potential market entry by new competitors or consolidation of existing competitors;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capital and reinsurance markets and our access to such markets;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driven by legislative or regulatory action or other changes that could affect the residential mortgage industry generally or mortgage insurance industry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execute and implement our capital plans, including our ability to access the reinsurance market and to enter into, and receive approval for, reinsurance arrangements on terms and conditions that are acceptable to us, the GSEs and our regulators;</w:t>
      </w:r>
    </w:p>
    <w:p>
      <w:pPr>
        <w:spacing w:after="0" w:line="38"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our pricing, risk management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claims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adverse impacts arising from recent natural disasters, including, with respect to the affected areas, a decline in new business, adverse effects on home prices, and an increase in notices of default on insured mortgages;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our technology providers to perform as expected;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train and retain key personnel.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more information regarding these risks and uncertainties as well as certain additional risks that we face, you should refer to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described in this report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Part II,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elsewhere in this report, including the exhibits hereto.</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"Company" and "NMI" in this document refer to NMI Holdings, Inc., a Delaware corporation, and its wholly owned subsidiaries on a consolidated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mortgage insurance (referred to as "mortgage insurance" or "MI") through our wholly 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coverage in all 50 states and D.C. Re One provides reinsurance to NMIC on insured loans with coverage levels in excess of 25%, after giving effect to third-party reinsurance. Our subsidiary, NMI Services, Inc. (NMIS), provides outsourced loan review services to mortgage loan originators.</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2017, we had master policies with 1,267 customers, including national and regional mortgage banks, money center banks, credit unions, community banks, builder-owned mortgage lenders, internet-sourced lenders and other non-bank lenders. As of December 31, 2017, we had $51.7 billion of total insurance-in-force (IIF), including primary IIF of $48.5 billion, and $11.9 billion of gross risk-in-force (RIF), including primary RIF of $11.8 billion. For the year ended December 31, 2017, we generated new insurance written (NIW) of $21.6 billion. As of December 31, 2017, we had 299 full-time employees.</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w:t>
      </w:r>
    </w:p>
    <w:p>
      <w:pPr>
        <w:spacing w:after="0" w:line="13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Mortgage Finance and the Role of the Private MI Industry in the Current Operating Environment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Residential Mortgage Market</w:t>
      </w:r>
    </w:p>
    <w:p>
      <w:pPr>
        <w:spacing w:after="0" w:line="17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According to statistics published by the U.S. Federal Reserve, the U.S. residential mortgage market is one of the largest in the world, with more than $10 trillion of mortgage debt outstanding as of December 31, 2017,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1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U.S. residential mortgage market attracts and involves participation from a range of private and public institutions. Private industry participants include national and regional mortgage banks, money center banks, mortgage brokers, community banks, builder-owned mortgage lenders, internet-sourced lenders, commercial, regional and investment banks, savings institutions, credit unions, REITs and other financial institutions. Public participants include government agencies such as the FHA, VA and Ginnie Mae, as well as government-sponsored enterprises, such as Fannie Mae and Freddie Mac.</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i w:val="1"/>
          <w:iCs w:val="1"/>
          <w:color w:val="auto"/>
        </w:rPr>
        <w:t>GSEs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mortgage insurance requirements and business practices. See "</w:t>
      </w:r>
      <w:r>
        <w:rPr>
          <w:rFonts w:ascii="Arial" w:cs="Arial" w:eastAsia="Arial" w:hAnsi="Arial"/>
          <w:sz w:val="17"/>
          <w:szCs w:val="17"/>
          <w:i w:val="1"/>
          <w:iCs w:val="1"/>
          <w:color w:val="auto"/>
        </w:rPr>
        <w:t>U.S. Mortgage Insurance Regulation - GSE Oversight</w:t>
      </w:r>
      <w:r>
        <w:rPr>
          <w:rFonts w:ascii="Arial" w:cs="Arial" w:eastAsia="Arial" w:hAnsi="Arial"/>
          <w:sz w:val="17"/>
          <w:szCs w:val="17"/>
          <w:color w:val="auto"/>
        </w:rPr>
        <w:t>," below.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and plays a central role in the U.S. housing market. MI is provided by both governmental agencies, including the FHA and VA, and private companies, such as NMI,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competition includes other private mortgage insurers, public MIs and other alternatives designed to eliminate the need for MI, such as piggy-back loans or front-end risk sharing arrangements that do not require private MI on loans sold to the GSEs.</w:t>
      </w:r>
    </w:p>
    <w:p>
      <w:pPr>
        <w:spacing w:after="0" w:line="11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private MI industry is highly competitive and currently consists of six active participants, including us, Arch Capital Group Ltd., Essent Group Ltd. (Essent), Genworth Financial,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information security,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1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We and other private mortgage insurers also compete directly with the public MI companies, </w:t>
      </w:r>
      <w:r>
        <w:rPr>
          <w:rFonts w:ascii="Arial" w:cs="Arial" w:eastAsia="Arial" w:hAnsi="Arial"/>
          <w:sz w:val="17"/>
          <w:szCs w:val="17"/>
          <w:i w:val="1"/>
          <w:iCs w:val="1"/>
          <w:color w:val="auto"/>
        </w:rPr>
        <w:t>i.e.</w:t>
      </w:r>
      <w:r>
        <w:rPr>
          <w:rFonts w:ascii="Arial" w:cs="Arial" w:eastAsia="Arial" w:hAnsi="Arial"/>
          <w:sz w:val="17"/>
          <w:szCs w:val="17"/>
          <w:color w:val="auto"/>
        </w:rPr>
        <w:t>, federal governmental agencies, that provide MI and who significantly increased their presence in the MI market following the financial crisis. Prior to the 2008 financial crisis, private mortgage insurers accounted for the majority of the insured mortgage origination market. Beginning in 2008, public MIs significantly expanded their role in the MI market as incumbent private mortgage insurers came under significant financial stress. According to data reported by Inside Mortgage Finance, in 2007, public MIs accounted for 23% of the total insured mortgage origination market. By 2009, public MI share had peaked at approximately 82% of the total insured mortgage origination market. Public MI share has since declined and is estimated to have been 61% in 2017. Although there has been broad policy consensus toward the need for private capital to play a larger role and government credit risk to be reduced in the U.S. housing finance system, it remains difficult to predict whether the combined market share of public MIs will recede to historical levels. A range of factors influence a lender's decision to choose private over public MI, including among others, premium rates and other charges, loan eligibility requirements, cancelability, loan size limits and the relative ease of use of private MI products compared to public MI alternatives.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 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two principal types of MI coverage, primary and pool.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Mortgage Insurance</w:t>
      </w:r>
    </w:p>
    <w:p>
      <w:pPr>
        <w:spacing w:after="0" w:line="171"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Primary MI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both"/>
        <w:ind w:right="80" w:firstLine="648"/>
        <w:spacing w:after="0" w:line="312" w:lineRule="auto"/>
        <w:rPr>
          <w:sz w:val="20"/>
          <w:szCs w:val="20"/>
          <w:color w:val="auto"/>
        </w:rPr>
      </w:pPr>
      <w:r>
        <w:rPr>
          <w:rFonts w:ascii="Arial" w:cs="Arial" w:eastAsia="Arial" w:hAnsi="Arial"/>
          <w:sz w:val="16"/>
          <w:szCs w:val="16"/>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11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133"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maximum obligation with respect to a claim is generally determined by multiplying the selected coverage percentage by the loss amount on an insured loan. The loss amount is defined in our master mortgage insurance policy (together with its related endorsements, the Master Policy) and includes unpaid loan principal, delinquent interest and certain expenses associated with the default and subsequent foreclosure or sale of the property securing the insured loan. See "</w:t>
      </w:r>
      <w:r>
        <w:rPr>
          <w:rFonts w:ascii="Arial" w:cs="Arial" w:eastAsia="Arial" w:hAnsi="Arial"/>
          <w:sz w:val="16"/>
          <w:szCs w:val="16"/>
          <w:i w:val="1"/>
          <w:iCs w:val="1"/>
          <w:color w:val="auto"/>
        </w:rPr>
        <w:t>Business - Defaults and Claims; Loss Mitigation - Defaults and Claims</w:t>
      </w:r>
      <w:r>
        <w:rPr>
          <w:rFonts w:ascii="Arial" w:cs="Arial" w:eastAsia="Arial" w:hAnsi="Arial"/>
          <w:sz w:val="16"/>
          <w:szCs w:val="16"/>
          <w:color w:val="auto"/>
        </w:rPr>
        <w:t>," below for a description of our claim settlement processes.</w:t>
      </w:r>
    </w:p>
    <w:p>
      <w:pPr>
        <w:spacing w:after="0" w:line="10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terms of our primary mortgage insurance coverage are governed by our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Our Master Policy is publicly available on our website. Upon receipt of an insurable loan, we issue a certificate of insurance that extends coverage for such loan under our Master Policy. See "</w:t>
      </w:r>
      <w:r>
        <w:rPr>
          <w:rFonts w:ascii="Arial" w:cs="Arial" w:eastAsia="Arial" w:hAnsi="Arial"/>
          <w:sz w:val="17"/>
          <w:szCs w:val="17"/>
          <w:i w:val="1"/>
          <w:iCs w:val="1"/>
          <w:color w:val="auto"/>
        </w:rPr>
        <w:t>Business - Underwriting</w:t>
      </w:r>
      <w:r>
        <w:rPr>
          <w:rFonts w:ascii="Arial" w:cs="Arial" w:eastAsia="Arial" w:hAnsi="Arial"/>
          <w:sz w:val="17"/>
          <w:szCs w:val="17"/>
          <w:color w:val="auto"/>
        </w:rPr>
        <w:t>," below for a description of our underwriting processes. Our MI coverage attaches at a loan level and remains in effect whether a mortgage is retained by the originating lender or sold, assigned or otherwise transferred in the secondary market. We consider the original lender or any subsequent owner of an insured loan to be our insured or, with respect to the GSEs, third-party beneficiaries under our Master Policy.</w:t>
      </w:r>
    </w:p>
    <w:p>
      <w:pPr>
        <w:spacing w:after="0" w:line="1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 paid mortgage insurance (BPMI) and those with premium payments made by the lender are referred to as lender paid mortgage insurance (LPMI). Lenders may structure loans to recover LPMI premiums from borrowers, including through increases in mortgage note rates or higher origination fees.</w:t>
      </w:r>
    </w:p>
    <w:p>
      <w:pPr>
        <w:spacing w:after="0" w:line="13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Our premiums are based on statutory rating rules and rates that we file with various state insurance departments. We establish our premium rates based on pricing models that assess risk across a spectrum of variables, including coverage percentages, LTV ratios, loan and property attributes, and borrower risk characteristics. We have discretion under our rates and rating rules to flex our premium rates to a limited degree, and we may choose to do so for lenders or programs that meet certain criteria. We generally cannot change premium rates after coverage is established.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premiums are calculated as a percentage of the original principal balance of an insured loan. We have four premium plans:</w:t>
      </w:r>
    </w:p>
    <w:p>
      <w:pPr>
        <w:spacing w:after="0" w:line="17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single — entire premium is paid upfront at the time coverage is placed;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 premiums are paid in advance for a subsequent 12 month period over the life of a policy;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monthly — premiums are paid in advance on a monthly basis over the life of the policy; and</w:t>
      </w:r>
    </w:p>
    <w:p>
      <w:pPr>
        <w:spacing w:after="0" w:line="117" w:lineRule="exact"/>
        <w:rPr>
          <w:rFonts w:ascii="Arial" w:cs="Arial" w:eastAsia="Arial" w:hAnsi="Arial"/>
          <w:sz w:val="18"/>
          <w:szCs w:val="18"/>
          <w:color w:val="auto"/>
        </w:rPr>
      </w:pPr>
    </w:p>
    <w:p>
      <w:pPr>
        <w:ind w:left="1300" w:right="20" w:hanging="320"/>
        <w:spacing w:after="0" w:line="216"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Monthly Advantage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premiums are billed and paid in arrears upon our receipt of notice of a mortgage close, and on a monthly basis in arrears thereafter over the life of the policy.</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general, we may not terminate MI coverage except when an insured fails to pay premium as due or for certain material violations of our Master Policy; although, as discussed below in "- </w:t>
      </w:r>
      <w:r>
        <w:rPr>
          <w:rFonts w:ascii="Arial" w:cs="Arial" w:eastAsia="Arial" w:hAnsi="Arial"/>
          <w:sz w:val="18"/>
          <w:szCs w:val="18"/>
          <w:i w:val="1"/>
          <w:iCs w:val="1"/>
          <w:color w:val="auto"/>
        </w:rPr>
        <w:t>Underwriting - Independent Validation and Rescission Relief</w:t>
      </w:r>
      <w:r>
        <w:rPr>
          <w:rFonts w:ascii="Arial" w:cs="Arial" w:eastAsia="Arial" w:hAnsi="Arial"/>
          <w:sz w:val="18"/>
          <w:szCs w:val="18"/>
          <w:color w:val="auto"/>
        </w:rPr>
        <w:t>," the terms of our Master Policy restrict our ability to rescind coverage when certain criteria are met. Insureds may cancel coverage on a loan at any time at their option or upon mortgage repayment, which may be accelerated because a borrower refinances a</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color w:val="auto"/>
        </w:rPr>
        <w:t>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Pool Insurance</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Pool insurance is generally used to provide additional "credit enhancement"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aggregate loss on the pool of loans exceeds the deductible.</w:t>
      </w:r>
    </w:p>
    <w:p>
      <w:pPr>
        <w:spacing w:after="0" w:line="13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 100% of this pool risk is reinsured under the Company's September 2016 quota-share reinsurance transaction (2016 QSR Transaction), discussed below at "</w:t>
      </w:r>
      <w:r>
        <w:rPr>
          <w:rFonts w:ascii="Arial" w:cs="Arial" w:eastAsia="Arial" w:hAnsi="Arial"/>
          <w:sz w:val="18"/>
          <w:szCs w:val="18"/>
          <w:i w:val="1"/>
          <w:iCs w:val="1"/>
          <w:color w:val="auto"/>
        </w:rPr>
        <w:t>Business - Reinsurance</w:t>
      </w:r>
      <w:r>
        <w:rPr>
          <w:rFonts w:ascii="Arial" w:cs="Arial" w:eastAsia="Arial" w:hAnsi="Arial"/>
          <w:sz w:val="18"/>
          <w:szCs w:val="18"/>
          <w:color w:val="auto"/>
        </w:rPr>
        <w:t>."</w:t>
      </w:r>
    </w:p>
    <w:p>
      <w:pPr>
        <w:spacing w:after="0" w:line="139" w:lineRule="exact"/>
        <w:rPr>
          <w:sz w:val="20"/>
          <w:szCs w:val="20"/>
          <w:color w:val="auto"/>
        </w:rPr>
      </w:pPr>
    </w:p>
    <w:p>
      <w:pPr>
        <w:ind w:left="340" w:right="540" w:firstLine="324"/>
        <w:spacing w:after="0" w:line="438" w:lineRule="auto"/>
        <w:rPr>
          <w:sz w:val="20"/>
          <w:szCs w:val="20"/>
          <w:color w:val="auto"/>
        </w:rPr>
      </w:pPr>
      <w:r>
        <w:rPr>
          <w:rFonts w:ascii="Arial" w:cs="Arial" w:eastAsia="Arial" w:hAnsi="Arial"/>
          <w:sz w:val="18"/>
          <w:szCs w:val="18"/>
          <w:color w:val="auto"/>
        </w:rPr>
        <w:t xml:space="preserve">We did not write any pool insurance in 2017 and at present do not expect to write any meaningful amount of pool insurance in the near future. </w:t>
      </w:r>
      <w:r>
        <w:rPr>
          <w:rFonts w:ascii="Arial" w:cs="Arial" w:eastAsia="Arial" w:hAnsi="Arial"/>
          <w:sz w:val="18"/>
          <w:szCs w:val="18"/>
          <w:b w:val="1"/>
          <w:bCs w:val="1"/>
          <w:i w:val="1"/>
          <w:iCs w:val="1"/>
          <w:color w:val="auto"/>
        </w:rPr>
        <w:t>Loan Review Services</w:t>
      </w:r>
    </w:p>
    <w:p>
      <w:pPr>
        <w:spacing w:after="0" w:line="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offer outsourced loan review services to mortgage originators on a limited basis through NMIS. In connection with these services, NMIS reviews loan data and documentation and assesses whether individual loan applications comply with the originator's and/or GSE underwriting guidelines. We provide loan review services for mortgages that require MI and those that do not. Under the terms of its loan review agreements, NMIS provides customers with limited indemnification against losses in the event NMIS makes certain material loan review errors. The indemnification may be in the form of monetary or other remedies, subject to per loan and annual limits. NMIS utilizes third party service providers to conduct individual loan reviews.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Since our inception, we have sought to establish customer relationships with a broad group of mortgage lenders. As of December 31, 2017, we had Master Policies with 1,267 customers, including national and regional mortgage banks, money center banks, credit unions, community banks, builder-owned mortgage lenders, internet-sourced lenders and other non-bank lenders.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113"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further define customers as "centralized" or "decentralized" based on how they allocate their mortgage insurance purchasing decisions across each of their MI providers. Centralized lenders make decisions about the placement and allocation of private mortgage insurance at a centralized, corporate level. Decentralized lenders make decisions about the placement and allocation of private mortgage insurance at a loan level by loan production personnel, such as loan officers. National Account lenders primarily utilize the centralized allocation model and Regional Account lenders primarily utilize the decentralized allocation model. There are, however, a number of National Account lenders who opt for a decentralized approach and a number of Regional Account lenders who opt for a centralized approach.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7"/>
          <w:szCs w:val="17"/>
          <w:color w:val="auto"/>
        </w:rPr>
        <w:t>The GSEs, as major purchasers of conventional mortgage loans in the U.S., are the primary beneficiaries of our mortgage insurance coverage.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our customers have been generated in the U.S. only.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Customers exceeding 10% of consolidated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premiums earned by NMIC from Quicken Loans Inc. represented 11% of our consolidated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small or regional lenders, such as community banks, credit unions, mortgage bankers and branches of National Accounts. We also maintain a dedicated customer service team, which we refer to as the Solution Center and which offers support in loan submission and underwriting service, risk management and technology to support our sales efforts.</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debt-to-income (DTI) levels, maximum LTVs and documentation requirements. Our underwriting guidelines also limit the coverage we provide for certain higher-risk mortgages, including those for cash-out refinancings, second homes or investment properties.</w:t>
      </w:r>
    </w:p>
    <w:p>
      <w:pPr>
        <w:spacing w:after="0" w:line="13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 loans and issue policies through two underwriting platforms:</w:t>
      </w:r>
    </w:p>
    <w:p>
      <w:pPr>
        <w:spacing w:after="0" w:line="171" w:lineRule="exact"/>
        <w:rPr>
          <w:sz w:val="20"/>
          <w:szCs w:val="20"/>
          <w:color w:val="auto"/>
        </w:rPr>
      </w:pPr>
    </w:p>
    <w:p>
      <w:pPr>
        <w:ind w:left="980" w:right="20" w:hanging="324"/>
        <w:spacing w:after="0" w:line="264"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Non-Delegated</w:t>
      </w:r>
      <w:r>
        <w:rPr>
          <w:rFonts w:ascii="Arial" w:cs="Arial" w:eastAsia="Arial" w:hAnsi="Arial"/>
          <w:sz w:val="18"/>
          <w:szCs w:val="18"/>
          <w:color w:val="auto"/>
        </w:rPr>
        <w:t>: Customers submit loan information and documentation to us so that we may individually underwrite each application to reach a</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as to whether we will insure a loan. On receipt of a non-delegated submission, we review the information, documentation and data provided by the lender to underwrite the MI application.</w:t>
      </w:r>
    </w:p>
    <w:p>
      <w:pPr>
        <w:spacing w:after="0" w:line="73" w:lineRule="exact"/>
        <w:rPr>
          <w:rFonts w:ascii="Arial" w:cs="Arial" w:eastAsia="Arial" w:hAnsi="Arial"/>
          <w:sz w:val="18"/>
          <w:szCs w:val="18"/>
          <w:i w:val="1"/>
          <w:iCs w:val="1"/>
          <w:color w:val="auto"/>
        </w:rPr>
      </w:pPr>
    </w:p>
    <w:p>
      <w:pPr>
        <w:ind w:left="980" w:right="40" w:hanging="324"/>
        <w:spacing w:after="0" w:line="255"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Delegated</w:t>
      </w:r>
      <w:r>
        <w:rPr>
          <w:rFonts w:ascii="Arial" w:cs="Arial" w:eastAsia="Arial" w:hAnsi="Arial"/>
          <w:sz w:val="18"/>
          <w:szCs w:val="18"/>
          <w:color w:val="auto"/>
        </w:rPr>
        <w:t>: We provide eligible customers who we have vetted and approved with the ability to directly underwrite our policies and bind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based on pre-established eligibility rules, approved underwriting guidelines and according to the terms of our Master Policy and Delegated Underwriting Endorsement.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13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Lenders elect whether to be non-delegated or delegated customers at the time they apply to become Master Policy holders. Once a lender makes such an election, it delivers all MI applications to us under the selected platform. Our underwriting guidelines and risk criteria are consistent across all policies whether originated on a non-delegated or delegated basis.</w:t>
      </w:r>
    </w:p>
    <w:p>
      <w:pPr>
        <w:spacing w:after="0" w:line="12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employ a team of experienced underwriters who review and evaluate our non-delegated loan submissions. Our underwriters are located remotely across the continental United States, facilitating our ability to service our customers nationwide across the different time zones. We also engage third-party underwriting service providers (USPs) who provide us with incremental underwriting capacity. Our USPs are trained and required under the terms of our outsourcing agreements to follow the same processes and underwriting guidelines that our own employees follow when rendering insurance decisions.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ind w:right="200" w:firstLine="648"/>
        <w:spacing w:after="0" w:line="272" w:lineRule="auto"/>
        <w:rPr>
          <w:sz w:val="20"/>
          <w:szCs w:val="20"/>
          <w:color w:val="auto"/>
        </w:rPr>
      </w:pPr>
      <w:r>
        <w:rPr>
          <w:rFonts w:ascii="Arial" w:cs="Arial" w:eastAsia="Arial" w:hAnsi="Arial"/>
          <w:sz w:val="17"/>
          <w:szCs w:val="17"/>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business has been subject to modest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Independent Validation and Rescission Relief</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offer post-closing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on an accelerated basis that we will not rescind coverage under certain circumstances.</w:t>
      </w:r>
    </w:p>
    <w:p>
      <w:pPr>
        <w:spacing w:after="0" w:line="13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Master Policy generally provides us the ability to rescind coverage in the event of material misrepresentations and/or fraud in the origination process. We believe our Master Policy sets forth clear and straightforward terms regarding our rescission rights, including limitations on our right to rescind coverage when certain conditions are met, which we refer to as "rescission relief." Subject to our independent validation of coverage eligibility of an insured loan, we stipulate in our Master Policy that we will not rescind or cancel coverage of such loan for material borrower misrepresentations or underwriting defects provided the borrower makes the first 12 monthly mortgage payments in a timely fashion. Lenders have the ability to select whether or not to have insured loans subjected to our independent validation process. If a borrower does not make 12 timely payments or a lender has elected not to pursue independent validation and accelerated rescission relief, the loan is still eligible for rescission relief if it is current after 36 months and the borrower has had no more than two 30-day delinquencies and no 60-day or greater delinquencies during such 36-month period. Our rescission relief provisions include additional limitations on our ability to initiate an investigation of fraud or misrepresentation by a "First Party," defined in the Master Policy as our insured or any other party involved in the origination of an insured loan (other than the borrower).</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Non-delegated lenders who desire 12-month rescission relief are required to submit additional loan documentation post-closing that allows us to independently validate such loans, including a loan's closing disclosures, note, executed mortgage and title insurance commitment. Loans from non-delegated lenders who choose not to participate in the independent validation process or who fail to submit the necessary documentation are eligible for 36-month rescission relief in accordance with the terms of our Master Policy.</w:t>
      </w:r>
    </w:p>
    <w:p>
      <w:pPr>
        <w:spacing w:after="0" w:line="1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Delegated lenders who desire 12-month rescission relief are required to submit a full file (which contains all the underwriting information and documentation otherwise required by us as part of a non-delegated review and the above-referenced post-closing documentation) after a loan's coverage effective date. We refer to our independent validation of delegated loans as our "Delegated Assurance Review" or "DAR" process. Through DAR, we assess and validate the MI underwriting process and decisions made by our delegated customers on an individual loan level basis. Loans from delegated lenders who choose not to participate in our DAR process are eligible for 36-month rescission relief in accordance with the terms of our Master Policy. All delegated loans, whether included in the DAR process or not, are subject to review under our quality control process.</w:t>
      </w:r>
    </w:p>
    <w:p>
      <w:pPr>
        <w:spacing w:after="0" w:line="12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December 2017, the GSEs issued an updated set of principles, the Amended and Restated GSE Rescission Relief Principles (RRPs), which specify the rescission relief provisions that are required to, or may, be included in the master policies of GSE-approved mortgage insurers. To comply, we will need to amend our existing Master Policy to conform to the terms of the RRPs, with our new policy anticipated to take effect by January 2019. In accordance with the RRPs, our rescission rights under the new master policy will be more limited than those under our existing Master Policy. Among other changes, we will be required to grant immediate rescission relief following our satisfactory completion of an independent validation, rather than waiting for the borrower to timely make the first 12 payments. In addition, we will be required to sunset our rescission rights at the 60 month anniversary of the inception of our coverage, provided an insured loan is then current or subsequently cures. We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400"/>
        <w:spacing w:after="0" w:line="277" w:lineRule="auto"/>
        <w:rPr>
          <w:sz w:val="20"/>
          <w:szCs w:val="20"/>
          <w:color w:val="auto"/>
        </w:rPr>
      </w:pPr>
      <w:r>
        <w:rPr>
          <w:rFonts w:ascii="Arial" w:cs="Arial" w:eastAsia="Arial" w:hAnsi="Arial"/>
          <w:sz w:val="18"/>
          <w:szCs w:val="18"/>
          <w:color w:val="auto"/>
        </w:rPr>
        <w:t>will retain our rescission rights for certain fraud for the life of coverage of a loan; however, the limitations on our ability to pursue this right will be more stringent than in the current Master Policy.</w:t>
      </w:r>
    </w:p>
    <w:p>
      <w:pPr>
        <w:spacing w:after="0" w:line="1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engage USPs to perform the majority of our delegated and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Servicing</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Policy Servicing Department is responsible for various servicing activities related to Master Policy administration, premium billing and payment processing and certificate administration. With respect to servicing activities related to insured loans, our Policy Servicing Department primarily interfaces with our insureds' mortgage loan servicers. Some insureds retain the servicing rights and responsibilities for their own loan originations, while others transfer such rights and responsibilities to third 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Our servicing specialists are assigned to our servicers to assist with day-to-day transactions and monitoring of their insured loans.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Master Policy and to all defenses we may have had prior to any such sale, assignment or transfer. Under the Master Policy, if the servicing rights for a loan are sold, assigned or transferred, coverage of the loan will continue, provided that the loan is thereafter serviced by a servicer we approve. We retain the right under our Master Policy to revoke approval of a servicer, thereby requiring a change of service providers if the insured wishes to continue coverage of insured loans serviced by that servicer.</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established policies and procedures that accommodate various methods for servicers to communicate loan and certificate information to us. Our Master Policy requires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We also have our own external facing servicing website that may be utilized by servicers to process their servicing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 Loss Mitigation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Defaults and Claims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MI claim cycle begins with the receipt of a Notice of Default (NOD) for an insured loan from a loan servicer. Our Master Policy requires our insureds to notify us within 45 days if a borrower defaults on one of the first 12 loan payments and no later than 10 days after a borrower has defaulted on three payments after the first 12 months of a loan. A significant majority of our insureds notify us when a loan is two payments in default. We establish claim reserves when a borrower has failed to make two consecutive, regularly scheduled mortgage payments and is 60 days in default.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 While macroeconomic factors in any given period may influence default experience to a greater extent than does seasonality, our industry has typically experienced a fourth quarter seasonal increase in the number of defaults and a first quarter seasonal decline in the number of defaults and increase in the number of cures.</w:t>
      </w:r>
    </w:p>
    <w:p>
      <w:pPr>
        <w:spacing w:after="0" w:line="113"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10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Under the terms of our Master Policy, our insureds are generally required to file claims within 60 days of acquiring title to a property securing an insured loan (typically through foreclosure) or when there has been an approved short sale. In the years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ind w:right="640"/>
        <w:spacing w:after="0" w:line="264" w:lineRule="auto"/>
        <w:rPr>
          <w:sz w:val="20"/>
          <w:szCs w:val="20"/>
          <w:color w:val="auto"/>
        </w:rPr>
      </w:pPr>
      <w:r>
        <w:rPr>
          <w:rFonts w:ascii="Arial" w:cs="Arial" w:eastAsia="Arial" w:hAnsi="Arial"/>
          <w:sz w:val="18"/>
          <w:szCs w:val="18"/>
          <w:color w:val="auto"/>
        </w:rPr>
        <w:t>following the most recent financial crisis, foreclosure time-lines and the average time from initial default by a borrower to MI claim submission have extended due to legislation and GSE programs requiring mortgage servicers to mitigate losses by offering forbearance and loan modifications prior to pursuing foreclosure on delinquent loans.</w:t>
      </w:r>
    </w:p>
    <w:p>
      <w:pPr>
        <w:spacing w:after="0" w:line="12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Upon timely receipt of a covered claim we have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or (iii) 100% of the insured's claim amount (as defined in the Master Policy) in exchange for the insured's conveyance of good and marketable title to the property to us. In the event we elect to receive title to a property, we will market and sell the acquired property and retain all proceeds. We have opted to settle the significant majority of our claims paid to date through the percentage option.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Before paying a claim, we review loan and servicing files to determine the appropriateness of the claim submission and claim amount and to ensure we only pay for expenses covered under our Master Policy. Our Master Policy provides that we can reduce or deny a claim if the servicer did not comply with its obligations required by our policy, including the requirement to pursue reasonable loss mitigation efforts. Such efforts may include pursuing foreclosure or bankruptcy relief in a timely and diligent manner. We deem a reduction in the claim amount to be a "curtailment." We may also receive claims submissions that include costs and expenses not covered by our Master Policy, such as mortgage insurance premiums, hazard insurance premiums for periods after the claim date and losses resulting from property damage that has not been repaired.</w:t>
      </w:r>
    </w:p>
    <w:p>
      <w:pPr>
        <w:spacing w:after="0" w:line="12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Under our Master Policy,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claim amount for which we are responsible to pay. In connection with our approval rights for short sales or deed-in-lieu of foreclosure transactions, our Master Policy also provides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of foreclosure and loan modifications for most GSE- owned loans that we insure.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Ohio regulation limits the amount of risk a mortgage insurer may retain on a single loan to 25% of the borrower's indebtedness (after giving effect to third-party reinsurance) and, as a result, the portion of such insurance in excess of 25% must be reinsured. Eight states previously had the same requirement; however, Ohio is the only state that currently continues to impose the limit. NMIC uses reinsurance provided by Re One solely to comply with Ohio's coverage limit.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third-party reinsurance to actively manage our risk, ensure compliance with the GSEs Private Mortgage Insurance Eligibility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Requirements (PMIERs) and support the growth of our business. We currently have both quota share and excess-of-loss reinsurance agreements in place.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May 2017, NMIC entered into a reinsurance agreement with Oaktown Re Ltd. (Oaktown Re) that provides for up to $211.3 million of aggregate excess-of-loss reinsurance coverage at inception for new defaults on an existing portfolio of our MI policies written from 2013 through December 31,</w:t>
      </w:r>
    </w:p>
    <w:p>
      <w:pPr>
        <w:ind w:right="200"/>
        <w:spacing w:after="0" w:line="253" w:lineRule="auto"/>
        <w:rPr>
          <w:sz w:val="20"/>
          <w:szCs w:val="20"/>
          <w:color w:val="auto"/>
        </w:rPr>
      </w:pPr>
      <w:r>
        <w:rPr>
          <w:rFonts w:ascii="Arial" w:cs="Arial" w:eastAsia="Arial" w:hAnsi="Arial"/>
          <w:sz w:val="18"/>
          <w:szCs w:val="18"/>
          <w:color w:val="auto"/>
        </w:rPr>
        <w:t>2016. For the reinsurance coverage period, NMIC will retain the first layer of $126.8 million of aggregate losses, and Oaktown Re will then provide second layer coverage up to the outstanding reinsurance coverage amount. NMIC will then retain losses in excess of the outstanding reinsurance coverage amount. The outstanding reinsurance coverage amount decreases from $211.3 million at inception over a ten-year period as the underlying covered mortgages amortize and/or are repaid. The outstanding reinsurance coverage amount will stop amortizing if certain credit enhancement or default thresholds are triggered.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40" w:firstLine="648"/>
        <w:spacing w:after="0" w:line="293" w:lineRule="auto"/>
        <w:rPr>
          <w:sz w:val="20"/>
          <w:szCs w:val="20"/>
          <w:color w:val="auto"/>
        </w:rPr>
      </w:pPr>
      <w:r>
        <w:rPr>
          <w:rFonts w:ascii="Arial" w:cs="Arial" w:eastAsia="Arial" w:hAnsi="Arial"/>
          <w:sz w:val="16"/>
          <w:szCs w:val="16"/>
          <w:color w:val="auto"/>
        </w:rPr>
        <w:t>Oaktown Re financed the coverage by issuing mortgage insurance-linked notes in an aggregate amount of $211.3 million to unaffiliated investors (the Notes). The Notes mature on April 26, 2027. All of the proceeds paid to Oaktown Re from the sale of the Notes were deposited into a reinsurance trust to collateralize and fund the obligations of Oaktown Re to NMIC under the reinsurance agreement. At all times, funds in the reinsurance trust account are required to be invested in high credit quality money market funds. We refer collectively to NMIC's reinsurance agreement with Oaktown Re and the issuance of the Notes by Oaktown Re as the 2017 ILN Transaction. Under the terms of the 2017 ILN Transaction, NMIC makes risk premium payments for the applicable outstanding reinsurance coverage amount and pays Oaktown Re for its anticipated operating expenses (capped at $300 thousand per year).</w:t>
      </w:r>
    </w:p>
    <w:p>
      <w:pPr>
        <w:spacing w:after="0" w:line="11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a quota share reinsurance agreement, the ceding insurer pays a premium in exchange for coverage on an agreed-upon portion of incurred losses. Such quota share arrangements reduce net premiums written and earned and also reduce net RIF, providing capital relief to the ceding insurer and reducing incurred claims in accordance with the terms of the reinsurance agreement. In addition, reinsurers typically pay ceding commissions as part of quota share transactions, which offset the ceding company's underwriting expenses. Certain quota share agreements include profit commissions that are earned based on loss performance and serve to reduce ceded premiums.</w:t>
      </w:r>
    </w:p>
    <w:p>
      <w:pPr>
        <w:spacing w:after="0" w:line="134" w:lineRule="exact"/>
        <w:rPr>
          <w:sz w:val="20"/>
          <w:szCs w:val="20"/>
          <w:color w:val="auto"/>
        </w:rPr>
      </w:pPr>
    </w:p>
    <w:p>
      <w:pPr>
        <w:jc w:val="both"/>
        <w:ind w:right="40" w:firstLine="648"/>
        <w:spacing w:after="0" w:line="290" w:lineRule="auto"/>
        <w:rPr>
          <w:sz w:val="20"/>
          <w:szCs w:val="20"/>
          <w:color w:val="auto"/>
        </w:rPr>
      </w:pPr>
      <w:r>
        <w:rPr>
          <w:rFonts w:ascii="Arial" w:cs="Arial" w:eastAsia="Arial" w:hAnsi="Arial"/>
          <w:sz w:val="16"/>
          <w:szCs w:val="16"/>
          <w:color w:val="auto"/>
        </w:rPr>
        <w:t>In September 2016, NMIC entered into a quota-share reinsurance transaction with a panel of third-party reinsurers (2016 QSR Transaction). Each of the third-party reinsurers has an insurer financial strength rating of A- or better by Standard and Poor's Rating Services (S&amp;P), A.M. Best or both. Under the 2016 QSR Transaction, NMIC (1) ceded 100% of the risk relating to our pool agreement with Fannie Mae, (2) ceded 25% of existing risk written on eligible policies as of August 31, 2016 and (3) ceded 25% of the risk relating to eligible primary insurance policies written between September 1, 2016 and December 31, 2017, in exchange for reimbursement of ceded claims and claims expenses on covered policies, a 20% ceding commission, and a profit commission of up to 60% that varies directly and inversely with ceded claims. The 2016 QSR Transaction is scheduled to terminate on December 31, 2027, except with respect to ceded pool risk, which is scheduled to terminate on August 31, 2023. NMIC has the option, based on certain conditions and subject to a termination fee, to terminate the agreement at December 31, 2020, or at the end of any calendar quarter thereafter, which would result in NMIC reassuming the reinsured risk.</w:t>
      </w:r>
    </w:p>
    <w:p>
      <w:pPr>
        <w:spacing w:after="0" w:line="11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NMIC entered into a second quota share reinsurance treaty with a broad panel of highly rated reinsurers that took effect on January 1, 2018 (2018 QSR Transaction). Under the 2018 QSR Transaction, NMIC agreed to cede 25% of its eligible policies written in 2018 and 20% to 30% (such amount to be determined by NMIC at its sole election by December 1, 2018) of eligible policies written in 2019, in exchange for reimbursement of ceded claims and claims expenses on covered policies, a 20% ceding commission, and a profit commission of up to 61% that varies directly and inversely with ceded claims. The 2018 QSR Transaction is scheduled to terminate on December 31, 2029. NMIC has the option, based on certain conditions and subject to a termination fee, to terminate the agreement at December 31, 2022, or at the end of any calendar quarter thereafter, which would result in NMIC reassuming the reinsured risk.</w:t>
      </w:r>
    </w:p>
    <w:p>
      <w:pPr>
        <w:spacing w:after="0" w:line="1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NMIC may terminate either or both of the 2016 and 2018 QSR Transactions if, due to a change in PMIERs requirements, NMIC is no longer able to take full PMIERs asset credit for the RIF ceded under the respective agreement.</w:t>
      </w:r>
    </w:p>
    <w:p>
      <w:pPr>
        <w:spacing w:after="0" w:line="116" w:lineRule="exact"/>
        <w:rPr>
          <w:sz w:val="20"/>
          <w:szCs w:val="20"/>
          <w:color w:val="auto"/>
        </w:rPr>
      </w:pPr>
    </w:p>
    <w:p>
      <w:pPr>
        <w:jc w:val="both"/>
        <w:ind w:right="720" w:firstLine="648"/>
        <w:spacing w:after="0" w:line="264" w:lineRule="auto"/>
        <w:rPr>
          <w:sz w:val="20"/>
          <w:szCs w:val="20"/>
          <w:color w:val="auto"/>
        </w:rPr>
      </w:pPr>
      <w:r>
        <w:rPr>
          <w:rFonts w:ascii="Arial" w:cs="Arial" w:eastAsia="Arial" w:hAnsi="Arial"/>
          <w:sz w:val="18"/>
          <w:szCs w:val="18"/>
          <w:color w:val="auto"/>
        </w:rPr>
        <w:t xml:space="preserve">For further discussion of the effect of reinsurance on our business, see Part II,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Conditions and Trends Impacting our Business - Net Premiums Written and Net Premiums Earned - Effect of reinsurance on our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7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have established enterprise wide policies, procedures and processes to allow us to identify, assess, monitor and manage credit market and operational risks in our business.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risk committee comprised of senior members of our management team. Our internal audit function, which reports to the Audit Committee of our Board, provides independent ongoing assessments of our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color w:val="auto"/>
        </w:rPr>
        <w:t>management of certain enterprise risks and reports its findings to our Board's Risk Committee. Our internal audit function also periodically engages external resources to assist in the assessment of enterprise risks and our related control and monitoring processes.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Market Risk</w:t>
      </w:r>
    </w:p>
    <w:p>
      <w:pPr>
        <w:spacing w:after="0" w:line="171"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To address the credit performance of our insured portfolio, we monitor and manage for borrower and loan-level risk characteristics, as well as macroeconomic variables that influence the housing market. We measure the risk profile of our insured portfolio individually by policy and in the aggregate across a range of metrics, including borrower credit score (</w:t>
      </w:r>
      <w:r>
        <w:rPr>
          <w:rFonts w:ascii="Arial" w:cs="Arial" w:eastAsia="Arial" w:hAnsi="Arial"/>
          <w:sz w:val="16"/>
          <w:szCs w:val="16"/>
          <w:i w:val="1"/>
          <w:iCs w:val="1"/>
          <w:color w:val="auto"/>
        </w:rPr>
        <w:t>e.g.</w:t>
      </w:r>
      <w:r>
        <w:rPr>
          <w:rFonts w:ascii="Arial" w:cs="Arial" w:eastAsia="Arial" w:hAnsi="Arial"/>
          <w:sz w:val="16"/>
          <w:szCs w:val="16"/>
          <w:color w:val="auto"/>
        </w:rPr>
        <w:t>, FICO) and DTI ratio, LTV, property type (</w:t>
      </w:r>
      <w:r>
        <w:rPr>
          <w:rFonts w:ascii="Arial" w:cs="Arial" w:eastAsia="Arial" w:hAnsi="Arial"/>
          <w:sz w:val="16"/>
          <w:szCs w:val="16"/>
          <w:i w:val="1"/>
          <w:iCs w:val="1"/>
          <w:color w:val="auto"/>
        </w:rPr>
        <w:t>e.g.</w:t>
      </w:r>
      <w:r>
        <w:rPr>
          <w:rFonts w:ascii="Arial" w:cs="Arial" w:eastAsia="Arial" w:hAnsi="Arial"/>
          <w:sz w:val="16"/>
          <w:szCs w:val="16"/>
          <w:color w:val="auto"/>
        </w:rPr>
        <w:t>, single family home, condo or co-op), loan purpose (</w:t>
      </w:r>
      <w:r>
        <w:rPr>
          <w:rFonts w:ascii="Arial" w:cs="Arial" w:eastAsia="Arial" w:hAnsi="Arial"/>
          <w:sz w:val="16"/>
          <w:szCs w:val="16"/>
          <w:i w:val="1"/>
          <w:iCs w:val="1"/>
          <w:color w:val="auto"/>
        </w:rPr>
        <w:t>e.g.</w:t>
      </w:r>
      <w:r>
        <w:rPr>
          <w:rFonts w:ascii="Arial" w:cs="Arial" w:eastAsia="Arial" w:hAnsi="Arial"/>
          <w:sz w:val="16"/>
          <w:szCs w:val="16"/>
          <w:color w:val="auto"/>
        </w:rPr>
        <w:t>, purchase or refinancing), occupancy (</w:t>
      </w:r>
      <w:r>
        <w:rPr>
          <w:rFonts w:ascii="Arial" w:cs="Arial" w:eastAsia="Arial" w:hAnsi="Arial"/>
          <w:sz w:val="16"/>
          <w:szCs w:val="16"/>
          <w:i w:val="1"/>
          <w:iCs w:val="1"/>
          <w:color w:val="auto"/>
        </w:rPr>
        <w:t>e.g.</w:t>
      </w:r>
      <w:r>
        <w:rPr>
          <w:rFonts w:ascii="Arial" w:cs="Arial" w:eastAsia="Arial" w:hAnsi="Arial"/>
          <w:sz w:val="16"/>
          <w:szCs w:val="16"/>
          <w:color w:val="auto"/>
        </w:rPr>
        <w:t>, owner-occupied) and other factors. We have established loan-level eligibility matrices which describe the maximum LTV, minimum borrower credit score, maximum loan size, property type and occupancy status of loans that we will insure. Our loan eligibility matrices are detailed in our Underwriting Guideline Manual, which is publicly available on our website. Our eligibility criteria also contemplate "layered risk" embedded in a single insurance policy. Layered risk refers to the accumulation of borrower, loan and property risks. For example, we have higher FICO score and lower maximum allowed LTV requirements for investor-owned properties, as compared to owner-occupied homes.</w:t>
      </w:r>
    </w:p>
    <w:p>
      <w:pPr>
        <w:spacing w:after="0" w:line="11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have also established concentration limits, which are designed to regulate the aggregation of loan-level risks in our overall portfolio. We have observed that certain loans with certain characteristics relating to the individual loan or borrower typically experience greater volatility and loss during periods of economic and housing market downturns and have established targets and limits to manage our overall portfolio exposure to these risks, including higher LTV loans, investor loans, cash-out refinances, certain state concentration levels and several other borrower or loan attributes, such as higher DTIs. We monitor these parameters and underlying portfolio risks on an ongoing basis and, from time-to-time, may make adjustments to our guidelines and credit policies after taking into consideration our then current portfolio attributes and other macroeconomic variables that influence the housing market.</w:t>
      </w:r>
    </w:p>
    <w:p>
      <w:pPr>
        <w:spacing w:after="0" w:line="1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designed a quality control process to ensure ongoing adherence with our underwriting guidelines and eligibility criteria. Our quality control group performs audits of insured loans identified on a random, high risk and targeted basis. These reviews are designed to measure the quality of the underwriting decision and loan closing process, and specifically assess the accuracy and adequacy of the information and documentation used to underwrite our MI. The findings from our quality control processes inform and shape certain risk processes such as underwriter authority delegation, lender monitoring and guideline management.</w:t>
      </w:r>
    </w:p>
    <w:p>
      <w:pPr>
        <w:spacing w:after="0" w:line="134"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also diligence our customers before formally engaging with them and subject them to ongoing review to ensure they have appropriate financial resources, operational capabilities, management experience, and track record of origination quality. Approved lenders are subject to well-defined parameters regarding underwriting delegation status, and credit guideline requirements and, on a more limited basis, variances.</w:t>
      </w:r>
    </w:p>
    <w:p>
      <w:pPr>
        <w:spacing w:after="0" w:line="1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DAR process serves as an additional component of our risk management framework. Through DAR, we individually review loans produced on a delegated basis and are able to monitor and assess trends in borrower and loan-level risk characteristics, as well as grade the manufacturing and underwriting capabilities of each of our delegated lenders. We use this information to both enhance our risk decisioning internally and to provide feedback to our DAR customers to help them enhance their own production and control processes.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insurance coverage, maintaining oversight of third-party vendors, establishing IT system redundancy and security and disaster recovery practices, maintaining internal controls and ensuring appropriate segregation of duties.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 and Intellectual Property</w:t>
      </w:r>
    </w:p>
    <w:p>
      <w:pPr>
        <w:spacing w:after="0" w:line="17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60" w:firstLine="648"/>
        <w:spacing w:after="0" w:line="264" w:lineRule="auto"/>
        <w:rPr>
          <w:sz w:val="20"/>
          <w:szCs w:val="20"/>
          <w:color w:val="auto"/>
        </w:rPr>
      </w:pPr>
      <w:r>
        <w:rPr>
          <w:rFonts w:ascii="Arial" w:cs="Arial" w:eastAsia="Arial" w:hAnsi="Arial"/>
          <w:sz w:val="18"/>
          <w:szCs w:val="18"/>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initial development of AXIS, we have continued to upgrade and enhance our systems and technical capabilities, including:</w:t>
      </w:r>
    </w:p>
    <w:p>
      <w:pPr>
        <w:spacing w:after="0" w:line="171"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technology that enables our customers to transact business faster and easier, whether via a secure internet connection or through a secure system-to-system interface;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to order our MI and in their servicing processes for servicing and maintaining their MI policies;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implementing advanced document and business process management software that focuses on improving our underwriting productivity and that may also be used to improve our quality assurance and loss management functions;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our award-winning mobile applications, which enable customers to view and access information through mobile devices, including our premium rate calculators, guideline updates and other resources and information notices.</w:t>
      </w:r>
    </w:p>
    <w:p>
      <w:pPr>
        <w:spacing w:after="0" w:line="116"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aim to utilize and develop technology that enhances our current operating capabilities and supports future growth, while allowing us to realize current efficiencies. We engage contractors to assist with the development and maintenance of certain areas of our IT architecture as a means to manage our technology costs and selectively draw in relevant expertise for particular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75" w:lineRule="exact"/>
        <w:rPr>
          <w:sz w:val="20"/>
          <w:szCs w:val="20"/>
          <w:color w:val="auto"/>
        </w:rPr>
      </w:pPr>
    </w:p>
    <w:p>
      <w:pPr>
        <w:jc w:val="both"/>
        <w:ind w:right="20" w:firstLine="567"/>
        <w:spacing w:after="0" w:line="302" w:lineRule="auto"/>
        <w:rPr>
          <w:sz w:val="20"/>
          <w:szCs w:val="20"/>
          <w:color w:val="auto"/>
        </w:rPr>
      </w:pPr>
      <w:r>
        <w:rPr>
          <w:rFonts w:ascii="Arial" w:cs="Arial" w:eastAsia="Arial" w:hAnsi="Arial"/>
          <w:sz w:val="16"/>
          <w:szCs w:val="16"/>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2017, our investment portfolio was primarily comprised of fixed income securities including: U.S. Treasury securities and obligations of U.S. government agencies, municipal debt securities, corporate debt securities, and asset-backed securities. We also held other short-term investments (such as commercial paper).</w:t>
      </w:r>
    </w:p>
    <w:p>
      <w:pPr>
        <w:spacing w:after="0" w:line="100" w:lineRule="exact"/>
        <w:rPr>
          <w:sz w:val="20"/>
          <w:szCs w:val="20"/>
          <w:color w:val="auto"/>
        </w:rPr>
      </w:pPr>
    </w:p>
    <w:p>
      <w:pPr>
        <w:jc w:val="both"/>
        <w:ind w:firstLine="567"/>
        <w:spacing w:after="0" w:line="297" w:lineRule="auto"/>
        <w:rPr>
          <w:sz w:val="20"/>
          <w:szCs w:val="20"/>
          <w:color w:val="auto"/>
        </w:rPr>
      </w:pPr>
      <w:r>
        <w:rPr>
          <w:rFonts w:ascii="Arial" w:cs="Arial" w:eastAsia="Arial" w:hAnsi="Arial"/>
          <w:sz w:val="16"/>
          <w:szCs w:val="16"/>
          <w:color w:val="auto"/>
        </w:rPr>
        <w:t>We have adopted an investment policy that defines, among other things, eligible and ineligible investments, concentration limits for asset types, industry sectors, single issuers, and certain credit ratings, and benchmarks for asset duration. Under our policy, all securities in the portfolio are required to be U.S. dollar-denominated and have a National Association of Insurance Commissioners (NAIC) '1' or '2' designation or investment grade rating by Moody's, S&amp;P or Fitch at time of purchase. We review our investment policies and strategies on a consistent basis, and they are subject to change depending upon regulatory, economic and market conditions and our existing or anticipated financial condition and operating requirements, including our tax position.</w:t>
      </w:r>
    </w:p>
    <w:p>
      <w:pPr>
        <w:spacing w:after="0" w:line="10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engage a third-party investment manager, Wells Capital Management, Inc., to assist with day-to-day management of our portfolio and implementation of our investment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we had 299 full-time employees. None of our employees are party to a collective bargaining agreement. We utilize a third-party professional employer organization to manage our payroll administration and related compliance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In addition, a written copy of the Company's Business Conduct Policy, containing our code of ethics that is applicable to all of our directors, officers and employees, is available on our website. Information contained or referenced on our website is not incorporated by reference into, and does not form a part of, this report.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 MORTGAGE INSURANCE REGULATION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3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We believe that a strong, viable private MI market is a critical component of the U.S. housing finance system. We routinely meet with regulatory agencies, including our state insurance regulators and the Federal Housing Finance Agency (FHFA), the GSEs, our customers and other industry participants to promote the role and value of private mortgage insurance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Arial" w:cs="Arial" w:eastAsia="Arial" w:hAnsi="Arial"/>
          <w:sz w:val="22"/>
          <w:szCs w:val="22"/>
          <w:color w:val="auto"/>
          <w:vertAlign w:val="superscript"/>
        </w:rPr>
        <w:t>®</w:t>
      </w:r>
      <w:r>
        <w:rPr>
          <w:rFonts w:ascii="Arial" w:cs="Arial" w:eastAsia="Arial" w:hAnsi="Arial"/>
          <w:sz w:val="16"/>
          <w:szCs w:val="16"/>
          <w:color w:val="auto"/>
        </w:rPr>
        <w:t>), an organization formed to promote the use of private MI as a credit risk mitigant in the U.S. residential mortgage market.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GSE Oversight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GSEs are the principal purchasers of mortgages insured by private mortgage insurers. As a result, the nature of the private MI industry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is driven in large part by the requirements and practices of the GSEs, which include:</w:t>
      </w:r>
    </w:p>
    <w:p>
      <w:pPr>
        <w:spacing w:after="0" w:line="157" w:lineRule="exact"/>
        <w:rPr>
          <w:sz w:val="20"/>
          <w:szCs w:val="20"/>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PMIERs, including operational, business and remedial requirements and minimum capital levels applicable to GSE-qualified MI providers;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affects the quality of the risk insured by the mortgage insurer and the availability of mortgage loans;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terms that the GSEs require to be included in MI policies for loans that they purchase, including terms governing rescission relief;</w:t>
      </w:r>
    </w:p>
    <w:p>
      <w:pPr>
        <w:spacing w:after="0" w:line="128"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MI coverage, subject to the requirements of the GSEs' charters, as to when MI is used as the required credit enhancement on high-LTV mortgages;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loan level delivery fees (which result in higher costs to borrowers) that the GSEs assess on loans that require MI, which impacts private MI providers' ability to compete with FHA;</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mitigation programs established by the GSEs that impact insured mortgages and the circumstances under which servicers must implement such programs;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maximum loan limits of the GSEs in comparison to those of the FHA and other investors;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and scope of different loan purchase programs from the GSEs that allow different levels of MI coverage.</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January 2013, the GSEs approved NMIC as a qualified mortgage insurer (as defined in the PMIERs, an </w:t>
      </w:r>
      <w:r>
        <w:rPr>
          <w:rFonts w:ascii="Arial" w:cs="Arial" w:eastAsia="Arial" w:hAnsi="Arial"/>
          <w:sz w:val="16"/>
          <w:szCs w:val="16"/>
          <w:i w:val="1"/>
          <w:iCs w:val="1"/>
          <w:color w:val="auto"/>
        </w:rPr>
        <w:t>Approved Insurer</w:t>
      </w:r>
      <w:r>
        <w:rPr>
          <w:rFonts w:ascii="Arial" w:cs="Arial" w:eastAsia="Arial" w:hAnsi="Arial"/>
          <w:sz w:val="16"/>
          <w:szCs w:val="16"/>
          <w:color w:val="auto"/>
        </w:rPr>
        <w:t>).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NMIC is subject to ongoing compliance with the PMIERs.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The GSEs have significant discretion under the PMIERs as well as a broad range of consent rights and notice requirements with respect to various actions of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The </w:t>
      </w:r>
      <w:r>
        <w:rPr>
          <w:rFonts w:ascii="Arial" w:cs="Arial" w:eastAsia="Arial" w:hAnsi="Arial"/>
          <w:sz w:val="18"/>
          <w:szCs w:val="18"/>
          <w:i w:val="1"/>
          <w:iCs w:val="1"/>
          <w:color w:val="auto"/>
        </w:rPr>
        <w:t>risk-based required asset amount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color w:val="auto"/>
        </w:rPr>
        <w:t xml:space="preserve">for primary insurance is subject to a floor of 5.6% of total, performing, primary RIF, and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for pool insurance considers both the factors in the tables and the </w:t>
      </w:r>
      <w:r>
        <w:rPr>
          <w:rFonts w:ascii="Arial" w:cs="Arial" w:eastAsia="Arial" w:hAnsi="Arial"/>
          <w:sz w:val="16"/>
          <w:szCs w:val="16"/>
          <w:i w:val="1"/>
          <w:iCs w:val="1"/>
          <w:color w:val="auto"/>
        </w:rPr>
        <w:t>net remaining stop loss</w:t>
      </w:r>
      <w:r>
        <w:rPr>
          <w:rFonts w:ascii="Arial" w:cs="Arial" w:eastAsia="Arial" w:hAnsi="Arial"/>
          <w:sz w:val="16"/>
          <w:szCs w:val="16"/>
          <w:color w:val="auto"/>
        </w:rPr>
        <w:t xml:space="preserve"> for each pool insurance policy. The PMIERs financial requirements also increase the amount of </w:t>
      </w:r>
      <w:r>
        <w:rPr>
          <w:rFonts w:ascii="Arial" w:cs="Arial" w:eastAsia="Arial" w:hAnsi="Arial"/>
          <w:sz w:val="16"/>
          <w:szCs w:val="16"/>
          <w:i w:val="1"/>
          <w:iCs w:val="1"/>
          <w:color w:val="auto"/>
        </w:rPr>
        <w:t xml:space="preserve">available assets </w:t>
      </w:r>
      <w:r>
        <w:rPr>
          <w:rFonts w:ascii="Arial" w:cs="Arial" w:eastAsia="Arial" w:hAnsi="Arial"/>
          <w:sz w:val="16"/>
          <w:szCs w:val="16"/>
          <w:color w:val="auto"/>
        </w:rPr>
        <w:t>that must be held by an</w:t>
      </w:r>
      <w:r>
        <w:rPr>
          <w:rFonts w:ascii="Arial" w:cs="Arial" w:eastAsia="Arial" w:hAnsi="Arial"/>
          <w:sz w:val="16"/>
          <w:szCs w:val="16"/>
          <w:i w:val="1"/>
          <w:iCs w:val="1"/>
          <w:color w:val="auto"/>
        </w:rPr>
        <w:t xml:space="preserve"> Approved Insurer </w:t>
      </w:r>
      <w:r>
        <w:rPr>
          <w:rFonts w:ascii="Arial" w:cs="Arial" w:eastAsia="Arial" w:hAnsi="Arial"/>
          <w:sz w:val="16"/>
          <w:szCs w:val="16"/>
          <w:color w:val="auto"/>
        </w:rPr>
        <w:t>for loans originated on or after January 1, 2016 that are insured under LPMI policies.</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As of December 31, 2017, NMIC had sufficient assets to meet the PMIERs financial requirements, and we expect to certify to the GSEs by April 15, 2018 that NMIC fully complied with the PMIERs as of December 31, 2017. NMIC also has an ongoing obligation to immediately notify the GSEs in writing upon discovery of its failure to meet one or more of the PMIERs requirements. We continuously monitor our compliance with the PMIERs.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18, 2017, the GSEs provided us with a confidential summary of the proposed changes to the PMIERs financial, business and other requirements that they are developing with the FHFA. We have engaged in conversations with the FHFA and the GSEs about the proposed changes and expect to continue to provide feedback to them in the coming months. Once changes to the PMIERs requirements are finalized, we expect the industry will be afforded a six month implementation period and currently anticipate that updated PMIERs requirements, if any, will take effect no sooner than the fourth quarter of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Mortgage Insurance Regulation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Certificates of Authority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holds a certificate of authority, or insurance license, in all 50 states and D.C. As a licensed insurer in these jurisdictions, NMIC is subject to ongoing financial reporting and disclosure requirements relating to its business, operations, management or affiliate arrangements.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Insurance Laws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are subject to comprehensive regulation by state insurance departments. As mandated by certain state insurance laws, private MI companies are generally restricted to writing only MI business. We understand that the primary purpose underlying this restriction, which is referred to in the industry as a "monoline" requirement, is to make it easier for regulators to assess the overall risk in a mortgage insurer's insurance portfolio and to determine its capital adequacy under varying economic scenarios.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state insurance regulation of our business relates to:</w:t>
      </w:r>
    </w:p>
    <w:p>
      <w:pPr>
        <w:spacing w:after="0" w:line="171"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policy forms;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premium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insurable loans;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and quarterly financial reports prepared in accordance with statutory accounting principles;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loss, unearned premium and contingency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reinsurance requirements;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an investment portfolio;</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risks and limits on coverage of individual risks which may be insured;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 dividends;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policy sales practices;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both"/>
        <w:ind w:firstLine="648"/>
        <w:spacing w:after="0" w:line="271" w:lineRule="auto"/>
        <w:rPr>
          <w:sz w:val="20"/>
          <w:szCs w:val="20"/>
          <w:color w:val="auto"/>
        </w:rPr>
      </w:pPr>
      <w:r>
        <w:rPr>
          <w:rFonts w:ascii="Arial" w:cs="Arial" w:eastAsia="Arial" w:hAnsi="Arial"/>
          <w:sz w:val="17"/>
          <w:szCs w:val="17"/>
          <w:color w:val="auto"/>
        </w:rPr>
        <w:t>As an insurance holding company, NMIH is registered with the Wisconsin OCI, which is NMIC and Re One's primary regulator, and must provide certain information to the Wisconsin OCI on an ongoing basis, including insurance holding company annual audited consolidated financial statements. We, as an insurance holding company, and each of our affiliates, are prohibited from engaging in certain transactions with our insurance subsidiaries without disclosure to, and in some instances, prior approval by the Wisconsin OCI. Like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transactions must be filed with the Wisconsin OCI at least 30 days before the transaction is entered into and that these transactions may be disapproved by the Wisconsin OCI within that period.</w:t>
      </w:r>
    </w:p>
    <w:p>
      <w:pPr>
        <w:spacing w:after="0" w:line="1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Wisconsin law, domestic insurers, such as NMIC, are required to submit and obtain prior Wisconsin OCI approval on all reinsurance agreements with non-affiliate reinsurers. In addition,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such person or persons do not intend to control or direct or influence the management of a domestic insurer. Such disclaimer will become effective unless it is expressly "disapproved" by the OCI within 30 days.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stockholder that owns more than 10% of our shares of common stock. We understand that this stockholder has filed a disclaimer of control with the Wisconsin OCI in connection therewith, which has not been disapproved.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12-month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3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income of the insurer for the calendar year preceding the date of the dividend or distribution, minus realized capital gains for that calendar year; or</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Arial" w:cs="Arial" w:eastAsia="Arial" w:hAnsi="Arial"/>
          <w:sz w:val="18"/>
          <w:szCs w:val="18"/>
          <w:i w:val="1"/>
          <w:iCs w:val="1"/>
          <w:color w:val="auto"/>
        </w:rPr>
        <w:t>i.e.</w:t>
      </w:r>
      <w:r>
        <w:rPr>
          <w:rFonts w:ascii="Arial" w:cs="Arial" w:eastAsia="Arial" w:hAnsi="Arial"/>
          <w:sz w:val="18"/>
          <w:szCs w:val="18"/>
          <w:color w:val="auto"/>
        </w:rPr>
        <w:t>, amounts in excess of ordinary dividends) only with the prior approval of the Wisconsin OCI.</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Wisconsin, other states may limit or restrict our insurance subsidiaries' ability to pay stockholder dividends. For example, California and New York prohibit mortgage insurers licensed in such states from declaring dividends except from undivided profits remaining above the aggregate of their paid-in capital, paid-in surplus and contingency reserves. In addition, Florida requires mortgage insurers to hold capital and surplus not less than the lesser of (i) 10% of its total liabilities, or (ii) $100 million. It is possible that Wisconsin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ind w:firstLine="648"/>
        <w:spacing w:after="0" w:line="255" w:lineRule="auto"/>
        <w:rPr>
          <w:sz w:val="20"/>
          <w:szCs w:val="20"/>
          <w:color w:val="auto"/>
        </w:rPr>
      </w:pPr>
      <w:r>
        <w:rPr>
          <w:rFonts w:ascii="Arial" w:cs="Arial" w:eastAsia="Arial" w:hAnsi="Arial"/>
          <w:sz w:val="18"/>
          <w:szCs w:val="18"/>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for a calendar quarter exceed the greater of either (i) 35% of net premiums earned in a calendar year or (ii) 70% of the annual amount contributed to the contingency loss reserve.</w:t>
      </w:r>
    </w:p>
    <w:p>
      <w:pPr>
        <w:spacing w:after="0" w:line="1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applicable Wisconsin law and the laws of 15 other states, a mortgage insurer must maintain a minimum amount of statutory capital relative to its RIF in order for the mortgage insurer to continue to write new business. These are typically referred to as "risk-to-capital requirements." While formulations of minimum capital may vary in certain jurisdictions, the most common measure applied allows for a maximum permitted risk-to-capital (RTC) ratio of 25:1. Wisconsin has formula-based limits that generally result in RTC limits slightly higher than the 25:1 ratio.</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compute RTC ratios for each of our insurance subsidiaries, as well as for our combined insurance operations.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contributions and decreases as a result of statutory net loss and dividends paid),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State insurance regulators also have the authority to make changes to capital requirements. The NAIC has formed a working group to develop and recommend more robust regulations governing mortgage insurance, including, among other things, strengthened capital requirements, underwriting standards, claims practices and market conduct regulation. We, along with other mortgage insurers, are working with the Mortgage Guaranty Insurance Working Group of the Financial Condition (E) Committee of the NAIC (the Working Group). The Working Group will determine and make a recommendation to the Financial Condition (E) Committee of the NAIC as to what changes the Working Group believes are necessary to the solvency and market practices regulation of mortgage insurers, including changes to the Mortgage Guaranty Insurers Model Act (Model #630). The Working Group has proposed a draft revised Model Act that contains risk-based capital requirements, which we and the MI industry are evaluating. We have provided feedback to the Working Group since early 2013, including comments on the risk-based capital approach.</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Regulation</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Federal laws and regulations applicable to participants in the housing finance industry, including mortgage originators and servicers, purchasers of mortgage loans, such as the GSEs, and public MI companies such as the FHA and VA, directly and indirectly impact private mortgage insurers. Changes in federal housing legislation may have significant effects on the demand for private MI and, therefore, may materially affect our business.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648"/>
        <w:spacing w:after="0" w:line="254" w:lineRule="auto"/>
        <w:rPr>
          <w:sz w:val="20"/>
          <w:szCs w:val="20"/>
          <w:color w:val="auto"/>
        </w:rPr>
      </w:pPr>
      <w:r>
        <w:rPr>
          <w:rFonts w:ascii="Arial" w:cs="Arial" w:eastAsia="Arial" w:hAnsi="Arial"/>
          <w:sz w:val="18"/>
          <w:szCs w:val="18"/>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Housing Finance Reform</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federal government currently plays a dominant role in the U.S. housing finance system through the GSEs and public MIs (</w:t>
      </w:r>
      <w:r>
        <w:rPr>
          <w:rFonts w:ascii="Arial" w:cs="Arial" w:eastAsia="Arial" w:hAnsi="Arial"/>
          <w:sz w:val="16"/>
          <w:szCs w:val="16"/>
          <w:i w:val="1"/>
          <w:iCs w:val="1"/>
          <w:color w:val="auto"/>
        </w:rPr>
        <w:t>i.e.</w:t>
      </w:r>
      <w:r>
        <w:rPr>
          <w:rFonts w:ascii="Arial" w:cs="Arial" w:eastAsia="Arial" w:hAnsi="Arial"/>
          <w:sz w:val="16"/>
          <w:szCs w:val="16"/>
          <w:color w:val="auto"/>
        </w:rPr>
        <w:t>, the FHA and VA) and Ginnie Mae. There is broad policy consensus toward the need for private capital to play a larger role and government credit risk to be reduced. However, to date there has been a lack of consensus with regard to the specific changes necessary to return to a larger role for private capital and what size the government's role should be. On September 6, 2008, the FHFA used its authorities to place the GSEs into conservatorship. As the GSEs' conservator, the FHFA has the authority to control and direct the GSEs' operations, and the FHFA's policy objectives can result in changes to the GSEs' requirements and practices. 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 Passage and timing of comprehensive GSE reform legislation or incremental change is uncertain, making the actual impact on us and our industry difficult to predict. With the current administration and Republican majority in Congress (including the resulting control of key committees addressing GSE reform), there is a possibility for greater consensus, although much uncertainty remains regarding the details of any reform as well as when it would be enacted or implemented. Any such changes that come to pass could have a significant impact on our business.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FHA Reform</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compete with the single-family public MI programs of the FHA, which is part of the U.S. Department of Housing and Urban Development (HUD). The FHA's role in the mortgage insurance industry is significantly dependent upon regulatory developments. During the most recent housing downturn, the FHA began to capture an increasing share of the high-LTV market, which share has not receded to the lower levels FHA transacted prior to the financial crisis. Since 2012, there have been several legislative proposals intended to reform the FHA; however, no legislation has been enacted to date. In 2015, the FHA reduced some of its annual mortgage insurance premiums by 50 basis points, which had the effect of maintaining the FHA's elevated market share and continuing the increased role of government in the mortgage insurance market. The prospects for further unilateral FHA action on premium or passage of FHA reform legislation in either the House or Senate, and how differences in proposed reforms between the House and Senate might be resolved in any final legislation, remain uncertain.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Dodd-Frank Act</w:t>
      </w:r>
    </w:p>
    <w:p>
      <w:pPr>
        <w:spacing w:after="0" w:line="17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Dodd-Frank Wall Street Reform and Consumer Protection Act of 2010 (Dodd-Frank Act) amended certain provisions of TILA, RESPA and other statutes that have had a significant impact on our business and the residential mortgage market. The Consumer Financial Protection Bureau (CFPB), a federal agency created by the Dodd-Frank Act, is charged with implementation and enforcement of these provisions. Leadership at the CFPB has recently changed, and it is difficult to predict whether or how the CFPB might seek to implement these laws in the future.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Ability-to-Repay Rule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instance, the CFPB implemented the Dodd-Frank Act Ability to Repay (ATR) mortgage provisions, which govern the obligation of lenders to determine the borrower's ability to pay when originating a mortgage loan covered by the rule. The ATR rule went into effect on January 10, 2014. A subset of mortgages within the ATR rule are known as "qualified mortgages" (QMs), which generally are defined as loans without certain risky features, such as negative amortization, points and fees in excess of 3% of the loan amount, and terms exceeding 30 years. QMs under the rule benefit from a statutory presumption of compliance with the ATR rule, thus potentially mitigating the risk of the liability of the creditor and assignees of the loan under TILA. The rule also provides a temporary category of QMs that have more flexible underwriting requirements so long as they satisfy the general product feature requirements of QMs and so long as they meet the underwriting requirements of the GSEs. The temporary category of QMs that meet the underwriting requirements of the GSEs is scheduled to phase out upon the earlier to occur of the end of conservatorship or receivership of the GSEs or January 10, 2021. The expiration of this this temporary GSE QM status or any action by Congress or the CFPB to modify it could affect the residential mortgage market and demand for private mortgage insurance.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The Dodd-Frank Act also gave statutory authority to HUD, the VA, and the U.S. Department of Agriculture's Rural Housing Service to develop their own definitions of "QM," which they have completed. To the extent lenders find that the HUD definition of QM is more favorable to certain segments of their borrowers, they may choose FHA products over private MI products.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along with other industry participants, have observed that the significant majority of covered loans made after the effective date of the CFPB's ATR rule have been QMs. We expect that most lenders will continue to be reluctant to make loans that do not qualify as QMs (either under the rules' specific underwriting guidelines, GSE underwriting guidelines or the HUD definition of a QM) because absent full compliance with the ATR rule, such loans will not be entitled to a "safe-harbor" presumption of compliance with the ability-to-pay requirements.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ATR rule may continue to impact the mortgage insurance industry in other ways, including because the ATR rule has given rise to a subset of borrowers who cannot meet the regulatory QM standards, thus reducing the size of the mortgage market tied to such borrowers. While Congress is considering certain reforms that may address this restrictiveness, there is no certainty about whether that legislation will be enacted or be successful in increasing access to mortgage loans for those borrowers.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Basel III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Basel Capital Accord, as updated, sets out international benchmarks for assessing banks' capital adequacy requirements, which, among other factors, governs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The effective date for the U.S. Basel III regulations was January 1, 2014, although the majority of its provisions are subject to phase-in periods of up to five years.</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"Standardized Approach" in the U.S. Basel III capital rules, loans secured by one-to-four-family residential properties (residential mortgage exposures) receive a 50% or 100% risk weight. Generally, first lien residential mortgage exposures that are prudently underwritten, including with respect to regulatory standards for LTV limits, and that are performing according to their original terms receive a 50% risk weight, while all other residential mortgage exposures are assigned a 100% risk weight. The banking regulators clarified in a set of frequently asked questions issued in March 2015 that LTV ratios can account for private MI in determining whether a loan is made in accordance with prudent underwriting standards for purposes of receiving a 50% risk weight. A mortgage exposure guaranteed by the federal government through the FHA or VA will have a risk weight of 20%.</w:t>
      </w:r>
    </w:p>
    <w:p>
      <w:pPr>
        <w:spacing w:after="0" w:line="1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2014, the Basel Committee on Banking Supervision (Basel Committee) issued a proposal for further revisions to Basel III's Standardized Approach for credit risk. The proposal sets forth proposed adjustments to the risk weights for residential mortgage exposures that take into account LTV and the borrower's ability to service a mortgage as a proxy for a debt service coverage ratio. The proposed LTV ratio did not take into consideration any credit enhancement, including private MI. Comments closed on the 2014 proposal in March 2015, and in December 2015, the Basel Committee released a second proposal that retained the LTV provisions of the initial draft, but not the debt servicing coverage ratios. In December 2017, the Basel Committee finalized its revisions to the Standardized Approach for credit risk, including the adoption of risk weights for residential mortgage exposures that, like the December 2015 proposal, take into account LTV but not debt servicing coverage ratios. The revisions to the international Basel III framework would only take effect in the United States to the extent that they are adopted by the federal banking regulators and incorporated into the U.S. Basel III rules.</w:t>
      </w:r>
    </w:p>
    <w:p>
      <w:pPr>
        <w:spacing w:after="0" w:line="11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the existing U.S. implementation of the Basel III capital framework supports continued use of private MI by portfolio lenders as a risk and capital management tool; however, with the ongoing implementation of Basel III and the continued evolution of the Basel framework, it is difficult to predict the impact, if any, on the MI industry and the ultimate form of any potential future modifications to the regulations by federal banking regulators.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New 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Homeowners Protection Act of 1998</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FHA and VA loans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8 of RESPA</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mortgage insurers. The CFPB's interpretation and enforcement of Section 8 of RESPA presents regulatory risk for many providers of "settlement services," including mortgage insurers.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2006, Congress enacted on a temporary basis the private mortgage insurance tax deduction, which expired at the end of 2011. Each year since the deduction initially expired in 2011, Congress has enacted legislation to temporarily extend the deduction, with the most recent extension occurring in February 2018, to cover the 2017 tax year, from January 1, 2017 to December 31, 2017. Elimination of the private mortgage insurance tax deduction could have the effect of reducing demand for private MI products. Congress has periodically considered proposed legislation that would make the private mortgage insurance tax deduction permanent, but to date has not enacted any such legislation.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 Act</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federal Secure and Fair Enforcement for Mortgage Licensing Act (SAFE Act), enacted by Congress in 2008, establishes minimum standards for the licensing and registration of state-licensed mortgage loan originators. The SAFE Act also requires the establishment of a nationwide mortgage licensing system and registry for the residential mortgage industry and its employees. As part of this licensing and registration process, loan originators who are employees of certain lending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mortgage loans. NMIS currently provides loan review services through third-party service providers, which have represented and warranted to NMIS that they comply with SAFE Act requirements in all applicable jurisdictions.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Information Security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 In addition, many states have enacted privacy and data security laws which impose compliance obligations beyond GLBA, including obligations to protect social security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numbers, maintain comprehensive information security programs and provide notification if a security breach results in a reasonable belief that unauthorized persons may have obtained access to consumer non-public personal information. We have adopted certain risk management and security practices designed to facilitate our compliance with these federal and state privacy and information security laws.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FCRA imposes restrictions on the permissible use of credit report information. The CFPB and FTC each have authority to enforce the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Anti-Discrimination Laws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Implications of and Elections Under the JOBS 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a company that had gross revenues of less than $1 billion during its last fiscal year, we are an "emerging growth company," as defined in the JOBS Act (an EGC). We will retain that status until December 31, 2018, the last day of the fiscal year following the fifth anniversary of the date of the first sale of our common stock pursuant to an effective registration statement under the Securities Act, which was November 7, 2013.</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EGC:</w:t>
      </w:r>
    </w:p>
    <w:p>
      <w:pPr>
        <w:spacing w:after="0" w:line="171" w:lineRule="exact"/>
        <w:rPr>
          <w:sz w:val="20"/>
          <w:szCs w:val="20"/>
          <w:color w:val="auto"/>
        </w:rPr>
      </w:pPr>
    </w:p>
    <w:p>
      <w:pPr>
        <w:ind w:left="130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exempted from compliance with Section 404(b) of Sarbanes-Oxley, which requires our auditors to attest to and report on our internal control over financial reporting;</w:t>
      </w:r>
    </w:p>
    <w:p>
      <w:pPr>
        <w:spacing w:after="0" w:line="62"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not required to comply with any new or revised financial accounting standard until such date as a private company (</w:t>
      </w:r>
      <w:r>
        <w:rPr>
          <w:rFonts w:ascii="Arial" w:cs="Arial" w:eastAsia="Arial" w:hAnsi="Arial"/>
          <w:sz w:val="18"/>
          <w:szCs w:val="18"/>
          <w:i w:val="1"/>
          <w:iCs w:val="1"/>
          <w:color w:val="auto"/>
        </w:rPr>
        <w:t>i.e.</w:t>
      </w:r>
      <w:r>
        <w:rPr>
          <w:rFonts w:ascii="Arial" w:cs="Arial" w:eastAsia="Arial" w:hAnsi="Arial"/>
          <w:sz w:val="18"/>
          <w:szCs w:val="18"/>
          <w:color w:val="auto"/>
        </w:rPr>
        <w:t>, a company that is not an "issuer" as defined by Section 2(a) of Sarbanes-Oxley) is required to comply with such new or revised accounting standard. Although we are not required to comply with new or revised financial accounting standards, we have opted out of using the extended transition period;</w:t>
      </w:r>
    </w:p>
    <w:p>
      <w:pPr>
        <w:spacing w:after="0" w:line="78" w:lineRule="exact"/>
        <w:rPr>
          <w:rFonts w:ascii="Arial" w:cs="Arial" w:eastAsia="Arial" w:hAnsi="Arial"/>
          <w:sz w:val="18"/>
          <w:szCs w:val="18"/>
          <w:color w:val="auto"/>
        </w:rPr>
      </w:pPr>
    </w:p>
    <w:p>
      <w:pPr>
        <w:ind w:left="1300" w:right="20" w:hanging="320"/>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elect to not comply with Item 402 of Regulation S-K, which requires extensive quantitative and qualitative disclosure regarding executive compensation, but instead disclose the more limited information required of a "smaller reporting company";</w:t>
      </w:r>
    </w:p>
    <w:p>
      <w:pPr>
        <w:spacing w:after="0" w:line="38" w:lineRule="exact"/>
        <w:rPr>
          <w:rFonts w:ascii="Arial" w:cs="Arial" w:eastAsia="Arial" w:hAnsi="Arial"/>
          <w:sz w:val="17"/>
          <w:szCs w:val="17"/>
          <w:color w:val="auto"/>
        </w:rPr>
      </w:pPr>
    </w:p>
    <w:p>
      <w:pPr>
        <w:jc w:val="both"/>
        <w:ind w:left="1300" w:hanging="320"/>
        <w:spacing w:after="0" w:line="293"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exempted from the following additional compensation-related disclosure provisions that were imposed on U.S. public companies pursuant to the Dodd-Frank Act: (i) the advisory vote on executive compensation required by Section 14A(a) of the Exchange Act, (ii) the requirements of Section 14A(b) of the Exchange Act relating to stockholder advisory votes on "golden parachute" compensation, (iii) the requirements of Section 14(i) of the Exchange Act as to disclosure relating to the relationship between executive compensation and our financial performance, and (iv) the requirement of Section 953(b)(1) of the Dodd-Frank Act, which requires disclosure as to the relationship between the compensation of the Company's chief executive officer and median employee pay.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long as we are an EGC, the JOBS Act has the effect of reducing the amount of information that we are required to provide.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3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See "Cautionary Note Regarding Forward-Looking Statements" on page 3 of this report.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 long operating history on which investors may rely for purposes of projecting our future operating results.</w:t>
      </w:r>
    </w:p>
    <w:p>
      <w:pPr>
        <w:spacing w:after="0" w:line="17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Prior to writing our first mortgage insurance policies in April 2013, we did not engage in any substantive operations and, therefore, do not have a long operating history on which investors may rely for purposes of projecting future operating results. Having a short operating history, we are subject to substantial business and financial risks and could suffer significant losses, all of which are difficult to predict. We continue to develop business relationships, enhance our technology platform, gain customers, establish operating procedures, hire staff and complete other tasks appropriate for the conduct of our intended business activities. Our long-term success will also depend on our ability to continue to execute the operating procedures we have established and internal controls we have developed to effectively support our business and our regulatory and reporting requirements. Further, industry conditions may change in a manner that adversely affects the development or profitability of our business, and there can be no assurance that we will be successful in our efforts to continue to develop our business.</w:t>
      </w:r>
    </w:p>
    <w:p>
      <w:pPr>
        <w:spacing w:after="0" w:line="12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We face intense competition for business in our industry from existing private MI providers and potentially from new entrants. If we are unable to compete effectively, we may not be able to achieve our business goals, which would adversely affect our business, financial condition and operating results.</w:t>
      </w:r>
    </w:p>
    <w:p>
      <w:pPr>
        <w:spacing w:after="0" w:line="12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as ours. We compete with other private mortgage insurers based on our terms of coverage, underwriting guidelines, pricing, customer service (including speed of MI underwriting and decisions), availability of ancillary products and services (including training and loan review services), financial strength, information security, customer relationships, name recognition and reputation, the strength of management teams and sales organizations, the effective use of technology, and innovation in the delivery and servicing of insurance products.</w:t>
      </w:r>
    </w:p>
    <w:p>
      <w:pPr>
        <w:spacing w:after="0" w:line="12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One or more of our competitors may seek to capture increased market share from the public MIs, such as the FHA or VA, or from other private mortgage insurers by reducing prices,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information technology systems are inferior to our competitors', existing and potential customers may choose our competitors' products over ours. If we are unable to compete effectively against our competitors and attract and retain our target customers, our revenue may be adversely impacted, which could adversely impact our growth and profitability.</w:t>
      </w:r>
    </w:p>
    <w:p>
      <w:pPr>
        <w:spacing w:after="0" w:line="1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these services at all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3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Certain of our competitors are subsidiaries of larger corporations that may have access to greater amounts of capital and financial resources than we do at a lower cost of capital and some have better financial strength ratings than we have. As a result, they may be better positioned to compete in the traditional MI market, as well as outside of traditional MI, including when the GSEs pursue alternative forms of credit enhancement other than traditional MI.</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0" w:right="259" w:bottom="1440" w:gutter="0" w:footer="0" w:header="0"/>
        </w:sectPr>
      </w:pPr>
    </w:p>
    <w:bookmarkStart w:id="24" w:name="page25"/>
    <w:bookmarkEnd w:id="24"/>
    <w:p>
      <w:pPr>
        <w:ind w:right="60" w:firstLine="648"/>
        <w:spacing w:after="0" w:line="273" w:lineRule="auto"/>
        <w:rPr>
          <w:sz w:val="20"/>
          <w:szCs w:val="20"/>
          <w:color w:val="auto"/>
        </w:rPr>
      </w:pPr>
      <w:r>
        <w:rPr>
          <w:rFonts w:ascii="Arial" w:cs="Arial" w:eastAsia="Arial" w:hAnsi="Arial"/>
          <w:sz w:val="17"/>
          <w:szCs w:val="17"/>
          <w:color w:val="auto"/>
        </w:rPr>
        <w:t xml:space="preserve">Our financial strength ratings may remain important for our customers to maintain confidence in our products and our competitive position. A downgrade in NMIC's ratings or ratings outlook could have an adverse effect on our financial condition and operating results, including (i) increased scrutiny of our financial condition by our customers, resulting in potential reduction in our NIW or (ii) negative impacts to our ability to conduct business in the non-GSE mortgage market, where financial strength ratings may be more important for such lenders. In addition, although financial strength ratings are not a requirement to remain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under the current PMIERs framework, they may play a greater role to the extent GSEs use forms of credit enhancement other than traditional MI, including use of deeper MI coverage or other forms of credit risk transfer.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amount of insurance we may be able to write could be adversely affected if lenders and investors select alternatives to private MI.</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lenders and investors select alternatives to private MI on high-LTV loans, our business could be adversely affected. These alternatives to private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 include, but are not limited to:</w:t>
      </w:r>
    </w:p>
    <w:p>
      <w:pPr>
        <w:spacing w:after="0" w:line="157" w:lineRule="exact"/>
        <w:rPr>
          <w:sz w:val="20"/>
          <w:szCs w:val="20"/>
          <w:color w:val="auto"/>
        </w:rPr>
      </w:pPr>
    </w:p>
    <w:p>
      <w:pPr>
        <w:ind w:left="980" w:right="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and the VA, and state-supported mortgage insurance funds in several states, including Massachusetts and California;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investors (including the GSEs) using credit enhancements other than MI (including alternative forms of credit risk transfer), using other credit enhancements in conjunction with reduced levels of MI coverage, or accepting credit risk without credit enhancement;</w:t>
      </w:r>
    </w:p>
    <w:p>
      <w:pPr>
        <w:spacing w:after="0" w:line="38" w:lineRule="exact"/>
        <w:rPr>
          <w:rFonts w:ascii="Arial" w:cs="Arial" w:eastAsia="Arial" w:hAnsi="Arial"/>
          <w:sz w:val="17"/>
          <w:szCs w:val="17"/>
          <w:color w:val="auto"/>
        </w:rPr>
      </w:pPr>
    </w:p>
    <w:p>
      <w:pPr>
        <w:ind w:left="980" w:right="2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73"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borrowers paying cash or making large down payments versus securing mortgage financing, which has occurred with greater frequency in the years following the most recent financial crisis.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of these alternatives to private MI could reduce or eliminate the need for our products, could cause us to lose business and/or could limit our ability to attract the business that we would prefer to insure.</w:t>
      </w:r>
    </w:p>
    <w:p>
      <w:pPr>
        <w:spacing w:after="0" w:line="11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Beginning in 2008, the public MIs, principally the FHA and VA, significantly expanded their role in the MI market as incumbent private mortgage insurers came under significant financial stress. While declining from peak market share following the most recent financial crisis, the market share of the public MIs remains substantially above their historically low market share prior to 2008. Government mortgage insurance programs are not subject to the same capital requirements, costs of capital, risk tolerance or business objectives that we and other private mortgage insurers are, and therefore, generally have greater financial flexibility in setting their pricing, guidelines and capacity, which could put us at a competitive disadvantage. Although there has been broad policy consensus toward the need for private capital to play a larger role and government credit risk to be reduced in the U.S. housing finance system, it remains difficult to predict whether the combined market share of the public MIs will recede to historical levels. These agencies may continue to maintain a strong combined market position and could increase their market share in the future.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government-supported mortgage insurance programs to remain significant include:</w:t>
      </w:r>
    </w:p>
    <w:p>
      <w:pPr>
        <w:spacing w:after="0" w:line="17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housing policy, including future premium reductions or loosening of underwriting guidelines;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constraints in the private MI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capital requirements imposed on private mortgage insurers by the GSEs or states;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continuation of increases to or imposition of new GSE loan delivery fees on loans that require MI, which may result in higher borrower costs for MI loans compared to loans insured by public MIs;</w:t>
      </w:r>
    </w:p>
    <w:p>
      <w:pPr>
        <w:spacing w:after="0" w:line="62"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 in the spread between GSE mortgage-backed securities and Ginnie Mae mortgage-backed securities;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public MIs' loan limits above GSE loan limits; and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operational ease of using insurance from public MIs compared to private MI.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the public MIs maintain or increase their share of the mortgage insurance market, our business and industry could be negatively affected.</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Further, at the direction of the FHFA, the GSEs have expanded their credit risk transfer programs.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Arial" w:cs="Arial" w:eastAsia="Arial" w:hAnsi="Arial"/>
          <w:sz w:val="18"/>
          <w:szCs w:val="18"/>
          <w:i w:val="1"/>
          <w:iCs w:val="1"/>
          <w:color w:val="auto"/>
        </w:rPr>
        <w:t>e.g.</w:t>
      </w:r>
      <w:r>
        <w:rPr>
          <w:rFonts w:ascii="Arial" w:cs="Arial" w:eastAsia="Arial" w:hAnsi="Arial"/>
          <w:sz w:val="18"/>
          <w:szCs w:val="18"/>
          <w:color w:val="auto"/>
        </w:rPr>
        <w:t>, lower costs, reduced counter-party risk due to collateral requirements or more diversified insurance exposures) may create increased competition for private MI on loans traditionally sold to the GSEs with private MI.</w:t>
      </w:r>
    </w:p>
    <w:p>
      <w:pPr>
        <w:spacing w:after="0" w:line="13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attract and retain the most significant mortgage originators as customers, our ability to achieve our business goals could be negatively impacted.</w:t>
      </w:r>
    </w:p>
    <w:p>
      <w:pPr>
        <w:spacing w:after="0" w:line="11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success of our mortgage insurance business is highly dependent on our ability to attract and retain as customers the most significant mortgage lenders in the U.S., as determined by the combined volume of their own retail originations and insured business they may acquire from other originators through their correspondent channels. We believe these mortgage lenders are critical to the achievement of our business goals because of their dominant market share. As a result of their size and market share, these entities originate a significant majority of high-LTV mortgages in the U.S. and, therefore, influence the size of the MI market. We are currently doing business with a majority of these lenders. However, there is no assurance we will receive approvals from each of the remaining lenders to transact MI business with them. If we are unable to maintain our approved status with one or more of these mortgage lenders, our business, financial condition and operating results could be adversely impacted.</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Even if these lenders become our customers, we cannot be certain that any loss of business from one would be replaced from other new or existing lender customers. Such lenders may decide to write business only with certain mortgage insurers based on their views with respect to an insurer's pricing,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Policy does not, and by law cannot, require our customers to do business with us. In 2017, premiums earned from one significant customer exceeded 10% of our consolidated revenues. Loss of business from significant customers, if not offset by additional business from other customers, could have an adverse effect on the amount of new business we are able to write, and consequently, our financial condition and operating results.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the volume of high-LTV loan originations declines, the amount of insurance that we may be able to write could decline, which would reduce our revenues.</w:t>
      </w:r>
    </w:p>
    <w:p>
      <w:pPr>
        <w:spacing w:after="0" w:line="11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revenues, in part, depend on the volume of high-LTV loan originations and may be negatively affected if the volume declines. The factors that affect the volume of high-LTV loan originations include, among other things:</w:t>
      </w:r>
    </w:p>
    <w:p>
      <w:pPr>
        <w:spacing w:after="0" w:line="116" w:lineRule="exact"/>
        <w:rPr>
          <w:sz w:val="20"/>
          <w:szCs w:val="20"/>
          <w:color w:val="auto"/>
        </w:rPr>
      </w:pPr>
    </w:p>
    <w:p>
      <w:pPr>
        <w:ind w:left="980" w:right="140" w:hanging="162"/>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more restrictive regulatory and capital requirements and liquidity issues affecting lenders;</w:t>
      </w:r>
    </w:p>
    <w:p>
      <w:pPr>
        <w:spacing w:after="0" w:line="62" w:lineRule="exact"/>
        <w:rPr>
          <w:rFonts w:ascii="Arial" w:cs="Arial" w:eastAsia="Arial" w:hAnsi="Arial"/>
          <w:sz w:val="18"/>
          <w:szCs w:val="18"/>
          <w:color w:val="auto"/>
        </w:rPr>
      </w:pPr>
    </w:p>
    <w:p>
      <w:pPr>
        <w:ind w:left="980" w:right="300" w:hanging="162"/>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loan interest rates. Higher interest rates may increase the potential housing costs of consumers hoping to purchase homes, which may have the effect of reducing the pool of potential borrowers available to purchase homes;</w:t>
      </w:r>
    </w:p>
    <w:p>
      <w:pPr>
        <w:spacing w:after="0" w:line="62" w:lineRule="exact"/>
        <w:rPr>
          <w:rFonts w:ascii="Arial" w:cs="Arial" w:eastAsia="Arial" w:hAnsi="Arial"/>
          <w:sz w:val="18"/>
          <w:szCs w:val="18"/>
          <w:color w:val="auto"/>
        </w:rPr>
      </w:pPr>
    </w:p>
    <w:p>
      <w:pPr>
        <w:ind w:left="980" w:hanging="162"/>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deductibility of mortgage interest or other changes in tax policy, including the recently enacted Tax Cuts and Jobs Act of 2017, that may have an effect on the residential housing market;</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real estate industry and the national economy as well as conditions in regional and local economies;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 preferences of potential mortgage borrowers and cultural shifts;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4" w:right="279" w:bottom="1440" w:gutter="0" w:footer="0" w:header="0"/>
        </w:sectPr>
      </w:pPr>
    </w:p>
    <w:bookmarkStart w:id="26" w:name="page27"/>
    <w:bookmarkEnd w:id="26"/>
    <w:p>
      <w:pPr>
        <w:ind w:left="980" w:hanging="162"/>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w:t>
      </w:r>
    </w:p>
    <w:p>
      <w:pPr>
        <w:spacing w:after="0" w:line="128" w:lineRule="exact"/>
        <w:rPr>
          <w:rFonts w:ascii="Arial" w:cs="Arial" w:eastAsia="Arial" w:hAnsi="Arial"/>
          <w:sz w:val="17"/>
          <w:szCs w:val="17"/>
          <w:color w:val="auto"/>
        </w:rPr>
      </w:pPr>
    </w:p>
    <w:p>
      <w:pPr>
        <w:ind w:left="980" w:hanging="16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housing policy encouraging loans to first-time homebuyers; and</w:t>
      </w:r>
    </w:p>
    <w:p>
      <w:pPr>
        <w:spacing w:after="0" w:line="117" w:lineRule="exact"/>
        <w:rPr>
          <w:rFonts w:ascii="Arial" w:cs="Arial" w:eastAsia="Arial" w:hAnsi="Arial"/>
          <w:sz w:val="18"/>
          <w:szCs w:val="18"/>
          <w:color w:val="auto"/>
        </w:rPr>
      </w:pPr>
    </w:p>
    <w:p>
      <w:pPr>
        <w:ind w:left="980" w:right="320" w:hanging="162"/>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the GSEs' guaranty and other fees, credit underwriting guidelines and other business terms affect lenders' willingness to extend credit for high-LTV mortgages.</w:t>
      </w:r>
    </w:p>
    <w:p>
      <w:pPr>
        <w:spacing w:after="0" w:line="11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 decline in the volume of high-LTV loan originations could decrease demand for MI, decrease our NIW and therefore reduce our revenues and have an adverse effect on our operating results.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underwriting and risk management policies and practices may not anticipate all risks and/or the magnitude of potential for loss as the result of unforeseen risks.</w:t>
      </w:r>
    </w:p>
    <w:p>
      <w:pPr>
        <w:spacing w:after="0" w:line="11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established underwriting, credit and risk management policies and practices that seek to mitigate our exposure to borrower default risk in our insured loan portfolio by anticipating future risks and the magnitude of those risks. Our underwriting and risk management guidelines are based on what we believe to be the major factors that influence the performance of mortgage credit. Those factors include, among others, the borrower's credit strength, the loan product, origination practices of lenders, the percentage coverage and size of insured loans and the condition of the economy. In addition, there are certain types of loan characteristics relating to the individual loan or borrower that affect the risk potential for a loan, including its LTV, purpose and terms and the credit profile of the borrower, including FICO and higher DTIs. The presence of multiple higher-risk characteristics in a loan materially increases the likelihood of a default on such a loan unless, and to the extent, there are other characteristics to mitigate the risk.</w:t>
      </w:r>
    </w:p>
    <w:p>
      <w:pPr>
        <w:spacing w:after="0" w:line="11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frequency and severity of claims we incur is uncertain and depends largely on general economic conditions, including unemployment and interest rates and trends in home prices. To the extent that a risk is unforeseen or is underestimated in terms of frequency and/or severity of loss, our underwriting and risk management policies and practices may not completely insulate us from the effects of those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1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downturn in the U.S. economy, rising interest rates or home price depreciation may result in increased, unexpected borrower defaults, which could increase our losses.</w:t>
      </w:r>
    </w:p>
    <w:p>
      <w:pPr>
        <w:spacing w:after="0" w:line="11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Losses result from events that reduce a borrower's ability or willingness to continue to make mortgage payments, such as unemployment, rising interest rates and whether a defaulting borrower can sell the home for an amount that will cover unpaid principal and interest and the expenses of the sale. Deterioration in economic conditions, across the U.S. or in specific regional economies, generally increases the likelihood that some borrowers will not have sufficient income to pay their mortgages. An increase in interest rates typically leads to higher monthly payments for borrowers with existing ARMs. A decline in home values typically makes it more difficult for borrowers to sell or refinance their homes, generally increasing the likelihood of a default followed by a claim if borrowers experience job losses or other life events which reduce their incomes or increase their expenses. In addition, adverse declines in home values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in turn may result from changes in buyers' perceptions of the potential for future appreciation, rising interest rates or restrictions on mortgage credit due to more stringent underwriting standards, among other factors.</w:t>
      </w:r>
    </w:p>
    <w:p>
      <w:pPr>
        <w:spacing w:after="0" w:line="1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Losses can increase when borrowers whose loans we insure experience reductions in income or increases in expenses. Borrowers on high-LTV mortgages often have more difficulty weathering financial hardships caused by unemployment or income reductions, or life events involving illness, death or divorce, because they may not have large amounts of personal savings or available credit. Rising unemployment may increase the number of borrowers unable to remain current on their home mortgages and may increase the number of new claims.</w:t>
      </w:r>
    </w:p>
    <w:p>
      <w:pPr>
        <w:spacing w:after="0" w:line="133"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 significant downturn in economic conditions or an extended period of flat or declining housing values could result in increased losses. Although the single-family housing market has shown improvement since the most recent financial crisis, the future is not certain and may be affected by weakness or volatility in the U.S. economy, including any impacts arising out of global market effects from international sources.</w:t>
      </w:r>
    </w:p>
    <w:p>
      <w:pPr>
        <w:spacing w:after="0" w:line="1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our loss projections are inaccurate, our loss payments could materially exceed our recorded loss reserves resulting in an adverse effect on our financial position and operating results. Also, if unemployment rates materially exceed and home price</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584" w:right="319" w:bottom="1440" w:gutter="0" w:footer="0" w:header="0"/>
        </w:sectPr>
      </w:pPr>
    </w:p>
    <w:bookmarkStart w:id="27" w:name="page28"/>
    <w:bookmarkEnd w:id="27"/>
    <w:p>
      <w:pPr>
        <w:ind w:right="340"/>
        <w:spacing w:after="0" w:line="277" w:lineRule="auto"/>
        <w:rPr>
          <w:sz w:val="20"/>
          <w:szCs w:val="20"/>
          <w:color w:val="auto"/>
        </w:rPr>
      </w:pPr>
      <w:r>
        <w:rPr>
          <w:rFonts w:ascii="Arial" w:cs="Arial" w:eastAsia="Arial" w:hAnsi="Arial"/>
          <w:sz w:val="18"/>
          <w:szCs w:val="18"/>
          <w:color w:val="auto"/>
        </w:rPr>
        <w:t>trends materially differ from our forecasts, our underwriting standards and premium charges may prove inadequate to shield us from materially increased losses.</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IIF may be concentrated in specific geographic regions and could make our business highly susceptible to downturns in local economies, which could be detrimental to our financial condition.</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seek to diversify our insured loan portfolio geographically; however, the availability of business might lead to concentrations in specific regions in the U.S., which could make our business more susceptible to economic downturns in these regions. Our IIF and RIF is currently more heavily concentrated in California than other states, primarily as a result of the size of the California mortgage market relative to the rest of the country and the location and timing of our acquisition of new customers. Certain regions of the U.S. from time to time will experience weaker economic conditions, higher unemployment, lower property values or weaker housing markets and, consequently, will experience higher rates of default, foreclosure and loss than on loans nationally.</w:t>
      </w:r>
    </w:p>
    <w:p>
      <w:pPr>
        <w:spacing w:after="0" w:line="1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deterioration in housing prices in the regions in which there is a significant concentration of IIF and RIF and any deterioration of economic conditions in such regions which adversely affects the ability of borrowers to make payments on their insured loans may increase the likelihood and severity of our losses. In addition, other factors such as excessive building resulting in an oversupply of housing in a particular area or a decrease in employment reducing the demand for housing in an area may cause an oversupply of homes available for sale and result in unexpected losses. Any such deteriorations in local or national economic conditions in the mortgage market and other economic conditions could have a material adverse effect on our operating results and financial position.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premiums we charge may not be sufficient to cover claim payments and our operating costs.</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mortgage insurance premiums may not be adequate to cover future claim payments. We set premiums at the time a policy is issued based on our expectations regarding likely performance over the term of the policy. Our premium rates are developed based on expectations that may ultimately prove to be inaccurate. Our premiums are subject to approval by state insurance regulators, which can delay or limit our ability to increase our premiums. Generally, we will not be able to cancel the MI coverage or adjust renewal premiums during the life of an MI policy to mitigate adverse development. As a result, higher than anticipated claims generally will not be able to be offset by premium increases on policies in force or mitigated by our non-renewal or cancellation of insurance coverage. While we believe our initial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interest rates, house prices or mortgage insurance cancellation requirements may change the length of time that our policies remain in force and impact future earnings.</w:t>
      </w:r>
    </w:p>
    <w:p>
      <w:pPr>
        <w:spacing w:after="0" w:line="11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premium from a single premium policy is collected up front and generally earned over the estimated life of the policy. In contrast, premiums from a monthly premium policy are received and earned each month over the life of the policy. Each year, most of our premiums will be from insurance that has been written in prior years. As a result, the length of time insurance remains in force, which is also generally referred to as persistency, is a significant determinant of our future revenues. A lower level of persistency could reduce our future revenues from our monthly-paid premium products, which constituted about 69% of our primary IIF at year end 2017. In contrast, a higher than expected persistency rate will decrease the profitability from single premium policies because they will remain in force longer than was estimated when the policies were written.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4" w:right="27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factors affecting persistency include:</w:t>
      </w:r>
    </w:p>
    <w:p>
      <w:pPr>
        <w:spacing w:after="0" w:line="171" w:lineRule="exact"/>
        <w:rPr>
          <w:sz w:val="20"/>
          <w:szCs w:val="20"/>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rates on the IIF, which affects the sensitivity of the IIF to refinancings (</w:t>
      </w:r>
      <w:r>
        <w:rPr>
          <w:rFonts w:ascii="Arial" w:cs="Arial" w:eastAsia="Arial" w:hAnsi="Arial"/>
          <w:sz w:val="18"/>
          <w:szCs w:val="18"/>
          <w:i w:val="1"/>
          <w:iCs w:val="1"/>
          <w:color w:val="auto"/>
        </w:rPr>
        <w:t>i.e.</w:t>
      </w:r>
      <w:r>
        <w:rPr>
          <w:rFonts w:ascii="Arial" w:cs="Arial" w:eastAsia="Arial" w:hAnsi="Arial"/>
          <w:sz w:val="18"/>
          <w:szCs w:val="18"/>
          <w:color w:val="auto"/>
        </w:rPr>
        <w:t>, lower current interest rates make it more attractive for borrowers to refinance and receive a lower interest rate);</w:t>
      </w:r>
    </w:p>
    <w:p>
      <w:pPr>
        <w:spacing w:after="0" w:line="62"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of equity in a home, as homeowners with more equity in their homes can more readily move to a new residence or refinance their existing mortgage;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rates of home price appreciation or depreciation;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conditions that affect a borrower's decision to pay-off a mortgage earlier than required;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lenders' credit policies, which may make it more difficult for borrowers to refinance their loans;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efforts of lenders to solicit borrower refinancing; and</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cancellation of BPMI mandated by the HOPA, and mortgage insurance cancellation policies of mortgage investors, along with the current value of the homes underlying the mortgages in the IIF.</w:t>
      </w:r>
    </w:p>
    <w:p>
      <w:pPr>
        <w:spacing w:after="0" w:line="1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Mortgage interest rates have remained historically low, but have been increasing and are likely to continue to rise as a result of expected future changes in monetary policy by the Federal Reserve. Future premiums on our IIF represent a material portion of our claims paying resources. We are unsure what the impact on our revenues will be as mortgages are refinanced, because the number of policies we write for replacement mortgages may be more or less than the terminated policies associated with the refinanced mortgages. Given this dynamic, our expected revenues from monthly premium policies in particular might be negatively impacted if there is a higher than expected level of refinance activity in the future. In addition, if interest rates rise, persistency is likely to increase, which may extend the average life of our insured portfolio and increase expected future claims, particularly for LPMI policies that are non-cancellable.</w:t>
      </w:r>
    </w:p>
    <w:p>
      <w:pPr>
        <w:spacing w:after="0" w:line="13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1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In addition, if our USPs place our MI coverage on loans that are ineligible for coverage under our underwriting guidelines, our risk of claims will be increased on those loans or the premiums we charge will be inadequate given the risk presented. We do not have the right under our Master Policy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adequately perform their underwriting services or consistently place coverage on ineligible loans, we could experience increased claims on loans underwritten by them and our customer relationships could be negatively impacted, which would have an adverse impact on our business, financial condition and operating results.</w:t>
      </w:r>
    </w:p>
    <w:p>
      <w:pPr>
        <w:spacing w:after="0" w:line="11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Our Master Policy contains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Under our Master Policy's current rescission relief provisions, we agree that we will not rescind or cancel coverage of an insured loan for material borrower misrepresentation (including fraud) or underwriting defects after a borrower timely makes a certain number of payments (either 12 or 36, as applicable), as specified in our Master Policy. In addition, once the borrower has made the requisite number of payments, we have agreed to limitations on our ability to initiate an investigation of fraud or misrepresentation by our insureds or any First Party involved in the origination of an insured loan. Twelve-month rescission relief on an insured loan is generally subject to our successful completion of an independent validation on such loan. If we are unable to perform an independent validation on an insured loan, such loan may qualify for rescission relief after a borrower timely makes 36 consecutive monthly payments. The current processes we have in place to review insured loans may be ineffective in detecting material misrepresentations and/or underwriting defects prior to a borrower making the requisite number of payments. After a loan meets the conditions for rescission relief, we are contractually prohibited from exercising our rights of rescission for borrower misrepresentation (including fraud) and certain First Party misrepresentations and our rights to investigate potential First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right="140"/>
        <w:spacing w:after="0" w:line="257" w:lineRule="auto"/>
        <w:rPr>
          <w:sz w:val="20"/>
          <w:szCs w:val="20"/>
          <w:color w:val="auto"/>
        </w:rPr>
      </w:pPr>
      <w:r>
        <w:rPr>
          <w:rFonts w:ascii="Arial" w:cs="Arial" w:eastAsia="Arial" w:hAnsi="Arial"/>
          <w:sz w:val="18"/>
          <w:szCs w:val="18"/>
          <w:color w:val="auto"/>
        </w:rPr>
        <w:t>Party fraud or misrepresentation are significantly curtailed. In addition, after we amend our Master Policy to comply with the new RRPs (discussed above in Item 1, "</w:t>
      </w:r>
      <w:r>
        <w:rPr>
          <w:rFonts w:ascii="Arial" w:cs="Arial" w:eastAsia="Arial" w:hAnsi="Arial"/>
          <w:sz w:val="18"/>
          <w:szCs w:val="18"/>
          <w:i w:val="1"/>
          <w:iCs w:val="1"/>
          <w:color w:val="auto"/>
        </w:rPr>
        <w:t>Business - Underwriting - Independent Validation and Rescission Relief"</w:t>
      </w:r>
      <w:r>
        <w:rPr>
          <w:rFonts w:ascii="Arial" w:cs="Arial" w:eastAsia="Arial" w:hAnsi="Arial"/>
          <w:sz w:val="18"/>
          <w:szCs w:val="18"/>
          <w:color w:val="auto"/>
        </w:rPr>
        <w:t>), our rescission rights will be more limited than they are now. With these provisions in place, we may be obligated to pay claims on certain loans with unacceptable risk characteristics or which failed to meet our underwriting guidelines at the time of origination. As a result, we could suffer unexpected losses, which could adversely impact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Arial" w:cs="Arial" w:eastAsia="Arial" w:hAnsi="Arial"/>
          <w:sz w:val="17"/>
          <w:szCs w:val="17"/>
          <w:i w:val="1"/>
          <w:iCs w:val="1"/>
          <w:color w:val="auto"/>
        </w:rPr>
        <w:t>i.e.</w:t>
      </w:r>
      <w:r>
        <w:rPr>
          <w:rFonts w:ascii="Arial" w:cs="Arial" w:eastAsia="Arial" w:hAnsi="Arial"/>
          <w:sz w:val="17"/>
          <w:szCs w:val="17"/>
          <w:color w:val="auto"/>
        </w:rPr>
        <w:t>, DTIs greater than 45%). Loans with high LTVs leave the borrower with little, no or negative-equity in the related property, which may result in increased defaults by such borrowers. In addition, reductions in the values of such properties securing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our current pricing may not address certain risk characteristics. Even with the risk-based pricing framework we have in place, there is no guarantee that our premiums will compensate us for the losses we incur on loans with higher risk characteristics.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exceptions to our underwriting guidelines on a loan-by-loan basis and for certain customer programs. Even though underwriting that falls outside of our guidelines would be on a case-by-case basis, we could incur greater than expected claims and claim payments on this business, which could negatively impact our revenues and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grows and matures.</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believe, based on our experience and industry data, that claims incidence for mortgage insurance is generally highest in the third through sixth years after loan origination. Historically, the first two to three years after loans are originated are a period of relatively low claims, with claims increasing substantially for several years thereafter and then declining. Factors, such as persistency of the book and the condition of the economy, including unemployment and housing prices can affect this pattern. We began writing mortgage insurance coverage in 2013. Although our claims experience to date has been as expected, we anticipate incurred losses and claims to increase as our earlier book years reach their anticipated period of highest claim frequency and as we begin to layer on additional book years of coverage.</w:t>
      </w:r>
    </w:p>
    <w:p>
      <w:pPr>
        <w:spacing w:after="0" w:line="13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actual default rate and the average loss per default that we experience as our portfolio matures is difficult to predict and is dependent on the specific characteristics of our current in-force book, as well as the profile of business we write in the future. Our default experience and claims incurred are generally affected by:</w:t>
      </w:r>
    </w:p>
    <w:p>
      <w:pPr>
        <w:spacing w:after="0" w:line="127" w:lineRule="exact"/>
        <w:rPr>
          <w:sz w:val="20"/>
          <w:szCs w:val="20"/>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macroeconomic factors, including unemployment, which affects the likelihood that borrowers may default on their loans, and rising interest rates, which tend to increase persistency, thereby extending the average life of our insured portfolio and increasing expected future claims;</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housing values, as such changes may affect loss mitigation opportunities on loans in default, as well as borrowers' behaviors and willingness to default if the values of their homes are below or perceived to be below their mortgage balances;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borrowers' FICO scores, with lower FICO scores tending to have higher probabilities of claims;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LTV ratios, with higher average LTV ratios tending to increase claims incurred;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DTI ratios, with higher DTIs generally tending to increase claims incurred;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 incurred;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borrower and loan level risk characteristics, such as cash-out refinancings, second homes or investment properties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at which we rescind policies, which we expect to be lower for us than recent rescission rates experienced by the private MI industry due to the terms of our Master Policy and generally tighter underwriting standard;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year, as described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right="240" w:firstLine="648"/>
        <w:spacing w:after="0" w:line="308" w:lineRule="auto"/>
        <w:rPr>
          <w:sz w:val="20"/>
          <w:szCs w:val="20"/>
          <w:color w:val="auto"/>
        </w:rPr>
      </w:pPr>
      <w:r>
        <w:rPr>
          <w:rFonts w:ascii="Arial" w:cs="Arial" w:eastAsia="Arial" w:hAnsi="Arial"/>
          <w:sz w:val="17"/>
          <w:szCs w:val="17"/>
          <w:color w:val="auto"/>
        </w:rPr>
        <w:t>Incurred losses and claims may exceed our expectations in the event of general economic weakness or decreases in housing values. An increase in the number or size of claims, compared to what we anticipate, could adversely affect our operating results or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claims could unexpectedly increase.</w:t>
      </w:r>
    </w:p>
    <w:p>
      <w:pPr>
        <w:spacing w:after="0" w:line="1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Master Policy requires our insureds and their servicers to timely submit premium and monthly IIF and default reports and use commercially reasonable efforts to limit and mitigate loss when a loan is in default. If these servicers fail to adhere to such servicing standards and fail to limit and mitigate loss when appropriate, our losses may unexpectedly increase. In addition, if one or more servicers were to experience adverse effects to its business, such servicers could experience delays in their reporting and premium payment requirements, which could result in our inability to correctly record new loans as they are underwritten, receive and process premium payments on insured loans and/or properly recognize and establish loss reserves on loans when defaults exist or occur but are not reported to us. Significant failures by large servicers or disruptions in the servicing of mortgage loans we insure would adversely impact our business, financial condition and operating results.</w:t>
      </w:r>
    </w:p>
    <w:p>
      <w:pPr>
        <w:spacing w:after="0" w:line="13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Furthermore, we have delegated the authority to implement certain loss mitigation options on loans we insure (</w:t>
      </w:r>
      <w:r>
        <w:rPr>
          <w:rFonts w:ascii="Arial" w:cs="Arial" w:eastAsia="Arial" w:hAnsi="Arial"/>
          <w:sz w:val="17"/>
          <w:szCs w:val="17"/>
          <w:i w:val="1"/>
          <w:iCs w:val="1"/>
          <w:color w:val="auto"/>
        </w:rPr>
        <w:t>e.g.</w:t>
      </w:r>
      <w:r>
        <w:rPr>
          <w:rFonts w:ascii="Arial" w:cs="Arial" w:eastAsia="Arial" w:hAnsi="Arial"/>
          <w:sz w:val="17"/>
          <w:szCs w:val="17"/>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1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establish claims reserves when we are notified that an insured loan is in default for at least 60 days, based on management's estimate of claim rates and claim sizes, which are subject to uncertainties and are based on assumptions about certain estimation parameters that may be volatile. As a result, the actual claim payments we make may materially exceed the amount of our corresponding claims reserves.</w:t>
      </w:r>
    </w:p>
    <w:p>
      <w:pPr>
        <w:spacing w:after="0" w:line="11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practice, consistent with generally accepted accounting principles in the U.S. (GAAP) for the MI industry, is to establish loss reserves only for loans that servicers have reported to us as being at least 60 days in default. We also establish IBNR reserves for estimated losses incurred on loans that have been in default for at least 60 days that have not yet been reported to us by the servicers.</w:t>
      </w:r>
    </w:p>
    <w:p>
      <w:pPr>
        <w:spacing w:after="0" w:line="12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The establishment of loss and IBNR reserves is subject to inherent uncertainty and requires significant judgment by management. We establish loss reserves using our best estimates of claim rates,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percent of loan defaults that ultimately result in claim payments, and claim amounts, </w:t>
      </w:r>
      <w:r>
        <w:rPr>
          <w:rFonts w:ascii="Arial" w:cs="Arial" w:eastAsia="Arial" w:hAnsi="Arial"/>
          <w:sz w:val="16"/>
          <w:szCs w:val="16"/>
          <w:i w:val="1"/>
          <w:iCs w:val="1"/>
          <w:color w:val="auto"/>
        </w:rPr>
        <w:t>i.e.</w:t>
      </w:r>
      <w:r>
        <w:rPr>
          <w:rFonts w:ascii="Arial" w:cs="Arial" w:eastAsia="Arial" w:hAnsi="Arial"/>
          <w:sz w:val="16"/>
          <w:szCs w:val="16"/>
          <w:color w:val="auto"/>
        </w:rPr>
        <w:t>, the dollar amounts required to settle claims, to estimate the ultimate losses on loans reported to us as being at least 60 days in default as of the end of each reporting period. We estimate IBNR by analyzing historical lags in default reporting to determine a specific number of IBNR claims in each reporting period. Our estimates of claim rates and claim sizes are strongly influenced by prevailing economic conditions, including current rates or trends in unemployment, housing price appreciation and/or interest rates,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which may adversely impact our financial condition and operating results. Due to the inherent uncertainty and significant judgment involved in the numerous assumptions required to estimate our losses, our loss estimates may vary widely. Because loss and IBNR reserves are based on such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11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The occurrence of natural or man-made disasters or a pandemic could adversely affect our business, financial condition and operating results.</w:t>
      </w:r>
    </w:p>
    <w:p>
      <w:pPr>
        <w:spacing w:after="0" w:line="19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are exposed to various risks arising out of natural disasters, including earthquakes, wildfires, hurricanes, floods and tornadoes and man-made disasters, including acts of terrorism, military actions and pandemics. For example, a natural or man-made disaster or a pandemic could lead to unexpected changes in persistency rates as policyholders, contract-holders and borrowers who are affected by the disaster may be unable to meet their contractual obligations, such as payment of premiums on our insurance policies, interest payments due on our invested assets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business and increased claims from those areas, as well as an adverse effect on home prices in those areas, which could result in unexpected increased loss experience in our business. Disasters or a pandemic also could disrupt public and private infrastructure, including communications and financial services, which could disrupt our normal business operations. In addition, a disaster or a pandemic could adversely affect the value of the assets in our investment portfolio if it affects companies' ability to pay us principal or interest on their securities.</w:t>
      </w:r>
    </w:p>
    <w:p>
      <w:pPr>
        <w:spacing w:after="0" w:line="11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insure mortgages for homes in areas that have been impacted by recent natural disasters, including hurricanes Harvey and Irma and the California wildfires. We have experienced an increase in NODs related to homes in areas declared by FEMA to be disaster zones following the aforementioned natural disasters, which has negatively impacted our incurred losses. Our ultimate claims exposure will depend on the number of NODs ultimately received, proximate cause of each default and cure rate of the NOD population. In the event of natural disasters, cure rates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We anticipate that the population of loans in default in these FEMA disaster zones will cure at a higher rate than the estimated rate we apply to non-disaster related loans in default, due to our master policy coverage terms, historical industry experience, and current economic indicators and relief programs. As such, we have established lower reserves for these NODs than we otherwise do for similarly situated NODs in non-disaster zones. Due to the inherent uncertainty and significant judgment involved in our assumptions, our loss estimates may turn out to be materially inaccurate and we can provide no assurance that actual claims paid by us, if any, on NODs in disaster zones will not be substantially different than the reserves we have established for such claims.</w:t>
      </w:r>
    </w:p>
    <w:p>
      <w:pPr>
        <w:spacing w:after="0" w:line="1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required to establish a premium deficiency reserve if the net present value of our premiums and reserves is less than the net present value of our loss payments and expenses.</w:t>
      </w:r>
    </w:p>
    <w:p>
      <w:pPr>
        <w:spacing w:after="0" w:line="11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to establishing loss reserves for loans in default, under GAAP, we are required to establish a premium deficiency reserve for our mortgage insurance products if the sum of expected claim costs and claim adjustment expenses, expected dividends to policyholders, unamortized acquisition costs, and maintenance costs exceeds future premiums, existing reserves and anticipated investment income. We evaluate whether a premium deficiency exists at the end of each fiscal quarter. Our evaluation of premium deficiency is based on our best estimates of the present value of future losses, expenses and premiums. This evaluation depends upon many significant assumptions, including assumptions regarding future macroeconomic conditions, and therefore, is inherently uncertain and may prove to be inaccurate. There can be no assurance that premium deficiency reserves will not be required in future periods. In addition, even if we were required to establish a premium deficiency reserve, there can be no assurance that it will be adequate.</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11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To actively manage our risk, ensure PMIERs compliance and support the growth of our business, we utilize third-party reinsurance, including the 2016 QSR Transaction and the 2018 QSR Transaction (collectively, the QSR Transactions) and the 2017 ILN Transaction. There is a risk that these transactions will not continue to provide the benefits we expected when we entered into them, including as a result of our counter-parties under the QSR Transactions (which are not fully collateralized like the 2017 ILN Transaction) not performing their obligations, the GSEs or the Wisconsin OCI not continuing to give us full capital credit as anticipated for the duration of the contracts, or if one or more reinsurers under the QSR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right="100" w:firstLine="648"/>
        <w:spacing w:after="0" w:line="271" w:lineRule="auto"/>
        <w:rPr>
          <w:sz w:val="20"/>
          <w:szCs w:val="20"/>
          <w:color w:val="auto"/>
        </w:rPr>
      </w:pPr>
      <w:r>
        <w:rPr>
          <w:rFonts w:ascii="Arial" w:cs="Arial" w:eastAsia="Arial" w:hAnsi="Arial"/>
          <w:sz w:val="17"/>
          <w:szCs w:val="17"/>
          <w:color w:val="auto"/>
        </w:rPr>
        <w:t>Reinsurance does not relieve us of our direct liability to our insureds to pay claims, even when there are reinsurance recoverables available to us under the QSR Transactions. Accordingly, we bear credit risk with respect to such reinsurers. To mitigate this risk, there are certain contractual protections that establish sources from which we may directly obtain our reinsurance recoverables under the QSR Transactions. The 2017 ILN Transaction is fully collateralized with funds deposited into a trust account to secure the obligations of the reinsurer to NMIC under the reinsurance agreement. See Part II, Item 8, "</w:t>
      </w:r>
      <w:r>
        <w:rPr>
          <w:rFonts w:ascii="Arial" w:cs="Arial" w:eastAsia="Arial" w:hAnsi="Arial"/>
          <w:sz w:val="17"/>
          <w:szCs w:val="17"/>
          <w:i w:val="1"/>
          <w:iCs w:val="1"/>
          <w:color w:val="auto"/>
        </w:rPr>
        <w:t>Financial Statements and Supplementary Data - Notes to Consolidated Financial Statements - Note 6, Reinsurance</w:t>
      </w:r>
      <w:r>
        <w:rPr>
          <w:rFonts w:ascii="Arial" w:cs="Arial" w:eastAsia="Arial" w:hAnsi="Arial"/>
          <w:sz w:val="17"/>
          <w:szCs w:val="17"/>
          <w:color w:val="auto"/>
        </w:rPr>
        <w:t>," below. To the extent the amounts in the QSR trust accounts are insufficient to cover loss recoveries and other amounts to which we are entitled under the QSR Transactions, we would attempt to recover such amounts directly from the reinsurers. One or more reinsurers may be unable or unwilling to pay reinsurance recoverables owed to us in the future, which could have an adverse effect on our financial condition.</w:t>
      </w:r>
    </w:p>
    <w:p>
      <w:pPr>
        <w:spacing w:after="0" w:line="1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If any reinsurer under the QSR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also give us the right to terminate the agreements in certain other circumstances, including, among other reasons, if a reinsurer becomes insolvent, has its license revoked or reinsures its entire liability under the relevant QSR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11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the GSEs and the Wisconsin OCI have the right periodically to review performance under our third party reinsurance transactions, including the reinsurers' financial strength and other factors the GSEs and Wisconsin OCI may believe are important to an evaluation of the transactions, which factors may be unknown to us.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unsuccessful in our efforts to attract, train and retain qualified personnel, our business may be adversely affected.</w:t>
      </w:r>
    </w:p>
    <w:p>
      <w:pPr>
        <w:spacing w:after="0" w:line="17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believe that our success depends in large part on the relationships, services and skills of our management team and our ability to motivate, develop and retain these individuals and other key personnel, which includes members of our Finance, Sales, Law, Risk, Insurance Operations and IT departments. We intend to pay competitive salaries, bonuses and equity-based rewards to attract and retain such personnel, but there can be no assurance that we will be successful in such endeavors. The unexpected loss of key personnel, or the inability to recruit, develop and retain qualified personnel in the future, could have an adverse effect on our business, financial condition or operating results.</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managing our growth, which will depend on maintaining and enhancing effective operating procedures and internal controls.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recently formed mortgage insurance company, we have experienced significant growth since our formation. Our future operating results depend to a large extent on our ability to successfully manage our growth. Our growth has placed, and it may continue to place, significant demands on our operations and management. Our current plan depends on our ability to:</w:t>
      </w:r>
    </w:p>
    <w:p>
      <w:pPr>
        <w:spacing w:after="0" w:line="127" w:lineRule="exact"/>
        <w:rPr>
          <w:sz w:val="20"/>
          <w:szCs w:val="20"/>
          <w:color w:val="auto"/>
        </w:rPr>
      </w:pPr>
    </w:p>
    <w:p>
      <w:pPr>
        <w:ind w:left="660" w:right="1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implement and improve our operational, credit, financial, management and other disclosure and internal risk controls and processes and our reporting systems and procedures to manage a growing number of client relationships;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scale our technology platform;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management talent.</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not successfully implement improvements to, or integrate, our management information and control systems, procedures and processes in an efficient or timely manner and may discover deficiencies in existing systems and controls. In particular, our controls and procedures must be able to accommodate an increase in loan volume in various markets and the infrastructure that comes with new customers.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120" w:firstLine="648"/>
        <w:spacing w:after="0" w:line="271" w:lineRule="auto"/>
        <w:rPr>
          <w:sz w:val="20"/>
          <w:szCs w:val="20"/>
          <w:color w:val="auto"/>
        </w:rPr>
      </w:pPr>
      <w:r>
        <w:rPr>
          <w:rFonts w:ascii="Arial" w:cs="Arial" w:eastAsia="Arial" w:hAnsi="Arial"/>
          <w:sz w:val="17"/>
          <w:szCs w:val="17"/>
          <w:color w:val="auto"/>
        </w:rPr>
        <w:t>Our management does not expect that our disclosure and internal risk controls and processes will prevent all potential errors and fraud. A control system, no matter how well conceived and operated, can provide only reasonable, not absolute, assurance that the objectives of the control system are met. For example, in 2017, as a result of the existence of a material weakness in the design and operating effectiveness of an internal control related to reconciliation support used to validate our deferred tax inventory, we reported that our disclosure controls and procedures were not effective at that time. We enhanced existing controls and designed and implemented new controls applicable to our deferred tax accounting, including those related to stock compensation, to ensure that our DTA is accurately calculated and appropriately reflected in our financial statements and reports we file with the SEC. The actions we took remediated the identified material weakness and strengthened our internal control over financial reporting; however, there can be no guarantee that we will not experience flaws in our internal controls and procedures in the future.</w:t>
      </w:r>
    </w:p>
    <w:p>
      <w:pPr>
        <w:spacing w:after="0" w:line="1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a result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exposed to operational risk from fraud, malfeasance or error by employees and third-party service providers, and any such fraud, malfeasance or error could materially and adversely affect us.</w:t>
      </w:r>
    </w:p>
    <w:p>
      <w:pPr>
        <w:spacing w:after="0" w:line="11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are exposed to many types of operational risk, including the risk of fraud or malfeasance by employees and outsiders, including third-party service providers, clerical record-keeping errors and transactional errors. Our business depends on our employees as well as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11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do not maintain connectivity with or otherwise meet the technological demands of our customers or are unable to develop, enhance and maintain our proprietary technology platform with respect to the products and services we offer, our business and financial performance could be adversely affected.</w:t>
      </w:r>
    </w:p>
    <w:p>
      <w:pPr>
        <w:spacing w:after="0" w:line="12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primarily rely on e-commerce and other technologies to provide and distribute our products and services. Customers require us to provide and service our MI products in a secure manner, either electronically via our internet website or through direct electronic data transmissions. Accordingly, we invest resources in establishing and maintaining electronic connectivity with customers and, more generally, in e-commerce and technological advancements. Further, customers may choose to do business only with mortgage insurers with which they are technologically compatible and may choose to retain existing MI providers rather than invest the time and resources to integrate with a new provider. Our business, financial condition and operating results may be adversely impacted if we do not successfully establish and maintain these arrangements or otherwise keep pace with the technological demands of customers.</w:t>
      </w:r>
    </w:p>
    <w:p>
      <w:pPr>
        <w:spacing w:after="0" w:line="1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developed a proprietary enterprise technology platform designed to support our operations. The success of our business depends on our ability to resolve any issues identified with our technology platform during operations and to make timely improvements. Further, we will need to match or exceed the technological capabilities of our competitors over time. There is no assurance that we will not experience significant difficulties with the operation of our technology platform. If our technology platform fails to perform in the manner we expect, our business, financial condition and operating results will be significantly harmed.</w:t>
      </w:r>
    </w:p>
    <w:p>
      <w:pPr>
        <w:spacing w:after="0" w:line="13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 our business would be negatively impacted if we are unable to timely and effectively enhance our platform when necessary to support our primary business functions. We cannot predict with certainty the cost of such maintenance and improvements, but failure to make such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ind w:right="280"/>
        <w:spacing w:after="0" w:line="308" w:lineRule="auto"/>
        <w:rPr>
          <w:sz w:val="20"/>
          <w:szCs w:val="20"/>
          <w:color w:val="auto"/>
        </w:rPr>
      </w:pPr>
      <w:r>
        <w:rPr>
          <w:rFonts w:ascii="Arial" w:cs="Arial" w:eastAsia="Arial" w:hAnsi="Arial"/>
          <w:sz w:val="17"/>
          <w:szCs w:val="17"/>
          <w:b w:val="1"/>
          <w:bCs w:val="1"/>
          <w:i w:val="1"/>
          <w:iCs w:val="1"/>
          <w:color w:val="auto"/>
        </w:rPr>
        <w:t>We are dependent on our information technology and telecommunications systems and the third-parties who provide such systems, and termination of our third-party contracts or systems failures and interruptions could have a material adverse effect on us.</w:t>
      </w:r>
    </w:p>
    <w:p>
      <w:pPr>
        <w:spacing w:after="0" w:line="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business is highly dependent on the successful and uninterrupted functioning of our information technology and telecommunications systems and on adequate performance of our third-party service providers. We outsource many of our major information technology functions, including for the development and operation of our enterprise technology platform, data center hosting and management, email and collaboration and human resource systems. We also outsource certain of our underwriting functions to third party service providers. The failure of any of these third parties to perform and/or deliver on a timely basis, or the failure of these systems, either individually or collectively, or the termination of a third-party software license or service agreement on which any of our systems is based, combined with our inability to find acceptable replacement arrangements, could interrupt our operations. Because our information technology and telecommunications systems interface with and depend on third parties, we could experience service denials if demand for such services exceeds capacity or such third-party systems fail or experience interruptions. If significant, sustained or repeated, a system failure or service denial could compromise our ability to operate effectively, damage our reputation, result in a loss of customer business, and/or subject us to additional regulatory scrutiny and possible financial liability, any of which could have an adverse effect on our business, financial condition and operating results.</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 failure in or breach of our operational or security systems or infrastructure, or those of third parties with which we do business, including as a result of cyber-attacks, could disrupt our business, result in the disclosure or misuse of confidential or proprietary information, damage our reputation, increase our costs and cause losses.</w:t>
      </w:r>
    </w:p>
    <w:p>
      <w:pPr>
        <w:spacing w:after="0" w:line="12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Our business is highly dependent upon the effective operation of our information technology systems, which process, transmit, store and protect large amounts of personal information of the borrowers whose mortgages we insure, in addition to the confidential, proprietary, financial and other information that are critical to our business. Furthermore, a significant portion of the communications between our employees and our customers and service providers depends on information technology and electronic information exchange. The security of our computer systems and networks, and those functions that we may outsource, are vulnerable to unauthorized access, interruptions or failures due to events that may be beyond our control, including, but not limited to, cyber-attacks, natural disasters, theft, terrorist attacks, computer viruses, and general technology failures. Additionally, our employees and vendors may use portable computers or mobile devices which can be stolen, lost or damaged. We have adopted information security procedures and controls to safeguard our systems and the information that we process, transmit and store. Despite these efforts, we may not be able to anticipate or to implement effective preventive measures against all cyber threats, or detect and contain a breach in a timely manner, including because employees may not follow the controls we have implemented, the techniques used change frequently or are not recognized until launched, and because security attacks can originate from a wide variety of sources. Our employees, customers or other users of our systems may also be subject to fraudulent inducement to disclose sensitive information to parties attempting to gain access to our data or that of our customers. There is no assurance that our information security policies and systems in place can prevent unauthorized use or disclosure of confidential information, including nonpublic personal information. Any compromise of the security of our information technology systems may result in loss of personally identifiable information, financial losses, loss of customers and the inability to transact business; could be costly and time-consuming to address and resolve; could expose us to liability for damages, harm our reputation, subject us to regulatory scrutiny and/or expose us to civil litigation. If any of these were to occur, our business, financial condition and operating results could be adversely affected. Further, the technology errors and omissions insurance coverage we maintain may be inadequate to cover claims and/or costs associated with incidents that may occur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investment portfolio consists primarily of highly-rated debt obligations. Our investments are subject to market-wide risks and fluctuations, as well as to risks inherent in particular securities. Changes in interest rates and other market conditions, as well as credit events for particular issuers, could materially impact the future valuation of securities in our investment portfolio, which may cause us to impair, in the future, some portion of those securities. These impairments could adversely impact our liquidity, financial condition and operating results. In times of financial stress, the markets for some securities can become illiquid, which would impair our ability to sell our securities for cash.</w:t>
      </w:r>
    </w:p>
    <w:p>
      <w:pPr>
        <w:spacing w:after="0" w:line="13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Income from our investment portfolio provides a source of revenue and cash flow to support our operations and claim payments. If we improperly structure our investments to meet those future liabilities or have unexpected losses, including losses resulting from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To date, our investment portfolio has been established at a time of historically low interest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5" w:name="page36"/>
    <w:bookmarkEnd w:id="35"/>
    <w:p>
      <w:pPr>
        <w:ind w:right="600"/>
        <w:spacing w:after="0" w:line="277" w:lineRule="auto"/>
        <w:rPr>
          <w:sz w:val="20"/>
          <w:szCs w:val="20"/>
          <w:color w:val="auto"/>
        </w:rPr>
      </w:pPr>
      <w:r>
        <w:rPr>
          <w:rFonts w:ascii="Arial" w:cs="Arial" w:eastAsia="Arial" w:hAnsi="Arial"/>
          <w:sz w:val="18"/>
          <w:szCs w:val="18"/>
          <w:color w:val="auto"/>
        </w:rPr>
        <w:t>rates.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may be required or find it advisable to change our investments or investment policies depending upon regulatory, economic and market conditions, or our existing or anticipated financial condition and operating requirements, including the tax position, of our business. Our investment objectives may not be achieved. Although our portfolio consists mostly of highly-rated investments and complies with applicable regulatory requirements,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offering loan review services.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provide loan review services for certain of our customers, including on loans for which we are not providing mortgage insurance. Under the terms of our loan review agreements with customers and subject to contractual limitations on liability, we provide these customers with limited indemnity rights if we make a material error in providing such services and the error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Accordingly, we have assumed some credit risk in connection with providing these services. We also face regulatory and litigation risk in providing these services. See "</w:t>
      </w:r>
      <w:r>
        <w:rPr>
          <w:rFonts w:ascii="Arial" w:cs="Arial" w:eastAsia="Arial" w:hAnsi="Arial"/>
          <w:sz w:val="18"/>
          <w:szCs w:val="18"/>
          <w:i w:val="1"/>
          <w:iCs w:val="1"/>
          <w:color w:val="auto"/>
        </w:rPr>
        <w:t>The private MI industry is, and as a participant we will be, subject to litigation and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risk generally</w:t>
      </w:r>
      <w:r>
        <w:rPr>
          <w:rFonts w:ascii="Arial" w:cs="Arial" w:eastAsia="Arial" w:hAnsi="Arial"/>
          <w:sz w:val="18"/>
          <w:szCs w:val="18"/>
          <w:color w:val="auto"/>
        </w:rPr>
        <w:t>,"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Regulation of the Mortgage Insurance Industry</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11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NMIC is a GSE </w:t>
      </w:r>
      <w:r>
        <w:rPr>
          <w:rFonts w:ascii="Arial" w:cs="Arial" w:eastAsia="Arial" w:hAnsi="Arial"/>
          <w:sz w:val="18"/>
          <w:szCs w:val="18"/>
          <w:i w:val="1"/>
          <w:iCs w:val="1"/>
          <w:color w:val="auto"/>
        </w:rPr>
        <w:t>Approved Insurer</w:t>
      </w:r>
      <w:r>
        <w:rPr>
          <w:rFonts w:ascii="Arial" w:cs="Arial" w:eastAsia="Arial" w:hAnsi="Arial"/>
          <w:sz w:val="18"/>
          <w:szCs w:val="18"/>
          <w:color w:val="auto"/>
        </w:rPr>
        <w:t>, and the significant majority of insurance we write is on loans sold to the GSEs.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the GSE's eligibility requirements.) As a result, our compliance with the PMIERs is necessary to maintain NMIC's status 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The PMIERs establish operational, business, 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As of December 31, 2017, NMIC had sufficient assets to meet the PMIERs financial requirements, and we expect to certify to the GSEs by April 15, 2018 that NMIC fully complied with the PMIERs as of December 31, 2017.</w:t>
      </w:r>
    </w:p>
    <w:p>
      <w:pPr>
        <w:spacing w:after="0" w:line="13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There can be no assurance, however, that NMIC will continue to comply with the PMIERs financial requirements. For the reasons discussed in these Risk Factors and elsewhere in this report, NMIC's future results could be negatively impacted, causing a reduction to revenues, an increase in losses, or requiring the use of assets, which could cause its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to fall below the amount required under the PMIERs financial requirements. In addition, as NMIC continues to grow its business and increase its net RIF, it is anticipated that NMIC's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will increase more rapidly than its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and that NMIC will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 If we are unable to raise additional capital, obtain additional reinsurance or enter into alternative arrangements to reduce our RIF, NMIC may not meet the PMIERs financial requirements.</w:t>
      </w:r>
    </w:p>
    <w:p>
      <w:pPr>
        <w:spacing w:after="0" w:line="12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addition, there is no assurance the GSEs will not make the PMIERs financial requirements more onerous in the future. In particular, the PMIERs provide that the table of factors that determine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will be updated every two years or more frequently to reflect macroeconomic conditions, loan performance or to address other issues the GSEs deem important. On December 18, 2017, the GSEs provided us with a confidential summary of the proposed changes to the PMIERs financial, business and other requirements that they are developing with the FHFA. We have engaged in conversations with the FHFA and the GSEs about the proposed changes and expect to continue to provide feedback to them in the coming months. Once changes to the PMIERs requirements are finalized, we expect the industry will be afforded a six month implementation period and currently anticipate that updated PMIERs requirements, if any, will take effect no sooner than the fourth quarter of 2018. If we are required under the updated PMIERs to increase the amount of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to support our business writings, the amount of capital NMIC is required to hold will increase, which may have a negative effect on our returns. Any such effect could have a negative impact on our flexibility to meet our business plans and our future operating results. In addition, the GSEs may amend or clarify the PMIERs at any time.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20" w:firstLine="648"/>
        <w:spacing w:after="0" w:line="271" w:lineRule="auto"/>
        <w:rPr>
          <w:sz w:val="20"/>
          <w:szCs w:val="20"/>
          <w:color w:val="auto"/>
        </w:rPr>
      </w:pPr>
      <w:r>
        <w:rPr>
          <w:rFonts w:ascii="Arial" w:cs="Arial" w:eastAsia="Arial" w:hAnsi="Arial"/>
          <w:sz w:val="17"/>
          <w:szCs w:val="17"/>
          <w:color w:val="auto"/>
        </w:rPr>
        <w:t xml:space="preserve">Compliance with PMIERs requires us to seek the GSEs' prior approval before taking many actions, including implementing new products or services or entering into reinsurance arrangements and inter-company agreements among others. PMIERs' prior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w:t>
      </w:r>
      <w:r>
        <w:rPr>
          <w:rFonts w:ascii="Arial" w:cs="Arial" w:eastAsia="Arial" w:hAnsi="Arial"/>
          <w:sz w:val="17"/>
          <w:szCs w:val="17"/>
          <w:i w:val="1"/>
          <w:iCs w:val="1"/>
          <w:color w:val="auto"/>
        </w:rPr>
        <w:t>Approved</w:t>
      </w:r>
      <w:r>
        <w:rPr>
          <w:rFonts w:ascii="Arial" w:cs="Arial" w:eastAsia="Arial" w:hAnsi="Arial"/>
          <w:sz w:val="17"/>
          <w:szCs w:val="17"/>
          <w:color w:val="auto"/>
        </w:rPr>
        <w:t xml:space="preserve"> </w:t>
      </w:r>
      <w:r>
        <w:rPr>
          <w:rFonts w:ascii="Arial" w:cs="Arial" w:eastAsia="Arial" w:hAnsi="Arial"/>
          <w:sz w:val="17"/>
          <w:szCs w:val="17"/>
          <w:i w:val="1"/>
          <w:iCs w:val="1"/>
          <w:color w:val="auto"/>
        </w:rPr>
        <w:t>Insurer</w:t>
      </w:r>
      <w:r>
        <w:rPr>
          <w:rFonts w:ascii="Arial" w:cs="Arial" w:eastAsia="Arial" w:hAnsi="Arial"/>
          <w:sz w:val="17"/>
          <w:szCs w:val="17"/>
          <w:color w:val="auto"/>
        </w:rPr>
        <w:t>, and such changes could have a material adverse impact on our financial position and operating results. Although not as likely, the GSEs could,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their own discretion, require additional limitations and/or conditions on certain of our activities and practices that are not currently in the PMIERs in order for us to remain an </w:t>
      </w:r>
      <w:r>
        <w:rPr>
          <w:rFonts w:ascii="Arial" w:cs="Arial" w:eastAsia="Arial" w:hAnsi="Arial"/>
          <w:sz w:val="17"/>
          <w:szCs w:val="17"/>
          <w:i w:val="1"/>
          <w:iCs w:val="1"/>
          <w:color w:val="auto"/>
        </w:rPr>
        <w:t>Approved Insurer</w:t>
      </w:r>
      <w:r>
        <w:rPr>
          <w:rFonts w:ascii="Arial" w:cs="Arial" w:eastAsia="Arial" w:hAnsi="Arial"/>
          <w:sz w:val="17"/>
          <w:szCs w:val="17"/>
          <w:color w:val="auto"/>
        </w:rPr>
        <w:t>. Additional requirements or conditions imposed by the GSEs could limit our operating flexibility and the areas in which we may write new business.</w:t>
      </w:r>
    </w:p>
    <w:p>
      <w:pPr>
        <w:spacing w:after="0" w:line="1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 xml:space="preserve">If, in the future, NMIC fails to comply with the PMIERs, including the financial requirements, it may lose its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11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GSE-approved private mortgage insurers. Changes in the charters or business practices of Freddie Mac or Fannie Mae could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With the GSEs in a prolonged conservatorship, there has been ongoing debate over the future role and purpose of the GSEs in the U.S. housing market. The U.S. Congress may legislate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greatly with regard to the government's role in the housing market, and more specifically, with regard to the existence of an explicit or implicit government guarantee. If any GSE reform legislation is enacted, it could impact the current role of private mortgage insurance as credit enhancement, including its reduction or elimination, which would have an adverse effect on our revenue, operating results or financial condition. As a result of these matters, it is uncertain what role private capital, including MI, will play in the domestic residential housing finance system in the future or the impact of any such changes on our business. In addition, the timing of the impact on our business is uncertain. Any changes to the charters or statutory authorities of the GSEs would require Congressional action to implement. Passage and timing of any comprehensive GSE reform legislation or incremental change is uncertain and could change through the legislative process, which could take time, making the actual impact on us and our industry difficult to predict. With the current administration and Republican majority in Congress (including the resulting control of key committees addressing GSE reform), there is a possibility for greater consensus, although much uncertainty remains regarding the details of any reform as well as when it would be enacted or implemented. Any such changes that come to pass could have a significant impact on our business.</w:t>
      </w:r>
    </w:p>
    <w:p>
      <w:pPr>
        <w:spacing w:after="0" w:line="13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To date, several credit risk transfer products have been created under the program. To the extent these credit risk products evolve in a manner that displaces primary MI coverage, the amount of insurance we write may be reduced. It is difficult to predict the impact of alternative credit risk transfer products, if any, that are developed to meet the goals established by the FHFA.</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NMIC is subject to state insurance department capital adequacy requirements, which if breached, could result in NMIC being required to cease writing new business in such states.</w:t>
      </w:r>
    </w:p>
    <w:p>
      <w:pPr>
        <w:spacing w:after="0" w:line="11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NMIC's principal regulator is the Wisconsin OCI. Under applicable Wisconsin law, as well as that of 15 other states, a mortgage insurer must maintain a minimum amount of statutory capital relative to its RIF in order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Arial" w:cs="Arial" w:eastAsia="Arial" w:hAnsi="Arial"/>
          <w:sz w:val="17"/>
          <w:szCs w:val="17"/>
          <w:i w:val="1"/>
          <w:iCs w:val="1"/>
          <w:color w:val="auto"/>
        </w:rPr>
        <w:t>i.e.</w:t>
      </w:r>
      <w:r>
        <w:rPr>
          <w:rFonts w:ascii="Arial" w:cs="Arial" w:eastAsia="Arial" w:hAnsi="Arial"/>
          <w:sz w:val="17"/>
          <w:szCs w:val="17"/>
          <w:color w:val="auto"/>
        </w:rPr>
        <w:t>, our RIF grows faster than expected) or is less profitable than expected (</w:t>
      </w:r>
      <w:r>
        <w:rPr>
          <w:rFonts w:ascii="Arial" w:cs="Arial" w:eastAsia="Arial" w:hAnsi="Arial"/>
          <w:sz w:val="17"/>
          <w:szCs w:val="17"/>
          <w:i w:val="1"/>
          <w:iCs w:val="1"/>
          <w:color w:val="auto"/>
        </w:rPr>
        <w:t>i.e.</w:t>
      </w:r>
      <w:r>
        <w:rPr>
          <w:rFonts w:ascii="Arial" w:cs="Arial" w:eastAsia="Arial" w:hAnsi="Arial"/>
          <w:sz w:val="17"/>
          <w:szCs w:val="17"/>
          <w:color w:val="auto"/>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right="260"/>
        <w:spacing w:after="0" w:line="302" w:lineRule="auto"/>
        <w:rPr>
          <w:sz w:val="20"/>
          <w:szCs w:val="20"/>
          <w:color w:val="auto"/>
        </w:rPr>
      </w:pPr>
      <w:r>
        <w:rPr>
          <w:rFonts w:ascii="Arial" w:cs="Arial" w:eastAsia="Arial" w:hAnsi="Arial"/>
          <w:sz w:val="16"/>
          <w:szCs w:val="16"/>
          <w:color w:val="auto"/>
        </w:rPr>
        <w:t>RIF, including through additional reinsurance, or raise additional capital. We can give no assurance that our efforts to obtain additional reinsurance or otherwise reduce our RIF, or to raise capital would be successful. If we are unable to obtain additional reinsurance or enter into alternative arrangements to reduce our RIF or raise additional capital, we may exceed these state-imposed capital requirements. Accordingly, if we fail to meet the capital adequacy requirements in one or more states, we could be required to suspend writing business in some or all of the states in which we do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in various jurisdictions, and material changes in regulation or enforcement could adversely affect us.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U.S. MI industry and our insurance subsidiaries are subject to comprehensive federal and state regulation in each jurisdiction in which they are licensed or authorized to do business. Federal or state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current pricing and business practices. Further, failure to comply with the various federal and state regulations promulgated by federal consumer protection authorities and state insurance regulatory authorities could lead to enforcement or disciplinary action, including the imposition of penalties and the revocation of our authorization to operate.</w:t>
      </w:r>
    </w:p>
    <w:p>
      <w:pPr>
        <w:spacing w:after="0" w:line="11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State insurance regulators also have the authority to make changes to capital requirements. The NAIC has formed a working group to develop and recommend more robust regulations governing mortgage insurance, including, among other things, strengthened capital requirements, underwriting standards, claims practices and market conduct. We, along with other mortgage insurers, are working with the Mortgage Guaranty Insurance Working Group of the Financial Condition (E) Committee of the NAIC (Working Group). The Working Group will determine and make a recommendation to the Financial Condition (E) Committee of the NAIC as to what changes the Working Group believes are necessary to the solvency and market practices regulation of mortgage insurers, including changes to the Mortgage Guaranty Insurers Model Act (Model #630). The Working Group has proposed a draft revised Model Act that contains risk-based capital requirements, which we and the MI industry are evaluating. We have provided feedback to the Working Group since early 2013, including comments on the risk-based capital approach. The Working Group's discussions are ongoing and the ultimate outcome of these discussions and any potential actions taken by the NAIC cannot be predicted at this time. If the Working Group's final proposal to the NAIC contains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private MI industry is, and as a participant we will be, subject to litigation and regulatory enforcement risk generally.</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and state insurance agencies in the ordinary course of operations.</w:t>
      </w:r>
    </w:p>
    <w:p>
      <w:pPr>
        <w:spacing w:after="0" w:line="12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past, mortgage insurers (other than NMIC)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most recent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New leadership at the CFPB may also have an impact on future CFPB enforcement activity. The CFPB's interpretation and enforcement of Section 8 of RESPA presents regulatory risk for many providers of "settlement services," including mortgage insurers.</w:t>
      </w:r>
    </w:p>
    <w:p>
      <w:pPr>
        <w:spacing w:after="0" w:line="11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currently are not a party to any federal or state regulatory enforcement actions; however, such proceedings could arise in the future. The cost to defend, and the ultimate resolution of, any such action or proceeding could have a material adverse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ind w:right="140"/>
        <w:spacing w:after="0" w:line="264" w:lineRule="auto"/>
        <w:rPr>
          <w:sz w:val="20"/>
          <w:szCs w:val="20"/>
          <w:color w:val="auto"/>
        </w:rPr>
      </w:pPr>
      <w:r>
        <w:rPr>
          <w:rFonts w:ascii="Arial" w:cs="Arial" w:eastAsia="Arial" w:hAnsi="Arial"/>
          <w:sz w:val="18"/>
          <w:szCs w:val="18"/>
          <w:color w:val="auto"/>
        </w:rPr>
        <w:t>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12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involved in certain legal proceedings in the ordinary course of business. Based on information available to us and our review of lawsuits and claims filed or pending against us to date, we have not recognized a material liability for these matters, nor do we currently expect it is reasonably possible that these matters will result in a material liability to us. However, the outcome of litigation and other legal and regulatory matters is inherently uncertain, and it is possible that one or more of such matters currently pending or threatened could have an unanticipated material adverse effect on our liquidity, financial position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Basel III may adversely affect the use of MI by certain banks.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July 2013, U.S. federal banking regulators adopted regulations to implement Basel III. The phase in period for U.S. banks to implement the capital rules is for a duration of five years, which started on January 2, 2014. With the ongoing implementation of U.S. Basel III and the potential continued evolution of the international Basel capital framework, it is difficult to predict the impact, if any, on the MI industry and the ultimate form of any potential future modifications to the regulations by federal banking regulators. If federal regulators revise the U.S. Basel III rules to reduce or eliminate the capital benefit banks receive from insuring high-LTV loans with private MI, or if our customers who are subject to Basel III believe that adverse changes may occur at some time in the future, our current and future business may be adversely affected.</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ATR Rules defining a QM further reduce the size of the origination market.</w:t>
      </w:r>
    </w:p>
    <w:p>
      <w:pPr>
        <w:spacing w:after="0" w:line="11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Dodd-Frank Act authorized the Consumer Financial Protection Bureau (Bureau) to issue regulations requiring a loan originator to determine whether, at the time a loan is originated, the consumer has a reasonable ability to repay the loan (ATR). The Bureau's final ATR rule went into effect on January 10, 2014. A subset of mortgages within the ATR rule are known as "qualified mortgages" or QMs, which generally are defined as loans without certain risky features, such as negative amortization, points and fees in excess of 3% of the loan amount, and terms exceeding 30 years. QMs under the rule benefit from a statutory presumption of compliance with the ATR rule, thus potentially mitigating the risk of the liability of the creditor and assignees of the loan.</w:t>
      </w:r>
    </w:p>
    <w:p>
      <w:pPr>
        <w:spacing w:after="0" w:line="13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rule also provides a temporary category of QMs that have more flexible underwriting requirements, so long as they satisfy the general product feature requirements of QMs and so long as they meet the underwriting requirements of the GSEs. The temporary category of QMs that meet the underwriting requirements of the GSEs is scheduled to phase out upon the earlier to occur of the end of conservatorship or receivership of the GSEs or January 10, 2021. The expiration of this temporary GSE QM status or any action by Congress or the Bureau to modify it could affect the residential mortgage market and demand for private mortgage insurance.</w:t>
      </w:r>
    </w:p>
    <w:p>
      <w:pPr>
        <w:spacing w:after="0" w:line="13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Dodd-Frank Act also gave statutory authority to the Department of Housing and Urban Development (HUD), the Veterans Administration, and the U.S. Department of Agriculture's Rural Housing Service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13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(either under the rule's specific underwriting guidelines, GSE underwriting guidelines or the HUD definition of a QM)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reducing the size of the residential mortgage market tied to such borrowers. Our business prospects and operating results could be adversely impacted if, and to the extent that, the QM regulations have the impact of further reducing the size of the origination market, including potentially when the temporary GSE QM status expires.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Our Holding Company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could affect our ability to satisfy our obligations and potentially require us to raise more capital.</w:t>
      </w:r>
    </w:p>
    <w:p>
      <w:pPr>
        <w:spacing w:after="0" w:line="116"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NMIH serves as the holding company for our operating subsidiaries and does not have any significant operations of its own. NMIH's principal source of operating cash is investment income, and could in the future include dividends from NMIC, if available and permitted under law or by state insurance regulators. In addition, NMIH currently receives cash from our insurance subsidiaries, consisting of payments made under our tax and expense-sharing arrangements. NMIH depends on these sources of liquidity to make principal and interest payments under the Credit Agreement and to pay certain corporate expenses and income taxes, among other things. If payments to NMIH were curtailed or limited, there is a risk that NMIH would be unable to satisfy its financial obligations.</w:t>
      </w:r>
    </w:p>
    <w:p>
      <w:pPr>
        <w:spacing w:after="0" w:line="13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NMIC is a monoline insurance company restricted to writing residential MI business only, and Re One solely provides reinsurance to NMIC to comply with Ohio's coverage limit. The expense-sharing arrangements between us and our subsidiaries, as amended, have been approved by the Wisconsin OCI, but such approval may be revoked at any time.</w:t>
      </w:r>
    </w:p>
    <w:p>
      <w:pPr>
        <w:spacing w:after="0" w:line="12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dividend income is limited to upstream dividend payments from our subsidiaries, and such dividends are restricted by Wisconsin law. In general, dividends in excess of prescribed limits are deemed "extraordinary" and require approval of the Wisconsin OCI. Further, it is possible that Wisconsin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NMIC reported a statutory net loss for the twelve months ended December 31, 2017 and cannot pay any dividends to NMIH through December 31, 2018 without the prior approval of the Wisconsin OCI. As a result of these dividend limitations, we do not expect to receive dividend income from our subsidiaries for several years, if at all.</w:t>
      </w:r>
    </w:p>
    <w:p>
      <w:pPr>
        <w:spacing w:after="0" w:line="13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support NMIC's future growth, we could be required to provide additional capital support for NMIC and Re One if additional capital is required by the GSEs or pursuant to insurance laws and regulations. If we were unable to meet our obligations, our insurance subsidiaries could lose GSE approval and/or be required to cease writing business in one or more states, which would adversely impact our business, financial condition and operating results.</w:t>
      </w:r>
    </w:p>
    <w:p>
      <w:pPr>
        <w:spacing w:after="0" w:line="13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To the extent that the funds generated from investment income or by our ongoing operations and capitalization are insufficient to fund future operating requirements, we may need to raise additional funds through future financing activities,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may choose to generate additional liquidity through the issuance of additional debt, equity or a combination of both.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124"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Our Credit Agreement contains various restrictive covenants and required financial ratios and tests that limit our operating flexibility. The violation of one or more of these covenants, ratios or tests could have a material adverse effect on our business, financial condition and operating results.</w:t>
      </w:r>
    </w:p>
    <w:p>
      <w:pPr>
        <w:spacing w:after="0" w:line="4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In 2015, NMIH entered into a credit agreement (together with its February and October 2017 amendments, the Credit Agreement) providing for a term loan credit facility in the original principal amount of $150 million (the Term Loan), which matures on November 10, 2019. The Credit Agreement contains various restrictive covenants and required financial ratios and tests that we are required to meet or maintain and that limit our operating flexibility.</w:t>
      </w:r>
    </w:p>
    <w:p>
      <w:pPr>
        <w:spacing w:after="0" w:line="9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Among other requirements, NMIH may not permit (i) our debt to total capitalization ratio to exceed 35% as of the last day of any fiscal quarter, (ii) the aggregate amount of our unrestricted cash and cash equivalents as of any date to be less than the sum of all remaining scheduled principal amortization payments in respect of the Term Loan as of such date (excluding principal scheduled to be paid on the maturity date) or (iii) our total shareholders' equity to be less than $307,788,750 as of the last day of any fiscal quarter. In addition, NMIC must at all times comply with all applicable "financial requirements" imposed pursuant to the PMIERs.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Credit Agreement prohibits or restricts, among other things, NMIH's and its subsidiaries' ability to:</w:t>
      </w:r>
    </w:p>
    <w:p>
      <w:pPr>
        <w:spacing w:after="0" w:line="17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liens on their property;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their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subject to certain limitations, exceptions and qualifications as set forth in the Credit Agreement.</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covenants place significant restrictions on the manner in which we may operate our business, and our ability to meet these covenants may be affected by events beyond our control. If we fail to meet any of these covenants, the lenders could declare the outstanding principal amount of the Term Loan, accrued and unpaid interest and all other amounts owing and payable thereunder to be immediately due and payable, which could have a material adverse effect on our business, financial condition and operating results.</w:t>
      </w:r>
    </w:p>
    <w:p>
      <w:pPr>
        <w:spacing w:after="0" w:line="13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are required to assess our ability to continue as a going concern as part of our preparation of financial statements at each quarter-end. This assessment includes, among other things, our ability to comply with the covenants and requirements under the Credit Agreement. If in future periods we are not able to demonstrate that we will be in compliance with the financial covenant requirements in the Credit Agreement for at least 12 months following the date of the financial statements, management could conclude there is substantial doubt about our ability to continue as a going concern, and the audit opinion that we would receive from our independent registered public accounting firm would include an explanatory paragraph regarding our ability to continue as a going concern. Such an opinion would cause us to be in breach of the covenants in the Credit Agreement.</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NMIH's obligations under the Credit Agreement are guaranteed (Guarantee) by one of its subsidiaries, NMIS (the Guarantor). NMIH's and the Guarantor's obligations under the Credit Agreement and the Guarantee, respectively, are secured by first-priority liens on substantially all the assets of NMIH and the Guarantor, respectively, subject to certain exceptions. If we fail to make the required payments, do not meet the financial covenants or otherwise default on the terms of the Credit Agreement, the lenders under the Credit Agreement could declare all of the obligations under the Credit Agreement to be immediately due and payable. We cannot assure you that our assets would be sufficient to repay such amounts in full, and the lenders could foreclose on the collateral securing the Credit Agreement and the Guarantee, including, subject to regulatory approval, the stock of NMIC and Re One. Any such actions could have a material adverse effect on our business, financial condition and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NMIH will have insufficient liquidity to repay the Credit Agreement when it matures in 2019.</w:t>
      </w:r>
    </w:p>
    <w:p>
      <w:pPr>
        <w:spacing w:after="0" w:line="17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During the remaining term of the Credit Agreement, we are required to pay interest on the Term Loan of a Eurodollar based rate (as defined in the Credit Agreement and subject to a 1% floor) plus an annual margin rate of 6.75%, on a monthly or quarterly basis depending on our interest rate election. We also repay principal of 1% annually of the original loan amount in quarterly installments at the end of each calendar quarter. NMIH's current holdings in cash and highly liquid investments are sufficient to meet these principal and interest obligations during the term, but not to repay the outstanding principal of the Term Loan at maturity. In addition, under an arrangement approved by NMIC's domestic regulator, the Wisconsin OCI, NMIH is permitted to allocate all of the interest costs under the Term Loan to NMIC on a quarterly basis. The Credit Agreement is secured by substantially all of the assets of NMIH, including the capital stock of NMIC and Re One. Due to restrictions on dividend payments (and other intercompany transfers) under various state insurance laws, it is unlikely that NMIC will be able to make stockholder dividends to NMIH during the term, and thus we do not expect NMIC's capital will be available to NMIH to repay the outstanding principal of the Term Loan at maturity. See "</w:t>
      </w:r>
      <w:r>
        <w:rPr>
          <w:rFonts w:ascii="Arial" w:cs="Arial" w:eastAsia="Arial" w:hAnsi="Arial"/>
          <w:sz w:val="17"/>
          <w:szCs w:val="17"/>
          <w:i w:val="1"/>
          <w:iCs w:val="1"/>
          <w:color w:val="auto"/>
        </w:rPr>
        <w:t>Our holding company structure and certain regulatory and other constraints</w:t>
      </w:r>
      <w:r>
        <w:rPr>
          <w:rFonts w:ascii="Arial" w:cs="Arial" w:eastAsia="Arial" w:hAnsi="Arial"/>
          <w:sz w:val="17"/>
          <w:szCs w:val="17"/>
          <w:color w:val="auto"/>
        </w:rPr>
        <w:t xml:space="preserve"> </w:t>
      </w:r>
      <w:r>
        <w:rPr>
          <w:rFonts w:ascii="Arial" w:cs="Arial" w:eastAsia="Arial" w:hAnsi="Arial"/>
          <w:sz w:val="17"/>
          <w:szCs w:val="17"/>
          <w:i w:val="1"/>
          <w:iCs w:val="1"/>
          <w:color w:val="auto"/>
        </w:rPr>
        <w:t>could affect our ability to satisfy our obligations and potentially require us to raise more capital</w:t>
      </w:r>
      <w:r>
        <w:rPr>
          <w:rFonts w:ascii="Arial" w:cs="Arial" w:eastAsia="Arial" w:hAnsi="Arial"/>
          <w:sz w:val="17"/>
          <w:szCs w:val="17"/>
          <w:color w:val="auto"/>
        </w:rPr>
        <w:t>," above. If NMIH is unable to extend or refinance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 and/or raise capital, it will not be able to repay the Term Loan at maturity, which could have a material adverse impact on our business, financial condition and operating results.</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existing, and any future, variable rate indebtedness subjects us to interest rate risk, which could cause our annual debt service obligations to increase significantly.</w:t>
      </w:r>
    </w:p>
    <w:p>
      <w:pPr>
        <w:spacing w:after="0" w:line="11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indebtedness under the Credit Agreement is,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may incur substantial additional debt in the future. Although our Credit Agreement limits our ability and the ability of certain of our subsidiaries to incur additional debt, these restrictions are subject to a number of qualifications and exceptions, and, under certain circumstances, we may incur additional debt in compliance with these restrictions. In addition, the Credit Agreement does not prevent us from incurring certain obligations that do not constitute "indebtedness" as defined therein. To the extent that we incur additional debt or such other obligations, the risks associated with our Credit Agreement described above, including our possible inability to service our debt or other obligations, would increase.</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11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current issuer credit and debt ratings are below investment grade. Our current credit ratings, or any future negative actions the credit agencies may take, could affect our ability to access the reinsurance, credit and capital markets in the future and could lead to worsened trade terms and adversely affect the cost, increasing our liquidity needs.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dividends on our common stock in the near future, and payment of any declared dividends may be delayed.</w:t>
      </w:r>
    </w:p>
    <w:p>
      <w:pPr>
        <w:spacing w:after="0" w:line="18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insurance subsidiaries are required to obtain prior approval from our state of domicile regulator, the Wisconsin OCI or any successor domestic regulator, for the payment of any extraordinary dividend. Without the payment of dividends from NMIC to us, it may be difficult for us to pay dividends to stockholders.</w:t>
      </w:r>
    </w:p>
    <w:p>
      <w:pPr>
        <w:spacing w:after="0" w:line="12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have not declared or paid dividends in the past, and we do not expect to pay dividends in the near future. We currently intend to retain all of our earnings, if any, to fund our growth. As a result,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will restrict our ability to declare or pay cash dividends on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which could cause the value of an investment in our common stock to decline.</w:t>
      </w:r>
    </w:p>
    <w:p>
      <w:pPr>
        <w:spacing w:after="0" w:line="18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market conditions, including price levels and volume and changes in interest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national, regional and local economic or business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and changes in, trade, tax, monetary and fiscal policies, including the interest rate policies of the Federal Reserve;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U.S. housing and housing finance policy, including changes to the GSEs;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actual or projected financial condition, liquidity, operating results, cash flows and capital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failure to meet, our publicly disclosed expectations as to our future financial and operating performance;</w:t>
      </w:r>
    </w:p>
    <w:p>
      <w:pPr>
        <w:spacing w:after="0" w:line="117" w:lineRule="exact"/>
        <w:rPr>
          <w:rFonts w:ascii="Arial" w:cs="Arial" w:eastAsia="Arial" w:hAnsi="Arial"/>
          <w:sz w:val="18"/>
          <w:szCs w:val="18"/>
          <w:color w:val="auto"/>
        </w:rPr>
      </w:pPr>
    </w:p>
    <w:p>
      <w:pPr>
        <w:ind w:left="980" w:right="10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valuations, as well as the financial and operating performance and prospects, of similar companies;</w:t>
      </w:r>
    </w:p>
    <w:p>
      <w:pPr>
        <w:spacing w:after="0" w:line="117"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issuances or sales, or anticipated issuances or sales, of our common stock or other securities convertible into or exchangeable or exercisable for our common stock;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indebtedness we may incur in the future;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2" w:name="page43"/>
    <w:bookmarkEnd w:id="42"/>
    <w:p>
      <w:pPr>
        <w:ind w:left="980" w:right="7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incurred in connection with changes in our stock price, such as changes in the value of the liability reflected on our financial statements associated with outstanding warrants;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failure to establish and maintain effective internal controls over financial reporting;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satisfy the continued listing requirements of the NASDAQ;</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comply with the Sarbanes-Oxley Act of 2002;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treatment as an EGC under the federal securities laws.</w:t>
      </w:r>
    </w:p>
    <w:p>
      <w:pPr>
        <w:spacing w:after="0" w:line="17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or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decline due to the large number of outstanding shares of our common stock eligible for future sale.</w:t>
      </w:r>
    </w:p>
    <w:p>
      <w:pPr>
        <w:spacing w:after="0" w:line="1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December 31, 2017, we had 60,517,512 shares of our common stock issued and outstanding. Of the outstanding shares of our common stock, any shares held by a person (or persons whose shares are aggregated) who is not deemed to be an affiliate of ours at any time during the three months preceding a sale and who has beneficially owned restricted securities within the meaning of Rule 144 of the Securities Act are eligible for resale in the public market.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3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we have filed registration statements on Form S-8 under the Securities Act to register an aggregate of 5.5 million shares of our common stock for issuance under our 2012 Stock Incentive Plan (2012 Plan) and an aggregate of 6 million shares of our common stock for issuance under our Amended and Restated 2014 Omnibus Incentive Plan (2014 Plan). Any shares issued in connection with acquisitions, the exercise of stock options or otherwise would dilute the percentage ownership held by investors who purchase our shares prior to such issuance.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depress our share price and might dilute the book value of our common stock and reduce your influence over matters on which stockholders vote.</w:t>
      </w:r>
    </w:p>
    <w:p>
      <w:pPr>
        <w:spacing w:after="0" w:line="1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the authority, without action or vote of our stockholders except as required under Nasdaq rules, to issue all or any part of our authorized but unissued shares of common stock, including shares that may be issued to satisfy our obligations under our incentive plans, and securities and instruments that are convertible into shares of our common stock. Although we are currently in compliance with state regulatory capital and PMIERs financial requirements, there can be no assurance we would not seek to raise additional equity capital to manage our capital position under PMIERs or state insurance law, to grow our book of business and for other purposes, including to pay off our Term Loan.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Class A common stock is subordinate to our existing and future indebtedness.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Shares of our common stock are equity interests and do not constitute indebtedness of NMIH. This means that shares of the common stock rank junior to all our existing and future indebtedness and our other non-equity claims with respect to assets available to satisfy claims against us, including claims in the event of our liquidation.</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Future issuance of debt or preferred stock, which would rank senior to our common stock upon our liquidation, may adversely affect the market value of our common stock.</w:t>
      </w:r>
    </w:p>
    <w:p>
      <w:pPr>
        <w:spacing w:after="0" w:line="11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in the event of our liquidation, holders of our debt securities and preferred stock and lenders with respect to our Credit Agreement or other future borrowings, if any, would receive a distribution of our available assets prior to the holders of shares of our common stock. Any decision to issue debt or</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584" w:right="279" w:bottom="1440" w:gutter="0" w:footer="0" w:header="0"/>
        </w:sectPr>
      </w:pPr>
    </w:p>
    <w:bookmarkStart w:id="43" w:name="page44"/>
    <w:bookmarkEnd w:id="43"/>
    <w:p>
      <w:pPr>
        <w:jc w:val="both"/>
        <w:ind w:right="60"/>
        <w:spacing w:after="0" w:line="264" w:lineRule="auto"/>
        <w:rPr>
          <w:sz w:val="20"/>
          <w:szCs w:val="20"/>
          <w:color w:val="auto"/>
        </w:rPr>
      </w:pPr>
      <w:r>
        <w:rPr>
          <w:rFonts w:ascii="Arial" w:cs="Arial" w:eastAsia="Arial" w:hAnsi="Arial"/>
          <w:sz w:val="18"/>
          <w:szCs w:val="18"/>
          <w:color w:val="auto"/>
        </w:rPr>
        <w:t>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benefit of our net operating loss carryforwards could be substantially limited if we experience an ownership change as defined in Section 382 of the Internal Revenue Code, as amended (Section 382).</w:t>
      </w:r>
    </w:p>
    <w:p>
      <w:pPr>
        <w:spacing w:after="0" w:line="11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At December 31, 2017, we had approximately $93.4 million of federal net operating loss carryforwards (NOLs) that we can use in certain circumstances to offset future taxable income and thus reduce our federal income tax liability. Our ability to fully utilize our existing NOLs could be limited or eliminated in various ways, including (i) if we experience an "ownership change" within the meaning of Section 382; (ii) due to changes in federal laws and regulations that could negatively impact our ability to recognize benefits from our NOLs; or (iii) should we not attain sufficient profitability prior to the expiration of the NOLs. There can be no assurance that we will have sufficient taxable income to be able to fully utilize our NOLs prior to their expiration.</w:t>
      </w:r>
    </w:p>
    <w:p>
      <w:pPr>
        <w:spacing w:after="0" w:line="10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An "ownership change," under Section 382, is generally defined as greater than a 50% change in equity ownership by value over a rolling three-year period. These rules generally operate by focusing on changes in the ownership among stockholders owning, directly or indirectly, 5% or more of a company's common stock (including changes involving a stockholder becoming a 5% stockholder) or any change in ownership arising from a new issuance of stock or share repurchases by the company. We could experience an "ownership change" in the future as a result of changes in our common stock ownership that may or may not be within our control. If an ownership change were to occur, Section 382 would impose an annual limit on the amount of NOLs we could use to reduce our taxable income. The annual limit under Section 382 is primarily driven by the fair market value of the company multiplied by the federal long-term tax exempt rate. A number of complex rules apply in calculating this annual limit, which could be material and could significantly impair the value of our net deferred tax assets and, as a result, have a material negative impact on our consolidated financial statements.</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will retain our status as an EGC until December 31, 2018, and the reduced disclosure requirements applicable to EGCs may make our common stock less attractive to investors.</w:t>
      </w:r>
    </w:p>
    <w:p>
      <w:pPr>
        <w:spacing w:after="0" w:line="11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an EGC, we are relieved from certain significant requirements, including, among other things, the requirement to comply with certain provisions of Sarbanes-Oxley and the Dodd-Frank Act and certain provisions and reporting requirements of or under the Securities Act and the Exchange Act, which has the effect of reducing the amount of information that we are currently required to provide. For example, as an EGC, we are exempt from complying with Section 404(b) of Sarbanes-Oxley, which otherwise would have required our auditors to attest to and report on our internal control over financial reporting. These reduced disclosure requirements may make our common stock less attractive to investors. To the extent that other companies do not, or cannot, take advantage of the benefits under the JOBS Act, this distinction may make our common stock less attractive to investors.</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116" w:lineRule="exact"/>
        <w:rPr>
          <w:sz w:val="20"/>
          <w:szCs w:val="20"/>
          <w:color w:val="auto"/>
        </w:rPr>
      </w:pPr>
    </w:p>
    <w:p>
      <w:pPr>
        <w:ind w:right="900" w:firstLine="648"/>
        <w:spacing w:after="0" w:line="308" w:lineRule="auto"/>
        <w:rPr>
          <w:sz w:val="20"/>
          <w:szCs w:val="20"/>
          <w:color w:val="auto"/>
        </w:rPr>
      </w:pPr>
      <w:r>
        <w:rPr>
          <w:rFonts w:ascii="Arial" w:cs="Arial" w:eastAsia="Arial" w:hAnsi="Arial"/>
          <w:sz w:val="17"/>
          <w:szCs w:val="17"/>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93" w:lineRule="exact"/>
        <w:rPr>
          <w:sz w:val="20"/>
          <w:szCs w:val="20"/>
          <w:color w:val="auto"/>
        </w:rPr>
      </w:pPr>
    </w:p>
    <w:p>
      <w:pPr>
        <w:ind w:left="980" w:right="1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generally can only be called by the chairman of the Board or the president or by resolution of the Board;</w:t>
      </w:r>
    </w:p>
    <w:p>
      <w:pPr>
        <w:spacing w:after="0" w:line="62" w:lineRule="exact"/>
        <w:rPr>
          <w:rFonts w:ascii="Arial" w:cs="Arial" w:eastAsia="Arial" w:hAnsi="Arial"/>
          <w:sz w:val="18"/>
          <w:szCs w:val="18"/>
          <w:color w:val="auto"/>
        </w:rPr>
      </w:pPr>
    </w:p>
    <w:p>
      <w:pPr>
        <w:ind w:left="980" w:right="30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our Board the ability to issue common stock and warrants within the amount of authorized capital;</w:t>
      </w:r>
    </w:p>
    <w:p>
      <w:pPr>
        <w:spacing w:after="0" w:line="117"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jc w:val="both"/>
        <w:ind w:left="980" w:right="64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hostile takeovers and changes of control of the Company or changes in our management.</w:t>
      </w:r>
    </w:p>
    <w:p>
      <w:pPr>
        <w:spacing w:after="0" w:line="171"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As a Delaware corporation, we are also subject to anti-takeover provisions of Delaware law. The Delaware General Corporation Law (the DGCL) provides that stockholders are not entitled the right to cumulate votes in the election of directors unless a corporation's certificate of incorporation provides otherwise. Our certificate of incorporation does not provide for cumulative voting in the election of directors.</w:t>
      </w:r>
    </w:p>
    <w:p>
      <w:pPr>
        <w:spacing w:after="0" w:line="1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subject to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approximately 47,000 square feet of office space in Emeryville, California pursuant to an office facility lease that we initially entered into in 2012 (as amended, the Lease). The term of the Lease extends through March 2023. We do not own or lease any other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reasonably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98"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listed on the NASDAQ under the symbol "NMIH." At February 13, 2018, there were 60,610,731 shares of our Class A common stock outstanding and approximately 21 holders of record. There are no shares of our Class B common stock outstanding. The closing price of our common stock on NASDAQ on February 13, 2018 was $18.50.</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high and low sales prices of our common stock on the NASDAQ for the financial quarters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w w:val="89"/>
              </w:rPr>
              <w:t>2017</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89"/>
              </w:rPr>
              <w:t>2016</w:t>
            </w:r>
          </w:p>
        </w:tc>
        <w:tc>
          <w:tcPr>
            <w:tcW w:w="12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High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Low</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1st Quarter</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300" w:type="dxa"/>
            <w:vAlign w:val="bottom"/>
            <w:tcBorders>
              <w:bottom w:val="single" w:sz="8" w:color="CCEEFF"/>
            </w:tcBorders>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2nd Quarter</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4.60</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4th Quarter</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7.51</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dividends on our common stock have previously been declared or paid, and we do not expect to declare or pay dividends in the near future. For information on our ability to pay dividends, see Item 7, "</w:t>
      </w:r>
      <w:r>
        <w:rPr>
          <w:rFonts w:ascii="Arial" w:cs="Arial" w:eastAsia="Arial" w:hAnsi="Arial"/>
          <w:sz w:val="18"/>
          <w:szCs w:val="18"/>
          <w:i w:val="1"/>
          <w:iCs w:val="1"/>
          <w:color w:val="auto"/>
        </w:rPr>
        <w:t>Management's Discussion and Analysis of Financial Condition and Results of Operations - Holding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Liquidity and Capital Resources</w:t>
      </w:r>
      <w:r>
        <w:rPr>
          <w:rFonts w:ascii="Arial" w:cs="Arial" w:eastAsia="Arial" w:hAnsi="Arial"/>
          <w:sz w:val="18"/>
          <w:szCs w:val="18"/>
          <w:color w:val="auto"/>
        </w:rPr>
        <w:t>" and Item 8, "</w:t>
      </w:r>
      <w:r>
        <w:rPr>
          <w:rFonts w:ascii="Arial" w:cs="Arial" w:eastAsia="Arial" w:hAnsi="Arial"/>
          <w:sz w:val="18"/>
          <w:szCs w:val="18"/>
          <w:i w:val="1"/>
          <w:iCs w:val="1"/>
          <w:color w:val="auto"/>
        </w:rPr>
        <w:t>Financial Statements and Supplementary Data - Notes to Consolidated Financial Statements - Note15, Regulatory Information - Dividend Restrictions.</w:t>
      </w:r>
      <w:r>
        <w:rPr>
          <w:rFonts w:ascii="Arial" w:cs="Arial" w:eastAsia="Arial" w:hAnsi="Arial"/>
          <w:sz w:val="18"/>
          <w:szCs w:val="18"/>
          <w:color w:val="auto"/>
        </w:rPr>
        <w: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of our common stock during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graph compares the cumulative total stockholder return on our Class A common stock from November 8, 2013 (the date our common shares commenced trading on the NASDAQ) until December 31, 2017, with the cumulative total stockholder return on the Russell 2000 Index and a mortgage insurance company index (Peer Index). The Peer Index consists of Essent, MGIC and Radian. The graph plots the changes in value of an initial $100 investment over the time periods indicated, assuming all dividends are reinvested annually.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353695</wp:posOffset>
            </wp:positionV>
            <wp:extent cx="5188585" cy="2066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8858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11/8/2013</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12/31/2013</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12/30/2014</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12/31/2015</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12/31/2016</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12/31/2017</w:t>
            </w:r>
          </w:p>
        </w:tc>
      </w:tr>
      <w:tr>
        <w:trPr>
          <w:trHeight w:val="283"/>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NMI Holdings,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136</w:t>
            </w:r>
          </w:p>
        </w:tc>
      </w:tr>
      <w:tr>
        <w:trPr>
          <w:trHeight w:val="27"/>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 Index (ESNT, MTG, RDN)</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4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the following table should be read in conjunction with the information included in Item 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3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4"/>
          </w:tcPr>
          <w:p>
            <w:pPr>
              <w:jc w:val="right"/>
              <w:ind w:right="210"/>
              <w:spacing w:after="0"/>
              <w:rPr>
                <w:sz w:val="20"/>
                <w:szCs w:val="20"/>
                <w:color w:val="auto"/>
              </w:rPr>
            </w:pPr>
            <w:r>
              <w:rPr>
                <w:rFonts w:ascii="Arial" w:cs="Arial" w:eastAsia="Arial" w:hAnsi="Arial"/>
                <w:sz w:val="14"/>
                <w:szCs w:val="14"/>
                <w:i w:val="1"/>
                <w:iCs w:val="1"/>
                <w:color w:val="auto"/>
              </w:rPr>
              <w:t>(In Thousands, except for ratios)</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165,740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110,481</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45,506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16,273</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13,751</w:t>
            </w:r>
          </w:p>
        </w:tc>
        <w:tc>
          <w:tcPr>
            <w:tcW w:w="4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7,246</w:t>
            </w:r>
          </w:p>
        </w:tc>
        <w:tc>
          <w:tcPr>
            <w:tcW w:w="4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5,618</w:t>
            </w:r>
          </w:p>
        </w:tc>
        <w:tc>
          <w:tcPr>
            <w:tcW w:w="4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4,808</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208</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182,743</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123,815</w:t>
            </w:r>
          </w:p>
        </w:tc>
        <w:tc>
          <w:tcPr>
            <w:tcW w:w="4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53,608</w:t>
            </w:r>
          </w:p>
        </w:tc>
        <w:tc>
          <w:tcPr>
            <w:tcW w:w="4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19,222</w:t>
            </w:r>
          </w:p>
        </w:tc>
        <w:tc>
          <w:tcPr>
            <w:tcW w:w="4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7,089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claims &amp; claims expenses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5,339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Underwriting and operating expenses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106,979</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93,223</w:t>
            </w:r>
          </w:p>
        </w:tc>
        <w:tc>
          <w:tcPr>
            <w:tcW w:w="4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80,599</w:t>
            </w:r>
          </w:p>
        </w:tc>
        <w:tc>
          <w:tcPr>
            <w:tcW w:w="4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73,417</w:t>
            </w:r>
          </w:p>
        </w:tc>
        <w:tc>
          <w:tcPr>
            <w:tcW w:w="4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60,774</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22,050</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64,001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(48,906)</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0.37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59,816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59,071</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58,683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58,281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56,005</w:t>
            </w:r>
          </w:p>
        </w:tc>
      </w:tr>
      <w:tr>
        <w:trPr>
          <w:trHeight w:val="399"/>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2013</w:t>
            </w:r>
          </w:p>
        </w:tc>
      </w:tr>
      <w:tr>
        <w:trPr>
          <w:trHeight w:val="25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w w:val="93"/>
              </w:rPr>
              <w:t>(In Thousands, except for ratios)</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715,875</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628,969</w:t>
            </w:r>
          </w:p>
        </w:tc>
        <w:tc>
          <w:tcPr>
            <w:tcW w:w="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559,235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336,501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409,088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19,196</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47,746</w:t>
            </w: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57,317</w:t>
            </w:r>
          </w:p>
        </w:tc>
        <w:tc>
          <w:tcPr>
            <w:tcW w:w="4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103,021</w:t>
            </w:r>
          </w:p>
        </w:tc>
        <w:tc>
          <w:tcPr>
            <w:tcW w:w="400" w:type="dxa"/>
            <w:vAlign w:val="bottom"/>
          </w:tcPr>
          <w:p>
            <w:pPr>
              <w:spacing w:after="0"/>
              <w:rPr>
                <w:sz w:val="21"/>
                <w:szCs w:val="21"/>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55,929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894,848</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839,897</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662,451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463,265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481,219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143,882</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144,353</w:t>
            </w: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143,939</w:t>
            </w:r>
          </w:p>
        </w:tc>
        <w:tc>
          <w:tcPr>
            <w:tcW w:w="4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163,166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152,906</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90,733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22,069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1,446</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w w:val="93"/>
              </w:rPr>
              <w:t>Reserve for insurance claims and claims expenses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8,761</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3,001</w:t>
            </w: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679</w:t>
            </w:r>
          </w:p>
        </w:tc>
        <w:tc>
          <w:tcPr>
            <w:tcW w:w="4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1"/>
                <w:szCs w:val="21"/>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509,077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475,509</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402,731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426,958</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463,217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Book value per share</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8.04</w:t>
            </w:r>
          </w:p>
        </w:tc>
        <w:tc>
          <w:tcPr>
            <w:tcW w:w="4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6.85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7.31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7.98</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3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Selected ratios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ratio</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Expense ratio</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64.5%</w:t>
            </w:r>
          </w:p>
        </w:tc>
        <w:tc>
          <w:tcPr>
            <w:tcW w:w="1180" w:type="dxa"/>
            <w:vAlign w:val="bottom"/>
          </w:tcPr>
          <w:p>
            <w:pPr>
              <w:jc w:val="right"/>
              <w:spacing w:after="0"/>
              <w:rPr>
                <w:sz w:val="20"/>
                <w:szCs w:val="20"/>
                <w:color w:val="auto"/>
              </w:rPr>
            </w:pPr>
            <w:r>
              <w:rPr>
                <w:rFonts w:ascii="Arial" w:cs="Arial" w:eastAsia="Arial" w:hAnsi="Arial"/>
                <w:sz w:val="18"/>
                <w:szCs w:val="18"/>
                <w:color w:val="auto"/>
              </w:rPr>
              <w:t>84.4%</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177.1%</w:t>
            </w:r>
          </w:p>
        </w:tc>
        <w:tc>
          <w:tcPr>
            <w:tcW w:w="4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544.8%</w:t>
            </w:r>
          </w:p>
        </w:tc>
        <w:tc>
          <w:tcPr>
            <w:tcW w:w="4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2,900.1%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67.7%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2,900.1%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Risk-to-capital ratio</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13.2:1</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11.6:1</w:t>
            </w: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8.7:1</w:t>
            </w:r>
          </w:p>
        </w:tc>
        <w:tc>
          <w:tcPr>
            <w:tcW w:w="4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3.6:1</w:t>
            </w:r>
          </w:p>
        </w:tc>
        <w:tc>
          <w:tcPr>
            <w:tcW w:w="400" w:type="dxa"/>
            <w:vAlign w:val="bottom"/>
          </w:tcPr>
          <w:p>
            <w:pPr>
              <w:spacing w:after="0"/>
              <w:rPr>
                <w:sz w:val="21"/>
                <w:szCs w:val="21"/>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0.7:1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3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primary insurance written</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21,586,880</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21,189,392</w:t>
            </w:r>
          </w:p>
        </w:tc>
        <w:tc>
          <w:tcPr>
            <w:tcW w:w="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12,424,156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3,451,354</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162,172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New primary risk written</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5,271,463</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5,085,562</w:t>
            </w: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2,932,035</w:t>
            </w:r>
          </w:p>
        </w:tc>
        <w:tc>
          <w:tcPr>
            <w:tcW w:w="4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775,575</w:t>
            </w:r>
          </w:p>
        </w:tc>
        <w:tc>
          <w:tcPr>
            <w:tcW w:w="400" w:type="dxa"/>
            <w:vAlign w:val="bottom"/>
          </w:tcPr>
          <w:p>
            <w:pPr>
              <w:spacing w:after="0"/>
              <w:rPr>
                <w:sz w:val="21"/>
                <w:szCs w:val="21"/>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36,516</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pool risk written</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93,090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Direct primary insurance in force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48,465,157</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32,167,539</w:t>
            </w: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14,823,926</w:t>
            </w:r>
          </w:p>
        </w:tc>
        <w:tc>
          <w:tcPr>
            <w:tcW w:w="4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3,369,664</w:t>
            </w:r>
          </w:p>
        </w:tc>
        <w:tc>
          <w:tcPr>
            <w:tcW w:w="400" w:type="dxa"/>
            <w:vAlign w:val="bottom"/>
          </w:tcPr>
          <w:p>
            <w:pPr>
              <w:spacing w:after="0"/>
              <w:rPr>
                <w:sz w:val="21"/>
                <w:szCs w:val="21"/>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161,731</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primary risk in force</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11,843,047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7,790,060</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3,586,462</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801,561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36,516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Direct pool risk in force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93,090</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93,090</w:t>
            </w: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93,090</w:t>
            </w:r>
          </w:p>
        </w:tc>
        <w:tc>
          <w:tcPr>
            <w:tcW w:w="4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93,090</w:t>
            </w:r>
          </w:p>
        </w:tc>
        <w:tc>
          <w:tcPr>
            <w:tcW w:w="400" w:type="dxa"/>
            <w:vAlign w:val="bottom"/>
          </w:tcPr>
          <w:p>
            <w:pPr>
              <w:spacing w:after="0"/>
              <w:rPr>
                <w:sz w:val="21"/>
                <w:szCs w:val="21"/>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93,090</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Available Assets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527,897</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453,523</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431,411</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341"/>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Net Risk-Based Required Assets </w:t>
            </w:r>
            <w:r>
              <w:rPr>
                <w:rFonts w:ascii="Arial" w:cs="Arial" w:eastAsia="Arial" w:hAnsi="Arial"/>
                <w:sz w:val="25"/>
                <w:szCs w:val="25"/>
                <w:color w:val="auto"/>
                <w:vertAlign w:val="superscript"/>
              </w:rPr>
              <w:t>(2)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446,226</w:t>
            </w:r>
          </w:p>
        </w:tc>
        <w:tc>
          <w:tcPr>
            <w:tcW w:w="36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366,584</w:t>
            </w:r>
          </w:p>
        </w:tc>
        <w:tc>
          <w:tcPr>
            <w:tcW w:w="40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249,805</w:t>
            </w:r>
          </w:p>
        </w:tc>
        <w:tc>
          <w:tcPr>
            <w:tcW w:w="440" w:type="dxa"/>
            <w:vAlign w:val="bottom"/>
          </w:tcPr>
          <w:p>
            <w:pPr>
              <w:spacing w:after="0"/>
              <w:rPr>
                <w:sz w:val="24"/>
                <w:szCs w:val="24"/>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509"/>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812"/>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9" w:name="page50"/>
    <w:bookmarkEnd w:id="49"/>
    <w:p>
      <w:pPr>
        <w:ind w:left="-8" w:firstLine="8"/>
        <w:spacing w:after="0" w:line="321" w:lineRule="auto"/>
        <w:tabs>
          <w:tab w:leader="none" w:pos="145"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The 2016 prior period balance sheet and statements of operations have been revised. See Item 8, "</w:t>
      </w:r>
      <w:r>
        <w:rPr>
          <w:rFonts w:ascii="Arial" w:cs="Arial" w:eastAsia="Arial" w:hAnsi="Arial"/>
          <w:sz w:val="13"/>
          <w:szCs w:val="13"/>
          <w:i w:val="1"/>
          <w:iCs w:val="1"/>
          <w:color w:val="auto"/>
        </w:rPr>
        <w:t>Financial Statements and Supplementary Data - Notes to Consolidated</w:t>
      </w:r>
      <w:r>
        <w:rPr>
          <w:rFonts w:ascii="Arial" w:cs="Arial" w:eastAsia="Arial" w:hAnsi="Arial"/>
          <w:sz w:val="13"/>
          <w:szCs w:val="13"/>
          <w:color w:val="auto"/>
        </w:rPr>
        <w:t xml:space="preserve"> </w:t>
      </w:r>
      <w:r>
        <w:rPr>
          <w:rFonts w:ascii="Arial" w:cs="Arial" w:eastAsia="Arial" w:hAnsi="Arial"/>
          <w:sz w:val="13"/>
          <w:szCs w:val="13"/>
          <w:i w:val="1"/>
          <w:iCs w:val="1"/>
          <w:color w:val="auto"/>
        </w:rPr>
        <w:t>Financial Statements - Note 2, Summary of Accounting Principles - Immaterial Correction of Prior Period Amounts</w:t>
      </w:r>
      <w:r>
        <w:rPr>
          <w:rFonts w:ascii="Arial" w:cs="Arial" w:eastAsia="Arial" w:hAnsi="Arial"/>
          <w:sz w:val="13"/>
          <w:szCs w:val="13"/>
          <w:color w:val="auto"/>
        </w:rPr>
        <w:t>," for further details.</w:t>
      </w:r>
    </w:p>
    <w:p>
      <w:pPr>
        <w:spacing w:after="0" w:line="159" w:lineRule="exact"/>
        <w:rPr>
          <w:rFonts w:ascii="Arial" w:cs="Arial" w:eastAsia="Arial" w:hAnsi="Arial"/>
          <w:sz w:val="17"/>
          <w:szCs w:val="17"/>
          <w:color w:val="auto"/>
          <w:vertAlign w:val="superscript"/>
        </w:rPr>
      </w:pPr>
    </w:p>
    <w:p>
      <w:pPr>
        <w:ind w:left="152" w:hanging="152"/>
        <w:spacing w:after="0"/>
        <w:tabs>
          <w:tab w:leader="none" w:pos="152"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PMIERs financial requirements as reported by NMIC took effect as of December 31, 2015.</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12"/>
          </w:cols>
          <w:pgMar w:left="248" w:top="67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 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320" w:firstLine="648"/>
        <w:spacing w:after="0" w:line="302" w:lineRule="auto"/>
        <w:rPr>
          <w:sz w:val="20"/>
          <w:szCs w:val="20"/>
          <w:color w:val="auto"/>
        </w:rPr>
      </w:pPr>
      <w:r>
        <w:rPr>
          <w:rFonts w:ascii="Arial" w:cs="Arial" w:eastAsia="Arial" w:hAnsi="Arial"/>
          <w:sz w:val="16"/>
          <w:szCs w:val="16"/>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statutorily required reinsurance to NMIC on insured loans with coverage levels in excess of 25% after giving effect to third-party reinsurance. Our subsidiary, NMIS, provides outsourced loan review services to mortgage loan originators.</w:t>
      </w:r>
    </w:p>
    <w:p>
      <w:pPr>
        <w:spacing w:after="0" w:line="10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2017, we had master policies with 1,267 customers, including national and regional mortgage banks, money center banks, credit unions, community banks, builder-owned mortgage lenders, internet-sourced lenders and other non-bank lenders. We had total IIF of $51.7 billion and gross RIF of $11.9 billion as of December 31, 2017, compared to total IIF of $35.8 billion and gross RIF of $7.9 billion as of December 31, 2016, and total IIF of $19.1 billion and gross RIF of $3.7 billion as of December 31, 2015. Included in our total IIF as of December 31, 2017, 2016, and 2015 was $48.5 billion, $32.2 billion and $14.8 billion of primary IIF, respectively. As of December 31, 2017, our gross primary RIF was $11.8 billion, compared to $7.8 billion and $3.6 billion as of December 31, 2016 and 2015, respectively. For the year ended December 31, 2017, we generated NIW of $21.6 billion, compared to $21.2 billion and $12.4 billion for the years ending December 31, 2016 and 2015, respectively. As of December 31, 2017, we had 299 full-time employees.</w:t>
      </w:r>
    </w:p>
    <w:p>
      <w:pPr>
        <w:spacing w:after="0" w:line="1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w:t>
      </w:r>
    </w:p>
    <w:p>
      <w:pPr>
        <w:spacing w:after="0" w:line="13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NIW from a customer. During the year ended December 31, 2017, we activated 127 lenders, compared to 173 and 247 for the years ended December 31, 2016 and December 31, 2015, respectively. We also continued to expand our business with existing customers, deepening our existing relationships and capturing what we believe to be an increasing portion of their annual MI volume. At December 31, 2017, we had 1,267 Master Policies and 841 active customer relationships, compared to 1,131 and 715 as of December 31, 2016 and 964 and 524 as of December 31, 2015.</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Insurance Written, Insurance In Force and Risk In Force</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NIW is the aggregate unpaid principal balance of mortgages underpinning new policies written during a given period. Our NIW is affected by the overall size of the mortgage origination market and the volume of high-LTV mortgage originations, which tend to be generated to a greater extent in purchase originations as compared to refinancings. Our NIW is also affected by the percentage of such high-LTV originations covered by private versus public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set our premium rates on individual policies based on the risk characteristics of the underlying mortgage loans and borrowers, and in accordance with our filed rates and applicable rating rules.</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Premiums are generally fixed over the estimated life of the underlying loans. Net premiums written are equal to gross premiums written minus ceded premiums written under our reinsurance arrangements and less premium refunds. As a result, net premiums written are generally influenced by:</w:t>
      </w:r>
    </w:p>
    <w:p>
      <w:pPr>
        <w:spacing w:after="0" w:line="9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claims payments and home prices;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initially recorded as unearned premium and earned over the estimated life of the policy. A majority of our single premium policies in force as of December 31, 2017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jc w:val="both"/>
        <w:spacing w:after="0" w:line="297" w:lineRule="auto"/>
        <w:rPr>
          <w:sz w:val="20"/>
          <w:szCs w:val="20"/>
          <w:color w:val="auto"/>
        </w:rPr>
      </w:pPr>
      <w:r>
        <w:rPr>
          <w:rFonts w:ascii="Arial" w:cs="Arial" w:eastAsia="Arial" w:hAnsi="Arial"/>
          <w:sz w:val="16"/>
          <w:szCs w:val="16"/>
          <w:color w:val="auto"/>
        </w:rPr>
        <w:t>certain assumptions regarding repayment or prepayment speeds of the mortgages underlying our policies. Because premiums are paid at origination on single premium policies and substantially all of our single premium policies are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our profitability is likely to decline.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utilize third-party reinsurance to actively manage our risk, ensure PMIERs compliance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net premiums written and earned and also reduces net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entered into the 2016 QSR Transaction in September 2016. Under the terms of the 2016 QSR Transaction, NMIC (1) ceded 100% of the risk relating to our pool agreement with Fannie Mae, (2) ceded 25% of existing risk written on eligible policies as of August 31, 2016 and (3) ceded 25% of the risk relating to eligible primary insurance policies written between September 1, 2016 and December 31, 2017, in exchange for reimbursement of ceded claims and claims expenses on covered policies, a 20% ceding commission, and a profit commission of up to 60% that varies directly and inversely with ceded claims.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entered into the 2018 QSR Transaction, which took effect January 1, 2018. Under the 2018 QSR Transaction, NMIC agrees to cede 25% of its eligible policies written in 2018 and 20% to 30% (such amount to be determined by NMIC at its sole election by December 1, 2018) of eligible policies written in 2019, in exchange for reimbursement of ceded claims and claims expenses on covered policies, a 20% ceding commission, and a profit commission of up to 61% that varies directly and inversely with ceded claims.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2017, NMIC secured $211.3 million of aggregate excess-of-loss reinsurance coverage at inception for an existing portfolio of MI policies written from 2013 through December 31, 2016, through a mortgage insurance-linked notes offering by Oaktown Re. The reinsurance coverage amount under the terms of the 2017 ILN Transaction decreases from $211.3 million at inception over a ten-year period as the underlying covered mortgages amortize and/or are repaid, and was $177 million as of December 31, 2017. For the reinsurance coverage period, NMIC will retain the first layer of $126.8 million of aggregate losses and Oaktown Re will then provide a second layer of coverage up to the outstanding reinsurance coverage amount. NMIC retains losses in excess of the outstanding reinsurance coverage amount.</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Item 8, "</w:t>
      </w:r>
      <w:r>
        <w:rPr>
          <w:rFonts w:ascii="Arial" w:cs="Arial" w:eastAsia="Arial" w:hAnsi="Arial"/>
          <w:sz w:val="18"/>
          <w:szCs w:val="18"/>
          <w:i w:val="1"/>
          <w:iCs w:val="1"/>
          <w:color w:val="auto"/>
        </w:rPr>
        <w:t>Financial Statements and Supplementary Data - Notes to Consolidated Financial Statements - Note 6,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6"/>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of and for the years ended</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NIW</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NIW</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NIW</w:t>
            </w:r>
          </w:p>
        </w:tc>
      </w:tr>
      <w:tr>
        <w:trPr>
          <w:trHeight w:val="264"/>
        </w:trPr>
        <w:tc>
          <w:tcPr>
            <w:tcW w:w="3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Single</w:t>
            </w: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12,963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6,434</w:t>
            </w: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12,424</w:t>
            </w:r>
          </w:p>
        </w:tc>
      </w:tr>
      <w:tr>
        <w:trPr>
          <w:trHeight w:val="176"/>
        </w:trPr>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51,698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21,587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35,818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21,189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19,062</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12,424</w:t>
            </w: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2017, primary NIW increased 2%, compared to the year ended December 31, 2016, primarily because of the growth in our monthly policy volume tied to increased penetration of existing customer accounts and new customer account activations, offset by a reduction in our single policy production tied to actions we initiated to reduce the concentration of single policies in our product mix. Primary NIW increased 71% for the year ended December 31, 2016, compared to the year ended December 31, 2015, primarily because of the growth within and an expansion of our customer base.</w:t>
      </w:r>
    </w:p>
    <w:p>
      <w:pPr>
        <w:spacing w:after="0" w:line="2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2017, 81% of our NIW related to monthly premium policies, as compared to 67% and 48% for the years ended December 31, 2016 and 2015, respectively. As of December 31, 2017, monthly premium policies accounted for 69% of our primary IIF, as compared to 60% at December 31, 2016 and 47% at December 31, 2015. We expect the break-down of monthly premium policies and single premium policies (which we refer to as "mix") in our primary IIF to continue to trend toward our current NIW mix over time. Our total IIF at December 31, 2017 increased 44% compared to December 31, 2016, which in turn increased 88% compared to December 31, 2015, primarily because of the NIW we generated between such measurement dates and higher persistency of our policies in force.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center"/>
              <w:ind w:right="181"/>
              <w:spacing w:after="0"/>
              <w:rPr>
                <w:sz w:val="20"/>
                <w:szCs w:val="20"/>
                <w:color w:val="auto"/>
              </w:rPr>
            </w:pPr>
            <w:r>
              <w:rPr>
                <w:rFonts w:ascii="Arial" w:cs="Arial" w:eastAsia="Arial" w:hAnsi="Arial"/>
                <w:sz w:val="14"/>
                <w:szCs w:val="14"/>
                <w:i w:val="1"/>
                <w:iCs w:val="1"/>
                <w:color w:val="auto"/>
                <w:w w:val="93"/>
              </w:rPr>
              <w:t>(In Thousands)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6"/>
        </w:trPr>
        <w:tc>
          <w:tcPr>
            <w:tcW w:w="53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Net premiums written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173,672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134,692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114,210</w:t>
            </w:r>
          </w:p>
        </w:tc>
      </w:tr>
      <w:tr>
        <w:trPr>
          <w:trHeight w:val="341"/>
        </w:trPr>
        <w:tc>
          <w:tcPr>
            <w:tcW w:w="5380" w:type="dxa"/>
            <w:vAlign w:val="bottom"/>
          </w:tcPr>
          <w:p>
            <w:pPr>
              <w:ind w:left="40"/>
              <w:spacing w:after="0"/>
              <w:rPr>
                <w:sz w:val="20"/>
                <w:szCs w:val="20"/>
                <w:color w:val="auto"/>
              </w:rPr>
            </w:pPr>
            <w:r>
              <w:rPr>
                <w:rFonts w:ascii="Arial" w:cs="Arial" w:eastAsia="Arial" w:hAnsi="Arial"/>
                <w:sz w:val="18"/>
                <w:szCs w:val="18"/>
                <w:color w:val="auto"/>
              </w:rPr>
              <w:t xml:space="preserve">Net premiums earned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165,740</w:t>
            </w:r>
          </w:p>
        </w:tc>
        <w:tc>
          <w:tcPr>
            <w:tcW w:w="340" w:type="dxa"/>
            <w:vAlign w:val="bottom"/>
          </w:tcPr>
          <w:p>
            <w:pPr>
              <w:spacing w:after="0"/>
              <w:rPr>
                <w:sz w:val="24"/>
                <w:szCs w:val="24"/>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110,481</w:t>
            </w:r>
          </w:p>
        </w:tc>
        <w:tc>
          <w:tcPr>
            <w:tcW w:w="340" w:type="dxa"/>
            <w:vAlign w:val="bottom"/>
          </w:tcPr>
          <w:p>
            <w:pPr>
              <w:spacing w:after="0"/>
              <w:rPr>
                <w:sz w:val="24"/>
                <w:szCs w:val="24"/>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45,506</w:t>
            </w:r>
          </w:p>
        </w:tc>
      </w:tr>
    </w:tbl>
    <w:p>
      <w:pPr>
        <w:spacing w:after="0" w:line="80"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Net premiums written and earned are reported net of reinsurance and premium refunds.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year ended December 31, 2017, net premiums written and earned increased 29% and 50%, respectively, compared to the year ended December 31, 2016. The increase in net premiums written is due to the growth of our IIF and increased monthly policy production, partially offset by a decrease in single premium NIW. The trend in net premiums written was also impacted by the inception of the 2016 QSR Transaction in September 2016, which entailed an initial cession of $35 million of premiums written on all covered singles policies written prior to the transaction effective date and had the effect of reducing net premiums written in 2016 by a like amount. The increase in net premiums earned is due to the growth of our IIF and increased monthly policy production, partially offset by decreases in our single premium NIW and earnings from cancellations, and the impact of cessions under the 2017 ILN transaction and 2016 QSR Transaction.</w:t>
      </w:r>
    </w:p>
    <w:p>
      <w:pPr>
        <w:spacing w:after="0" w:line="13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the year ended December 31, 2016, net premiums written and earned increased 18% and 143%, respectively, compared to the year ended December 31, 2015. The increases in net premiums written and earned are primarily due to the growth of our IIF and increased NIW production, partially offset by ceded premiums related to the 2016 QSR Transaction, which entailed an initial cession of premiums written on all covered singles policies written prior to the transaction effective date and introduced partial cessions of premiums written and earned on covered policies thereafter.</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Pool premiums written and earned for the years ended December 31, 2017, 2016 and 2015, were $3.8 million, $4.4 million and $4.9 million, respectively, before giving effect to the 2016 QSR Transaction, under which all of our written and earned pool premiums have been ceded.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38"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As of and for the year ended</w:t>
            </w: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4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center"/>
              <w:ind w:right="73"/>
              <w:spacing w:after="0"/>
              <w:rPr>
                <w:sz w:val="20"/>
                <w:szCs w:val="20"/>
                <w:color w:val="auto"/>
              </w:rPr>
            </w:pPr>
            <w:r>
              <w:rPr>
                <w:rFonts w:ascii="Arial" w:cs="Arial" w:eastAsia="Arial" w:hAnsi="Arial"/>
                <w:sz w:val="14"/>
                <w:szCs w:val="14"/>
                <w:i w:val="1"/>
                <w:iCs w:val="1"/>
                <w:color w:val="auto"/>
                <w:w w:val="95"/>
              </w:rPr>
              <w:t>($ Values In Millions)</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21,587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21,189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12,424</w:t>
            </w:r>
          </w:p>
        </w:tc>
      </w:tr>
      <w:tr>
        <w:trPr>
          <w:trHeight w:val="243"/>
        </w:trPr>
        <w:tc>
          <w:tcPr>
            <w:tcW w:w="4920" w:type="dxa"/>
            <w:vAlign w:val="bottom"/>
          </w:tcPr>
          <w:p>
            <w:pPr>
              <w:ind w:left="720"/>
              <w:spacing w:after="0"/>
              <w:rPr>
                <w:sz w:val="20"/>
                <w:szCs w:val="20"/>
                <w:color w:val="auto"/>
              </w:rPr>
            </w:pPr>
            <w:r>
              <w:rPr>
                <w:rFonts w:ascii="Arial" w:cs="Arial" w:eastAsia="Arial" w:hAnsi="Arial"/>
                <w:sz w:val="18"/>
                <w:szCs w:val="18"/>
                <w:color w:val="auto"/>
              </w:rPr>
              <w:t>Percentage of monthly premium</w:t>
            </w:r>
          </w:p>
        </w:tc>
        <w:tc>
          <w:tcPr>
            <w:tcW w:w="28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Percentage of single premium</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5,271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5,086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2,932</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(IIF)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48,465</w:t>
            </w: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32,168</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14,824</w:t>
            </w:r>
          </w:p>
        </w:tc>
      </w:tr>
      <w:tr>
        <w:trPr>
          <w:trHeight w:val="243"/>
        </w:trPr>
        <w:tc>
          <w:tcPr>
            <w:tcW w:w="4920" w:type="dxa"/>
            <w:vAlign w:val="bottom"/>
          </w:tcPr>
          <w:p>
            <w:pPr>
              <w:ind w:left="720"/>
              <w:spacing w:after="0"/>
              <w:rPr>
                <w:sz w:val="20"/>
                <w:szCs w:val="20"/>
                <w:color w:val="auto"/>
              </w:rPr>
            </w:pPr>
            <w:r>
              <w:rPr>
                <w:rFonts w:ascii="Arial" w:cs="Arial" w:eastAsia="Arial" w:hAnsi="Arial"/>
                <w:sz w:val="18"/>
                <w:szCs w:val="18"/>
                <w:color w:val="auto"/>
              </w:rPr>
              <w:t>Percentage of monthly premium</w:t>
            </w:r>
          </w:p>
        </w:tc>
        <w:tc>
          <w:tcPr>
            <w:tcW w:w="28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Percentage of single premium</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4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11,843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7,790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3,586</w:t>
            </w:r>
          </w:p>
        </w:tc>
      </w:tr>
      <w:tr>
        <w:trPr>
          <w:trHeight w:val="270"/>
        </w:trPr>
        <w:tc>
          <w:tcPr>
            <w:tcW w:w="4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202,351</w:t>
            </w: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134,662</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63,948</w:t>
            </w:r>
          </w:p>
        </w:tc>
      </w:tr>
      <w:tr>
        <w:trPr>
          <w:trHeight w:val="270"/>
        </w:trPr>
        <w:tc>
          <w:tcPr>
            <w:tcW w:w="4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0.240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0.239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0.232</w:t>
            </w:r>
          </w:p>
        </w:tc>
      </w:tr>
      <w:tr>
        <w:trPr>
          <w:trHeight w:val="270"/>
        </w:trPr>
        <w:tc>
          <w:tcPr>
            <w:tcW w:w="4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Average coverage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280" w:type="dxa"/>
            <w:vAlign w:val="bottom"/>
          </w:tcPr>
          <w:p>
            <w:pPr>
              <w:spacing w:after="0"/>
              <w:rPr>
                <w:sz w:val="21"/>
                <w:szCs w:val="21"/>
                <w:color w:val="auto"/>
              </w:rPr>
            </w:pP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21"/>
                <w:szCs w:val="21"/>
                <w:color w:val="auto"/>
              </w:rPr>
            </w:pP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1"/>
                <w:szCs w:val="21"/>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of loans in default</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Risk in force on defaulted loans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2</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from cancellations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Annual persistency</w:t>
            </w:r>
          </w:p>
        </w:tc>
        <w:tc>
          <w:tcPr>
            <w:tcW w:w="28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70"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Calculated as end of period RIF divided by IIF.</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1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and for the 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32,168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NIW</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21,587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21,189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18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18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48,465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32,168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 as of the dates indicated.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780" w:type="dxa"/>
            <w:vAlign w:val="bottom"/>
            <w:tcBorders>
              <w:bottom w:val="single" w:sz="8" w:color="auto"/>
            </w:tcBorders>
          </w:tcPr>
          <w:p>
            <w:pPr>
              <w:spacing w:after="0"/>
              <w:rPr>
                <w:sz w:val="22"/>
                <w:szCs w:val="22"/>
                <w:color w:val="auto"/>
              </w:rPr>
            </w:pPr>
          </w:p>
        </w:tc>
      </w:tr>
      <w:tr>
        <w:trPr>
          <w:trHeight w:val="264"/>
        </w:trPr>
        <w:tc>
          <w:tcPr>
            <w:tcW w:w="2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RIF</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RIF</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RIF</w:t>
            </w:r>
          </w:p>
        </w:tc>
      </w:tr>
      <w:tr>
        <w:trPr>
          <w:trHeight w:val="244"/>
        </w:trPr>
        <w:tc>
          <w:tcPr>
            <w:tcW w:w="2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20,739</w:t>
            </w:r>
          </w:p>
        </w:tc>
        <w:tc>
          <w:tcPr>
            <w:tcW w:w="12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20,193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8,256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10,071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12,110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2,932</w:t>
            </w:r>
          </w:p>
        </w:tc>
      </w:tr>
      <w:tr>
        <w:trPr>
          <w:trHeight w:val="27"/>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2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48,465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14,824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3,586</w:t>
            </w:r>
          </w:p>
        </w:tc>
      </w:tr>
      <w:tr>
        <w:trPr>
          <w:trHeight w:val="20"/>
        </w:trPr>
        <w:tc>
          <w:tcPr>
            <w:tcW w:w="2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primary NIW. We manage our portfolio credit risk by using several loan eligibility matrices which prescribe the maximum LTV, minimum borrower FICO score, maximum borrower DTI ratio,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3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2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37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December 31, 2015</w:t>
            </w:r>
          </w:p>
        </w:tc>
      </w:tr>
      <w:tr>
        <w:trPr>
          <w:trHeight w:val="250"/>
        </w:trPr>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6,111</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740-759</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3,452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1,955</w:t>
            </w:r>
          </w:p>
        </w:tc>
      </w:tr>
      <w:tr>
        <w:trPr>
          <w:trHeight w:val="27"/>
        </w:trPr>
        <w:tc>
          <w:tcPr>
            <w:tcW w:w="3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700-719</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1,254</w:t>
            </w:r>
          </w:p>
        </w:tc>
      </w:tr>
      <w:tr>
        <w:trPr>
          <w:trHeight w:val="27"/>
        </w:trPr>
        <w:tc>
          <w:tcPr>
            <w:tcW w:w="3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&lt;=679</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489</w:t>
            </w:r>
          </w:p>
        </w:tc>
      </w:tr>
      <w:tr>
        <w:trPr>
          <w:trHeight w:val="27"/>
        </w:trPr>
        <w:tc>
          <w:tcPr>
            <w:tcW w:w="37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12,424</w:t>
            </w: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Weighted average FICO</w:t>
            </w:r>
          </w:p>
        </w:tc>
        <w:tc>
          <w:tcPr>
            <w:tcW w:w="20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752</w:t>
            </w:r>
          </w:p>
        </w:tc>
      </w:tr>
      <w:tr>
        <w:trPr>
          <w:trHeight w:val="20"/>
        </w:trPr>
        <w:tc>
          <w:tcPr>
            <w:tcW w:w="3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608"/>
        </w:trPr>
        <w:tc>
          <w:tcPr>
            <w:tcW w:w="3700" w:type="dxa"/>
            <w:vAlign w:val="bottom"/>
          </w:tcPr>
          <w:p>
            <w:pPr>
              <w:spacing w:after="0"/>
              <w:rPr>
                <w:sz w:val="24"/>
                <w:szCs w:val="24"/>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2016</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1,273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492</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9,512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7"/>
              <w:spacing w:after="0"/>
              <w:rPr>
                <w:sz w:val="20"/>
                <w:szCs w:val="20"/>
                <w:color w:val="auto"/>
              </w:rPr>
            </w:pPr>
            <w:r>
              <w:rPr>
                <w:rFonts w:ascii="Arial" w:cs="Arial" w:eastAsia="Arial" w:hAnsi="Arial"/>
                <w:sz w:val="18"/>
                <w:szCs w:val="18"/>
                <w:color w:val="auto"/>
              </w:rPr>
              <w:t>9,229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5,452</w:t>
            </w: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6,576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4,236</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7"/>
              <w:spacing w:after="0"/>
              <w:rPr>
                <w:sz w:val="20"/>
                <w:szCs w:val="20"/>
                <w:color w:val="auto"/>
              </w:rPr>
            </w:pPr>
            <w:r>
              <w:rPr>
                <w:rFonts w:ascii="Arial" w:cs="Arial" w:eastAsia="Arial" w:hAnsi="Arial"/>
                <w:sz w:val="18"/>
                <w:szCs w:val="18"/>
                <w:color w:val="auto"/>
              </w:rPr>
              <w:t>4,111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2,244</w:t>
            </w: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21,587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21,189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12,424</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1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481"/>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For the year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2016</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3"/>
          </w:tcPr>
          <w:p>
            <w:pPr>
              <w:ind w:left="44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8,161</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4,263</w:t>
            </w: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21,587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1"/>
              </w:rPr>
              <w:t>December 31, 2016</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2015</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23,438</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16,166</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7,124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740-759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7,781</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855"/>
              <w:spacing w:after="0"/>
              <w:rPr>
                <w:sz w:val="20"/>
                <w:szCs w:val="20"/>
                <w:color w:val="auto"/>
              </w:rPr>
            </w:pPr>
            <w:r>
              <w:rPr>
                <w:rFonts w:ascii="Arial" w:cs="Arial" w:eastAsia="Arial" w:hAnsi="Arial"/>
                <w:sz w:val="18"/>
                <w:szCs w:val="18"/>
                <w:color w:val="auto"/>
              </w:rPr>
              <w:t>5,248</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2,406</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6,259</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4,130</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2,111</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700-719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5,179</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855"/>
              <w:spacing w:after="0"/>
              <w:rPr>
                <w:sz w:val="20"/>
                <w:szCs w:val="20"/>
                <w:color w:val="auto"/>
              </w:rPr>
            </w:pPr>
            <w:r>
              <w:rPr>
                <w:rFonts w:ascii="Arial" w:cs="Arial" w:eastAsia="Arial" w:hAnsi="Arial"/>
                <w:sz w:val="18"/>
                <w:szCs w:val="18"/>
                <w:color w:val="auto"/>
              </w:rPr>
              <w:t>3,245</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1,515</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3,408</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2,151</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1,100</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&lt;=679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2,400</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855"/>
              <w:spacing w:after="0"/>
              <w:rPr>
                <w:sz w:val="20"/>
                <w:szCs w:val="20"/>
                <w:color w:val="auto"/>
              </w:rPr>
            </w:pPr>
            <w:r>
              <w:rPr>
                <w:rFonts w:ascii="Arial" w:cs="Arial" w:eastAsia="Arial" w:hAnsi="Arial"/>
                <w:sz w:val="18"/>
                <w:szCs w:val="18"/>
                <w:color w:val="auto"/>
              </w:rPr>
              <w:t>1,228</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568</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48,465</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rPr>
              <w:t>32,168</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rPr>
              <w:t>14,824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1"/>
              </w:rPr>
              <w:t>December 31, 2016</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2015</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5,764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3,934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1,707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740-759</w:t>
            </w:r>
          </w:p>
        </w:tc>
        <w:tc>
          <w:tcPr>
            <w:tcW w:w="320" w:type="dxa"/>
            <w:vAlign w:val="bottom"/>
          </w:tcPr>
          <w:p>
            <w:pPr>
              <w:spacing w:after="0"/>
              <w:rPr>
                <w:sz w:val="21"/>
                <w:szCs w:val="21"/>
                <w:color w:val="auto"/>
              </w:rPr>
            </w:pPr>
          </w:p>
        </w:tc>
        <w:tc>
          <w:tcPr>
            <w:tcW w:w="1640" w:type="dxa"/>
            <w:vAlign w:val="bottom"/>
          </w:tcPr>
          <w:p>
            <w:pPr>
              <w:jc w:val="right"/>
              <w:ind w:right="832"/>
              <w:spacing w:after="0"/>
              <w:rPr>
                <w:sz w:val="20"/>
                <w:szCs w:val="20"/>
                <w:color w:val="auto"/>
              </w:rPr>
            </w:pPr>
            <w:r>
              <w:rPr>
                <w:rFonts w:ascii="Arial" w:cs="Arial" w:eastAsia="Arial" w:hAnsi="Arial"/>
                <w:sz w:val="18"/>
                <w:szCs w:val="18"/>
                <w:color w:val="auto"/>
              </w:rPr>
              <w:t>1,909</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855"/>
              <w:spacing w:after="0"/>
              <w:rPr>
                <w:sz w:val="20"/>
                <w:szCs w:val="20"/>
                <w:color w:val="auto"/>
              </w:rPr>
            </w:pPr>
            <w:r>
              <w:rPr>
                <w:rFonts w:ascii="Arial" w:cs="Arial" w:eastAsia="Arial" w:hAnsi="Arial"/>
                <w:sz w:val="18"/>
                <w:szCs w:val="18"/>
                <w:color w:val="auto"/>
              </w:rPr>
              <w:t>1,281</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590</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1,527</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1,000</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519</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700-719</w:t>
            </w:r>
          </w:p>
        </w:tc>
        <w:tc>
          <w:tcPr>
            <w:tcW w:w="320" w:type="dxa"/>
            <w:vAlign w:val="bottom"/>
          </w:tcPr>
          <w:p>
            <w:pPr>
              <w:spacing w:after="0"/>
              <w:rPr>
                <w:sz w:val="21"/>
                <w:szCs w:val="21"/>
                <w:color w:val="auto"/>
              </w:rPr>
            </w:pPr>
          </w:p>
        </w:tc>
        <w:tc>
          <w:tcPr>
            <w:tcW w:w="1640" w:type="dxa"/>
            <w:vAlign w:val="bottom"/>
          </w:tcPr>
          <w:p>
            <w:pPr>
              <w:jc w:val="right"/>
              <w:ind w:right="832"/>
              <w:spacing w:after="0"/>
              <w:rPr>
                <w:sz w:val="20"/>
                <w:szCs w:val="20"/>
                <w:color w:val="auto"/>
              </w:rPr>
            </w:pPr>
            <w:r>
              <w:rPr>
                <w:rFonts w:ascii="Arial" w:cs="Arial" w:eastAsia="Arial" w:hAnsi="Arial"/>
                <w:sz w:val="18"/>
                <w:szCs w:val="18"/>
                <w:color w:val="auto"/>
              </w:rPr>
              <w:t>1,256</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855"/>
              <w:spacing w:after="0"/>
              <w:rPr>
                <w:sz w:val="20"/>
                <w:szCs w:val="20"/>
                <w:color w:val="auto"/>
              </w:rPr>
            </w:pPr>
            <w:r>
              <w:rPr>
                <w:rFonts w:ascii="Arial" w:cs="Arial" w:eastAsia="Arial" w:hAnsi="Arial"/>
                <w:sz w:val="18"/>
                <w:szCs w:val="18"/>
                <w:color w:val="auto"/>
              </w:rPr>
              <w:t>782</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369</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rPr>
              <w:t>821</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511</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267</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&lt;=679</w:t>
            </w:r>
          </w:p>
        </w:tc>
        <w:tc>
          <w:tcPr>
            <w:tcW w:w="320" w:type="dxa"/>
            <w:vAlign w:val="bottom"/>
          </w:tcPr>
          <w:p>
            <w:pPr>
              <w:spacing w:after="0"/>
              <w:rPr>
                <w:sz w:val="21"/>
                <w:szCs w:val="21"/>
                <w:color w:val="auto"/>
              </w:rPr>
            </w:pPr>
          </w:p>
        </w:tc>
        <w:tc>
          <w:tcPr>
            <w:tcW w:w="1640" w:type="dxa"/>
            <w:vAlign w:val="bottom"/>
          </w:tcPr>
          <w:p>
            <w:pPr>
              <w:jc w:val="right"/>
              <w:ind w:right="832"/>
              <w:spacing w:after="0"/>
              <w:rPr>
                <w:sz w:val="20"/>
                <w:szCs w:val="20"/>
                <w:color w:val="auto"/>
              </w:rPr>
            </w:pPr>
            <w:r>
              <w:rPr>
                <w:rFonts w:ascii="Arial" w:cs="Arial" w:eastAsia="Arial" w:hAnsi="Arial"/>
                <w:sz w:val="18"/>
                <w:szCs w:val="18"/>
                <w:color w:val="auto"/>
              </w:rPr>
              <w:t>566</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855"/>
              <w:spacing w:after="0"/>
              <w:rPr>
                <w:sz w:val="20"/>
                <w:szCs w:val="20"/>
                <w:color w:val="auto"/>
              </w:rPr>
            </w:pPr>
            <w:r>
              <w:rPr>
                <w:rFonts w:ascii="Arial" w:cs="Arial" w:eastAsia="Arial" w:hAnsi="Arial"/>
                <w:sz w:val="18"/>
                <w:szCs w:val="18"/>
                <w:color w:val="auto"/>
              </w:rPr>
              <w:t>282</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134</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11,843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7,790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3,586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IIF by LTV</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December 31, 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4"/>
                <w:szCs w:val="14"/>
                <w:b w:val="1"/>
                <w:bCs w:val="1"/>
                <w:color w:val="auto"/>
                <w:w w:val="91"/>
              </w:rPr>
              <w:t>December 31, 2016</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2015</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ind w:left="340"/>
              <w:spacing w:after="0"/>
              <w:rPr>
                <w:sz w:val="20"/>
                <w:szCs w:val="20"/>
                <w:color w:val="auto"/>
              </w:rPr>
            </w:pPr>
            <w:r>
              <w:rPr>
                <w:rFonts w:ascii="Arial" w:cs="Arial" w:eastAsia="Arial" w:hAnsi="Arial"/>
                <w:sz w:val="14"/>
                <w:szCs w:val="14"/>
                <w:i w:val="1"/>
                <w:iCs w:val="1"/>
                <w:color w:val="auto"/>
                <w:w w:val="96"/>
              </w:rPr>
              <w:t>($ Values In Millions)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21,763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14,358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6,583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10,282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7,990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48,465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32,168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14,824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RIF by LTV</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December 31, 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4"/>
                <w:szCs w:val="14"/>
                <w:b w:val="1"/>
                <w:bCs w:val="1"/>
                <w:color w:val="auto"/>
                <w:w w:val="91"/>
              </w:rPr>
              <w:t>December 31, 2016</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2015</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ind w:left="340"/>
              <w:spacing w:after="0"/>
              <w:rPr>
                <w:sz w:val="20"/>
                <w:szCs w:val="20"/>
                <w:color w:val="auto"/>
              </w:rPr>
            </w:pPr>
            <w:r>
              <w:rPr>
                <w:rFonts w:ascii="Arial" w:cs="Arial" w:eastAsia="Arial" w:hAnsi="Arial"/>
                <w:sz w:val="14"/>
                <w:szCs w:val="14"/>
                <w:i w:val="1"/>
                <w:iCs w:val="1"/>
                <w:color w:val="auto"/>
                <w:w w:val="96"/>
              </w:rPr>
              <w:t>($ Values In Millions)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RIF by Loan Type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2017</w:t>
            </w: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2016</w:t>
            </w: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2015</w:t>
            </w:r>
          </w:p>
        </w:tc>
      </w:tr>
      <w:tr>
        <w:trPr>
          <w:trHeight w:val="324"/>
        </w:trPr>
        <w:tc>
          <w:tcPr>
            <w:tcW w:w="590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Adjustable rate mortgages:</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than five years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Five years and longer</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2</w:t>
            </w:r>
          </w:p>
        </w:tc>
      </w:tr>
      <w:tr>
        <w:trPr>
          <w:trHeight w:val="27"/>
        </w:trPr>
        <w:tc>
          <w:tcPr>
            <w:tcW w:w="59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9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selected primary portfolio statistics, by book year, as of December 31, 2017.</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6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0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Remaining of</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Policies Ever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Cumulative default</w:t>
            </w:r>
          </w:p>
        </w:tc>
        <w:tc>
          <w:tcPr>
            <w:tcW w:w="0" w:type="dxa"/>
            <w:vAlign w:val="bottom"/>
          </w:tcPr>
          <w:p>
            <w:pPr>
              <w:spacing w:after="0"/>
              <w:rPr>
                <w:sz w:val="1"/>
                <w:szCs w:val="1"/>
                <w:color w:val="auto"/>
              </w:rPr>
            </w:pPr>
          </w:p>
        </w:tc>
      </w:tr>
      <w:tr>
        <w:trPr>
          <w:trHeight w:val="149"/>
        </w:trPr>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Book year</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Insurance</w:t>
            </w:r>
          </w:p>
        </w:tc>
        <w:tc>
          <w:tcPr>
            <w:tcW w:w="12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4"/>
              </w:rPr>
              <w:t>Insurance in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Original</w:t>
            </w: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Loans in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Claims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Force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Insurance</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in Force</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Default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to Date) </w:t>
            </w:r>
            <w:r>
              <w:rPr>
                <w:rFonts w:ascii="Arial" w:cs="Arial" w:eastAsia="Arial" w:hAnsi="Arial"/>
                <w:sz w:val="8"/>
                <w:szCs w:val="8"/>
                <w:b w:val="1"/>
                <w:bCs w:val="1"/>
                <w:color w:val="auto"/>
                <w:w w:val="94"/>
              </w:rPr>
              <w:t>(1)</w:t>
            </w: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i w:val="1"/>
                <w:iCs w:val="1"/>
                <w:color w:val="auto"/>
                <w:w w:val="95"/>
              </w:rPr>
              <w:t>($ Values 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16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1,368</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40%</w:t>
            </w:r>
          </w:p>
        </w:tc>
        <w:tc>
          <w:tcPr>
            <w:tcW w:w="940" w:type="dxa"/>
            <w:vAlign w:val="bottom"/>
          </w:tcPr>
          <w:p>
            <w:pPr>
              <w:jc w:val="right"/>
              <w:spacing w:after="0"/>
              <w:rPr>
                <w:sz w:val="20"/>
                <w:szCs w:val="20"/>
                <w:color w:val="auto"/>
              </w:rPr>
            </w:pPr>
            <w:r>
              <w:rPr>
                <w:rFonts w:ascii="Arial" w:cs="Arial" w:eastAsia="Arial" w:hAnsi="Arial"/>
                <w:sz w:val="18"/>
                <w:szCs w:val="18"/>
                <w:color w:val="auto"/>
              </w:rPr>
              <w:t>14,786</w:t>
            </w:r>
          </w:p>
        </w:tc>
        <w:tc>
          <w:tcPr>
            <w:tcW w:w="1160" w:type="dxa"/>
            <w:vAlign w:val="bottom"/>
            <w:gridSpan w:val="3"/>
          </w:tcPr>
          <w:p>
            <w:pPr>
              <w:jc w:val="right"/>
              <w:ind w:right="44"/>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8,256</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16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37,771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18,066</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85%</w:t>
            </w:r>
          </w:p>
        </w:tc>
        <w:tc>
          <w:tcPr>
            <w:tcW w:w="940" w:type="dxa"/>
            <w:vAlign w:val="bottom"/>
          </w:tcPr>
          <w:p>
            <w:pPr>
              <w:jc w:val="right"/>
              <w:spacing w:after="0"/>
              <w:rPr>
                <w:sz w:val="20"/>
                <w:szCs w:val="20"/>
                <w:color w:val="auto"/>
              </w:rPr>
            </w:pPr>
            <w:r>
              <w:rPr>
                <w:rFonts w:ascii="Arial" w:cs="Arial" w:eastAsia="Arial" w:hAnsi="Arial"/>
                <w:sz w:val="18"/>
                <w:szCs w:val="18"/>
                <w:color w:val="auto"/>
              </w:rPr>
              <w:t>83,626</w:t>
            </w:r>
          </w:p>
        </w:tc>
        <w:tc>
          <w:tcPr>
            <w:tcW w:w="1160" w:type="dxa"/>
            <w:vAlign w:val="bottom"/>
            <w:gridSpan w:val="3"/>
          </w:tcPr>
          <w:p>
            <w:pPr>
              <w:jc w:val="right"/>
              <w:ind w:right="44"/>
              <w:spacing w:after="0"/>
              <w:rPr>
                <w:sz w:val="20"/>
                <w:szCs w:val="20"/>
                <w:color w:val="auto"/>
              </w:rPr>
            </w:pPr>
            <w:r>
              <w:rPr>
                <w:rFonts w:ascii="Arial" w:cs="Arial" w:eastAsia="Arial" w:hAnsi="Arial"/>
                <w:sz w:val="18"/>
                <w:szCs w:val="18"/>
                <w:color w:val="auto"/>
              </w:rPr>
              <w:t>73,986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20,739</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85,912</w:t>
            </w:r>
          </w:p>
        </w:tc>
        <w:tc>
          <w:tcPr>
            <w:tcW w:w="116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83,437</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128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58,809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48,465</w:t>
            </w:r>
          </w:p>
        </w:tc>
        <w:tc>
          <w:tcPr>
            <w:tcW w:w="12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237,527</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8"/>
                <w:szCs w:val="18"/>
                <w:color w:val="auto"/>
              </w:rPr>
              <w:t>202,351</w:t>
            </w: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w:t>
            </w: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488"/>
        <w:spacing w:after="0"/>
        <w:tabs>
          <w:tab w:leader="none" w:pos="820" w:val="left"/>
        </w:tabs>
        <w:numPr>
          <w:ilvl w:val="0"/>
          <w:numId w:val="29"/>
        </w:numPr>
        <w:rPr>
          <w:rFonts w:ascii="Arial" w:cs="Arial" w:eastAsia="Arial" w:hAnsi="Arial"/>
          <w:sz w:val="9"/>
          <w:szCs w:val="9"/>
          <w:color w:val="auto"/>
        </w:rPr>
      </w:pPr>
      <w:r>
        <w:rPr>
          <w:rFonts w:ascii="Arial" w:cs="Arial" w:eastAsia="Arial" w:hAnsi="Arial"/>
          <w:sz w:val="14"/>
          <w:szCs w:val="14"/>
          <w:color w:val="auto"/>
        </w:rPr>
        <w:t>The ratio of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29"/>
        </w:numPr>
        <w:rPr>
          <w:rFonts w:ascii="Arial" w:cs="Arial" w:eastAsia="Arial" w:hAnsi="Arial"/>
          <w:sz w:val="9"/>
          <w:szCs w:val="9"/>
          <w:color w:val="auto"/>
        </w:rPr>
      </w:pPr>
      <w:r>
        <w:rPr>
          <w:rFonts w:ascii="Arial" w:cs="Arial" w:eastAsia="Arial" w:hAnsi="Arial"/>
          <w:sz w:val="14"/>
          <w:szCs w:val="14"/>
          <w:color w:val="auto"/>
        </w:rPr>
        <w:t>The sum of the number of claims paid ever to date and number of loans in default as of the end of the period divided by policies ever in force.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38"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December 31, 2017, our RIF continues to be relatively more concentrated in California, primarily as a result of the size of the California mortgage market relative to the rest of the country and the location and timing of our acquisition of new customers.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 as of December 31, 2017</w:t>
            </w: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188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2017</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18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Texas</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6.8</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Arizona</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4.4</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Colorado</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4.2</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Utah</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3.0</w:t>
            </w:r>
          </w:p>
        </w:tc>
      </w:tr>
      <w:tr>
        <w:trPr>
          <w:trHeight w:val="27"/>
        </w:trPr>
        <w:tc>
          <w:tcPr>
            <w:tcW w:w="5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0"/>
        </w:trPr>
        <w:tc>
          <w:tcPr>
            <w:tcW w:w="55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Claims and Claims Expenses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Insurance claims and claims expenses incurred represent estimated future payments on newly defaulted insured loans and any change in our claim estimates for previously existing defaults. Claims incurred is generally affected by a variety of factors, including:</w:t>
      </w:r>
    </w:p>
    <w:p>
      <w:pPr>
        <w:spacing w:after="0" w:line="116" w:lineRule="exact"/>
        <w:rPr>
          <w:sz w:val="20"/>
          <w:szCs w:val="20"/>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macroeconomic factors, including unemployment, which affects the likelihood that borrowers may default on their loans, and rising interest rates, which tend to increase persistency, thereby extending the average life of our insured portfolio and increasing expected future claims;</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housing values, as such changes may affect loss mitigation opportunities on loans in default, as well as borrowers' behaviors and willingness to default if the values of their homes are below or perceived to be below their mortgage balances;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borrowers' FICO scores, with lower FICO scores tending to have higher probabilities of claims;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LTV ratios, with higher average LTV ratios tending to increase claims incurred;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DTI ratios, with higher DTIs generally tending to increase claims incurred;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 incurred;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borrower and loan level risk characteristics, such as cash-out refinancings, second homes or investment properties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at which we rescind policies, which we expect to be lower for us than recent rescission rates experienced by the private MI industry due to the terms of our Master Policy and generally tighter underwriting standards;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year.</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Reserves for claims and allocated claims expenses are established for mortgage loan defaults, which we refer to as case reserves, when we are notified that a borrower has missed two or more mortgage payments (</w:t>
      </w:r>
      <w:r>
        <w:rPr>
          <w:rFonts w:ascii="Arial" w:cs="Arial" w:eastAsia="Arial" w:hAnsi="Arial"/>
          <w:sz w:val="16"/>
          <w:szCs w:val="16"/>
          <w:i w:val="1"/>
          <w:iCs w:val="1"/>
          <w:color w:val="auto"/>
        </w:rPr>
        <w:t>i.e.</w:t>
      </w:r>
      <w:r>
        <w:rPr>
          <w:rFonts w:ascii="Arial" w:cs="Arial" w:eastAsia="Arial" w:hAnsi="Arial"/>
          <w:sz w:val="16"/>
          <w:szCs w:val="16"/>
          <w:color w:val="auto"/>
        </w:rPr>
        <w:t>, an NOD). We also make estimates of IBNR defaults, which are defaults that have been incurred but have not been reported by loan servicers, based on historical reporting trends, and establish IBNR reserves for those estimates. We also establish reserves for unallocated claims expenses not associated with a specific claim. The claims expenses consist of the estimated cost of the claim administration process, including legal and other fees as well as other general expenses of administering the claims settlement process.</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Reserves are established by estimating the number of loans in default that will result in a claim payment, which is referred to as claim frequency, and the amount of the claim payment expected to be paid on each such loan in default, which is referred to as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jc w:val="both"/>
        <w:spacing w:after="0" w:line="255" w:lineRule="auto"/>
        <w:rPr>
          <w:sz w:val="20"/>
          <w:szCs w:val="20"/>
          <w:color w:val="auto"/>
        </w:rPr>
      </w:pPr>
      <w:r>
        <w:rPr>
          <w:rFonts w:ascii="Arial" w:cs="Arial" w:eastAsia="Arial" w:hAnsi="Arial"/>
          <w:sz w:val="18"/>
          <w:szCs w:val="18"/>
          <w:color w:val="auto"/>
        </w:rPr>
        <w:t>claim severity. Claim frequency and severity estimates are established based on historical observed experience regarding certain loan factors, such as age of the default, cure rates, size of the loan and estimated change in property valuation. Reserves are released the month in which a loan in default is brought current by the borrower, which is referred to as a cure. Adjustments to reserve estimates are reflected in the period in which the adjustment is made. Reserves are also ceded to reinsurers under the 2016 QSR Transaction and will be ceded under the 2018 QSR Transaction beginning in 2018. We will not cede reserves to the reinsurer under the 2017 ILN Transaction unless losses exceed our retained coverage layer. Reserves are not established for future claims on insured loans which are not currently in default.</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our experience and industry data, we believe that claims incidence for mortgage insurance is generally highest in the third through sixth years after loan origination. As of December 31, 2017, over 95% of our primary IIF was related to business written since January 1, 2015. Although the claims experience on new primary insurance written by us to date has been favorable, we expect incurred claims to increase as a greater amount of our existing insured portfolio reaches its anticipated period of highest claim frequency. We estimate that the loss ratio over the life of our existing primary insured portfolio will be between 20% and 25% of earned premiums, and we price to that expectation. Additionally, our pool insurance agreement with Fannie Mae contains a claim deductible through which Fannie Mae absorbs specified losses before we are obligated to pay any claims. We have not established any pool reserves for claims or IBNR to date.</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profile of new business we write in the future. In addition, claims experience will be affected by future macroeconomic factors such as housing prices, interest rates and employment and other events, such as natural catastrophes. To date, our claims experience is developing at a slower pace than historical trends indicate, as a result of high quality underwriting, a strong macroeconomic environment and a favorable housing market. For additional discussion of our reserves, see Item 8, "</w:t>
      </w:r>
      <w:r>
        <w:rPr>
          <w:rFonts w:ascii="Arial" w:cs="Arial" w:eastAsia="Arial" w:hAnsi="Arial"/>
          <w:sz w:val="18"/>
          <w:szCs w:val="18"/>
          <w:i w:val="1"/>
          <w:iCs w:val="1"/>
          <w:color w:val="auto"/>
        </w:rPr>
        <w:t>Financial Statements and Supplementary Data - Notes to Consolidated Financial Statements - Note 7, Reserves for Insurance Claims and Claim</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insure mortgages for homes in areas that have been impacted by recent natural disasters, including hurricanes Harvey and Irma and the California wildfires. We do not provide coverage for property or casualty claims related to physical damage of a home underpinning an insured mortgage. We have experienced an increase in NODs on insured loans in the impacted areas. Our ultimate claims exposure will depend on the number of NODs received, proximate cause of each default and cure rate of the NOD population. In the event of natural disasters, cure rates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 year ended</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8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5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6"/>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70"/>
        </w:trPr>
        <w:tc>
          <w:tcPr>
            <w:tcW w:w="5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318"/>
        </w:trPr>
        <w:tc>
          <w:tcPr>
            <w:tcW w:w="58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80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r>
      <w:tr>
        <w:trPr>
          <w:trHeight w:val="270"/>
        </w:trPr>
        <w:tc>
          <w:tcPr>
            <w:tcW w:w="5800" w:type="dxa"/>
            <w:vAlign w:val="bottom"/>
            <w:tcBorders>
              <w:bottom w:val="single" w:sz="8" w:color="CCEEFF"/>
            </w:tcBorders>
          </w:tcPr>
          <w:p>
            <w:pPr>
              <w:ind w:left="48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r>
      <w:tr>
        <w:trPr>
          <w:trHeight w:val="318"/>
        </w:trPr>
        <w:tc>
          <w:tcPr>
            <w:tcW w:w="58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80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70"/>
        </w:trPr>
        <w:tc>
          <w:tcPr>
            <w:tcW w:w="5800" w:type="dxa"/>
            <w:vAlign w:val="bottom"/>
            <w:tcBorders>
              <w:bottom w:val="single" w:sz="8" w:color="CCEEFF"/>
            </w:tcBorders>
          </w:tcPr>
          <w:p>
            <w:pPr>
              <w:ind w:left="48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r>
      <w:tr>
        <w:trPr>
          <w:trHeight w:val="26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318"/>
        </w:trPr>
        <w:tc>
          <w:tcPr>
            <w:tcW w:w="58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70"/>
        </w:trPr>
        <w:tc>
          <w:tcPr>
            <w:tcW w:w="5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00" w:firstLine="8"/>
        <w:spacing w:after="0" w:line="244" w:lineRule="auto"/>
        <w:tabs>
          <w:tab w:leader="none" w:pos="187"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Related to ceded losses recoverable on the 2016 QSR Transaction, included in "Other Assets" on the Consolidated Balance Sheets. See Item 8, "</w:t>
      </w:r>
      <w:r>
        <w:rPr>
          <w:rFonts w:ascii="Arial" w:cs="Arial" w:eastAsia="Arial" w:hAnsi="Arial"/>
          <w:sz w:val="14"/>
          <w:szCs w:val="14"/>
          <w:i w:val="1"/>
          <w:iCs w:val="1"/>
          <w:color w:val="auto"/>
        </w:rPr>
        <w:t>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Supplementary Data - Notes to Consolidated Financial Statements - Note 6, Reinsurance,</w:t>
      </w:r>
      <w:r>
        <w:rPr>
          <w:rFonts w:ascii="Arial" w:cs="Arial" w:eastAsia="Arial" w:hAnsi="Arial"/>
          <w:sz w:val="14"/>
          <w:szCs w:val="14"/>
          <w:color w:val="auto"/>
        </w:rPr>
        <w:t>" for additional information.</w:t>
      </w:r>
    </w:p>
    <w:p>
      <w:pPr>
        <w:spacing w:after="0" w:line="11" w:lineRule="exact"/>
        <w:rPr>
          <w:rFonts w:ascii="Arial" w:cs="Arial" w:eastAsia="Arial" w:hAnsi="Arial"/>
          <w:sz w:val="22"/>
          <w:szCs w:val="22"/>
          <w:color w:val="auto"/>
          <w:vertAlign w:val="superscript"/>
        </w:rPr>
      </w:pPr>
    </w:p>
    <w:p>
      <w:pPr>
        <w:ind w:firstLine="8"/>
        <w:spacing w:after="0" w:line="244" w:lineRule="auto"/>
        <w:tabs>
          <w:tab w:leader="none" w:pos="187"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"claims incurred" section of the table above shows claims and claim expenses incurred on NODs for current and prior years, including IBNR reserves.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$1.0 million related to prior year defaults remained as of December 31, 2017.</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For the year ended</w:t>
            </w:r>
          </w:p>
        </w:tc>
        <w:tc>
          <w:tcPr>
            <w:tcW w:w="142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8"/>
              </w:rPr>
              <w:t>December 31, 2016</w:t>
            </w: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4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4640" w:type="dxa"/>
            <w:vAlign w:val="bottom"/>
            <w:gridSpan w:val="2"/>
          </w:tcPr>
          <w:p>
            <w:pPr>
              <w:jc w:val="right"/>
              <w:ind w:right="48"/>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284</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38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4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4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179</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615"/>
        </w:trPr>
        <w:tc>
          <w:tcPr>
            <w:tcW w:w="3840" w:type="dxa"/>
            <w:vAlign w:val="bottom"/>
          </w:tcPr>
          <w:p>
            <w:pPr>
              <w:spacing w:after="0"/>
              <w:rPr>
                <w:sz w:val="24"/>
                <w:szCs w:val="24"/>
                <w:color w:val="auto"/>
              </w:rPr>
            </w:pPr>
          </w:p>
        </w:tc>
        <w:tc>
          <w:tcPr>
            <w:tcW w:w="3140" w:type="dxa"/>
            <w:vAlign w:val="bottom"/>
          </w:tcPr>
          <w:p>
            <w:pPr>
              <w:jc w:val="right"/>
              <w:ind w:right="1090"/>
              <w:spacing w:after="0"/>
              <w:rPr>
                <w:sz w:val="20"/>
                <w:szCs w:val="20"/>
                <w:color w:val="auto"/>
              </w:rPr>
            </w:pPr>
            <w:r>
              <w:rPr>
                <w:rFonts w:ascii="Arial" w:cs="Arial" w:eastAsia="Arial" w:hAnsi="Arial"/>
                <w:sz w:val="18"/>
                <w:szCs w:val="18"/>
                <w:color w:val="auto"/>
              </w:rPr>
              <w:t>61</w:t>
            </w: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1" w:name="page62"/>
    <w:bookmarkEnd w:id="61"/>
    <w:p>
      <w:pPr>
        <w:jc w:val="both"/>
        <w:ind w:firstLine="648"/>
        <w:spacing w:after="0" w:line="259" w:lineRule="auto"/>
        <w:rPr>
          <w:sz w:val="20"/>
          <w:szCs w:val="20"/>
          <w:color w:val="auto"/>
        </w:rPr>
      </w:pPr>
      <w:r>
        <w:rPr>
          <w:rFonts w:ascii="Arial" w:cs="Arial" w:eastAsia="Arial" w:hAnsi="Arial"/>
          <w:sz w:val="18"/>
          <w:szCs w:val="18"/>
          <w:color w:val="auto"/>
        </w:rPr>
        <w:t>The increase in the ending default inventory at December 31, 2017 compared to December 31, 2016, was primarily due to new defaults on insured loans in areas impacted by hurricanes Harvey and Irma and the California wildfires, as well as the aging of earlier book years and an increase in the overall number of policies in our portfolio. The increase in the ending default inventory at December 31, 2016 compared to December 31, 2015 is tied to the growth in the number of policies in force and the expected loss development of our portfolio.</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2016 QSR Transaction,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6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2017</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December 31, 2015</w:t>
            </w:r>
          </w:p>
        </w:tc>
      </w:tr>
      <w:tr>
        <w:trPr>
          <w:trHeight w:val="264"/>
        </w:trPr>
        <w:tc>
          <w:tcPr>
            <w:tcW w:w="6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gridSpan w:val="3"/>
          </w:tcPr>
          <w:p>
            <w:pPr>
              <w:jc w:val="right"/>
              <w:ind w:right="734"/>
              <w:spacing w:after="0"/>
              <w:rPr>
                <w:sz w:val="20"/>
                <w:szCs w:val="20"/>
                <w:color w:val="auto"/>
              </w:rPr>
            </w:pPr>
            <w:r>
              <w:rPr>
                <w:rFonts w:ascii="Arial" w:cs="Arial" w:eastAsia="Arial" w:hAnsi="Arial"/>
                <w:sz w:val="14"/>
                <w:szCs w:val="14"/>
                <w:i w:val="1"/>
                <w:iCs w:val="1"/>
                <w:color w:val="auto"/>
              </w:rPr>
              <w:t>($ Values In Thousands)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1,266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367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54</w:t>
            </w:r>
          </w:p>
        </w:tc>
      </w:tr>
      <w:tr>
        <w:trPr>
          <w:trHeight w:val="27"/>
        </w:trPr>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amount paid per claim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r>
      <w:tr>
        <w:trPr>
          <w:trHeight w:val="341"/>
        </w:trPr>
        <w:tc>
          <w:tcPr>
            <w:tcW w:w="6880" w:type="dxa"/>
            <w:vAlign w:val="bottom"/>
          </w:tcPr>
          <w:p>
            <w:pPr>
              <w:ind w:left="4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72"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divided by the related RIF on the loan at the time the claim is perfected.</w:t>
      </w:r>
    </w:p>
    <w:p>
      <w:pPr>
        <w:spacing w:after="0" w:line="16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increase in the number of claims paid for the year ended December 31, 2017 compared to the years ended December 31, 2016 and 2015, is due to an increase in our default inventory. We expect the severity of claims we receive to be between 85% and 95% of the coverage amount for the near-term.</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1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2015</w:t>
            </w:r>
          </w:p>
        </w:tc>
      </w:tr>
      <w:tr>
        <w:trPr>
          <w:trHeight w:val="244"/>
        </w:trPr>
        <w:tc>
          <w:tcPr>
            <w:tcW w:w="6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19"/>
              <w:spacing w:after="0"/>
              <w:rPr>
                <w:sz w:val="20"/>
                <w:szCs w:val="20"/>
                <w:color w:val="auto"/>
              </w:rPr>
            </w:pPr>
            <w:r>
              <w:rPr>
                <w:rFonts w:ascii="Arial" w:cs="Arial" w:eastAsia="Arial" w:hAnsi="Arial"/>
                <w:sz w:val="14"/>
                <w:szCs w:val="14"/>
                <w:i w:val="1"/>
                <w:iCs w:val="1"/>
                <w:color w:val="auto"/>
                <w:w w:val="93"/>
              </w:rPr>
              <w:t>(In Thousands)</w:t>
            </w: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6180" w:type="dxa"/>
            <w:vAlign w:val="bottom"/>
          </w:tcPr>
          <w:p>
            <w:pPr>
              <w:ind w:left="40"/>
              <w:spacing w:after="0" w:line="282"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1480" w:type="dxa"/>
            <w:vAlign w:val="bottom"/>
          </w:tcPr>
          <w:p>
            <w:pPr>
              <w:jc w:val="right"/>
              <w:ind w:right="1276"/>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1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tcBorders>
          </w:tcPr>
          <w:p>
            <w:pPr>
              <w:jc w:val="right"/>
              <w:ind w:right="1276"/>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6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average reserve per default at December 31, 2017 decreased from December 31, 2016 primarily due to new defaults on insured loans in areas impacted by hurricanes Harvey and Irma and the California wildfires. As of December 31, 2017, 533 of the 928 loans in default relate to homes in areas declared by FEMA to be disaster zones following the aforementioned natural disasters. We anticipate that this population of loans in default will cure at a higher rate than the estimated rate we apply to non-disaster related loans in default, due to our Master Policy coverage terms, historical industry experience, and current economic indicators and relief programs. As such, we have established lower reserves for these NODs than we otherwise do for similarly situated NODs in non-disaster zones. Over time, we anticipate that our average reserve per default will revert to our historical averages as the NODs in these zones cure.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 In addition, while macroeconomic factors in any given period may influence default experience to a greater extent than does seasonality, our industry has typically experienced a fourth quarter seasonal increase in the number of defaults and a first quarter seasonal decline in the number of defaults and increase in the number of cures.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NMIC is subject to ongoing compliance with the PMIERs.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as described below.) The PMIERs establish operational, business, remedial and financial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 xml:space="preserve">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8"/>
          <w:szCs w:val="18"/>
          <w:i w:val="1"/>
          <w:iCs w:val="1"/>
          <w:color w:val="auto"/>
        </w:rPr>
        <w:t>i.e.</w:t>
      </w:r>
      <w:r>
        <w:rPr>
          <w:rFonts w:ascii="Arial" w:cs="Arial" w:eastAsia="Arial" w:hAnsi="Arial"/>
          <w:sz w:val="18"/>
          <w:szCs w:val="18"/>
          <w:color w:val="auto"/>
        </w:rPr>
        <w:t>, current vs. delinquent), LTV and other risk features. An asset charge is calculated for each insured loan based on its risk profile. In general, higher quality loans carry lower charges.</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and other transactional adjustments approved by the GSEs, such as with respect to our 2017 ILN Transaction and 2016 QSR Transaction.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risk-based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required asset amount </w:t>
      </w:r>
      <w:r>
        <w:rPr>
          <w:rFonts w:ascii="Arial" w:cs="Arial" w:eastAsia="Arial" w:hAnsi="Arial"/>
          <w:sz w:val="18"/>
          <w:szCs w:val="18"/>
          <w:color w:val="auto"/>
        </w:rPr>
        <w:t>for pool insurance considers both the factors in the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 The PMIERs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LPMI policies originated on or after January 1, 2016.</w:t>
      </w:r>
    </w:p>
    <w:p>
      <w:pPr>
        <w:spacing w:after="0" w:line="1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By April 15th of each year, NMIC must certify it met all PMIERs requirements as of December 31st of the prior year. As of December 31, 2017, NMIC had sufficient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to meet the PMIERs financial requirements, and we expect to certify to the GSEs by April 15, 2018 that NMIC fully complied with the PMIERs as of December 31, 2017. NMIC also has an ongoing obligation to immediately notify the GSEs in writing upon discovery of its failure to meet one or more of the PMIERs requirements. We continuously monitor our compliance with the PMIERs.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the PMIERs financial requirements as reported by NMIC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6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right"/>
              <w:ind w:right="379"/>
              <w:spacing w:after="0"/>
              <w:rPr>
                <w:sz w:val="20"/>
                <w:szCs w:val="20"/>
                <w:color w:val="auto"/>
              </w:rPr>
            </w:pPr>
            <w:r>
              <w:rPr>
                <w:rFonts w:ascii="Arial" w:cs="Arial" w:eastAsia="Arial" w:hAnsi="Arial"/>
                <w:sz w:val="14"/>
                <w:szCs w:val="14"/>
                <w:i w:val="1"/>
                <w:iCs w:val="1"/>
                <w:color w:val="auto"/>
              </w:rPr>
              <w:t>($ values in thousands)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Available Assets</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527,897</w:t>
            </w:r>
          </w:p>
        </w:tc>
        <w:tc>
          <w:tcPr>
            <w:tcW w:w="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453,523</w:t>
            </w:r>
          </w:p>
        </w:tc>
        <w:tc>
          <w:tcPr>
            <w:tcW w:w="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431,411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Risk-Based Required Assets</w:t>
            </w:r>
          </w:p>
        </w:tc>
        <w:tc>
          <w:tcPr>
            <w:tcW w:w="16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446,226</w:t>
            </w:r>
          </w:p>
        </w:tc>
        <w:tc>
          <w:tcPr>
            <w:tcW w:w="2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366,584</w:t>
            </w:r>
          </w:p>
        </w:tc>
        <w:tc>
          <w:tcPr>
            <w:tcW w:w="2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249,805</w:t>
            </w:r>
          </w:p>
        </w:tc>
      </w:tr>
    </w:tbl>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Available assets </w:t>
      </w:r>
      <w:r>
        <w:rPr>
          <w:rFonts w:ascii="Arial" w:cs="Arial" w:eastAsia="Arial" w:hAnsi="Arial"/>
          <w:sz w:val="17"/>
          <w:szCs w:val="17"/>
          <w:color w:val="auto"/>
        </w:rPr>
        <w:t>were $528 million at December 31, 2017, compared to $454 million at December 31, 2016 and $431 million at December 31, 2015.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increase 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of $74 million at December 31, 2017 and $23 million at December 31, 2016 was driven by positive cash flow from operations and the amortization of unearned premium reserves during each period. The increase in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at each measurement date is due to the growth of our gross RIF, partially offset by the cession of risk relating to our third-party reinsurance agreements.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December 18, 2017, the GSEs provided us with a confidential summary of the proposed changes to the PMIERs financial, business and other requirements that they are developing with the FHFA. We have engaged in conversations with the FHFA and the GSEs about the proposed changes and expect to continue to provide feedback to them in the coming months. Once changes to the PMIERs requirements are finalized, we expect the industry will be afforded a six month implementation period and currently anticipate that updated PMIERs requirements, if any, will take effect no sooner than the fourth quarter of 2018.</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Cybersecurity</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participant in the mortgage lending and MI industries, we rely on e-commerce and other technologies to provide and expand our products and services. We have established and implemented security measures, controls and procedures to safeguard our information technology systems and to prevent unauthorized access to such systems and any data processed and/or stored in such systems. We periodically employ third parties to evaluate and test the adequacy of such systems, controls and procedures. In addition, we have established a business continuity plan that is designed to allow our business to continue to operate in the midst of certain disruptive events, including any disruptions to our information technology systems. We also have an incident response plan that is designed to address information security incidents, including breaches of our information technology systems. Despite these safeguards, disruptions to and breaches of our information technology systems are possible and may negatively impact our business.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cyber errors and omissions coverage to limit our exposure if an incident occurs. This insurance provides coverage for (i) claims related to, among other things, unauthorized network or computer access, unintentional disclosure or misuse of personally identifiable information in our possession, unintentional failure to disclose a breach and (ii) certain costs related to privacy notification, crisis management, cyber extortion, data recovery and business interruption.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also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NMIC's performing primary RIF, net of reinsurance, was approximately $7.3 billion. NMIC ceded 100% of its pool RIF pursuant to the 2016 QSR Transaction. Based on NMIC's total statutory capital of $524 million (including contingency reserves) as of December 31, 2017, NMIC's RTC ratio was 14.0:1. Re One had total statutory capital of $34 million as of December 31, 2017, with a RTC ratio of 0.8:1. We continuously monitor our compliance with state capital requirements.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2017, Moody's Investors Service (Moody's) upgraded its financial strength rating from "Ba2" to "Ba1" for NMIC. At that time, Moody's also upgraded its rating of NMIH's $150 million Term Loan from "B2" to "B1." In August 2017, Moody's re-affirmed its "Ba1" financial strength rating for NMIC and its B1 rating of NMIH's $150 million Term Loan and upgraded the outlook for both ratings from "stable" to "positive." In July 2017, S&amp;P re-affirmed its "BBB-" financial strength and long-term counter-party credit ratings on NMIC and its "BB-" long-term counter-party credit rating on NMIH and upgraded the outlook for both ratings to "positive."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 industry is highly competitive and currently consists of six private mortgage insurers, including NMIC, as well as public MIs like the FHA and the VA. Private MI companies compete based on service, customer relationships, underwriting and other factors, including price. See Part I, Item 1, "Business - Overview of Residential Mortgage Finance and the Role of the Private MI Industry in the Current Operating Environment - Competition," above. We expect the MI market to remain competitive, with pressure for industry participants to grow or maintain their market share.</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private MI industry overall competes more broadly with public MIs who significantly increased their presence in the MI market following the financial crisis. Although there has been broad policy consensus toward the need for private capital to play a larger role and government credit risk to be reduced in the U.S. housing finance system, it remains difficult to predict whether the combined market share of public MIs will recede to historical levels. A range of factors influence a lender's decision to choose private over public MI, including among others, premium rates and other charges, loan eligibility requirements, cancelability, loan size limits and the relative ease of use of private MI products compared to public MI alternatives.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For the year ended December 31,</w:t>
            </w:r>
          </w:p>
        </w:tc>
        <w:tc>
          <w:tcPr>
            <w:tcW w:w="1340" w:type="dxa"/>
            <w:vAlign w:val="bottom"/>
            <w:tcBorders>
              <w:bottom w:val="single" w:sz="8" w:color="auto"/>
            </w:tcBorders>
          </w:tcPr>
          <w:p>
            <w:pPr>
              <w:spacing w:after="0"/>
              <w:rPr>
                <w:sz w:val="16"/>
                <w:szCs w:val="16"/>
                <w:color w:val="auto"/>
              </w:rPr>
            </w:pPr>
          </w:p>
        </w:tc>
      </w:tr>
      <w:tr>
        <w:trPr>
          <w:trHeight w:val="263"/>
        </w:trPr>
        <w:tc>
          <w:tcPr>
            <w:tcW w:w="59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w w:val="89"/>
              </w:rPr>
              <w:t xml:space="preserve">2016 </w:t>
            </w:r>
            <w:r>
              <w:rPr>
                <w:rFonts w:ascii="Arial" w:cs="Arial" w:eastAsia="Arial" w:hAnsi="Arial"/>
                <w:sz w:val="8"/>
                <w:szCs w:val="8"/>
                <w:b w:val="1"/>
                <w:bCs w:val="1"/>
                <w:color w:val="auto"/>
                <w:w w:val="89"/>
              </w:rPr>
              <w:t>(3)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2015</w:t>
            </w:r>
          </w:p>
        </w:tc>
      </w:tr>
      <w:tr>
        <w:trPr>
          <w:trHeight w:val="251"/>
        </w:trPr>
        <w:tc>
          <w:tcPr>
            <w:tcW w:w="5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21"/>
                <w:szCs w:val="21"/>
                <w:color w:val="auto"/>
              </w:rPr>
            </w:pPr>
          </w:p>
        </w:tc>
        <w:tc>
          <w:tcPr>
            <w:tcW w:w="3760" w:type="dxa"/>
            <w:vAlign w:val="bottom"/>
            <w:gridSpan w:val="7"/>
          </w:tcPr>
          <w:p>
            <w:pPr>
              <w:jc w:val="center"/>
              <w:ind w:left="872"/>
              <w:spacing w:after="0"/>
              <w:rPr>
                <w:sz w:val="20"/>
                <w:szCs w:val="20"/>
                <w:color w:val="auto"/>
              </w:rPr>
            </w:pPr>
            <w:r>
              <w:rPr>
                <w:rFonts w:ascii="Arial" w:cs="Arial" w:eastAsia="Arial" w:hAnsi="Arial"/>
                <w:sz w:val="14"/>
                <w:szCs w:val="14"/>
                <w:i w:val="1"/>
                <w:iCs w:val="1"/>
                <w:color w:val="auto"/>
                <w:w w:val="92"/>
              </w:rPr>
              <w:t>(In Thousands, except for share data)</w:t>
            </w:r>
          </w:p>
        </w:tc>
        <w:tc>
          <w:tcPr>
            <w:tcW w:w="1340" w:type="dxa"/>
            <w:vAlign w:val="bottom"/>
          </w:tcPr>
          <w:p>
            <w:pPr>
              <w:spacing w:after="0"/>
              <w:rPr>
                <w:sz w:val="21"/>
                <w:szCs w:val="21"/>
                <w:color w:val="auto"/>
              </w:rPr>
            </w:pPr>
          </w:p>
        </w:tc>
      </w:tr>
      <w:tr>
        <w:trPr>
          <w:trHeight w:val="256"/>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165,740</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110,481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45,506</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16,273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13,751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7,246</w:t>
            </w: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 (losses)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831</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182,743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123,815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53,608</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5,339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106,979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93,223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80,599</w:t>
            </w: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112,318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95,615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81,249</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1,905</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(13,528)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(2,057)</w:t>
            </w: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52,792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(27,793)</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30,742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(52,549)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22,050</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64,001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(27,793)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38"/>
        </w:trPr>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5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r>
      <w:tr>
        <w:trPr>
          <w:trHeight w:val="23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7"/>
        </w:trPr>
        <w:tc>
          <w:tcPr>
            <w:tcW w:w="5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1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Loss ratio is calculated by dividing the provision for insurance claims and claims expenses by net premiums earned.</w:t>
      </w:r>
    </w:p>
    <w:p>
      <w:pPr>
        <w:ind w:left="180" w:hanging="172"/>
        <w:spacing w:after="0" w:line="187" w:lineRule="auto"/>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Expense ratio is calculated by dividing other underwriting and operating expenses by net premiums earned.</w:t>
      </w:r>
    </w:p>
    <w:p>
      <w:pPr>
        <w:ind w:right="20" w:firstLine="8"/>
        <w:spacing w:after="0" w:line="234" w:lineRule="auto"/>
        <w:tabs>
          <w:tab w:leader="none" w:pos="167"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2016 prior period consolidated statements of operations has been revised. See Item 8</w:t>
      </w:r>
      <w:r>
        <w:rPr>
          <w:rFonts w:ascii="Arial" w:cs="Arial" w:eastAsia="Arial" w:hAnsi="Arial"/>
          <w:sz w:val="15"/>
          <w:szCs w:val="15"/>
          <w:i w:val="1"/>
          <w:iCs w:val="1"/>
          <w:color w:val="auto"/>
        </w:rPr>
        <w:t>, "Financial Statements and Supplementary Data - Notes to 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 Note 2, Summary of Accounting Principles - Immaterial Correction of Prior Period Amounts,</w:t>
      </w:r>
      <w:r>
        <w:rPr>
          <w:rFonts w:ascii="Arial" w:cs="Arial" w:eastAsia="Arial" w:hAnsi="Arial"/>
          <w:sz w:val="15"/>
          <w:szCs w:val="15"/>
          <w:color w:val="auto"/>
        </w:rPr>
        <w:t>" for further details.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2017, net premiums earned totaled $165.7 million compared to $110.5 million for the year ended December 31, 2016 and $45.5 million for the year ended December 31, 2015. The increase of net premiums earned of $55.2 million in 2017 was primarily due to the growth of our IIF and increased monthly policy production, partially offset by the decreases in single premium NIW and earnings from cancellations, and the impact of cessions under the 2017 ILN transaction and 2016 QSR Transaction. The $65.0 million increase in net premiums earned in 2016 was primarily due to the growth of our IIF, increased single premium NIW production and higher earnings from cancellations, partially offset by the effect of the 2016 QSR Transaction.</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2017, net investment income was $16.3 million compared to $13.8 million for the year ended December 31, 2016 and $7.2 million for the year ended December 31, 2015. The increase in both periods was due to an increase in the size of and improved yields on our total investment portfolio.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insurance claims and claims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2017, insurance claims and claims expenses were $5.3 million compared to $2.4 million for the year ended December 31, 2016 and $0.7 million for the year ended December 31, 2015. Insurance claims and claims expenses increased $2.9 million in 2017, as a result of new defaults on insured loans in areas impacted by hurricanes Harvey and Irma and the California wildfires, as well as an increase in the overall number of policies in our portfolio and aging of earlier book years, offset by the partial release of reserves related to prior year defaults. Insurance claims and claims expenses increased $1.7 million in 2016 compared to 2015 primarily due to an increase in the overall number of policies in our portfolio and aging of earlier book years.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Underwriting and operating expenses were $107.0 million for the year ended December 31, 2017, compared to $93.2 million and $80.6 million for the years ended December 31, 2016 and 2015, respectively. Employee compensation accounts for the majority of our operating expenses. We increased the size of our workforce from 243 employees at December 31, 2015 to 276 employees at December 31, 2016 and to 299 employees at December 31, 2017 to support the growth of our business, particularly our sales and operating functions. Underwriting and operating expenses for the year ended December 31, 2017 also reflect $4.9 million of operating expenses related to the 2017 ILN Transaction and amendment of our Credit Agreement.</w:t>
      </w:r>
    </w:p>
    <w:p>
      <w:pPr>
        <w:spacing w:after="0" w:line="1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Interest expense was $13.5 million, $14.8 million and $2.1 million for the years ended December 31, 2017, 2016 and 2015, respectively. Interest expense declined in 2017 compared to 2016 in connection with the amendment of our Credit Agreement completed in February 2017, which among other items, reduced the interest spread payable on the Term Loan. The interest expense reduction was partially offset by a rise in the underlying LIBOR rate during 2017. See Item 8, "</w:t>
      </w:r>
      <w:r>
        <w:rPr>
          <w:rFonts w:ascii="Arial" w:cs="Arial" w:eastAsia="Arial" w:hAnsi="Arial"/>
          <w:sz w:val="16"/>
          <w:szCs w:val="16"/>
          <w:i w:val="1"/>
          <w:iCs w:val="1"/>
          <w:color w:val="auto"/>
        </w:rPr>
        <w:t>Financial Statements and Supplementary Data - Notes to Consolidated Financial Statements - Note 5, Term Loan.</w:t>
      </w:r>
      <w:r>
        <w:rPr>
          <w:rFonts w:ascii="Arial" w:cs="Arial" w:eastAsia="Arial" w:hAnsi="Arial"/>
          <w:sz w:val="16"/>
          <w:szCs w:val="16"/>
          <w:color w:val="auto"/>
        </w:rPr>
        <w:t>" Interest expense increased in 2016 compared to 2015, reflecting a full year of interest expense for the Term Loan, which we established in the fourth quarter of 2015.</w:t>
      </w:r>
    </w:p>
    <w:p>
      <w:pPr>
        <w:spacing w:after="0" w:line="1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Income tax expense was $30.7 million for the year ended December 31, 2017 compared to income tax benefit of $52.5 million for the year ended December 31, 2016 and no income tax provision for the year ended December 31, 2015. The fluctuation of our income taxes is the result of significant events during each of periods presented. During the year ended December 31, 2017, we recorded a one-time non-cash charge of $13.6 million primarily due to the re-measurement of net deferred tax assets in connection with the enactment of the Tax Cuts and Jobs Act. During the year ended December 31, 2016, we recorded a one-time non-cash benefit of $58.8 million related to the release of the valuation allowance recorded against our federal and certain state net deferred tax assets. During the year ended December 31, 2015, we did not record an income tax expense due to the recognition of a valuation allowance against our federal and state net deferred tax assets. For further information regarding income taxes and their impact on our results of operations and financial position, see Item 8, </w:t>
      </w:r>
      <w:r>
        <w:rPr>
          <w:rFonts w:ascii="Arial" w:cs="Arial" w:eastAsia="Arial" w:hAnsi="Arial"/>
          <w:sz w:val="16"/>
          <w:szCs w:val="16"/>
          <w:i w:val="1"/>
          <w:iCs w:val="1"/>
          <w:color w:val="auto"/>
        </w:rPr>
        <w:t>"Financial Statements and Supplementary Data - Notes to Consolidated Financial Statements - Note 11, Income Taxes."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tbl>
      <w:tblPr>
        <w:tblLayout w:type="fixed"/>
        <w:tblInd w:w="420" w:type="dxa"/>
        <w:tblCellMar>
          <w:top w:w="0" w:type="dxa"/>
          <w:left w:w="0" w:type="dxa"/>
          <w:bottom w:w="0" w:type="dxa"/>
          <w:right w:w="0" w:type="dxa"/>
        </w:tblCellMar>
      </w:tblPr>
      <w:tr>
        <w:trPr>
          <w:trHeight w:val="192"/>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 xml:space="preserve">December 31, 2016 </w:t>
            </w:r>
            <w:r>
              <w:rPr>
                <w:rFonts w:ascii="Arial" w:cs="Arial" w:eastAsia="Arial" w:hAnsi="Arial"/>
                <w:sz w:val="8"/>
                <w:szCs w:val="8"/>
                <w:b w:val="1"/>
                <w:bCs w:val="1"/>
                <w:color w:val="auto"/>
                <w:w w:val="98"/>
              </w:rPr>
              <w:t>(1)</w:t>
            </w:r>
          </w:p>
        </w:tc>
      </w:tr>
      <w:tr>
        <w:trPr>
          <w:trHeight w:val="250"/>
        </w:trPr>
        <w:tc>
          <w:tcPr>
            <w:tcW w:w="6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80" w:type="dxa"/>
            <w:vAlign w:val="bottom"/>
            <w:gridSpan w:val="4"/>
          </w:tcPr>
          <w:p>
            <w:pPr>
              <w:jc w:val="right"/>
              <w:ind w:right="137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investment portfolio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715,875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628,969</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47,746</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13,728</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Deferred policy acquisition costs, net</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37,925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30,109</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Software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20,402</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Prepaid reinsurance premiums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40,250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37,921</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51,434</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13,692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9,588</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894,848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839,897</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Term loan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143,882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144,353</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152,906</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23,364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25,297</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Reserve for insurance claims and claims expenses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Reinsurance funds withheld</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34,102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30,633</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ceding commission</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4,831</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3,367</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385,771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364,388</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509,077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475,509</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894,848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839,897</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firstLine="8"/>
        <w:spacing w:after="0" w:line="364" w:lineRule="auto"/>
        <w:tabs>
          <w:tab w:leader="none" w:pos="153"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The 2016 prior period balance sheet has been revised. See Item 8, "</w:t>
      </w:r>
      <w:r>
        <w:rPr>
          <w:rFonts w:ascii="Arial" w:cs="Arial" w:eastAsia="Arial" w:hAnsi="Arial"/>
          <w:sz w:val="13"/>
          <w:szCs w:val="13"/>
          <w:i w:val="1"/>
          <w:iCs w:val="1"/>
          <w:color w:val="auto"/>
        </w:rPr>
        <w:t>Financial Statements and Supplementary Data - Notes to Consolidated Financial Statements - Note 2,</w:t>
      </w:r>
      <w:r>
        <w:rPr>
          <w:rFonts w:ascii="Arial" w:cs="Arial" w:eastAsia="Arial" w:hAnsi="Arial"/>
          <w:sz w:val="13"/>
          <w:szCs w:val="13"/>
          <w:color w:val="auto"/>
        </w:rPr>
        <w:t xml:space="preserve"> </w:t>
      </w:r>
      <w:r>
        <w:rPr>
          <w:rFonts w:ascii="Arial" w:cs="Arial" w:eastAsia="Arial" w:hAnsi="Arial"/>
          <w:sz w:val="13"/>
          <w:szCs w:val="13"/>
          <w:i w:val="1"/>
          <w:iCs w:val="1"/>
          <w:color w:val="auto"/>
        </w:rPr>
        <w:t>Summary of Accounting Principles - Immaterial Correction of Prior Period Amounts</w:t>
      </w:r>
      <w:r>
        <w:rPr>
          <w:rFonts w:ascii="Arial" w:cs="Arial" w:eastAsia="Arial" w:hAnsi="Arial"/>
          <w:sz w:val="13"/>
          <w:szCs w:val="13"/>
          <w:color w:val="auto"/>
        </w:rPr>
        <w:t>," for further details.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we had approximately $735.1 million in cash and investments, including $51.0 million held at NMIH. The increase in cash and investments from year-end 2016 primarily relates to cash generated from operations.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deferred policy acquisition costs (DAC) were $37.9 million as of December 31, 2017, compared to $30.1 million as of December 31, 2016. The increase was driven by growth in the number of policies written during the year ended December 31, 2017 and the deferment of certain costs associated with the origination of those policies, partially offset by the amortization of previously deferred acquisition costs and the capitalization of ceding commissions associated with the 2016 QSR Transaction during the period.</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Premiums receivable increased to $25.2 million as of December 31, 2017, compared to $13.7 million as of December 31, 2016 due to growth in the number of monthly policies in force.</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Deferred tax asset, net decreased to $19.9 million as of December 31, 2017, from $51.4 million at December 31, 2016 due to the re-measurement of our deferred tax balances at the reduced statutory U.S. federal corporate income tax rate of 21% and the utilization of net operating loss carryforwards during the period. For further information regarding income taxes and their impact on our results of operations and financial position, see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and Supplementary Data - Notes to Consolidated Financial Statements - Note 11, Income Taxes."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Unearned premiums increased $10.3 million to $163.2 million as of December 31, 2017, primarily due to single premium policy origination during the period, offset by the amortization through earnings of existing unearned premiums in accordance with the expiration of risk on the related policies and the cancellation of other single premium policies.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Reserve for insurance claims and claims expenses increased $5.8 million to $8.8 million at December 31, 2017, due to an increase in our default inventory at December 31, 2017. See "</w:t>
      </w:r>
      <w:r>
        <w:rPr>
          <w:rFonts w:ascii="Arial" w:cs="Arial" w:eastAsia="Arial" w:hAnsi="Arial"/>
          <w:sz w:val="18"/>
          <w:szCs w:val="18"/>
          <w:i w:val="1"/>
          <w:iCs w:val="1"/>
          <w:color w:val="auto"/>
        </w:rPr>
        <w:t>- Insurance Claims and Claims Expenses</w:t>
      </w:r>
      <w:r>
        <w:rPr>
          <w:rFonts w:ascii="Arial" w:cs="Arial" w:eastAsia="Arial" w:hAnsi="Arial"/>
          <w:sz w:val="18"/>
          <w:szCs w:val="18"/>
          <w:color w:val="auto"/>
        </w:rPr>
        <w:t>," above for further details.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Warrant liability increased to $7.5 million at December 31, 2017, compared to $3.4 million at December 31, 2016 primarily due to an increase in our stock price during the year.</w:t>
      </w:r>
    </w:p>
    <w:p>
      <w:pPr>
        <w:spacing w:after="0" w:line="197" w:lineRule="exact"/>
        <w:rPr>
          <w:sz w:val="20"/>
          <w:szCs w:val="20"/>
          <w:color w:val="auto"/>
        </w:rPr>
      </w:pPr>
    </w:p>
    <w:p>
      <w:pPr>
        <w:jc w:val="both"/>
        <w:ind w:right="20" w:firstLine="221"/>
        <w:spacing w:after="0" w:line="277" w:lineRule="auto"/>
        <w:rPr>
          <w:sz w:val="20"/>
          <w:szCs w:val="20"/>
          <w:color w:val="auto"/>
        </w:rPr>
      </w:pPr>
      <w:r>
        <w:rPr>
          <w:rFonts w:ascii="Arial" w:cs="Arial" w:eastAsia="Arial" w:hAnsi="Arial"/>
          <w:sz w:val="18"/>
          <w:szCs w:val="18"/>
          <w:color w:val="auto"/>
        </w:rPr>
        <w:t>Reinsurance funds withheld was $34.1 million as of December 31, 2017, representing the net of our ceded reinsurance premiums written, less our profit and ceding commission receivables related to the 2016 QSR Transaction. The increase in reinsurance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6"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funds withheld of $3.5 million from December 31, 2016, was a result of increased ceded premiums written. See,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 Notes to Consolidated Financial Statements - Note 6, Reinsurance</w:t>
      </w:r>
      <w:r>
        <w:rPr>
          <w:rFonts w:ascii="Arial" w:cs="Arial" w:eastAsia="Arial" w:hAnsi="Arial"/>
          <w:sz w:val="18"/>
          <w:szCs w:val="18"/>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76"/>
              <w:spacing w:after="0"/>
              <w:rPr>
                <w:sz w:val="20"/>
                <w:szCs w:val="20"/>
                <w:color w:val="auto"/>
              </w:rPr>
            </w:pPr>
            <w:r>
              <w:rPr>
                <w:rFonts w:ascii="Arial" w:cs="Arial" w:eastAsia="Arial" w:hAnsi="Arial"/>
                <w:sz w:val="14"/>
                <w:szCs w:val="14"/>
                <w:b w:val="1"/>
                <w:bCs w:val="1"/>
                <w:color w:val="auto"/>
                <w:w w:val="92"/>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3"/>
        </w:trPr>
        <w:tc>
          <w:tcPr>
            <w:tcW w:w="60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provided by:</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04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67,763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71,944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41,463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(93,072)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(79,792)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(230,165)</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142,998</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(28,550)</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(45,704)</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$67.8 million for the year ended December 31, 2017, compared to $71.9 million for the year ended December 31, 2016, and $41.5 million for the year ended December 31, 2015. The decrease in cash generated from operating activities in 2017 compared to 2016 was primarily caused by increased operating expenses in connection with employee compensation and benefits costs and higher claims paid due to an increase in our default inventory offset by growth in direct premiums written. The increase in cash generated from operating activities in 2016 compared to 2015 was primarily due to the higher premiums written offset by increased operating expenses associated with the hiring of management and staff personnel and costs for contract and professional services.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in investing activities for the periods presented was driven by the purchase of fixed and short-term maturities during those periods.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used in financing activities was $3.2 million and $1.7 million for the year ended December 31, 2017, and 2016, and primarily relates to taxes paid on the net share settlement of equity awards for certain employees. Cash provided by financing activities was $143.0 million for the year ended December 31, 2015, and primarily relates to proceeds from the Term Loan which we established in the fourth quarter of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payment of principal and interest related to the Term Loan; (iv) tax payments to the Internal Revenue Service; (v) capital support for its subsidiaries; and</w:t>
      </w:r>
    </w:p>
    <w:p>
      <w:pPr>
        <w:spacing w:after="0" w:line="32" w:lineRule="exact"/>
        <w:rPr>
          <w:rFonts w:ascii="Arial" w:cs="Arial" w:eastAsia="Arial" w:hAnsi="Arial"/>
          <w:sz w:val="16"/>
          <w:szCs w:val="16"/>
          <w:color w:val="auto"/>
        </w:rPr>
      </w:pPr>
    </w:p>
    <w:p>
      <w:pPr>
        <w:jc w:val="both"/>
        <w:ind w:firstLine="8"/>
        <w:spacing w:after="0" w:line="255"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surplus or recent net profits (subject to certain limitations).</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NMIH had $51.0 million of cash and investments. NMIH's principal source of net cash is investment income and in the future could include dividends from NMIC, if available and permitted under law and by the GSEs.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its Term Loan to NMIC in the first quarter of 2017, consistent with the benefits NMIC received when NMIH down-streamed the loan proceeds to NMIC.</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NMIC's ability to pay dividends to NMIH is subject to insurance department notice or approval. Under Wisconsin law, NMIC may pay dividends up to specified levels (</w:t>
      </w:r>
      <w:r>
        <w:rPr>
          <w:rFonts w:ascii="Arial" w:cs="Arial" w:eastAsia="Arial" w:hAnsi="Arial"/>
          <w:sz w:val="17"/>
          <w:szCs w:val="17"/>
          <w:i w:val="1"/>
          <w:iCs w:val="1"/>
          <w:color w:val="auto"/>
        </w:rPr>
        <w:t>i.e.</w:t>
      </w:r>
      <w:r>
        <w:rPr>
          <w:rFonts w:ascii="Arial" w:cs="Arial" w:eastAsia="Arial" w:hAnsi="Arial"/>
          <w:sz w:val="17"/>
          <w:szCs w:val="17"/>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NMIC has never paid any dividends to NMIH. NMIC reported a statutory net loss for the twelve months ended December 31, 2017 and currently cannot pay any dividends to NMIH through December 31, 2018 without the prior approval of the Wisconsin OCI. Certain other states in which NMIC is licensed also have statutes or regulations that restrict its ability to pay dividends.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65" w:right="239" w:bottom="1440" w:gutter="0" w:footer="0" w:header="0"/>
        </w:sectPr>
      </w:pPr>
    </w:p>
    <w:bookmarkStart w:id="68" w:name="page69"/>
    <w:bookmarkEnd w:id="68"/>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2015, NMIH entered into the Credit Agreement for the Term Loan. On February 10, 2017, NMIH amended the Credit Agreement (Amendment No. 1) to reduce the interest rate and extend the maturity date of the Term Loan from November 10, 2018 to November 10, 2019. The amended Term Loan bears interest at the Eurodollar Rate, as defined in the Credit Agreement and subject to a 1.00% floor, plus an annual margin rate of 6.75%, payable monthly or quarterly based on our interest rate election. On October 25, 2017, NMIH further amended the Credit Agreement (Amendment No. 2) to remove a covenant that required NMIH to maintain liquidity (as defined therein) in an aggregate amount no less than all remaining interest payments due under the Term Loan. As modified by Amendment No. 2, the Credit Agreement retains the requirement that NMIH maintain liquidity in an aggregate amount no less than the sum of all remaining principal amortization payments due under the Term Loan, excluding principal scheduled to be paid on its maturity date, determined to be $2.6 million as of December 31, 2017. The Credit Agreement contains other restrictive covenants and required financial ratios and tests (which were not modified by Amendments No.1 or No.2) that we are required to meet or maintain. The current covenants include, but are not limited to the following: a maximum debt-to-total capitalization ratio (as defined therein) of 35%, maximum RTC ratio of 22.0:1.0, minimum liquidity (as modified by Amendment No. 2 and defined therein), compliance with the PMIERs financial requirements (subject to any GSE-approved waivers), and minimum shareholders' equity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Substantially all of our investment portfolio is held in fixed maturity instruments. As of December 31, 2017, the fair value of our investment portfolio was $715.9 million. We also had an additional $19.2 million of cash and equivalents as of December 31, 2017. Pre-tax book yield on the portfolio for the year ended December 31, 2017 was 2.3%. The book yield is calculated as period-to-date net investment income divided by average amortized cost of the investment portfolio. Yield on the investment portfolio is likely to change over time based on movements in interest rates,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2017</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660"/>
              <w:spacing w:after="0"/>
              <w:rPr>
                <w:sz w:val="20"/>
                <w:szCs w:val="20"/>
                <w:color w:val="auto"/>
              </w:rPr>
            </w:pPr>
            <w:r>
              <w:rPr>
                <w:rFonts w:ascii="Arial" w:cs="Arial" w:eastAsia="Arial" w:hAnsi="Arial"/>
                <w:sz w:val="18"/>
                <w:szCs w:val="18"/>
                <w:color w:val="auto"/>
              </w:rPr>
              <w:t>The ratings of our investment portfolio were:</w:t>
            </w: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Investment portfolio ratings at fair value</w:t>
            </w: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778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(1)</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7780" w:type="dxa"/>
            <w:vAlign w:val="bottom"/>
            <w:gridSpan w:val="2"/>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(1)</w:t>
            </w:r>
          </w:p>
        </w:tc>
        <w:tc>
          <w:tcPr>
            <w:tcW w:w="1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7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(1)</w:t>
            </w:r>
          </w:p>
        </w:tc>
        <w:tc>
          <w:tcPr>
            <w:tcW w:w="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Include +/– ratings.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ratings above are provided by one or more of: Moody's, S&amp;P and Fitch Ratings. If three ratings are available, we assign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middle rating for classification purposes, otherwise we assign the lowest rating.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Other-than-Temporary Impairment (OTTI)</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and 2016, we held no other-than-temporarily impaired (OTTI) securities, and as of December 31, 2015, we held one OTTI security. For the year ended December 31, 2017, we recognized OTTI losses in earnings of $144 thousand on a single security with an unfavorable recovery forecast. The impaired security was liquidated during the year. There were no credit losses recognized in earnings for which a portion of an OTTI loss was recognized in accumulated other comprehensive income (loss).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2015, we recognized an OTTI loss in earnings of $89 thousand on a single security where we expected a planned sale would result in a loss. The impaired security was liquidated in 2016.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 U.S. taxpayer and are subject to a statutory U.S. federal corporate income tax rate of 35% for for all prior years through December 31, 2017. We will be subject to a statutory U.S. federal corporate income tax rate of 21% for the years ending December 31, 2018 and all future periods. Our holding company files a consolidated U.S. federal and various state income tax returns on behalf of itself and its subsidiaries.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Tax Cuts and Jobs Act (the Act) was enacted on December 22, 2017. The Act reduces the statutory U.S. federal corporate income tax rate from 35% to 21%. We have not completed our full assessment of the tax effects of the enactment of the Act on our December 31, 2017 balances; however, in certain cases, as described below, we have made reasonable estimates of the effects on our deferred tax balances. We recognized a $13.6 million income tax expense in the year ended December 31, 2017 for the items we could reasonably estimate primarily related to the re-measurement of deferred tax assets and liabilities. We are still analyzing the Act and refining our calculation on deferred our tax asset related to share-based compensation, which could affect the measurement of these balances or give rise to further increases or decreases to our deferred tax amounts. For tax years beginning after December 31, 2017, the Act expanded the number of individuals whose compensation is subject to a $1 million cap on tax deductibility and includes performance-based compensation in the calculation. As a result, the Company recorded a provisional amount to reduce the future tax benefit related to share-based compensation. We will continue to make and refine our calculations as additional analysis is completed. In addition, our estimates may also be affected as we gain a more thorough understanding of the tax law.</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Securities and Exchange Commission issued Staff Accounting Bulletin No. 118 (SAB 118) on December 23, 2017. SAB 118 provides a one-year measurement period from a registrant's reporting period that includes the Act's enactment date to allow the registrant sufficient time to obtain, prepare and analyze information to complete the accounting required under Accounting Standards Codification (ASC) 740.</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ultimate impact of the Act on our reported results in fiscal 2017 and beyond may differ from the estimates provided herein, possibly materially, due to, among other things, changes in interpretations and assumptions we have made, guidance that may be issued, and other actions we may take as a result of the Act differently from that presently contemplated.</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effective income tax rate on our pre-tax income was 58.2% for the year ended December 31, 2017. Our effective income tax rate on our pre-tax loss was (459.0)% and 0.0% for the years ended December 31, 2016 and 2015, respectively. The difference between our statutory tax rate and our effective tax rate for the year ended December 31, 2017 is primarily due to tax expense of $13.6 million associated with the enactment of the Act, partially offset by a tax benefit of $3.3 million from excess share-based compensation for vested restricted stock units (RSUs) and exercised stock options. The difference between our statutory tax rate and our effective tax rate for the year ended December 31, 2016 is due to the release of the valuation allowance in 2016. Starting in 2018, we expect that our consolidated effective tax rate will approximate the statutory corporate tax rates.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inception and prior to December 31, 2016, we recorded a valuation allowance against deferred tax assets, and, as such, we generally did not record a benefit associated with the losses incurred in prior periods or other income tax benefits. At December 31, 2016, after weighing applicable evidence, we concluded that it was more-likely-than-not that our deferred tax asset would be realized. As a result, as of December 31, 2016, we released the valuation allowance on federal and certain state deferred tax assets. We continued to record a valuation allowance against net state deferred tax assets, primarily related to state net operating losses generated by NMIH that we do not expect to be utilized. NMIH operates at a loss and continues to only generate revenue from its investment portfolio.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0" w:name="page71"/>
    <w:bookmarkEnd w:id="70"/>
    <w:p>
      <w:pPr>
        <w:ind w:firstLine="648"/>
        <w:spacing w:after="0" w:line="277" w:lineRule="auto"/>
        <w:rPr>
          <w:sz w:val="20"/>
          <w:szCs w:val="20"/>
          <w:color w:val="auto"/>
        </w:rPr>
      </w:pPr>
      <w:r>
        <w:rPr>
          <w:rFonts w:ascii="Arial" w:cs="Arial" w:eastAsia="Arial" w:hAnsi="Arial"/>
          <w:sz w:val="18"/>
          <w:szCs w:val="18"/>
          <w:color w:val="auto"/>
        </w:rPr>
        <w:t>As of December 31, 2016, the positive evidence that weighed in favor of releasing the valuation allowance and ultimately outweighed the negative evidence against releasing the allowance included:</w:t>
      </w:r>
    </w:p>
    <w:p>
      <w:pPr>
        <w:spacing w:after="0" w:line="116"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net operating loss carryforwards were expected to be fully utilized by 2018;</w:t>
      </w:r>
    </w:p>
    <w:p>
      <w:pPr>
        <w:spacing w:after="0" w:line="11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other deferred tax assets were based on known recognition schedules and our expectation was that the majority would either reverse in the next three years or were related to deferred tax liabilities;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significant unearned premium balance which represents future revenue to be earned over the policies' lives;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substantial growth in our IIF driving the increase in net premiums;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positive earnings trends from quarterly and annual increases in revenue;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taxable income in 2016 and our expected taxable income in future years;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 that we will be in a cumulative profit in a three-year period in 2017.</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primary negative evidence that was considered was our cumulative losses in recent years. Although ASC 740 does not define the term or the length of time to consider when calculating the cumulative loss, practice and interpretations suggest that the guideline, not a "bright line", is to aggregate the pretax results as adjusted for permanent items for three years (</w:t>
      </w:r>
      <w:r>
        <w:rPr>
          <w:rFonts w:ascii="Arial" w:cs="Arial" w:eastAsia="Arial" w:hAnsi="Arial"/>
          <w:sz w:val="18"/>
          <w:szCs w:val="18"/>
          <w:i w:val="1"/>
          <w:iCs w:val="1"/>
          <w:color w:val="auto"/>
        </w:rPr>
        <w:t>i.e.</w:t>
      </w:r>
      <w:r>
        <w:rPr>
          <w:rFonts w:ascii="Arial" w:cs="Arial" w:eastAsia="Arial" w:hAnsi="Arial"/>
          <w:sz w:val="18"/>
          <w:szCs w:val="18"/>
          <w:color w:val="auto"/>
        </w:rPr>
        <w:t>, the current and the two preceding years).</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December 31, 2016, we concluded that positive evidence of sufficient quantity and quality outweighed negative evidence and supported our conclusion that it is more-likely-than-not that we will realize our federal and certain state deferred tax assets. The reversal of our beginning-of-the-year valuation allowance against such deferred tax assets (resulting from a change in judgment about the realizability of the related deferred tax assets in future years) is consistent with the requirements of ASC 740-10-45-20. At December 31, 2016, we released the valuation allowance on federal and certain state deferred tax assets. A valuation allowance continued to be recorded against net state deferred tax assets, primarily related to state net operating losses by NMIH that we do not expect to be utilized. NMIH operates at a loss and currently only generates revenue from its investment portfolio.</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examined the results through December 31, 2017, and performed a review of future expectations, which continue to support the conclusion that it is more-likely-than-not that we will realize our federal and certain state deferred tax assets. We also concluded to continue to apply a valuation allowance to the net state deferred tax assets, primarily related to state net operating losses by NMIH that we do not expect to be utilized.</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2017, we had a federal net operating loss carryforward of $93.3 million which expires from 2030 to 2037, and state net operating loss carryforwards of $89.1 million, which expire in varying amounts during the years 2031 to 2037. Section 382 of the Internal Revenue Code imposes annual limitations on a corporation's ability to utilize its net operating loss carryforwards if it experiences an "ownership change." As a result of the acquisition of our insurance subsidiaries in 2012, $7.3 million of NOLs were subject to annual limitations of $0.8 million through 2016, and $0.3 million, thereafter, through 2029.</w:t>
      </w:r>
    </w:p>
    <w:p>
      <w:pPr>
        <w:spacing w:after="0" w:line="13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There is a tax sharing agreement between NMIH and its subsidiaries, dated August 23, 2012 and amended on September 1, 2016. Under this agreement, each of the parties mutually agreed to file a consolidated federal income tax return for 2012 and subsequent tax years, with NMIH as the direct tax filer. The tax liability of each subsidiary that is party to the agreement is limited to the amount of the liability it would incur if it filed separate returns.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no material off-balance sheet arrangements at December 31, 2017. In connection with the 2017 ILN Transaction, we have certain future contractual commitments to Oaktown Re, a special purpose VIE that is not consolidated in our financial results. See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 Notes to Consolidated Financial Statements - Note 2, Summary of Accounting Principles - Variable interest entity</w:t>
      </w:r>
      <w:r>
        <w:rPr>
          <w:rFonts w:ascii="Arial" w:cs="Arial" w:eastAsia="Arial" w:hAnsi="Arial"/>
          <w:sz w:val="18"/>
          <w:szCs w:val="18"/>
          <w:color w:val="auto"/>
        </w:rPr>
        <w:t>" and "</w:t>
      </w:r>
      <w:r>
        <w:rPr>
          <w:rFonts w:ascii="Arial" w:cs="Arial" w:eastAsia="Arial" w:hAnsi="Arial"/>
          <w:sz w:val="18"/>
          <w:szCs w:val="18"/>
          <w:i w:val="1"/>
          <w:iCs w:val="1"/>
          <w:color w:val="auto"/>
        </w:rPr>
        <w:t>Note 6, Reinsurance.</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December 31, 2017 are summarized in the table that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Less than 1 year</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1-3 years</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145,130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9"/>
              </w:rPr>
              <w:t>Other long-term liabilities reflected on the registrant's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balance sheet under GAAP</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152,557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Long-term debt relates to our $150 million Credit Agreement and includes future interest payments using the minimum interest rate in effect at December 31, 2017 of</w:t>
      </w:r>
    </w:p>
    <w:p>
      <w:pPr>
        <w:spacing w:after="0"/>
        <w:rPr>
          <w:rFonts w:ascii="Arial" w:cs="Arial" w:eastAsia="Arial" w:hAnsi="Arial"/>
          <w:sz w:val="18"/>
          <w:szCs w:val="18"/>
          <w:color w:val="auto"/>
          <w:vertAlign w:val="superscript"/>
        </w:rPr>
      </w:pPr>
      <w:r>
        <w:rPr>
          <w:rFonts w:ascii="Arial" w:cs="Arial" w:eastAsia="Arial" w:hAnsi="Arial"/>
          <w:sz w:val="16"/>
          <w:szCs w:val="16"/>
          <w:color w:val="auto"/>
        </w:rPr>
        <w:t>7.75%.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discussion and analysis of our financial condition and results of operation are based on our consolidated financial statements, which have been prepared in conformity with U.S.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Because the use of estimates is inherent in GAAP, actual results could differ materially from those estimates. A summary of the accounting policies that management believes are critical to the preparation of our consolidated financial statements is set forth below.</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 reserve and amortized into earnings over the estimated policy life in accordance with the anticipated expiration of risk. Monthly premiums are recognized as revenue in the month billed as coverage is effective. Annual premiums are initially deferred and earned on a straight-line basis over the year of coverage. Premiums written on pool transactions are earned over the period that coverage is provided. Upon cancellation of a policy, all remaining non-refundable deferred and unearned premium is immediately earned, and any refundable premium is returned to the policyholder. Premiums returned to the policyholder are recorded as a reduction of written and earned premiums in the paid period.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 for Claims and Claims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Consistent with industry practice, we establish reserves for claims based on our best estimate of ultimate claim costs for defaulted loans using the general principles contained in ASC 944,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(ASC 944). We establish reserves for loans that have been in default for at least 60 days. Reserves for claims and allocated claims expenses, referred to as case reserves, are established when we are notified of defaults by loan servicers. Additional claims reserves, referred to as IBNR reserves, are established for loans that we estimate (based on actuarial review) have been in default for at least 60 days, but have not yet been reported to us as such by servicers. We also establish reserves for unallocated claims expenses not associated with specific claims. Claims expenses represent the estimated cost of the claim administration process, including legal and other fees, as well as other general expenses of administering the claims settlement process.</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establishment of claims and claims expense reserves is subject to inherent uncertainty and requires significant judgment by management. Reserves are established by estimating the number of loans in default that will result in a claim payment, which is referred to as claim frequency, and the amount of the claim payment expected to be paid on each such loan in default, which 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2" w:name="page73"/>
    <w:bookmarkEnd w:id="72"/>
    <w:p>
      <w:pPr>
        <w:jc w:val="both"/>
        <w:spacing w:after="0" w:line="312" w:lineRule="auto"/>
        <w:rPr>
          <w:sz w:val="20"/>
          <w:szCs w:val="20"/>
          <w:color w:val="auto"/>
        </w:rPr>
      </w:pPr>
      <w:r>
        <w:rPr>
          <w:rFonts w:ascii="Arial" w:cs="Arial" w:eastAsia="Arial" w:hAnsi="Arial"/>
          <w:sz w:val="16"/>
          <w:szCs w:val="16"/>
          <w:color w:val="auto"/>
        </w:rPr>
        <w:t>referred to as claim severity. Claim frequency and severity estimates are established based on historical observed experience regarding certain loan factors, such as age of the default, size of the loan and LTV ratios, and are strongly influenced by prevailing economic conditions, such as mortgage rates, trends in unemployment and house price appreciation. We conduct an annual actuarial review to evaluate, and, if necessary, update these assumptions.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income (loss) in shareholders' equity. Net realized investment gains and losses are reported in income based on specific identification of securities sold, and are reclassified out of accumulated other comprehensive income (loss).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 - Notes to Consolidated Financial Statements - Note 4, Fair Value of Financial Instruments."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fiscal quarter, we evaluate our investments to determine whether declines in fair value below amortized cost were considered other-than-temporary in accordance with applicable guidance. Under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13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severity and duration of the decline in fair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 Deficiency Reserve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perform a premium deficiency calculation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The calculation of premium deficiency reserves requires the use of significant judgment and estimates to determine the present value of future premiums and present value of expected claims and expenses on our business. The present value of future premiums relies on, among other things, assumptions about persistency and repayment patterns on underlying loans. The present value of expected claims and expenses depends on assumptions relating to severity of claims, claim rates on current defaults and expected defaults in future periods. These assumptions may also include an estimate of expected rescission activity. Assumptions used in calculating premium deficiency reserves can be affected by volatility in the current housing and mortgage lending industries. To the extent premium patterns and actual claim experience differ from the assumptions used in calculating a premium deficiency reserve, the differences between the actual results and our estimate will affect future period earnings. In considering the potential sensitivity of the factors underlying our best estimate of premium deficiency reserves, it is possible that even a relatively small change in estimated claim rate or a relatively small percentage change in estimated claim amount could have a significant impact on establishing a premium deficiency reserve, should one be needed, and, correspondingly, on our operating results.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account for income taxes using the liability method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Under this method, we determine deferred tax assets and liabilities based on the expected future tax effects of temporary differences at the enacted tax rates applicable for the period in which the deferred tax assets or liabilities are expected to be realized or settled. Temporary differences are differences between the tax basis of an asset or liability and its reported amount in the consolidated financial statements that would result in future increases or decreases in taxes owed on a cash basis as compared to amounts already recognized as tax expense in the consolidated statement of operations. Changes in tax laws, rates, regulations and policies, or the final determination of tax audits or examinations, could materially affect our tax estimates.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establish a valuation allowance against our deferred tax assets when it is more likely than not that all or a portion of our deferred tax assets will not be realized. We assess our need for a valuation allowance on a quarterly basis. In the course of our review, we assess all available evidence, both positive and negative, including future sources of income, tax planning strategies, future contractual cash flows and reversing temporary differences, and are required to exercise judgment and make assumptions in this regard.</w:t>
      </w:r>
    </w:p>
    <w:p>
      <w:pPr>
        <w:spacing w:after="0" w:line="13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provision for income taxes for interim financial periods is based on an estimate of our annual effective tax rate for the full year. When estimating our full year effective tax rate, we adjust our forecasted pre-tax income for gains and losses on our investments, changes in the accounting for uncertainty in income taxes, changes in our beginning of year valuation allowance, and other adjustments. The impact of these items is accounted for discretely at the applicable federal tax rate.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account for warrants to purchase our common shares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ASC 815-40 </w:t>
      </w:r>
      <w:r>
        <w:rPr>
          <w:rFonts w:ascii="Arial" w:cs="Arial" w:eastAsia="Arial" w:hAnsi="Arial"/>
          <w:sz w:val="16"/>
          <w:szCs w:val="16"/>
          <w:i w:val="1"/>
          <w:iCs w:val="1"/>
          <w:color w:val="auto"/>
        </w:rPr>
        <w:t xml:space="preserve">Derivatives and Hedging - Contracts in Entity's Own Equity. </w:t>
      </w:r>
      <w:r>
        <w:rPr>
          <w:rFonts w:ascii="Arial" w:cs="Arial" w:eastAsia="Arial" w:hAnsi="Arial"/>
          <w:sz w:val="16"/>
          <w:szCs w:val="16"/>
          <w:color w:val="auto"/>
        </w:rPr>
        <w:t>Our outstanding warrants may be settled by us using either (i) a physical settlement method or</w:t>
      </w:r>
    </w:p>
    <w:p>
      <w:pPr>
        <w:jc w:val="both"/>
        <w:ind w:firstLine="8"/>
        <w:spacing w:after="0" w:line="253" w:lineRule="auto"/>
        <w:tabs>
          <w:tab w:leader="none" w:pos="2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cashless exercise, where shares that are issued upon exercise of the warrants are reduced to cover the cost of the exercise, in lieu of the holder remitting a cash payment of the exercise price. The warrants expire, and are not exercisable after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of the date they were issued.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We calculate the fair value of the warrants using a Black-Scholes option-pricing model in combination with a binomial model. We use a Monte Carlo simulation model to value the pricing protection features within the warrants. Variables in the model include the fair value of the stock, risk-free rate of return, dividend yield, expected life and expected volatility of the Company's stock price.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account for stock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addresses accounting for share-based awards and recognition of compensation expense, measured using grant date fair value, over the requisite service or performance period of the award. Share-based compensation includes RSUs and stock option grants under the NMI Holdings, Inc. 2012 Stock Incentive Plan (2012 Plan) and the NMI Holdings, Inc. Amended and Restated 2014 Omnibus Incentive Plan (Amended 2014 Plan), which amended and restated the NMI Holdings, Inc. 2014 Omnibus Incentive Plan (2014 Plan). We calculate the fair value of stock option grants using a Black-Scholes option pricing model, which takes into account various subjective assumptions. Key assumptions used in the model include the expected volatility of our stock price, our expected dividend yield and the risk-free interest rate, as well as the expected option term, giving consideration to the contractual terms of any award and the effects of expected exercise and post-vesting termination behavior. RSU grants to employees may contain a service condition, market and service condition or performance and service condition. RSU grants to employees with a service or a performance condition and RSU grants to non-employee directors are valued at our stock price on the date of grant less the present value of anticipated dividends. The fair value of RSU grants to employees with a market condition are determined based on a Monte Carlo simulation model at the date of grant.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7" w:lineRule="exact"/>
        <w:rPr>
          <w:sz w:val="20"/>
          <w:szCs w:val="20"/>
          <w:color w:val="auto"/>
        </w:rPr>
      </w:pPr>
    </w:p>
    <w:p>
      <w:pPr>
        <w:jc w:val="both"/>
        <w:ind w:left="660" w:hanging="328"/>
        <w:spacing w:after="0" w:line="297"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w:t>
      </w:r>
      <w:r>
        <w:rPr>
          <w:rFonts w:ascii="Arial" w:cs="Arial" w:eastAsia="Arial" w:hAnsi="Arial"/>
          <w:sz w:val="17"/>
          <w:szCs w:val="17"/>
          <w:i w:val="1"/>
          <w:iCs w:val="1"/>
          <w:color w:val="auto"/>
        </w:rPr>
        <w:t>e.g.</w:t>
      </w:r>
      <w:r>
        <w:rPr>
          <w:rFonts w:ascii="Arial" w:cs="Arial" w:eastAsia="Arial" w:hAnsi="Arial"/>
          <w:sz w:val="17"/>
          <w:szCs w:val="17"/>
          <w:color w:val="auto"/>
        </w:rPr>
        <w:t>,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December 31, 2017 and 2016 was $716 million and $629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the duration of our fixed income portfolio, including cash and cash equivalents, was 3.67 years, which means that an instantaneous parallel shift (movement up or down) in the yield curve of 100 basis points would result in a change of 3.67% in fair value of our fixed income portfolio. Excluding cash, our fixed income portfolio duration was 3.72 years, which means that an instantaneous parallel shift (movement up or down) in the yield curve of 100 basis points would result in a change of 3.72%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Term Loan and 2017 ILN Transaction. As discussed in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 Notes to Consolidated Financial Statements - Note 5, Term Loan,</w:t>
      </w:r>
      <w:r>
        <w:rPr>
          <w:rFonts w:ascii="Arial" w:cs="Arial" w:eastAsia="Arial" w:hAnsi="Arial"/>
          <w:sz w:val="18"/>
          <w:szCs w:val="18"/>
          <w:color w:val="auto"/>
        </w:rPr>
        <w:t>" the Term Loan bears interest at a variable rate and,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market interest rates would generally result in increased interest expense on our outstanding principal.</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2017 ILN Transaction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 - BDO USA LLP</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2017 and 2016</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4"/>
              </w:rPr>
              <w:t>Consolidated Statements of Operations and Comprehensive Income (Loss) for each of the years in the three-year period ended December 31, 2017</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Changes in Shareholders' Equity for each of the years in the three-year period ended December 31, 2017</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80</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in the three-year period ended December 31, 2017</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82</w:t>
              </w:r>
            </w:hyperlink>
          </w:p>
        </w:tc>
      </w:tr>
      <w:tr>
        <w:trPr>
          <w:trHeight w:val="723"/>
        </w:trPr>
        <w:tc>
          <w:tcPr>
            <w:tcW w:w="11220" w:type="dxa"/>
            <w:vAlign w:val="bottom"/>
          </w:tcPr>
          <w:p>
            <w:pPr>
              <w:ind w:left="5620"/>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NMI Holdings, Inc. (the "Company") as of December 31, 2017 and 2016, the related consolidated statements of operations and comprehensive income, changes in shareholders' equity, and cash flows for each of the three years in the period ended December 31, 2017, and the related notes and financial statement schedules included in the accompanying index (collectively referred to as the "consolidated financial statements"). In our opinion, the consolidated financial statements present fairly, in all material respects, the financial position of the Company at December 31, 2017 and 2016, and the results of their operations and their cash flows for each of the three years in the period ended December 31, 2017</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012"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2016</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Fixed maturities, available-for-sale, at fair value (amortized cost of $713,859 and $630,688 as of</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2017 and December 31, 2016,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715,875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47,746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3,421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37,925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30,109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37,921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19,929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51,434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894,848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839,897</w:t>
            </w:r>
          </w:p>
        </w:tc>
      </w:tr>
      <w:tr>
        <w:trPr>
          <w:trHeight w:val="311"/>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144,353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163,166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152,906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3,001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Reinsurance funds withheld</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ceding commission</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4,831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385,771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364,388</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1"/>
              </w:rPr>
              <w:t>60,517,512 and 59,145,161 shares issued and outstanding as of December 31, 2017 and December 31,</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2016, respectively (250,000,000 shares authorized)</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591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576,927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(5,287)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509,077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475,509</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894,848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839,897</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151"/>
              <w:spacing w:after="0"/>
              <w:rPr>
                <w:sz w:val="20"/>
                <w:szCs w:val="20"/>
                <w:color w:val="auto"/>
              </w:rPr>
            </w:pPr>
            <w:r>
              <w:rPr>
                <w:rFonts w:ascii="Arial" w:cs="Arial" w:eastAsia="Arial" w:hAnsi="Arial"/>
                <w:sz w:val="14"/>
                <w:szCs w:val="14"/>
                <w:b w:val="1"/>
                <w:bCs w:val="1"/>
                <w:color w:val="auto"/>
                <w:w w:val="92"/>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00" w:type="dxa"/>
            <w:vAlign w:val="bottom"/>
            <w:gridSpan w:val="6"/>
          </w:tcPr>
          <w:p>
            <w:pPr>
              <w:jc w:val="center"/>
              <w:ind w:left="151"/>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12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premiums earned</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165,740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110,481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45,506</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realized investment gains (losses)</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831</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182,743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123,815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53,608</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Insurance claims and claims expenses</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650</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106,979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80,599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112,318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95,615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81,249</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1,905</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(13,528)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(17,633)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52,792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11,452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(27,793)</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64,001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(27,793)</w:t>
            </w:r>
          </w:p>
        </w:tc>
      </w:tr>
      <w:tr>
        <w:trPr>
          <w:trHeight w:val="311"/>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58,683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62,186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60,829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58,683</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22,050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64,001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(27,793)</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1"/>
              </w:rPr>
              <w:t>Net unrealized gains (losses) in accumulated other comprehensive income, net</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6060" w:type="dxa"/>
            <w:vAlign w:val="bottom"/>
          </w:tcPr>
          <w:p>
            <w:pPr>
              <w:ind w:left="280"/>
              <w:spacing w:after="0"/>
              <w:rPr>
                <w:sz w:val="20"/>
                <w:szCs w:val="20"/>
                <w:color w:val="auto"/>
              </w:rPr>
            </w:pPr>
            <w:r>
              <w:rPr>
                <w:rFonts w:ascii="Arial" w:cs="Arial" w:eastAsia="Arial" w:hAnsi="Arial"/>
                <w:sz w:val="18"/>
                <w:szCs w:val="18"/>
                <w:color w:val="auto"/>
                <w:w w:val="91"/>
              </w:rPr>
              <w:t>of tax expense of $1,234, $1,178, and $0 for each of the years in the three-year</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period ended December 31, 2017, respectively</w:t>
            </w:r>
          </w:p>
        </w:tc>
        <w:tc>
          <w:tcPr>
            <w:tcW w:w="10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Reclassification adjustment for realized losses (gains) included in net income,</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of tax expense of $73, $0, and $0 for each of the years in the three-years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ended December 31, 2017, respectively</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66,188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(31,660)</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1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Common Stock - Class 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3"/>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2"/>
              <w:spacing w:after="0" w:line="126"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12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center"/>
              <w:ind w:right="12"/>
              <w:spacing w:after="0"/>
              <w:rPr>
                <w:sz w:val="20"/>
                <w:szCs w:val="20"/>
                <w:color w:val="auto"/>
              </w:rPr>
            </w:pPr>
            <w:r>
              <w:rPr>
                <w:rFonts w:ascii="Arial" w:cs="Arial" w:eastAsia="Arial" w:hAnsi="Arial"/>
                <w:sz w:val="14"/>
                <w:szCs w:val="14"/>
                <w:i w:val="1"/>
                <w:iCs w:val="1"/>
                <w:color w:val="auto"/>
                <w:w w:val="91"/>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58,429</w:t>
            </w:r>
          </w:p>
        </w:tc>
        <w:tc>
          <w:tcPr>
            <w:tcW w:w="92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562,911</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(132,930)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379</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of $0</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2015</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58,808</w:t>
            </w:r>
          </w:p>
        </w:tc>
        <w:tc>
          <w:tcPr>
            <w:tcW w:w="9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588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570,340</w:t>
            </w: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(160,723)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6,814</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expense of $1,178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64,001</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92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576,927</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expense of $1,307</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2,428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22,050</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Balances, December 31, 2017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60,518</w:t>
            </w:r>
          </w:p>
        </w:tc>
        <w:tc>
          <w:tcPr>
            <w:tcW w:w="9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605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585,488</w:t>
            </w: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820" w:hanging="488"/>
        <w:spacing w:after="0" w:line="275"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2017, we issued 32,368 common shares with a par value of $0.01 related to the exercise of warrants, which is not identifiable in this schedule due to rounding.</w:t>
      </w:r>
    </w:p>
    <w:p>
      <w:pPr>
        <w:spacing w:after="0" w:line="6" w:lineRule="exact"/>
        <w:rPr>
          <w:sz w:val="20"/>
          <w:szCs w:val="20"/>
          <w:color w:val="auto"/>
        </w:rPr>
      </w:pPr>
    </w:p>
    <w:p>
      <w:pPr>
        <w:ind w:left="696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jc w:val="center"/>
        <w:ind w:right="120"/>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center"/>
              <w:ind w:left="815"/>
              <w:spacing w:after="0"/>
              <w:rPr>
                <w:sz w:val="20"/>
                <w:szCs w:val="20"/>
                <w:color w:val="auto"/>
              </w:rPr>
            </w:pPr>
            <w:r>
              <w:rPr>
                <w:rFonts w:ascii="Arial" w:cs="Arial" w:eastAsia="Arial" w:hAnsi="Arial"/>
                <w:sz w:val="14"/>
                <w:szCs w:val="14"/>
                <w:b w:val="1"/>
                <w:bCs w:val="1"/>
                <w:color w:val="auto"/>
                <w:w w:val="92"/>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3"/>
        </w:trPr>
        <w:tc>
          <w:tcPr>
            <w:tcW w:w="60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2015</w:t>
            </w:r>
          </w:p>
        </w:tc>
      </w:tr>
      <w:tr>
        <w:trPr>
          <w:trHeight w:val="237"/>
        </w:trPr>
        <w:tc>
          <w:tcPr>
            <w:tcW w:w="600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 (loss)</w:t>
            </w: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64,001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(27,793)</w:t>
            </w:r>
          </w:p>
        </w:tc>
      </w:tr>
      <w:tr>
        <w:trPr>
          <w:trHeight w:val="212"/>
        </w:trPr>
        <w:tc>
          <w:tcPr>
            <w:tcW w:w="6000" w:type="dxa"/>
            <w:vAlign w:val="bottom"/>
          </w:tcPr>
          <w:p>
            <w:pPr>
              <w:ind w:left="180"/>
              <w:spacing w:after="0"/>
              <w:rPr>
                <w:sz w:val="20"/>
                <w:szCs w:val="20"/>
                <w:color w:val="auto"/>
              </w:rPr>
            </w:pPr>
            <w:r>
              <w:rPr>
                <w:rFonts w:ascii="Arial" w:cs="Arial" w:eastAsia="Arial" w:hAnsi="Arial"/>
                <w:sz w:val="17"/>
                <w:szCs w:val="17"/>
                <w:color w:val="auto"/>
              </w:rPr>
              <w:t>Adjustments to reconcile net income (loss) to net cash provided by operating</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7"/>
                <w:szCs w:val="17"/>
                <w:color w:val="auto"/>
              </w:rPr>
              <w:t>activities: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 losses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39"/>
        </w:trPr>
        <w:tc>
          <w:tcPr>
            <w:tcW w:w="6000" w:type="dxa"/>
            <w:vAlign w:val="bottom"/>
          </w:tcPr>
          <w:p>
            <w:pPr>
              <w:ind w:left="280"/>
              <w:spacing w:after="0"/>
              <w:rPr>
                <w:sz w:val="20"/>
                <w:szCs w:val="20"/>
                <w:color w:val="auto"/>
              </w:rPr>
            </w:pPr>
            <w:r>
              <w:rPr>
                <w:rFonts w:ascii="Arial" w:cs="Arial" w:eastAsia="Arial" w:hAnsi="Arial"/>
                <w:sz w:val="17"/>
                <w:szCs w:val="17"/>
                <w:color w:val="auto"/>
              </w:rPr>
              <w:t>Loss (gain) from change in fair value of warrant liability</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4,105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1,900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(1,905)</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4,861</w:t>
            </w:r>
          </w:p>
        </w:tc>
      </w:tr>
      <w:tr>
        <w:trPr>
          <w:trHeight w:val="239"/>
        </w:trPr>
        <w:tc>
          <w:tcPr>
            <w:tcW w:w="600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1,599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1,259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251</w:t>
            </w:r>
          </w:p>
        </w:tc>
      </w:tr>
      <w:tr>
        <w:trPr>
          <w:trHeight w:val="239"/>
        </w:trPr>
        <w:tc>
          <w:tcPr>
            <w:tcW w:w="600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31,102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(52,909)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8,174</w:t>
            </w:r>
          </w:p>
        </w:tc>
      </w:tr>
      <w:tr>
        <w:trPr>
          <w:trHeight w:val="239"/>
        </w:trPr>
        <w:tc>
          <w:tcPr>
            <w:tcW w:w="600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(4,095)</w:t>
            </w:r>
          </w:p>
        </w:tc>
      </w:tr>
      <w:tr>
        <w:trPr>
          <w:trHeight w:val="239"/>
        </w:trPr>
        <w:tc>
          <w:tcPr>
            <w:tcW w:w="600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(1,166)</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626</w:t>
            </w:r>
          </w:p>
        </w:tc>
      </w:tr>
      <w:tr>
        <w:trPr>
          <w:trHeight w:val="239"/>
        </w:trPr>
        <w:tc>
          <w:tcPr>
            <w:tcW w:w="600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(7,816)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(12,579)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(14,545)</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419</w:t>
            </w:r>
          </w:p>
        </w:tc>
      </w:tr>
      <w:tr>
        <w:trPr>
          <w:trHeight w:val="239"/>
        </w:trPr>
        <w:tc>
          <w:tcPr>
            <w:tcW w:w="600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10,260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62,133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68,704</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596</w:t>
            </w:r>
          </w:p>
        </w:tc>
      </w:tr>
      <w:tr>
        <w:trPr>
          <w:trHeight w:val="239"/>
        </w:trPr>
        <w:tc>
          <w:tcPr>
            <w:tcW w:w="6000" w:type="dxa"/>
            <w:vAlign w:val="bottom"/>
          </w:tcPr>
          <w:p>
            <w:pPr>
              <w:ind w:left="380"/>
              <w:spacing w:after="0"/>
              <w:rPr>
                <w:sz w:val="20"/>
                <w:szCs w:val="20"/>
                <w:color w:val="auto"/>
              </w:rPr>
            </w:pPr>
            <w:r>
              <w:rPr>
                <w:rFonts w:ascii="Arial" w:cs="Arial" w:eastAsia="Arial" w:hAnsi="Arial"/>
                <w:sz w:val="17"/>
                <w:szCs w:val="17"/>
                <w:color w:val="auto"/>
              </w:rPr>
              <w:t>Reinsurance balances, net</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1,332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(2,456)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8,167</w:t>
            </w:r>
          </w:p>
        </w:tc>
      </w:tr>
      <w:tr>
        <w:trPr>
          <w:trHeight w:val="219"/>
        </w:trPr>
        <w:tc>
          <w:tcPr>
            <w:tcW w:w="600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67,763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71,944</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41,463</w:t>
            </w:r>
          </w:p>
        </w:tc>
      </w:tr>
      <w:tr>
        <w:trPr>
          <w:trHeight w:val="31"/>
        </w:trPr>
        <w:tc>
          <w:tcPr>
            <w:tcW w:w="6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9"/>
        </w:trPr>
        <w:tc>
          <w:tcPr>
            <w:tcW w:w="6000" w:type="dxa"/>
            <w:vAlign w:val="bottom"/>
          </w:tcPr>
          <w:p>
            <w:pPr>
              <w:ind w:left="280"/>
              <w:spacing w:after="0"/>
              <w:rPr>
                <w:sz w:val="20"/>
                <w:szCs w:val="20"/>
                <w:color w:val="auto"/>
              </w:rPr>
            </w:pPr>
            <w:r>
              <w:rPr>
                <w:rFonts w:ascii="Arial" w:cs="Arial" w:eastAsia="Arial" w:hAnsi="Arial"/>
                <w:sz w:val="17"/>
                <w:szCs w:val="17"/>
                <w:color w:val="auto"/>
              </w:rPr>
              <w:t>Purchase of short-term investments</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(131,196)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(170,067)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(21,160)</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fixed-maturity investments, available-for-sale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(143,568)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(343,771)</w:t>
            </w:r>
          </w:p>
        </w:tc>
      </w:tr>
      <w:tr>
        <w:trPr>
          <w:trHeight w:val="239"/>
        </w:trPr>
        <w:tc>
          <w:tcPr>
            <w:tcW w:w="6000" w:type="dxa"/>
            <w:vAlign w:val="bottom"/>
          </w:tcPr>
          <w:p>
            <w:pPr>
              <w:ind w:left="280"/>
              <w:spacing w:after="0"/>
              <w:rPr>
                <w:sz w:val="20"/>
                <w:szCs w:val="20"/>
                <w:color w:val="auto"/>
              </w:rPr>
            </w:pPr>
            <w:r>
              <w:rPr>
                <w:rFonts w:ascii="Arial" w:cs="Arial" w:eastAsia="Arial" w:hAnsi="Arial"/>
                <w:sz w:val="17"/>
                <w:szCs w:val="17"/>
                <w:color w:val="auto"/>
              </w:rPr>
              <w:t>Proceeds from maturity of short-term investments</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170,278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129,033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2"/>
        </w:trPr>
        <w:tc>
          <w:tcPr>
            <w:tcW w:w="60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Proceeds from redemptions, maturities and sale of fixed-maturity investments,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7"/>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available-for-sale</w:t>
            </w:r>
          </w:p>
        </w:tc>
        <w:tc>
          <w:tcPr>
            <w:tcW w:w="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95,435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116,281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140,901</w:t>
            </w:r>
          </w:p>
        </w:tc>
      </w:tr>
      <w:tr>
        <w:trPr>
          <w:trHeight w:val="239"/>
        </w:trPr>
        <w:tc>
          <w:tcPr>
            <w:tcW w:w="6000" w:type="dxa"/>
            <w:vAlign w:val="bottom"/>
          </w:tcPr>
          <w:p>
            <w:pPr>
              <w:ind w:left="280"/>
              <w:spacing w:after="0"/>
              <w:rPr>
                <w:sz w:val="20"/>
                <w:szCs w:val="20"/>
                <w:color w:val="auto"/>
              </w:rPr>
            </w:pPr>
            <w:r>
              <w:rPr>
                <w:rFonts w:ascii="Arial" w:cs="Arial" w:eastAsia="Arial" w:hAnsi="Arial"/>
                <w:sz w:val="17"/>
                <w:szCs w:val="17"/>
                <w:color w:val="auto"/>
              </w:rPr>
              <w:t>Software and equipment</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(8,510)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(11,471)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(6,135)</w:t>
            </w:r>
          </w:p>
        </w:tc>
      </w:tr>
      <w:tr>
        <w:trPr>
          <w:trHeight w:val="31"/>
        </w:trPr>
        <w:tc>
          <w:tcPr>
            <w:tcW w:w="6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(79,792)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(230,165)</w:t>
            </w:r>
          </w:p>
        </w:tc>
      </w:tr>
      <w:tr>
        <w:trPr>
          <w:trHeight w:val="233"/>
        </w:trPr>
        <w:tc>
          <w:tcPr>
            <w:tcW w:w="600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r>
      <w:tr>
        <w:trPr>
          <w:trHeight w:val="239"/>
        </w:trPr>
        <w:tc>
          <w:tcPr>
            <w:tcW w:w="600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7,103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415</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warrants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000" w:type="dxa"/>
            <w:vAlign w:val="bottom"/>
          </w:tcPr>
          <w:p>
            <w:pPr>
              <w:ind w:left="180"/>
              <w:spacing w:after="0"/>
              <w:rPr>
                <w:sz w:val="20"/>
                <w:szCs w:val="20"/>
                <w:color w:val="auto"/>
              </w:rPr>
            </w:pPr>
            <w:r>
              <w:rPr>
                <w:rFonts w:ascii="Arial" w:cs="Arial" w:eastAsia="Arial" w:hAnsi="Arial"/>
                <w:sz w:val="17"/>
                <w:szCs w:val="17"/>
                <w:color w:val="auto"/>
              </w:rPr>
              <w:t>Proceeds from term loan, net of discount</w:t>
            </w:r>
          </w:p>
        </w:tc>
        <w:tc>
          <w:tcPr>
            <w:tcW w:w="4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148,500</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Repayments of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239"/>
        </w:trPr>
        <w:tc>
          <w:tcPr>
            <w:tcW w:w="6000" w:type="dxa"/>
            <w:vAlign w:val="bottom"/>
          </w:tcPr>
          <w:p>
            <w:pPr>
              <w:ind w:left="180"/>
              <w:spacing w:after="0"/>
              <w:rPr>
                <w:sz w:val="20"/>
                <w:szCs w:val="20"/>
                <w:color w:val="auto"/>
              </w:rPr>
            </w:pPr>
            <w:r>
              <w:rPr>
                <w:rFonts w:ascii="Arial" w:cs="Arial" w:eastAsia="Arial" w:hAnsi="Arial"/>
                <w:sz w:val="17"/>
                <w:szCs w:val="17"/>
                <w:color w:val="auto"/>
              </w:rPr>
              <w:t>Payments of debt modification costs</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(4,437)</w:t>
            </w:r>
          </w:p>
        </w:tc>
      </w:tr>
      <w:tr>
        <w:trPr>
          <w:trHeight w:val="31"/>
        </w:trPr>
        <w:tc>
          <w:tcPr>
            <w:tcW w:w="6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142,998</w:t>
            </w:r>
          </w:p>
        </w:tc>
      </w:tr>
      <w:tr>
        <w:trPr>
          <w:trHeight w:val="291"/>
        </w:trPr>
        <w:tc>
          <w:tcPr>
            <w:tcW w:w="60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(45,704)</w:t>
            </w:r>
          </w:p>
        </w:tc>
      </w:tr>
      <w:tr>
        <w:trPr>
          <w:trHeight w:val="239"/>
        </w:trPr>
        <w:tc>
          <w:tcPr>
            <w:tcW w:w="600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47,746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57,317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103,021</w:t>
            </w:r>
          </w:p>
        </w:tc>
      </w:tr>
      <w:tr>
        <w:trPr>
          <w:trHeight w:val="31"/>
        </w:trPr>
        <w:tc>
          <w:tcPr>
            <w:tcW w:w="6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47,746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57,317</w:t>
            </w:r>
          </w:p>
        </w:tc>
      </w:tr>
      <w:tr>
        <w:trPr>
          <w:trHeight w:val="20"/>
        </w:trPr>
        <w:tc>
          <w:tcPr>
            <w:tcW w:w="6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6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9"/>
        </w:trPr>
        <w:tc>
          <w:tcPr>
            <w:tcW w:w="6000" w:type="dxa"/>
            <w:vAlign w:val="bottom"/>
          </w:tcPr>
          <w:p>
            <w:pPr>
              <w:ind w:left="40"/>
              <w:spacing w:after="0"/>
              <w:rPr>
                <w:sz w:val="20"/>
                <w:szCs w:val="20"/>
                <w:color w:val="auto"/>
              </w:rPr>
            </w:pPr>
            <w:r>
              <w:rPr>
                <w:rFonts w:ascii="Arial" w:cs="Arial" w:eastAsia="Arial" w:hAnsi="Arial"/>
                <w:sz w:val="17"/>
                <w:szCs w:val="17"/>
                <w:color w:val="auto"/>
              </w:rPr>
              <w:t>Interest paid</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13,355</w:t>
            </w:r>
          </w:p>
        </w:tc>
        <w:tc>
          <w:tcPr>
            <w:tcW w:w="12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9,669</w:t>
            </w:r>
          </w:p>
        </w:tc>
        <w:tc>
          <w:tcPr>
            <w:tcW w:w="120" w:type="dxa"/>
            <w:vAlign w:val="bottom"/>
          </w:tcPr>
          <w:p>
            <w:pPr>
              <w:spacing w:after="0"/>
              <w:rPr>
                <w:sz w:val="20"/>
                <w:szCs w:val="20"/>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5</w:t>
            </w:r>
          </w:p>
        </w:tc>
      </w:tr>
      <w:tr>
        <w:trPr>
          <w:trHeight w:val="31"/>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9"/>
        </w:trPr>
        <w:tc>
          <w:tcPr>
            <w:tcW w:w="6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Income taxes paid</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300"/>
          </w:cols>
          <w:pgMar w:left="360" w:top="125" w:right="239" w:bottom="1440" w:gutter="0" w:footer="0" w:header="0"/>
        </w:sectPr>
      </w:pPr>
    </w:p>
    <w:p>
      <w:pPr>
        <w:spacing w:after="0" w:line="25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00"/>
          </w:cols>
          <w:pgMar w:left="360" w:top="125"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In April 2012, we completed a private placement of our securities, through which we offered and sold an aggregate of 55,000,000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accompanying consolidated financial statements include the results of NMIH and its wholly 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00" w:lineRule="exact"/>
        <w:rPr>
          <w:sz w:val="20"/>
          <w:szCs w:val="20"/>
          <w:color w:val="auto"/>
        </w:rPr>
      </w:pPr>
    </w:p>
    <w:p>
      <w:pPr>
        <w:ind w:left="660" w:right="7780" w:hanging="652"/>
        <w:spacing w:after="0" w:line="495" w:lineRule="auto"/>
        <w:tabs>
          <w:tab w:leader="none" w:pos="19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Accounting Principles </w:t>
      </w:r>
      <w:r>
        <w:rPr>
          <w:rFonts w:ascii="Arial" w:cs="Arial" w:eastAsia="Arial" w:hAnsi="Arial"/>
          <w:sz w:val="16"/>
          <w:szCs w:val="16"/>
          <w:i w:val="1"/>
          <w:iCs w:val="1"/>
          <w:color w:val="auto"/>
        </w:rPr>
        <w:t>Insurance Premium Revenue Recognition</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Premiums written on pool transactions are earned over the period that coverage is provided. Upon cancellation of a policy, all remaining non-refundable deferred and unearned premium is immediately earned, and any refundable premium is returned to the policyholder. Premiums returned to policyholders are recorded as a reduction of written and earned premiums in the current period.</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2017, one customer represented 11% of our consolidated revenues. At December 31, 2017, approximately 14% of our total risk-in-force (RIF) was concentrated in California.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Reserves for Insurance Claims and Claims Expenses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Consistent with industry practice, we establish reserves for claims based on our best estimate of ultimate claim costs for defaulted loans using the general principles contained in Accounting Standards Committee (ASC) 944,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(ASC 944). We establish reserves for loans that have been in default for at least 60 days. Reserves for claims and allocated claims expenses, referred to as case reserves, are established when we are notified of defaults by loan servicers. Additional claims reserves, referred to as IBNR reserves, are established for loans that we estimate (based on actuarial review) have been in default for at least 60 days, but have not yet been reported to us as such by servicers. We also establish reserves for unallocated claims expenses not associated with specific claims. Claims expenses represent the estimated cost of the claim administration process, including legal and other fees, as well as other general expenses of administering the claims settlement process.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establishment of claims and claims expense reserves is subject to inherent uncertainty and requires significant judgment by management. 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 prevailing economic conditions, such as mortgage rates, trends in unemployment and house price appreciation. We conduct an annual actuarial review to evaluate and, if necessary, update these assumptions.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income (loss) in shareholders' equity. Net realized investment gains and losses are reported in income based on specific identification of securities sold, and are reclassified out of accumulated other comprehensive income (loss).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w:t>
      </w:r>
      <w:r>
        <w:rPr>
          <w:rFonts w:ascii="Arial" w:cs="Arial" w:eastAsia="Arial" w:hAnsi="Arial"/>
          <w:sz w:val="18"/>
          <w:szCs w:val="18"/>
          <w:i w:val="1"/>
          <w:iCs w:val="1"/>
          <w:color w:val="auto"/>
        </w:rPr>
        <w:t>Note 4, 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further discussion.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the change in effective yields and maturities are recognized on a prospective basis through yield adjustments.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quarter, we evaluate our investments to determine whether declines in fair value below amortized cost were considered other-than-temporary in accordance with applicable guidance. Under the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134"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severity and duration of the decline in fair value;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consider items such as commercial paper with original maturities of 90 days or less to be short-term investments.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Costs directly associated with the successful acquisition of mortgage insurance policies, consisting of certain selling expenses and other policy issuance and underwriting expenses, are initially deferred and reported as deferred policy acquisition costs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 Total amortization of DAC for each of the three years in the three-years period ended December 31, 2017, 2016 and 2015, net of a portion of ceding commission related to the 2016 QSR Transaction (see Note 6, </w:t>
      </w:r>
      <w:r>
        <w:rPr>
          <w:rFonts w:ascii="Arial" w:cs="Arial" w:eastAsia="Arial" w:hAnsi="Arial"/>
          <w:sz w:val="15"/>
          <w:szCs w:val="15"/>
          <w:color w:val="auto"/>
        </w:rPr>
        <w:t>"</w:t>
      </w:r>
      <w:r>
        <w:rPr>
          <w:rFonts w:ascii="Arial" w:cs="Arial" w:eastAsia="Arial" w:hAnsi="Arial"/>
          <w:sz w:val="17"/>
          <w:szCs w:val="17"/>
          <w:i w:val="1"/>
          <w:iCs w:val="1"/>
          <w:color w:val="auto"/>
        </w:rPr>
        <w:t>Reinsurance</w:t>
      </w:r>
      <w:r>
        <w:rPr>
          <w:rFonts w:ascii="Arial" w:cs="Arial" w:eastAsia="Arial" w:hAnsi="Arial"/>
          <w:sz w:val="17"/>
          <w:szCs w:val="17"/>
          <w:color w:val="auto"/>
        </w:rPr>
        <w:t>"</w:t>
      </w:r>
      <w:r>
        <w:rPr>
          <w:rFonts w:ascii="Arial" w:cs="Arial" w:eastAsia="Arial" w:hAnsi="Arial"/>
          <w:sz w:val="15"/>
          <w:szCs w:val="15"/>
          <w:i w:val="1"/>
          <w:iCs w:val="1"/>
          <w:color w:val="auto"/>
        </w:rPr>
        <w:t>)</w:t>
      </w:r>
      <w:r>
        <w:rPr>
          <w:rFonts w:ascii="Arial" w:cs="Arial" w:eastAsia="Arial" w:hAnsi="Arial"/>
          <w:sz w:val="17"/>
          <w:szCs w:val="17"/>
          <w:color w:val="auto"/>
        </w:rPr>
        <w:t>, was $5.8 million, $4.3 million and $2.8 million,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We have determined that no premium deficiency reserves were necessary for any of the years in the three years period ended December 31,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premiums, claims and claims expenses that are ceded to reinsurers on bases consistent with those we use to account for the original policies we issue and pursuant to the terms of our reinsurance contracts. We account for premiums ceded or otherwise paid to reinsurers as reductions to premium revenue.</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earn profit and ceding commissions in connection with our 2016 QSR Transaction (see Note 6, "</w:t>
      </w:r>
      <w:r>
        <w:rPr>
          <w:rFonts w:ascii="Arial" w:cs="Arial" w:eastAsia="Arial" w:hAnsi="Arial"/>
          <w:sz w:val="16"/>
          <w:szCs w:val="16"/>
          <w:i w:val="1"/>
          <w:iCs w:val="1"/>
          <w:color w:val="auto"/>
        </w:rPr>
        <w:t>Reinsurance</w:t>
      </w:r>
      <w:r>
        <w:rPr>
          <w:rFonts w:ascii="Arial" w:cs="Arial" w:eastAsia="Arial" w:hAnsi="Arial"/>
          <w:sz w:val="16"/>
          <w:szCs w:val="16"/>
          <w:color w:val="auto"/>
        </w:rPr>
        <w:t>"</w:t>
      </w:r>
      <w:r>
        <w:rPr>
          <w:rFonts w:ascii="Arial" w:cs="Arial" w:eastAsia="Arial" w:hAnsi="Arial"/>
          <w:sz w:val="14"/>
          <w:szCs w:val="14"/>
          <w:i w:val="1"/>
          <w:iCs w:val="1"/>
          <w:color w:val="auto"/>
        </w:rPr>
        <w:t>).</w:t>
      </w:r>
      <w:r>
        <w:rPr>
          <w:rFonts w:ascii="Arial" w:cs="Arial" w:eastAsia="Arial" w:hAnsi="Arial"/>
          <w:sz w:val="16"/>
          <w:szCs w:val="16"/>
          <w:color w:val="auto"/>
        </w:rPr>
        <w:t xml:space="preserve"> Profit commissions represent a percentage of the profits recognized by reinsurers that are returned to us, based on the level of claims we cede. We recognize any profit commissions we earn as increases to premium revenue. Ceding commissions are calculated as a percentage of ceded written premiums, which are intended to cover our costs to acquire and service the direct policies. We earn the ceding commissions in a manner consistent with our recognition of earnings on the underlying insurance policies, over the terms of the policies reinsured. We account for ceding commissions earned as reductions to underwriting and operating expenses.</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cede a portion of claims and claims expenses reserves to our reinsurers, which are accounted for as reinsurance recoverables in "Other Assets" on the consolidated balance sheets and as reductions to claims expense on the consolidated statements of operations. We remain directly liable for all loss payments in the event we are unable to collect from any reinsurer.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account for warrants to purchase our common shares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ASC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Our outstanding warrants may be settled by us using either (i) physical settlement method or (ii)</w:t>
      </w:r>
      <w:r>
        <w:rPr>
          <w:rFonts w:ascii="Arial" w:cs="Arial" w:eastAsia="Arial" w:hAnsi="Arial"/>
          <w:sz w:val="16"/>
          <w:szCs w:val="16"/>
          <w:i w:val="1"/>
          <w:iCs w:val="1"/>
          <w:color w:val="auto"/>
        </w:rPr>
        <w:t xml:space="preserve"> </w:t>
      </w:r>
      <w:r>
        <w:rPr>
          <w:rFonts w:ascii="Arial" w:cs="Arial" w:eastAsia="Arial" w:hAnsi="Arial"/>
          <w:sz w:val="16"/>
          <w:szCs w:val="16"/>
          <w:color w:val="auto"/>
        </w:rPr>
        <w:t>cashless exercise, where shares that are issued upon exercise of the warrants are reduced, to cover the cost of the exercise, in lieu of the holder remitting a cash payment of the exercise price. The warrants expire and are not exercisable after the 10th anniversary of the date the warrant was issued.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We calculated the fair value of the warrants using a Black-Scholes option-pricing model in combination with a binomial model.</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account for stock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addresses accounting for share-based awards and recognition of compensation expense, measured using grant date fair value, over the requisite service or performance period of the award. Share-based compensation includes restricted stock unit (RSU) and stock option grants under the NMI Holdings, Inc. 2012 Stock Incentive Plan (2012 Plan) and the NMI Holdings, Inc. Amended and Restated 2014 Omnibus Incentive Plan (Amended 2014 Plan), which amended and restated the NMI Holdings, Inc. 2014 Omnibus Incentive Plan (2014 Plan).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 to the contractual terms of any award and the effects of expected exercise and post-vesting termination behavior. RSU grants to employees may contain a service condition, market and service condition or performance and service condition. RSU grants to employees with a service or a performance condition and RSU grants to non-employee directors are valued at our stock price on the date of grant less the present value 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anticipated dividends. The fair value of RSU grants to employees with a market condition is determined based on a Monte Carlo simulation model at the date of grant.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Basic earnings (loss) per share is based on the weighted-average number of common shares outstanding, while diluted earnings (loss) per share is based on the weighted-average number of common shares outstanding and common share equivalents that would be issuable upon the vesting of existing service based RSUs, and exercise of vested and unvested stock options and outstanding warrants.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consider items such as certificates of deposit and money market funds with original maturities of 90 days or less to be cash equivalents.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Equipment</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3 to 7 years, unless factors indicate a shorter useful life. For further detail, see "</w:t>
      </w:r>
      <w:r>
        <w:rPr>
          <w:rFonts w:ascii="Arial" w:cs="Arial" w:eastAsia="Arial" w:hAnsi="Arial"/>
          <w:sz w:val="16"/>
          <w:szCs w:val="16"/>
          <w:i w:val="1"/>
          <w:iCs w:val="1"/>
          <w:color w:val="auto"/>
        </w:rPr>
        <w:t>Note 12, Software and Equipment.</w:t>
      </w:r>
      <w:r>
        <w:rPr>
          <w:rFonts w:ascii="Arial" w:cs="Arial" w:eastAsia="Arial" w:hAnsi="Arial"/>
          <w:sz w:val="16"/>
          <w:szCs w:val="16"/>
          <w:color w:val="auto"/>
        </w:rPr>
        <w: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test goodwill for impairment during the third quarter each year, or more frequently if we believe indicators of impairment exist. We have not identified any impairments of goodwill through December 31, 2017.</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intangible assets consist of state licenses and GSE applications which have indefinite lives. We test indefinite-lived intangible assets for impairment during the fourth quarter of each year or more frequently if we believe indicators of impairment exist. We have not identified any impairments of indefinite-lived intangible assets through December 31, 2017.</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Premiums receivable consist of premiums due on our mortgage insurance policies. If a mortgage insurance premium is unpaid for more than 120 days, the receivable is written off against earned premium and the related insurance policy is canceled. We have determined that the receivable write-off was immaterial as of December 31, 2017.</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entity</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 May 2017, NMIC entered into a reinsurance agreement with Oaktown Re Ltd. (Oaktown Re), a Bermuda-domiciled special purpose reinsurer. At inception of the reinsurance agreement, we determined that Oaktown Re was a variable interest entity (VIE), as defined under GAAP (ASC 810), because it did not have sufficient equity at risk to finance its activities. We evaluated the VIE to determine whether NMIC was its primary beneficiary and, if so, whether we were required to consolidate the assets and liabilities of the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6"/>
          <w:szCs w:val="16"/>
          <w:i w:val="1"/>
          <w:iCs w:val="1"/>
          <w:color w:val="auto"/>
        </w:rPr>
        <w:t>i.e.,</w:t>
      </w:r>
      <w:r>
        <w:rPr>
          <w:rFonts w:ascii="Arial" w:cs="Arial" w:eastAsia="Arial" w:hAnsi="Arial"/>
          <w:sz w:val="16"/>
          <w:szCs w:val="16"/>
          <w:color w:val="auto"/>
        </w:rPr>
        <w:t xml:space="preserve">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w:t>
      </w:r>
    </w:p>
    <w:p>
      <w:pPr>
        <w:spacing w:after="0" w:line="11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concluded that we are not the primary beneficiary of Oaktown Re and that consolidation is not required, as we do not have significant economic exposure in the entity.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w:t>
      </w:r>
      <w:r>
        <w:rPr>
          <w:rFonts w:ascii="Arial" w:cs="Arial" w:eastAsia="Arial" w:hAnsi="Arial"/>
          <w:sz w:val="18"/>
          <w:szCs w:val="18"/>
          <w:i w:val="1"/>
          <w:iCs w:val="1"/>
          <w:color w:val="auto"/>
        </w:rPr>
        <w:t>Reinsurance</w:t>
      </w:r>
      <w:r>
        <w:rPr>
          <w:rFonts w:ascii="Arial" w:cs="Arial" w:eastAsia="Arial" w:hAnsi="Arial"/>
          <w:sz w:val="18"/>
          <w:szCs w:val="18"/>
          <w:color w:val="auto"/>
        </w:rPr>
        <w:t>" for further discussion of the reinsurance arrangement.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(the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(Topic 606). This update is intended to provide a consistent approach in recognizing revenue. In accordance with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will not impact the recognition of revenue related to insurance premiums or investment income, which represent a majority of our total revenues. The adoption of this update for our loan review services revenue (our only revenue stream in scope), effective January 1, 2018, will be done using the modified-retrospective approach and is immaterial to our consolidated financial statements.</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We expect to adopt this guidance on January 1, 2019. In September 2017, ASU 2017-13, added guidance from an SEC Staff Announcement, "Transition Related to Accounting Standards Update No. 2016-02." We anticipate this standard will have an impact on our financial position, primarily due to our office space operating lease, as we will be required to recognize lease assets and lease liabilities on our consolidated balance sheet. We will continue to assess the potential impacts of this standard, including the impact the adoption of this guidance will have on our results of operations or cash flows.</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This update requires companies to measure all expected credit losses for financial assets held at the reporting date. The standard also amends the accounting for credit losses on available-for-sale debt securities and purchased financial assets with credit deterioration. The standard will take effect for public business entities for fiscal years, and interim periods within those fiscal years, beginning after December 15, 2019. We are currently evaluating the impact the adoption of this ASU will have, if any, on our consolidated financial statements.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 This update is intended to reduce diversity in practice in how certain cash receipts and cash payments are presented and classified in the statement of cash flows. The standard will take effect for public business entities for fiscal years, and interim periods within those fiscal years, beginning after December 15, 2017. We have determined that the adoption of this update, effective January 1, 2018, will have no impact on our consolidated financial statements.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2016, the FASB issued ASU 2016-16, </w:t>
      </w:r>
      <w:r>
        <w:rPr>
          <w:rFonts w:ascii="Arial" w:cs="Arial" w:eastAsia="Arial" w:hAnsi="Arial"/>
          <w:sz w:val="18"/>
          <w:szCs w:val="18"/>
          <w:i w:val="1"/>
          <w:iCs w:val="1"/>
          <w:color w:val="auto"/>
        </w:rPr>
        <w:t>Income Taxes- Intra-Entity Transfers of Assets Other Than Inventory</w:t>
      </w:r>
      <w:r>
        <w:rPr>
          <w:rFonts w:ascii="Arial" w:cs="Arial" w:eastAsia="Arial" w:hAnsi="Arial"/>
          <w:sz w:val="18"/>
          <w:szCs w:val="18"/>
          <w:color w:val="auto"/>
        </w:rPr>
        <w:t xml:space="preserve"> (Topic 740). This update is intended to improve the accounting for the income tax consequences of intra-entity transfers of assets other than inventory. The standard will take effect for public business entities for fiscal years, and interim periods within those fiscal years, beginning after December 15, 2017. The adoption of this update, effective January 1, 2018, will have no impact on our consolidated financial statements.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(Topic 350). This update is intended to simplify the test for goodwill impairment. The standard will take effect for public business entities for fiscal years, and interim periods within those fiscal years, after December 15, 2020. Early adoption is permitted for interim or annual goodwill impairment tests performed on testing dates after January 1, 2017. We have determined that the adoption of this ASU will have no impact on our consolidated financial statements.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March 2017, the FASB issued ASU 2017-08, </w:t>
      </w:r>
      <w:r>
        <w:rPr>
          <w:rFonts w:ascii="Arial" w:cs="Arial" w:eastAsia="Arial" w:hAnsi="Arial"/>
          <w:sz w:val="18"/>
          <w:szCs w:val="18"/>
          <w:i w:val="1"/>
          <w:iCs w:val="1"/>
          <w:color w:val="auto"/>
        </w:rPr>
        <w:t>Receivables - Nonrefundable Fees and Other Costs</w:t>
      </w:r>
      <w:r>
        <w:rPr>
          <w:rFonts w:ascii="Arial" w:cs="Arial" w:eastAsia="Arial" w:hAnsi="Arial"/>
          <w:sz w:val="18"/>
          <w:szCs w:val="18"/>
          <w:color w:val="auto"/>
        </w:rPr>
        <w:t xml:space="preserve"> (Subtopic 310-20). This update shortens the amortization period for the premium on certain purchased callable debt securities to the earliest call date. The standard will take effect for public business entities for fiscal years beginning after December 15, 2017. Early adoption is permitted, and if an entity early adopts the guidance in an interim period, any adjustments are reflected as of the beginning of the fiscal year that includes that interim period. The adoption of this update, effective January 1, 2018, will have no impact on our consolidated financial statements.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This standard will take effect for</w:t>
      </w:r>
      <w:r>
        <w:rPr>
          <w:rFonts w:ascii="Arial" w:cs="Arial" w:eastAsia="Arial" w:hAnsi="Arial"/>
          <w:sz w:val="18"/>
          <w:szCs w:val="18"/>
          <w:i w:val="1"/>
          <w:iCs w:val="1"/>
          <w:color w:val="auto"/>
        </w:rPr>
        <w:t xml:space="preserve"> </w:t>
      </w:r>
      <w:r>
        <w:rPr>
          <w:rFonts w:ascii="Arial" w:cs="Arial" w:eastAsia="Arial" w:hAnsi="Arial"/>
          <w:sz w:val="18"/>
          <w:szCs w:val="18"/>
          <w:color w:val="auto"/>
        </w:rPr>
        <w:t>public business entities for fiscal years, and interim periods within those fiscal years,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after December 15, 2018. Early adoption is permitted. The guidance must be applied using a full or modified retrospective approach. We are currently evaluating the impact the adoption of this ASU will have, if any, on our consolidated financial statements.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Immaterial Correction of Prior Period Amounts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quarter of 2017, after filing the 2016 10-K, including the audited financial statements included therein, we discovered that $1.8 million of deferred taxes on vested options associated with employees terminated in previous years had not been reversed. Because our deferred tax asset (DTA) was subject to a valuation allowance prior to December 31, 2016, no expense would have been recognized in periods prior to December 31, 2016. However, at December 31, 2016, when we released the valuation allowance against the DTA, the DTA was overstated by $1.8 million and resulted in a $1.8 million overstatement of our 2016 income tax benefit and net income.</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provide consistency in the consolidated statements and as permitted by Staff Accounting Bulletin (SAB) 108, revisions for these immaterial amounts to previously reported annual amounts are reflected in the Consolidated Balance Sheet financial information herein and in the Consolidated Statements of Operations. A comparison of the affected amounts as previously reported and as adjusted are presented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ind w:left="40"/>
              <w:spacing w:after="0"/>
              <w:rPr>
                <w:sz w:val="20"/>
                <w:szCs w:val="20"/>
                <w:color w:val="auto"/>
              </w:rPr>
            </w:pPr>
            <w:r>
              <w:rPr>
                <w:rFonts w:ascii="Arial" w:cs="Arial" w:eastAsia="Arial" w:hAnsi="Arial"/>
                <w:sz w:val="14"/>
                <w:szCs w:val="14"/>
                <w:b w:val="1"/>
                <w:bCs w:val="1"/>
                <w:color w:val="auto"/>
              </w:rPr>
              <w:t>As of and for the full year ended December 31, 2016</w:t>
            </w: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9"/>
              </w:rPr>
              <w:t>As previously reported</w:t>
            </w:r>
          </w:p>
        </w:tc>
        <w:tc>
          <w:tcPr>
            <w:tcW w:w="6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6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gridSpan w:val="2"/>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21"/>
                <w:szCs w:val="21"/>
                <w:color w:val="auto"/>
              </w:rPr>
            </w:pPr>
          </w:p>
        </w:tc>
      </w:tr>
      <w:tr>
        <w:trPr>
          <w:trHeight w:val="256"/>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Statement</w:t>
            </w:r>
          </w:p>
        </w:tc>
        <w:tc>
          <w:tcPr>
            <w:tcW w:w="2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92"/>
              <w:spacing w:after="0"/>
              <w:rPr>
                <w:sz w:val="20"/>
                <w:szCs w:val="20"/>
                <w:color w:val="auto"/>
              </w:rPr>
            </w:pPr>
            <w:r>
              <w:rPr>
                <w:rFonts w:ascii="Arial" w:cs="Arial" w:eastAsia="Arial" w:hAnsi="Arial"/>
                <w:sz w:val="18"/>
                <w:szCs w:val="18"/>
                <w:color w:val="auto"/>
              </w:rPr>
              <w:t>65,841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64,001</w:t>
            </w: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(54,389)</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(52,549)</w:t>
            </w: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92"/>
              <w:spacing w:after="0"/>
              <w:rPr>
                <w:sz w:val="20"/>
                <w:szCs w:val="20"/>
                <w:color w:val="auto"/>
              </w:rPr>
            </w:pPr>
            <w:r>
              <w:rPr>
                <w:rFonts w:ascii="Arial" w:cs="Arial" w:eastAsia="Arial" w:hAnsi="Arial"/>
                <w:sz w:val="18"/>
                <w:szCs w:val="18"/>
                <w:color w:val="auto"/>
              </w:rPr>
              <w:t>1.11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1.08</w:t>
            </w: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1.08</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1.05</w:t>
            </w:r>
          </w:p>
        </w:tc>
      </w:tr>
      <w:tr>
        <w:trPr>
          <w:trHeight w:val="324"/>
        </w:trPr>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Sheet</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Deferred tax asset,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92"/>
              <w:spacing w:after="0"/>
              <w:rPr>
                <w:sz w:val="20"/>
                <w:szCs w:val="20"/>
                <w:color w:val="auto"/>
              </w:rPr>
            </w:pPr>
            <w:r>
              <w:rPr>
                <w:rFonts w:ascii="Arial" w:cs="Arial" w:eastAsia="Arial" w:hAnsi="Arial"/>
                <w:sz w:val="18"/>
                <w:szCs w:val="18"/>
                <w:color w:val="auto"/>
              </w:rPr>
              <w:t>53,274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51,434</w:t>
            </w: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841,737</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839,897</w:t>
            </w: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2020" w:type="dxa"/>
            <w:vAlign w:val="bottom"/>
          </w:tcPr>
          <w:p>
            <w:pPr>
              <w:jc w:val="right"/>
              <w:ind w:right="132"/>
              <w:spacing w:after="0"/>
              <w:rPr>
                <w:sz w:val="20"/>
                <w:szCs w:val="20"/>
                <w:color w:val="auto"/>
              </w:rPr>
            </w:pPr>
            <w:r>
              <w:rPr>
                <w:rFonts w:ascii="Arial" w:cs="Arial" w:eastAsia="Arial" w:hAnsi="Arial"/>
                <w:sz w:val="18"/>
                <w:szCs w:val="18"/>
                <w:color w:val="auto"/>
              </w:rPr>
              <w:t>(94,882)</w:t>
            </w:r>
          </w:p>
        </w:tc>
        <w:tc>
          <w:tcPr>
            <w:tcW w:w="640" w:type="dxa"/>
            <w:vAlign w:val="bottom"/>
          </w:tcPr>
          <w:p>
            <w:pPr>
              <w:spacing w:after="0"/>
              <w:rPr>
                <w:sz w:val="21"/>
                <w:szCs w:val="21"/>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(96,722)</w:t>
            </w: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477,349</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475,509</w:t>
            </w:r>
          </w:p>
        </w:tc>
      </w:tr>
      <w:tr>
        <w:trPr>
          <w:trHeight w:val="324"/>
        </w:trPr>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Statement of Cash Flows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92"/>
              <w:spacing w:after="0"/>
              <w:rPr>
                <w:sz w:val="20"/>
                <w:szCs w:val="20"/>
                <w:color w:val="auto"/>
              </w:rPr>
            </w:pPr>
            <w:r>
              <w:rPr>
                <w:rFonts w:ascii="Arial" w:cs="Arial" w:eastAsia="Arial" w:hAnsi="Arial"/>
                <w:sz w:val="18"/>
                <w:szCs w:val="18"/>
                <w:color w:val="auto"/>
              </w:rPr>
              <w:t>65,841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64,001</w:t>
            </w: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(54,749)</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(52,909)</w:t>
            </w:r>
          </w:p>
        </w:tc>
      </w:tr>
      <w:tr>
        <w:trPr>
          <w:trHeight w:val="324"/>
        </w:trPr>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Footnote 11.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Reconciliation between the statutory to effective income tax (benefit) rate:</w:t>
            </w:r>
          </w:p>
        </w:tc>
        <w:tc>
          <w:tcPr>
            <w:tcW w:w="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43"/>
        </w:trPr>
        <w:tc>
          <w:tcPr>
            <w:tcW w:w="6800" w:type="dxa"/>
            <w:vAlign w:val="bottom"/>
          </w:tcPr>
          <w:p>
            <w:pPr>
              <w:ind w:left="380"/>
              <w:spacing w:after="0"/>
              <w:rPr>
                <w:sz w:val="20"/>
                <w:szCs w:val="20"/>
                <w:color w:val="auto"/>
              </w:rPr>
            </w:pPr>
            <w:r>
              <w:rPr>
                <w:rFonts w:ascii="Arial" w:cs="Arial" w:eastAsia="Arial" w:hAnsi="Arial"/>
                <w:sz w:val="18"/>
                <w:szCs w:val="18"/>
                <w:color w:val="auto"/>
              </w:rPr>
              <w:t>Effective income tax rate</w:t>
            </w:r>
          </w:p>
        </w:tc>
        <w:tc>
          <w:tcPr>
            <w:tcW w:w="2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(474.9)%</w:t>
            </w:r>
          </w:p>
        </w:tc>
        <w:tc>
          <w:tcPr>
            <w:tcW w:w="6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(459.0)%</w:t>
            </w: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Components of net deferred income tax asset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92"/>
              <w:spacing w:after="0"/>
              <w:rPr>
                <w:sz w:val="20"/>
                <w:szCs w:val="20"/>
                <w:color w:val="auto"/>
              </w:rPr>
            </w:pPr>
            <w:r>
              <w:rPr>
                <w:rFonts w:ascii="Arial" w:cs="Arial" w:eastAsia="Arial" w:hAnsi="Arial"/>
                <w:sz w:val="18"/>
                <w:szCs w:val="18"/>
                <w:color w:val="auto"/>
              </w:rPr>
              <w:t>11,231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9,080</w:t>
            </w: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(7,252)</w:t>
            </w:r>
          </w:p>
        </w:tc>
        <w:tc>
          <w:tcPr>
            <w:tcW w:w="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(6,941)</w:t>
            </w:r>
          </w:p>
        </w:tc>
      </w:tr>
      <w:tr>
        <w:trPr>
          <w:trHeight w:val="243"/>
        </w:trPr>
        <w:tc>
          <w:tcPr>
            <w:tcW w:w="6800" w:type="dxa"/>
            <w:vAlign w:val="bottom"/>
          </w:tcPr>
          <w:p>
            <w:pPr>
              <w:ind w:left="380"/>
              <w:spacing w:after="0"/>
              <w:rPr>
                <w:sz w:val="20"/>
                <w:szCs w:val="20"/>
                <w:color w:val="auto"/>
              </w:rPr>
            </w:pPr>
            <w:r>
              <w:rPr>
                <w:rFonts w:ascii="Arial" w:cs="Arial" w:eastAsia="Arial" w:hAnsi="Arial"/>
                <w:sz w:val="18"/>
                <w:szCs w:val="18"/>
                <w:color w:val="auto"/>
              </w:rPr>
              <w:t>Net deferred income tax asset (liability)</w:t>
            </w:r>
          </w:p>
        </w:tc>
        <w:tc>
          <w:tcPr>
            <w:tcW w:w="280" w:type="dxa"/>
            <w:vAlign w:val="bottom"/>
          </w:tcPr>
          <w:p>
            <w:pPr>
              <w:spacing w:after="0"/>
              <w:rPr>
                <w:sz w:val="21"/>
                <w:szCs w:val="21"/>
                <w:color w:val="auto"/>
              </w:rPr>
            </w:pPr>
          </w:p>
        </w:tc>
        <w:tc>
          <w:tcPr>
            <w:tcW w:w="2020" w:type="dxa"/>
            <w:vAlign w:val="bottom"/>
          </w:tcPr>
          <w:p>
            <w:pPr>
              <w:jc w:val="right"/>
              <w:ind w:right="192"/>
              <w:spacing w:after="0"/>
              <w:rPr>
                <w:sz w:val="20"/>
                <w:szCs w:val="20"/>
                <w:color w:val="auto"/>
              </w:rPr>
            </w:pPr>
            <w:r>
              <w:rPr>
                <w:rFonts w:ascii="Arial" w:cs="Arial" w:eastAsia="Arial" w:hAnsi="Arial"/>
                <w:sz w:val="18"/>
                <w:szCs w:val="18"/>
                <w:color w:val="auto"/>
              </w:rPr>
              <w:t>53,274</w:t>
            </w:r>
          </w:p>
        </w:tc>
        <w:tc>
          <w:tcPr>
            <w:tcW w:w="64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51,434</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(Topic 718), which intends to simplify various aspects of the accounting for and reporting of share-based payments. The new accounting is required to be adopted using a modified retrospective approach, with a cumulative-effect adjustment to opening retained earnings for any outstanding liability awards that qualify for equity classification under the new guidance.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the guidance is effective for annual and interim reporting periods beginning after December 15, 2016, we adopted the new guidance in the first quarter of 2017. This required us to reflect any adjustments as of January 1, 2017, the beginning of the annual period that includes the interim period of adoption. The primary impact of adoption was the recognition of excess tax benefits in our provision for income taxes in the consolidated statements of operations. Additionally, our consolidated statements of cash flows now present excess tax benefits as an operating activity on a prospective basis. Finally, we have elected to account for forfeitures as they occur, rather than estimate expected forfeitures. The net cumulative effect of this change was recognized as a $0.5 million reduction to the accumulated deficit as of January 1, 2017.</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entered into its second quota share reinsurance treaty with a broad panel of highly rated reinsurers that will take effect January 1, 2018 (2018 QSR Transaction). Under the 2018 QSR Transaction, NMIC agrees to cede 25% of its eligible policies written in 2018 and 20% to 30% (amount at NMIC's sole election, to be exercised no later than December 1, 2018) of eligible policies written in 2019. The Company will receive a ceding commission equal to 20% of ceded premiums earned, as well as a profit commission equal to 61% of ceded premiums earned, reduced by any losses ceded under the treaty. The 2018 QSR Transaction is scheduled to terminate on December 31, 2029.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income based 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89,973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100,153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691,357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693,315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Long-term investments - other</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713,859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40,801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349,712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114,456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569,104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567,187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61,584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61,782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630,688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628,969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and December 31, 2016, approximately $7.0 million and $6.9 million of our cash and investments were held in the form of U.S. Treasury securities on deposit with various state insurance departments to satisfy regulatory requirements.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amortized cost and fair values of available-for-sale securities as of December 31, 2017 and December 31, 2016,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97,406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195,795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195,626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305,798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100,153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713,859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4"/>
                <w:szCs w:val="2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94,382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173,296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173,251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242,005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240,060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114,456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630,688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628,969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2017, the investment portfolio had gross unrealized losses of $3.7 million, $2.2 million of which has been in an unrealized loss position for a period of 12 months or greater. We did not consider these securities to be other-than-temporarily impaired as of December 31, 2017. We based our conclusion that these investments were not other-than-temporarily impaired as of December 31, 2017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38,628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17,945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56,573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128,313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48,978</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177,291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27,947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12,438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40,385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4"/>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89"/>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gridSpan w:val="4"/>
          </w:tcPr>
          <w:p>
            <w:pPr>
              <w:jc w:val="right"/>
              <w:ind w:right="50"/>
              <w:spacing w:after="0" w:line="153"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5"/>
          </w:tcPr>
          <w:p>
            <w:pPr>
              <w:jc w:val="right"/>
              <w:ind w:right="21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U.S. Treasury securities and</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51,093</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28,659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1,704</w:t>
            </w:r>
          </w:p>
        </w:tc>
        <w:tc>
          <w:tcPr>
            <w:tcW w:w="42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30,363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135,115</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148,988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38,702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w:t>
            </w:r>
          </w:p>
        </w:tc>
        <w:tc>
          <w:tcPr>
            <w:tcW w:w="42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41,174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271,618</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320" w:type="dxa"/>
            <w:vAlign w:val="bottom"/>
            <w:gridSpan w:val="2"/>
          </w:tcPr>
          <w:p>
            <w:pPr>
              <w:ind w:left="660"/>
              <w:spacing w:after="0"/>
              <w:rPr>
                <w:sz w:val="20"/>
                <w:szCs w:val="20"/>
                <w:color w:val="auto"/>
              </w:rPr>
            </w:pPr>
            <w:r>
              <w:rPr>
                <w:rFonts w:ascii="Arial" w:cs="Arial" w:eastAsia="Arial" w:hAnsi="Arial"/>
                <w:sz w:val="18"/>
                <w:szCs w:val="18"/>
                <w:i w:val="1"/>
                <w:iCs w:val="1"/>
                <w:color w:val="auto"/>
                <w:w w:val="88"/>
              </w:rPr>
              <w:t>Net Investment Income</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0" w:type="dxa"/>
            <w:vAlign w:val="bottom"/>
            <w:gridSpan w:val="10"/>
          </w:tcPr>
          <w:p>
            <w:pPr>
              <w:ind w:left="660"/>
              <w:spacing w:after="0"/>
              <w:rPr>
                <w:sz w:val="20"/>
                <w:szCs w:val="20"/>
                <w:color w:val="auto"/>
              </w:rPr>
            </w:pPr>
            <w:r>
              <w:rPr>
                <w:rFonts w:ascii="Arial" w:cs="Arial" w:eastAsia="Arial" w:hAnsi="Arial"/>
                <w:sz w:val="18"/>
                <w:szCs w:val="18"/>
                <w:color w:val="auto"/>
                <w:w w:val="97"/>
              </w:rPr>
              <w:t>The following table presents the components of net investment income: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right="468"/>
              <w:spacing w:after="0"/>
              <w:rPr>
                <w:sz w:val="20"/>
                <w:szCs w:val="20"/>
                <w:color w:val="auto"/>
              </w:rPr>
            </w:pPr>
            <w:r>
              <w:rPr>
                <w:rFonts w:ascii="Arial" w:cs="Arial" w:eastAsia="Arial" w:hAnsi="Arial"/>
                <w:sz w:val="14"/>
                <w:szCs w:val="14"/>
                <w:b w:val="1"/>
                <w:bCs w:val="1"/>
                <w:color w:val="auto"/>
                <w:w w:val="92"/>
              </w:rPr>
              <w:t>For the year ended December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center"/>
              <w:ind w:right="48"/>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6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8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57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and 2016, we held no other-than-temporarily impaired securities. For the year ended December 31, 2017, we recognized OTTI losses in earnings of $144 thousand in the first quarter related to a single security with an unfavorable recovery forecast. The impaired security was liquidated in the second quarter. There were no credit losses recognized in earnings for which a portion of an OTTI loss was recognized in accumulated other comprehensive income (loss).</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ended December 31, 2015, we recognized an OTTI loss in earnings of $89 thousand due to a planned sale that we expected would result in a loss. The impaired security was liquidated in February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ectPr>
          <w:pgSz w:w="11900" w:h="16838" w:orient="portrait"/>
          <w:cols w:equalWidth="0" w:num="1">
            <w:col w:w="11420"/>
          </w:cols>
          <w:pgMar w:left="240" w:top="125"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89,848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437,835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100,944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 - other</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633,471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735,071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12,460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63,179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40,269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40,269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349,078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114,661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114,661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109,528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109,528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160,247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516,468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676,715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three, of the fair value hierarchy during the years ended December 31, 2017 and 2016.</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center"/>
              <w:ind w:right="337"/>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4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1,467</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1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4,105</w:t>
            </w:r>
          </w:p>
        </w:tc>
        <w:tc>
          <w:tcPr>
            <w:tcW w:w="460" w:type="dxa"/>
            <w:vAlign w:val="bottom"/>
          </w:tcPr>
          <w:p>
            <w:pPr>
              <w:spacing w:after="0"/>
              <w:rPr>
                <w:sz w:val="21"/>
                <w:szCs w:val="21"/>
                <w:color w:val="auto"/>
              </w:rPr>
            </w:pPr>
          </w:p>
        </w:tc>
        <w:tc>
          <w:tcPr>
            <w:tcW w:w="1660" w:type="dxa"/>
            <w:vAlign w:val="bottom"/>
          </w:tcPr>
          <w:p>
            <w:pPr>
              <w:jc w:val="right"/>
              <w:ind w:right="157"/>
              <w:spacing w:after="0"/>
              <w:rPr>
                <w:sz w:val="20"/>
                <w:szCs w:val="20"/>
                <w:color w:val="auto"/>
              </w:rPr>
            </w:pPr>
            <w:r>
              <w:rPr>
                <w:rFonts w:ascii="Arial" w:cs="Arial" w:eastAsia="Arial" w:hAnsi="Arial"/>
                <w:sz w:val="18"/>
                <w:szCs w:val="18"/>
                <w:color w:val="auto"/>
              </w:rPr>
              <w:t>1,900</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
        </w:trPr>
        <w:tc>
          <w:tcPr>
            <w:tcW w:w="5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4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3,367</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1,467</w:t>
            </w: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The following table outlines the key inputs and assumptions used in the option-pricing model as of the dates indicated.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As of December 31,</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ind w:right="69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1560" w:type="dxa"/>
            <w:vAlign w:val="bottom"/>
          </w:tcPr>
          <w:p>
            <w:pPr>
              <w:jc w:val="right"/>
              <w:ind w:right="695"/>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22"/>
                <w:szCs w:val="22"/>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56"/>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10.65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6.77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4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1.78%</w:t>
            </w:r>
          </w:p>
        </w:tc>
        <w:tc>
          <w:tcPr>
            <w:tcW w:w="500" w:type="dxa"/>
            <w:vAlign w:val="bottom"/>
          </w:tcPr>
          <w:p>
            <w:pPr>
              <w:spacing w:after="0"/>
              <w:rPr>
                <w:sz w:val="21"/>
                <w:szCs w:val="21"/>
                <w:color w:val="auto"/>
              </w:rPr>
            </w:pPr>
          </w:p>
        </w:tc>
        <w:tc>
          <w:tcPr>
            <w:tcW w:w="1380" w:type="dxa"/>
            <w:vAlign w:val="bottom"/>
          </w:tcPr>
          <w:p>
            <w:pPr>
              <w:ind w:left="880"/>
              <w:spacing w:after="0"/>
              <w:rPr>
                <w:sz w:val="20"/>
                <w:szCs w:val="20"/>
                <w:color w:val="auto"/>
              </w:rPr>
            </w:pPr>
            <w:r>
              <w:rPr>
                <w:rFonts w:ascii="Arial" w:cs="Arial" w:eastAsia="Arial" w:hAnsi="Arial"/>
                <w:sz w:val="18"/>
                <w:szCs w:val="18"/>
                <w:color w:val="auto"/>
                <w:w w:val="93"/>
              </w:rPr>
              <w:t>1.91%</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3.07 years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4.33 years</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5.92 years</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32.7%</w:t>
            </w:r>
          </w:p>
        </w:tc>
        <w:tc>
          <w:tcPr>
            <w:tcW w:w="500" w:type="dxa"/>
            <w:vAlign w:val="bottom"/>
          </w:tcPr>
          <w:p>
            <w:pPr>
              <w:spacing w:after="0"/>
              <w:rPr>
                <w:sz w:val="21"/>
                <w:szCs w:val="21"/>
                <w:color w:val="auto"/>
              </w:rPr>
            </w:pPr>
          </w:p>
        </w:tc>
        <w:tc>
          <w:tcPr>
            <w:tcW w:w="1380" w:type="dxa"/>
            <w:vAlign w:val="bottom"/>
          </w:tcPr>
          <w:p>
            <w:pPr>
              <w:ind w:left="880"/>
              <w:spacing w:after="0"/>
              <w:rPr>
                <w:sz w:val="20"/>
                <w:szCs w:val="20"/>
                <w:color w:val="auto"/>
              </w:rPr>
            </w:pPr>
            <w:r>
              <w:rPr>
                <w:rFonts w:ascii="Arial" w:cs="Arial" w:eastAsia="Arial" w:hAnsi="Arial"/>
                <w:sz w:val="18"/>
                <w:szCs w:val="18"/>
                <w:color w:val="auto"/>
                <w:w w:val="93"/>
              </w:rPr>
              <w:t>32.7%</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r>
      <w:tr>
        <w:trPr>
          <w:trHeight w:val="27"/>
        </w:trPr>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changes in fair value of the warrant liability for the years ended December 31, 2017, 2016 and 2015 are primarily attributable to changes in the price of our common stock during the respective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7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November 10, 2015, we entered into a credit agreement (the Credit Agreement) to obtain a $150 million three-year senior secured term loan (the Term Loan). On February 10, 2017, we amended the Credit Agreement (Amendment No. 1) to reduce the interest rate and extend the maturity date of the Term Loan from November 10, 2018 to November 10, 2019. On October 25, 2017, we further amended the Credit Agreement (Amendment No. 2) to remove a covenant that required NMIH to maintain liquidity (as defined therein) in an aggregate amount no less than all remaining interest payments due under the Term Loan. As modified by Amendment No. 2, the Credit Agreement retains a requirement that NMIH maintain liquidity in an aggregate amount no less than the sum of all remaining principal amortization payments due under the Term Loan, excluding principal scheduled to be paid on its maturity date. We have concluded that the amendments to the Credit Agreement should be treated as modifications.</w:t>
      </w:r>
    </w:p>
    <w:p>
      <w:pPr>
        <w:spacing w:after="0" w:line="11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As of December 31, 2017, the Term Loan bears interest at the Eurodollar Rate, as defined in the Credit Agreement and subject to a 1.00% floor, plus an annual margin rate of 6.75%, representing an all-in rate of 8.23%, payable monthly or quarterly based on our interest rate election. Quarterly principal payments of $375 thousand are also required. The outstanding balance of the Term Loan as of December 31, 2017 was $147 million.</w:t>
      </w:r>
    </w:p>
    <w:p>
      <w:pPr>
        <w:spacing w:after="0" w:line="9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Debt issuance costs totaling $4.9 million, including $445 thousand related to Amendment No.1 and Amendment No.2 modifications and a 1% original issue discount, are being amortized to interest expense, using the effective interest method, over the contractual life of the Term Loan. Interest expense for the Term Loan includes interest and amortization of issuance costs, modification costs and the original issue discount. For the twelve months ended December 31, 2017, we recorded $13.5 million of interest expense.</w:t>
      </w:r>
    </w:p>
    <w:p>
      <w:pPr>
        <w:spacing w:after="0" w:line="13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are subject to various covenants under the amended Credit Agreement, which include, but are not limited to the following: a maximum debt-to-total capitalization ratio (as defined therein) of 35%, maximum risk-to-capital (RTC) ratio of 22.0:1.0, minimum liquidity (as defined therein) of $2.6 million as of December 31, 2017, compliance with the PMIERs financial requirements (subject to any GSE-approved waivers), and minimum shareholders' equity requirements. This description is not intended to be complete in all respects and is qualified in its entirety by the terms of the amended Credit Agreement, including its covenants and events of default. We were in compliance with all covenants as of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Future principle payments for the Term Loan as of December 31, 2017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4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375"/>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r>
      <w:tr>
        <w:trPr>
          <w:trHeight w:val="223"/>
        </w:trPr>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6"/>
                <w:szCs w:val="16"/>
                <w:i w:val="1"/>
                <w:iCs w:val="1"/>
                <w:color w:val="auto"/>
                <w:w w:val="91"/>
              </w:rPr>
              <w:t>(In thousands)</w:t>
            </w:r>
          </w:p>
        </w:tc>
      </w:tr>
      <w:tr>
        <w:trPr>
          <w:trHeight w:val="33"/>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5"/>
              <w:spacing w:after="0"/>
              <w:rPr>
                <w:sz w:val="20"/>
                <w:szCs w:val="20"/>
                <w:color w:val="auto"/>
              </w:rPr>
            </w:pPr>
            <w:r>
              <w:rPr>
                <w:rFonts w:ascii="Arial" w:cs="Arial" w:eastAsia="Arial" w:hAnsi="Arial"/>
                <w:sz w:val="18"/>
                <w:szCs w:val="18"/>
                <w:color w:val="auto"/>
              </w:rPr>
              <w:t>145,125</w:t>
            </w:r>
          </w:p>
        </w:tc>
        <w:tc>
          <w:tcPr>
            <w:tcW w:w="100" w:type="dxa"/>
            <w:vAlign w:val="bottom"/>
          </w:tcPr>
          <w:p>
            <w:pPr>
              <w:spacing w:after="0"/>
              <w:rPr>
                <w:sz w:val="21"/>
                <w:szCs w:val="2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146,625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enter into third-party reinsurance transactions to actively manage our risk, ensure PMIERs compliance and support the growth of our business. The GSEs and the Wisconsin OCI have approved all such transactions (subject to certain conditions and periodic ongoing review, including levels of approved capital credit).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For the year ended</w:t>
            </w: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center"/>
              <w:ind w:right="136"/>
              <w:spacing w:after="0"/>
              <w:rPr>
                <w:sz w:val="20"/>
                <w:szCs w:val="20"/>
                <w:color w:val="auto"/>
              </w:rPr>
            </w:pPr>
            <w:r>
              <w:rPr>
                <w:rFonts w:ascii="Arial" w:cs="Arial" w:eastAsia="Arial" w:hAnsi="Arial"/>
                <w:sz w:val="14"/>
                <w:szCs w:val="14"/>
                <w:i w:val="1"/>
                <w:iCs w:val="1"/>
                <w:color w:val="auto"/>
                <w:w w:val="91"/>
              </w:rPr>
              <w:t>(In Thousands)</w:t>
            </w: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Net premiums written</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177,962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114,210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(43,270)</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173,672</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134,692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114,210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115,830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45,506</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165,740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110,481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45,506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Net of profit commission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2017, NMIC entered into a reinsurance agreement with Oaktown Re that provides for up to $211.3 million of aggregate excess-of-loss reinsurance coverage at inception for new delinquencies on an existing portfolio of mortgage insurance policies written from 2013 through December 31, 2016. For the reinsurance coverage period, NMIC will retain the first layer of $126.8 million of aggregate losses and Oaktown Re will then provide second layer coverage up to the outstanding reinsurance coverage amount. NMIC will then retain losses in excess of the outstanding reinsurance coverage amount. The outstanding reinsurance coverage amount decreases from $211.3 million at inception over a ten-year period as the underlying covered mortgages amortize and/or are repaid, and was $177 million as of December 31, 2017. The outstanding reinsurance coverage amount will stop amortizing if certain credit enhancement or delinquency thresholds are triggered.</w:t>
      </w:r>
    </w:p>
    <w:p>
      <w:pPr>
        <w:spacing w:after="0" w:line="1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Oaktown Re financed the coverage by issuing mortgage insurance-linked notes in an aggregate amount of $211.3 million to unaffiliated investors (the Notes). The Notes mature on April 26, 2027. All of the proceeds paid to Oaktown Re from the sale of the Notes were deposited into a reinsurance trust to collateralize and fund the obligations of Oaktown Re to NMIC under the reinsurance agreement. At all times, funds in the reinsurance trust account are required to be invested in high credit quality money market funds. We refer collectively to NMIC's reinsurance agreement with Oaktown Re and the issuance of the Notes by Oaktown Re as the 2017 ILN Transaction. Under the terms of the 2017 ILN Transaction, NMIC makes risk premium payments for the applicable outstanding reinsurance coverage amount and pays Oaktown Re for its anticipated operating expenses (capped at $300 thousand per year). For the year ended December 31, 2017, NMIC paid risk premiums of $5.0 million. NMIC did not cede any losses to Oaktown Re.</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time the 2017 ILN Transaction was entered into with Oaktown Re, we evaluated the applicability of the accounting guidance that addresses VIEs. As a result of the evaluation of the 2017 ILN Transaction, we concluded that Oaktown Re is a VIE. However, given that NMIC does not have significant economic exposure in Oaktown Re, we do not consolidate Oaktown Re in our consolidated financial statements.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September 2016, NMIC entered into a quota-share reinsurance transaction with a panel of third-party reinsurers (2016 QSR Transaction). Each of the third-party reinsurers has an insurer financial strength rating of A- or better by Standard and Poor's Rating Services (S&amp;P), A.M. Best or both.</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effective September 1, 2016, NMIC ceded premiums related to:</w:t>
      </w:r>
    </w:p>
    <w:p>
      <w:pPr>
        <w:spacing w:after="0" w:line="198" w:lineRule="exact"/>
        <w:rPr>
          <w:sz w:val="20"/>
          <w:szCs w:val="20"/>
          <w:color w:val="auto"/>
        </w:rPr>
      </w:pPr>
    </w:p>
    <w:p>
      <w:pPr>
        <w:ind w:left="720" w:hanging="388"/>
        <w:spacing w:after="0"/>
        <w:tabs>
          <w:tab w:leader="none" w:pos="720" w:val="left"/>
        </w:tabs>
        <w:numPr>
          <w:ilvl w:val="0"/>
          <w:numId w:val="47"/>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100% of existing risk under our pool agreement with Fannie Mae;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related to the 2016 QSR Transaction: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jc w:val="right"/>
              <w:ind w:right="1032"/>
              <w:spacing w:after="0"/>
              <w:rPr>
                <w:sz w:val="20"/>
                <w:szCs w:val="20"/>
                <w:color w:val="auto"/>
              </w:rPr>
            </w:pPr>
            <w:r>
              <w:rPr>
                <w:rFonts w:ascii="Arial" w:cs="Arial" w:eastAsia="Arial" w:hAnsi="Arial"/>
                <w:sz w:val="14"/>
                <w:szCs w:val="14"/>
                <w:b w:val="1"/>
                <w:bCs w:val="1"/>
                <w:color w:val="auto"/>
              </w:rPr>
              <w:t>For the year ended</w:t>
            </w:r>
          </w:p>
        </w:tc>
      </w:tr>
      <w:tr>
        <w:trPr>
          <w:trHeight w:val="258"/>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December 31, 2017</w:t>
            </w:r>
          </w:p>
        </w:tc>
        <w:tc>
          <w:tcPr>
            <w:tcW w:w="260" w:type="dxa"/>
            <w:vAlign w:val="bottom"/>
          </w:tcPr>
          <w:p>
            <w:pPr>
              <w:spacing w:after="0"/>
              <w:rPr>
                <w:sz w:val="22"/>
                <w:szCs w:val="22"/>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2016</w:t>
            </w:r>
          </w:p>
        </w:tc>
      </w:tr>
      <w:tr>
        <w:trPr>
          <w:trHeight w:val="276"/>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3"/>
          </w:tcPr>
          <w:p>
            <w:pPr>
              <w:jc w:val="right"/>
              <w:ind w:right="1172"/>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2,983,353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2,008,385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Ceded premiums written</w:t>
            </w:r>
          </w:p>
        </w:tc>
        <w:tc>
          <w:tcPr>
            <w:tcW w:w="18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(51,948)</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(50,553)</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premiums earned</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(49,619)</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Ceded claims and claims expenses</w:t>
            </w:r>
          </w:p>
        </w:tc>
        <w:tc>
          <w:tcPr>
            <w:tcW w:w="180" w:type="dxa"/>
            <w:vAlign w:val="bottom"/>
          </w:tcPr>
          <w:p>
            <w:pPr>
              <w:spacing w:after="0"/>
              <w:rPr>
                <w:sz w:val="21"/>
                <w:szCs w:val="21"/>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1,687</w:t>
            </w:r>
          </w:p>
        </w:tc>
        <w:tc>
          <w:tcPr>
            <w:tcW w:w="2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297</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10,390</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180" w:type="dxa"/>
            <w:vAlign w:val="bottom"/>
          </w:tcPr>
          <w:p>
            <w:pPr>
              <w:spacing w:after="0"/>
              <w:rPr>
                <w:sz w:val="21"/>
                <w:szCs w:val="21"/>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9,806</w:t>
            </w:r>
          </w:p>
        </w:tc>
        <w:tc>
          <w:tcPr>
            <w:tcW w:w="2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2,303</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28,084</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7,283</w:t>
            </w:r>
          </w:p>
        </w:tc>
      </w:tr>
      <w:tr>
        <w:trPr>
          <w:trHeight w:val="27"/>
        </w:trPr>
        <w:tc>
          <w:tcPr>
            <w:tcW w:w="8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Ceded premiums written are recorded on the balance sheet as prepaid reinsurance premiums and amortized to ceded premiums earned in a manner consistent with the recognition of income on direct premiums. NMIC receives a 20% ceding commission for premiums ceded pursuant to this transaction. NMIC also receives a profit commission, provided that the loss ratio on the loans covered under the agreement generally remains below 60%, as measured annually. Ceded claims and claims expenses reduce NMIC's profit commission on a dollar-for-dollar basis.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$1.9 million as of December 31, 2017.</w:t>
      </w:r>
    </w:p>
    <w:p>
      <w:pPr>
        <w:spacing w:after="0" w:line="11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agreement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Reserves for Insurance Claims and Claim Expenses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IBNR reserves. We also establish claims expense reserves, which represent the estimated cost of the claim administration process, including legal and other fees, as well as other general expenses of administering the claims settlement process. As of December 31, 2017, we had reserves for insurance claims and claims expenses of $8.8 million for 928 primary loans in default. For the year ended 2017, we paid 27 claims totaling $1.3 million, including nine claims ceded under the 2016 QSR Transaction representing $81 thousand of ceded claims and claims expenses.</w:t>
      </w:r>
    </w:p>
    <w:p>
      <w:pPr>
        <w:spacing w:after="0" w:line="1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December 31, 2017, 66 loans in the pool were past due by 60 days or more. These 66 loans represented approximately $4.3 million of RIF. Due to the size of the remaining deductible, the low level of notices of default (NODs) reported on loans in the pool through December 31, 2017 and the expected severity (all loans in the pool have loan-to-value (LTV) ratios under 80%,) we did not have any case or IBNR reserves for pool risks at December 31, 2017 or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December 31, 2016. In connection with the settlement of pool claims, we applied $368 thousand to the pool deductible through December 31, 2017. At December 31, 2017, the remaining pool deductible was $10.0 million. We have not paid any pool claims to date. 100% of our pool RIF is reinsured under the 2016 QSR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 year ended</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5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70"/>
        </w:trPr>
        <w:tc>
          <w:tcPr>
            <w:tcW w:w="5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318"/>
        </w:trPr>
        <w:tc>
          <w:tcPr>
            <w:tcW w:w="57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r>
      <w:tr>
        <w:trPr>
          <w:trHeight w:val="270"/>
        </w:trPr>
        <w:tc>
          <w:tcPr>
            <w:tcW w:w="57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r>
      <w:tr>
        <w:trPr>
          <w:trHeight w:val="318"/>
        </w:trPr>
        <w:tc>
          <w:tcPr>
            <w:tcW w:w="57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70"/>
        </w:trPr>
        <w:tc>
          <w:tcPr>
            <w:tcW w:w="57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318"/>
        </w:trPr>
        <w:tc>
          <w:tcPr>
            <w:tcW w:w="57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70"/>
        </w:trPr>
        <w:tc>
          <w:tcPr>
            <w:tcW w:w="57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60" w:firstLine="8"/>
        <w:spacing w:after="0" w:line="244" w:lineRule="auto"/>
        <w:tabs>
          <w:tab w:leader="none" w:pos="187"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Related to ceded losses recoverable on the 2016 QSR Transaction, included in "Other Assets" on the Consolidated Balance Sheets. See Note 6,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11" w:lineRule="exact"/>
        <w:rPr>
          <w:rFonts w:ascii="Arial" w:cs="Arial" w:eastAsia="Arial" w:hAnsi="Arial"/>
          <w:sz w:val="22"/>
          <w:szCs w:val="22"/>
          <w:color w:val="auto"/>
          <w:vertAlign w:val="superscript"/>
        </w:rPr>
      </w:pPr>
    </w:p>
    <w:p>
      <w:pPr>
        <w:ind w:firstLine="8"/>
        <w:spacing w:after="0" w:line="244" w:lineRule="auto"/>
        <w:tabs>
          <w:tab w:leader="none" w:pos="187"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spacing w:after="0" w:line="1" w:lineRule="exact"/>
        <w:rPr>
          <w:rFonts w:ascii="Arial" w:cs="Arial" w:eastAsia="Arial" w:hAnsi="Arial"/>
          <w:sz w:val="22"/>
          <w:szCs w:val="22"/>
          <w:color w:val="auto"/>
          <w:vertAlign w:val="superscript"/>
        </w:rPr>
      </w:pPr>
    </w:p>
    <w:p>
      <w:pPr>
        <w:ind w:left="200" w:hanging="192"/>
        <w:spacing w:after="0" w:line="196" w:lineRule="auto"/>
        <w:tabs>
          <w:tab w:leader="none" w:pos="20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"claims incurred" section of the table above shows claims and claim expenses incurred on NODs for current and prior years, including IBNR reserves. The amount of claims incurred relating to current year NODs represents the estimated amount of claims and claims expenses to be ultimately paid on such loans in default. We recognized $801 thousand, $65 thousand, and $49 thousand of favorable prior year development related to claims incurred in prior years during the year ended December 31, 2017, 2016 and 2015,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$1.0 million related to prior year defaults remained as of December 31, 2017.</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claim development data, by accident year and a reconciliation to the reserve for insurance claims and claims expenses.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780" w:type="dxa"/>
            <w:vAlign w:val="bottom"/>
            <w:gridSpan w:val="8"/>
          </w:tcPr>
          <w:p>
            <w:pPr>
              <w:ind w:left="200"/>
              <w:spacing w:after="0"/>
              <w:rPr>
                <w:sz w:val="20"/>
                <w:szCs w:val="20"/>
                <w:color w:val="auto"/>
              </w:rPr>
            </w:pPr>
            <w:r>
              <w:rPr>
                <w:rFonts w:ascii="Arial" w:cs="Arial" w:eastAsia="Arial" w:hAnsi="Arial"/>
                <w:sz w:val="14"/>
                <w:szCs w:val="14"/>
                <w:b w:val="1"/>
                <w:bCs w:val="1"/>
                <w:color w:val="auto"/>
              </w:rPr>
              <w:t xml:space="preserve">Cumulative Incurred Claims and Allocated Claims Adjustment Expenses, net of Reinsurance </w:t>
            </w:r>
            <w:r>
              <w:rPr>
                <w:rFonts w:ascii="Arial" w:cs="Arial" w:eastAsia="Arial" w:hAnsi="Arial"/>
                <w:sz w:val="8"/>
                <w:szCs w:val="8"/>
                <w:b w:val="1"/>
                <w:bCs w:val="1"/>
                <w:color w:val="auto"/>
              </w:rPr>
              <w:t>(1)</w:t>
            </w:r>
          </w:p>
        </w:tc>
        <w:tc>
          <w:tcPr>
            <w:tcW w:w="140" w:type="dxa"/>
            <w:vAlign w:val="bottom"/>
          </w:tcPr>
          <w:p>
            <w:pPr>
              <w:spacing w:after="0"/>
              <w:rPr>
                <w:sz w:val="16"/>
                <w:szCs w:val="16"/>
                <w:color w:val="auto"/>
              </w:rPr>
            </w:pPr>
          </w:p>
        </w:tc>
        <w:tc>
          <w:tcPr>
            <w:tcW w:w="246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As of December 31, 2017</w:t>
            </w:r>
          </w:p>
        </w:tc>
      </w:tr>
      <w:tr>
        <w:trPr>
          <w:trHeight w:val="229"/>
        </w:trPr>
        <w:tc>
          <w:tcPr>
            <w:tcW w:w="4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Accident Year</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46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of IBNR</w:t>
            </w:r>
          </w:p>
        </w:tc>
        <w:tc>
          <w:tcPr>
            <w:tcW w:w="124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xml:space="preserve">NODs </w:t>
            </w:r>
            <w:r>
              <w:rPr>
                <w:rFonts w:ascii="Arial" w:cs="Arial" w:eastAsia="Arial" w:hAnsi="Arial"/>
                <w:sz w:val="8"/>
                <w:szCs w:val="8"/>
                <w:b w:val="1"/>
                <w:bCs w:val="1"/>
                <w:color w:val="auto"/>
              </w:rPr>
              <w:t>(2)</w:t>
            </w:r>
          </w:p>
        </w:tc>
      </w:tr>
      <w:tr>
        <w:trPr>
          <w:trHeight w:val="21"/>
        </w:trPr>
        <w:tc>
          <w:tcPr>
            <w:tcW w:w="4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4"/>
                <w:szCs w:val="14"/>
                <w:i w:val="1"/>
                <w:iCs w:val="1"/>
                <w:color w:val="auto"/>
                <w:w w:val="97"/>
              </w:rPr>
              <w:t>($ Values In Thousands)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2013</w:t>
            </w:r>
          </w:p>
        </w:tc>
        <w:tc>
          <w:tcPr>
            <w:tcW w:w="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40" w:type="dxa"/>
            <w:vAlign w:val="bottom"/>
          </w:tcPr>
          <w:p>
            <w:pPr>
              <w:jc w:val="right"/>
              <w:spacing w:after="0"/>
              <w:rPr>
                <w:sz w:val="20"/>
                <w:szCs w:val="20"/>
                <w:color w:val="auto"/>
              </w:rPr>
            </w:pPr>
            <w:r>
              <w:rPr>
                <w:rFonts w:ascii="Arial" w:cs="Arial" w:eastAsia="Arial" w:hAnsi="Arial"/>
                <w:sz w:val="16"/>
                <w:szCs w:val="16"/>
                <w:color w:val="auto"/>
                <w:w w:val="95"/>
              </w:rPr>
              <w:t>2014</w:t>
            </w: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ind w:left="680"/>
              <w:spacing w:after="0"/>
              <w:rPr>
                <w:sz w:val="20"/>
                <w:szCs w:val="20"/>
                <w:color w:val="auto"/>
              </w:rPr>
            </w:pPr>
            <w:r>
              <w:rPr>
                <w:rFonts w:ascii="Arial" w:cs="Arial" w:eastAsia="Arial" w:hAnsi="Arial"/>
                <w:sz w:val="18"/>
                <w:szCs w:val="18"/>
                <w:color w:val="auto"/>
              </w:rPr>
              <w:t>83</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664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440" w:type="dxa"/>
            <w:vAlign w:val="bottom"/>
          </w:tcPr>
          <w:p>
            <w:pPr>
              <w:jc w:val="right"/>
              <w:spacing w:after="0"/>
              <w:rPr>
                <w:sz w:val="20"/>
                <w:szCs w:val="20"/>
                <w:color w:val="auto"/>
              </w:rPr>
            </w:pPr>
            <w:r>
              <w:rPr>
                <w:rFonts w:ascii="Arial" w:cs="Arial" w:eastAsia="Arial" w:hAnsi="Arial"/>
                <w:sz w:val="16"/>
                <w:szCs w:val="16"/>
                <w:color w:val="auto"/>
                <w:w w:val="95"/>
              </w:rPr>
              <w:t>2016</w:t>
            </w: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2,394</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2017</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w:t>
            </w: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Total   $</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8,343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928</w:t>
            </w:r>
          </w:p>
        </w:tc>
      </w:tr>
      <w:tr>
        <w:trPr>
          <w:trHeight w:val="27"/>
        </w:trPr>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9"/>
          <w:szCs w:val="9"/>
          <w:color w:val="auto"/>
        </w:rPr>
      </w:pPr>
      <w:r>
        <w:rPr>
          <w:rFonts w:ascii="Arial" w:cs="Arial" w:eastAsia="Arial" w:hAnsi="Arial"/>
          <w:sz w:val="14"/>
          <w:szCs w:val="14"/>
          <w:color w:val="auto"/>
        </w:rPr>
        <w:t>Amounts include case and IBNR reserves.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49"/>
        </w:numPr>
        <w:rPr>
          <w:rFonts w:ascii="Arial" w:cs="Arial" w:eastAsia="Arial" w:hAnsi="Arial"/>
          <w:sz w:val="9"/>
          <w:szCs w:val="9"/>
          <w:color w:val="auto"/>
        </w:rPr>
      </w:pPr>
      <w:r>
        <w:rPr>
          <w:rFonts w:ascii="Arial" w:cs="Arial" w:eastAsia="Arial" w:hAnsi="Arial"/>
          <w:sz w:val="14"/>
          <w:szCs w:val="14"/>
          <w:color w:val="auto"/>
        </w:rPr>
        <w:t>The number of NODs outstanding as of December 31, 2017 is the total number of loans in default over 60 days for which we have established reserves.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2"/>
              </w:rPr>
              <w:t>Cumulative Paid Claims and Allocated Claims Adjustment Expenses, net of Reinsurance</w:t>
            </w: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Accident Year</w:t>
            </w:r>
          </w:p>
        </w:tc>
        <w:tc>
          <w:tcPr>
            <w:tcW w:w="1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9"/>
                <w:szCs w:val="19"/>
                <w:color w:val="auto"/>
              </w:rPr>
            </w:pPr>
          </w:p>
        </w:tc>
        <w:tc>
          <w:tcPr>
            <w:tcW w:w="1720" w:type="dxa"/>
            <w:vAlign w:val="bottom"/>
          </w:tcPr>
          <w:p>
            <w:pPr>
              <w:jc w:val="right"/>
              <w:ind w:right="702"/>
              <w:spacing w:after="0"/>
              <w:rPr>
                <w:sz w:val="20"/>
                <w:szCs w:val="20"/>
                <w:color w:val="auto"/>
              </w:rPr>
            </w:pPr>
            <w:r>
              <w:rPr>
                <w:rFonts w:ascii="Arial" w:cs="Arial" w:eastAsia="Arial" w:hAnsi="Arial"/>
                <w:sz w:val="14"/>
                <w:szCs w:val="14"/>
                <w:b w:val="1"/>
                <w:bCs w:val="1"/>
                <w:color w:val="auto"/>
              </w:rPr>
              <w:t>2014</w:t>
            </w:r>
          </w:p>
        </w:tc>
        <w:tc>
          <w:tcPr>
            <w:tcW w:w="1380" w:type="dxa"/>
            <w:vAlign w:val="bottom"/>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300" w:type="dxa"/>
            <w:vAlign w:val="bottom"/>
          </w:tcPr>
          <w:p>
            <w:pPr>
              <w:spacing w:after="0"/>
              <w:rPr>
                <w:sz w:val="19"/>
                <w:szCs w:val="19"/>
                <w:color w:val="auto"/>
              </w:rPr>
            </w:pPr>
          </w:p>
        </w:tc>
        <w:tc>
          <w:tcPr>
            <w:tcW w:w="1280" w:type="dxa"/>
            <w:vAlign w:val="bottom"/>
          </w:tcPr>
          <w:p>
            <w:pPr>
              <w:jc w:val="right"/>
              <w:ind w:right="794"/>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c>
          <w:tcPr>
            <w:tcW w:w="1220" w:type="dxa"/>
            <w:vAlign w:val="bottom"/>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100" w:type="dxa"/>
            <w:vAlign w:val="bottom"/>
            <w:gridSpan w:val="2"/>
          </w:tcPr>
          <w:p>
            <w:pPr>
              <w:ind w:left="13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6"/>
                <w:szCs w:val="16"/>
                <w:color w:val="auto"/>
                <w:w w:val="95"/>
              </w:rPr>
              <w:t>2013</w:t>
            </w: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 w:type="dxa"/>
            <w:vAlign w:val="bottom"/>
            <w:gridSpan w:val="2"/>
          </w:tcPr>
          <w:p>
            <w:pPr>
              <w:jc w:val="right"/>
              <w:ind w:right="50"/>
              <w:spacing w:after="0"/>
              <w:rPr>
                <w:sz w:val="20"/>
                <w:szCs w:val="20"/>
                <w:color w:val="auto"/>
              </w:rPr>
            </w:pPr>
            <w:r>
              <w:rPr>
                <w:rFonts w:ascii="Arial" w:cs="Arial" w:eastAsia="Arial" w:hAnsi="Arial"/>
                <w:sz w:val="16"/>
                <w:szCs w:val="16"/>
                <w:color w:val="auto"/>
                <w:w w:val="95"/>
              </w:rPr>
              <w:t>2014</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1300" w:type="dxa"/>
            <w:vAlign w:val="bottom"/>
          </w:tcPr>
          <w:p>
            <w:pPr>
              <w:jc w:val="right"/>
              <w:ind w:right="790"/>
              <w:spacing w:after="0"/>
              <w:rPr>
                <w:sz w:val="20"/>
                <w:szCs w:val="20"/>
                <w:color w:val="auto"/>
              </w:rPr>
            </w:pPr>
            <w:r>
              <w:rPr>
                <w:rFonts w:ascii="Arial" w:cs="Arial" w:eastAsia="Arial" w:hAnsi="Arial"/>
                <w:sz w:val="18"/>
                <w:szCs w:val="18"/>
                <w:color w:val="auto"/>
              </w:rPr>
              <w:t>4</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6"/>
                <w:szCs w:val="16"/>
                <w:color w:val="auto"/>
                <w:w w:val="95"/>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50</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246</w:t>
            </w: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gridSpan w:val="2"/>
          </w:tcPr>
          <w:p>
            <w:pPr>
              <w:jc w:val="right"/>
              <w:ind w:right="50"/>
              <w:spacing w:after="0"/>
              <w:rPr>
                <w:sz w:val="20"/>
                <w:szCs w:val="20"/>
                <w:color w:val="auto"/>
              </w:rPr>
            </w:pPr>
            <w:r>
              <w:rPr>
                <w:rFonts w:ascii="Arial" w:cs="Arial" w:eastAsia="Arial" w:hAnsi="Arial"/>
                <w:sz w:val="16"/>
                <w:szCs w:val="16"/>
                <w:color w:val="auto"/>
                <w:w w:val="95"/>
              </w:rPr>
              <w:t>2016</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171</w:t>
            </w: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6"/>
                <w:szCs w:val="16"/>
                <w:color w:val="auto"/>
                <w:w w:val="95"/>
              </w:rPr>
              <w:t>2017</w:t>
            </w:r>
          </w:p>
        </w:tc>
        <w:tc>
          <w:tcPr>
            <w:tcW w:w="8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760" w:type="dxa"/>
            <w:vAlign w:val="bottom"/>
            <w:gridSpan w:val="6"/>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4"/>
                <w:szCs w:val="14"/>
                <w:b w:val="1"/>
                <w:bCs w:val="1"/>
                <w:color w:val="auto"/>
                <w:w w:val="93"/>
              </w:rPr>
              <w:t>Reconciliation of Disclosure of Incurred and Paid Claims Development to the Liability for Unpaid Claims and Claim Adjustment Expenses</w:t>
            </w:r>
          </w:p>
        </w:tc>
        <w:tc>
          <w:tcPr>
            <w:tcW w:w="1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00" w:type="dxa"/>
            <w:vAlign w:val="bottom"/>
            <w:gridSpan w:val="2"/>
          </w:tcPr>
          <w:p>
            <w:pPr>
              <w:jc w:val="center"/>
              <w:ind w:left="422"/>
              <w:spacing w:after="0"/>
              <w:rPr>
                <w:sz w:val="20"/>
                <w:szCs w:val="20"/>
                <w:color w:val="auto"/>
              </w:rPr>
            </w:pPr>
            <w:r>
              <w:rPr>
                <w:rFonts w:ascii="Arial" w:cs="Arial" w:eastAsia="Arial" w:hAnsi="Arial"/>
                <w:sz w:val="14"/>
                <w:szCs w:val="14"/>
                <w:i w:val="1"/>
                <w:iCs w:val="1"/>
                <w:color w:val="auto"/>
                <w:w w:val="93"/>
              </w:rPr>
              <w:t>(In Thousands)</w:t>
            </w: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00" w:type="dxa"/>
            <w:vAlign w:val="bottom"/>
            <w:gridSpan w:val="4"/>
          </w:tcPr>
          <w:p>
            <w:pPr>
              <w:ind w:left="760"/>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696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94"/>
              </w:rPr>
              <w:t>Cumulative Incurred Claims and Allocated Claims Adjustment Expenses, net of Reinsurance</w:t>
            </w:r>
          </w:p>
        </w:tc>
        <w:tc>
          <w:tcPr>
            <w:tcW w:w="1300" w:type="dxa"/>
            <w:vAlign w:val="bottom"/>
            <w:shd w:val="clear" w:color="auto" w:fill="CCEEFF"/>
          </w:tcPr>
          <w:p>
            <w:pPr>
              <w:spacing w:after="0"/>
              <w:rPr>
                <w:sz w:val="21"/>
                <w:szCs w:val="21"/>
                <w:color w:val="auto"/>
              </w:rPr>
            </w:pPr>
          </w:p>
        </w:tc>
        <w:tc>
          <w:tcPr>
            <w:tcW w:w="1280" w:type="dxa"/>
            <w:vAlign w:val="bottom"/>
            <w:vMerge w:val="restart"/>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1"/>
                <w:szCs w:val="21"/>
                <w:color w:val="auto"/>
              </w:rPr>
            </w:pPr>
          </w:p>
        </w:tc>
        <w:tc>
          <w:tcPr>
            <w:tcW w:w="1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8,343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960" w:type="dxa"/>
            <w:vAlign w:val="bottom"/>
            <w:gridSpan w:val="8"/>
          </w:tcPr>
          <w:p>
            <w:pPr>
              <w:ind w:left="20"/>
              <w:spacing w:after="0"/>
              <w:rPr>
                <w:sz w:val="20"/>
                <w:szCs w:val="20"/>
                <w:color w:val="auto"/>
              </w:rPr>
            </w:pPr>
            <w:r>
              <w:rPr>
                <w:rFonts w:ascii="Arial" w:cs="Arial" w:eastAsia="Arial" w:hAnsi="Arial"/>
                <w:sz w:val="18"/>
                <w:szCs w:val="18"/>
                <w:color w:val="auto"/>
                <w:w w:val="98"/>
              </w:rPr>
              <w:t>Cumulative Paid Claims and Allocated Claims Adjustment Expenses, net of Reinsurance</w:t>
            </w: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gridSpan w:val="6"/>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96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color w:val="auto"/>
                <w:w w:val="97"/>
              </w:rPr>
              <w:t>Liabilities for unpaid claims and allocated claims adjustment expenses, net of reinsurance</w:t>
            </w:r>
          </w:p>
        </w:tc>
        <w:tc>
          <w:tcPr>
            <w:tcW w:w="1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200" w:type="dxa"/>
            <w:vAlign w:val="bottom"/>
            <w:gridSpan w:val="5"/>
          </w:tcPr>
          <w:p>
            <w:pPr>
              <w:ind w:left="20"/>
              <w:spacing w:after="0"/>
              <w:rPr>
                <w:sz w:val="20"/>
                <w:szCs w:val="20"/>
                <w:color w:val="auto"/>
              </w:rPr>
            </w:pPr>
            <w:r>
              <w:rPr>
                <w:rFonts w:ascii="Arial" w:cs="Arial" w:eastAsia="Arial" w:hAnsi="Arial"/>
                <w:sz w:val="18"/>
                <w:szCs w:val="18"/>
                <w:color w:val="auto"/>
                <w:w w:val="92"/>
              </w:rPr>
              <w:t>Reinsurance recoverable on unpaid claims</w:t>
            </w:r>
          </w:p>
        </w:tc>
        <w:tc>
          <w:tcPr>
            <w:tcW w:w="6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2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96"/>
              </w:rPr>
              <w:t>Unallocated claims adjustment expenses</w:t>
            </w:r>
          </w:p>
        </w:tc>
        <w:tc>
          <w:tcPr>
            <w:tcW w:w="6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580" w:type="dxa"/>
            <w:vAlign w:val="bottom"/>
            <w:gridSpan w:val="7"/>
          </w:tcPr>
          <w:p>
            <w:pPr>
              <w:ind w:left="20"/>
              <w:spacing w:after="0"/>
              <w:rPr>
                <w:sz w:val="20"/>
                <w:szCs w:val="20"/>
                <w:color w:val="auto"/>
              </w:rPr>
            </w:pPr>
            <w:r>
              <w:rPr>
                <w:rFonts w:ascii="Arial" w:cs="Arial" w:eastAsia="Arial" w:hAnsi="Arial"/>
                <w:sz w:val="18"/>
                <w:szCs w:val="18"/>
                <w:color w:val="auto"/>
              </w:rPr>
              <w:t>Total gross liability for unpaid claims and claim adjustment expenses</w:t>
            </w: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8,761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on average, the percentage of claims and allocated claims adjustment expenses paid over the years after a claim is incurred.</w:t>
      </w:r>
    </w:p>
    <w:p>
      <w:pPr>
        <w:spacing w:after="0" w:line="361"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90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Average annual percentage payout of incurred claims and allocated claims adjustment expenses by age, net of reinsurance</w:t>
            </w:r>
          </w:p>
        </w:tc>
      </w:tr>
      <w:tr>
        <w:trPr>
          <w:trHeight w:val="264"/>
        </w:trPr>
        <w:tc>
          <w:tcPr>
            <w:tcW w:w="2040" w:type="dxa"/>
            <w:vAlign w:val="bottom"/>
          </w:tcPr>
          <w:p>
            <w:pPr>
              <w:spacing w:after="0"/>
              <w:rPr>
                <w:sz w:val="22"/>
                <w:szCs w:val="22"/>
                <w:color w:val="auto"/>
              </w:rPr>
            </w:pPr>
          </w:p>
        </w:tc>
        <w:tc>
          <w:tcPr>
            <w:tcW w:w="18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Year 1</w:t>
            </w:r>
          </w:p>
        </w:tc>
        <w:tc>
          <w:tcPr>
            <w:tcW w:w="224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b w:val="1"/>
                <w:bCs w:val="1"/>
                <w:color w:val="auto"/>
              </w:rPr>
              <w:t>Year 2</w:t>
            </w:r>
          </w:p>
        </w:tc>
        <w:tc>
          <w:tcPr>
            <w:tcW w:w="190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auto"/>
              </w:rPr>
              <w:t>Year 3</w:t>
            </w: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 4</w:t>
            </w: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 5</w:t>
            </w:r>
          </w:p>
        </w:tc>
      </w:tr>
      <w:tr>
        <w:trPr>
          <w:trHeight w:val="258"/>
        </w:trPr>
        <w:tc>
          <w:tcPr>
            <w:tcW w:w="2040" w:type="dxa"/>
            <w:vAlign w:val="bottom"/>
          </w:tcPr>
          <w:p>
            <w:pPr>
              <w:spacing w:after="0"/>
              <w:rPr>
                <w:sz w:val="20"/>
                <w:szCs w:val="20"/>
                <w:color w:val="auto"/>
              </w:rPr>
            </w:pPr>
            <w:r>
              <w:rPr>
                <w:rFonts w:ascii="Arial" w:cs="Arial" w:eastAsia="Arial" w:hAnsi="Arial"/>
                <w:sz w:val="14"/>
                <w:szCs w:val="14"/>
                <w:b w:val="1"/>
                <w:bCs w:val="1"/>
                <w:color w:val="auto"/>
              </w:rPr>
              <w:t>Claims duration disclosure</w:t>
            </w:r>
          </w:p>
        </w:tc>
        <w:tc>
          <w:tcPr>
            <w:tcW w:w="1820" w:type="dxa"/>
            <w:vAlign w:val="bottom"/>
          </w:tcPr>
          <w:p>
            <w:pPr>
              <w:jc w:val="right"/>
              <w:ind w:right="762"/>
              <w:spacing w:after="0"/>
              <w:rPr>
                <w:sz w:val="20"/>
                <w:szCs w:val="20"/>
                <w:color w:val="auto"/>
              </w:rPr>
            </w:pPr>
            <w:r>
              <w:rPr>
                <w:rFonts w:ascii="Arial" w:cs="Arial" w:eastAsia="Arial" w:hAnsi="Arial"/>
                <w:sz w:val="18"/>
                <w:szCs w:val="18"/>
                <w:color w:val="auto"/>
              </w:rPr>
              <w:t>6%</w:t>
            </w:r>
          </w:p>
        </w:tc>
        <w:tc>
          <w:tcPr>
            <w:tcW w:w="2240" w:type="dxa"/>
            <w:vAlign w:val="bottom"/>
          </w:tcPr>
          <w:p>
            <w:pPr>
              <w:jc w:val="right"/>
              <w:ind w:right="336"/>
              <w:spacing w:after="0"/>
              <w:rPr>
                <w:sz w:val="20"/>
                <w:szCs w:val="20"/>
                <w:color w:val="auto"/>
              </w:rPr>
            </w:pPr>
            <w:r>
              <w:rPr>
                <w:rFonts w:ascii="Arial" w:cs="Arial" w:eastAsia="Arial" w:hAnsi="Arial"/>
                <w:sz w:val="18"/>
                <w:szCs w:val="18"/>
                <w:color w:val="auto"/>
              </w:rPr>
              <w:t>57%</w:t>
            </w:r>
          </w:p>
        </w:tc>
        <w:tc>
          <w:tcPr>
            <w:tcW w:w="1900" w:type="dxa"/>
            <w:vAlign w:val="bottom"/>
          </w:tcPr>
          <w:p>
            <w:pPr>
              <w:jc w:val="right"/>
              <w:ind w:right="299"/>
              <w:spacing w:after="0"/>
              <w:rPr>
                <w:sz w:val="20"/>
                <w:szCs w:val="20"/>
                <w:color w:val="auto"/>
              </w:rPr>
            </w:pPr>
            <w:r>
              <w:rPr>
                <w:rFonts w:ascii="Arial" w:cs="Arial" w:eastAsia="Arial" w:hAnsi="Arial"/>
                <w:sz w:val="18"/>
                <w:szCs w:val="18"/>
                <w:color w:val="auto"/>
              </w:rPr>
              <w:t>59%</w:t>
            </w:r>
          </w:p>
        </w:tc>
        <w:tc>
          <w:tcPr>
            <w:tcW w:w="1720" w:type="dxa"/>
            <w:vAlign w:val="bottom"/>
          </w:tcPr>
          <w:p>
            <w:pPr>
              <w:ind w:left="1020"/>
              <w:spacing w:after="0"/>
              <w:rPr>
                <w:sz w:val="20"/>
                <w:szCs w:val="20"/>
                <w:color w:val="auto"/>
              </w:rPr>
            </w:pPr>
            <w:r>
              <w:rPr>
                <w:rFonts w:ascii="Arial" w:cs="Arial" w:eastAsia="Arial" w:hAnsi="Arial"/>
                <w:sz w:val="18"/>
                <w:szCs w:val="18"/>
                <w:color w:val="auto"/>
              </w:rPr>
              <w:t>—%</w:t>
            </w:r>
          </w:p>
        </w:tc>
        <w:tc>
          <w:tcPr>
            <w:tcW w:w="14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633"/>
        </w:trPr>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40" w:type="dxa"/>
            <w:vAlign w:val="bottom"/>
          </w:tcPr>
          <w:p>
            <w:pPr>
              <w:jc w:val="right"/>
              <w:ind w:right="456"/>
              <w:spacing w:after="0"/>
              <w:rPr>
                <w:sz w:val="20"/>
                <w:szCs w:val="20"/>
                <w:color w:val="auto"/>
              </w:rPr>
            </w:pPr>
            <w:r>
              <w:rPr>
                <w:rFonts w:ascii="Arial" w:cs="Arial" w:eastAsia="Arial" w:hAnsi="Arial"/>
                <w:sz w:val="18"/>
                <w:szCs w:val="18"/>
                <w:color w:val="auto"/>
              </w:rPr>
              <w:t>97</w:t>
            </w: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 (EPS)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Basic earnings (loss) per share is based on the weighted average number of shares of common stock outstanding, while diluted earnings (loss) per share is based on the weighted average number of shares of common stock outstanding and common stock equivalents that would be issuable upon the vesting of service based RSUs, and exercise of vested and unvested stock options and outstanding warrants. The following table reconciles the net income (loss) and the weighted average shares of common stock outstanding used in the computations of basic and diluted earnings (loss) per share of common stock:</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310"/>
              <w:spacing w:after="0"/>
              <w:rPr>
                <w:sz w:val="20"/>
                <w:szCs w:val="20"/>
                <w:color w:val="auto"/>
              </w:rPr>
            </w:pPr>
            <w:r>
              <w:rPr>
                <w:rFonts w:ascii="Arial" w:cs="Arial" w:eastAsia="Arial" w:hAnsi="Arial"/>
                <w:sz w:val="14"/>
                <w:szCs w:val="14"/>
                <w:b w:val="1"/>
                <w:bCs w:val="1"/>
                <w:color w:val="auto"/>
                <w:w w:val="92"/>
              </w:rPr>
              <w:t>For the year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0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r>
      <w:tr>
        <w:trPr>
          <w:trHeight w:val="250"/>
        </w:trPr>
        <w:tc>
          <w:tcPr>
            <w:tcW w:w="6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60" w:type="dxa"/>
            <w:vAlign w:val="bottom"/>
            <w:gridSpan w:val="7"/>
          </w:tcPr>
          <w:p>
            <w:pPr>
              <w:jc w:val="center"/>
              <w:ind w:left="112"/>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122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22,050</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59,816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59,071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58,683</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22,050</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r>
      <w:tr>
        <w:trPr>
          <w:trHeight w:val="297"/>
        </w:trPr>
        <w:tc>
          <w:tcPr>
            <w:tcW w:w="6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59,816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Dilutive effect of issuable shares</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62,186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58,683</w:t>
            </w:r>
          </w:p>
        </w:tc>
      </w:tr>
      <w:tr>
        <w:trPr>
          <w:trHeight w:val="297"/>
        </w:trPr>
        <w:tc>
          <w:tcPr>
            <w:tcW w:w="60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securities</w:t>
            </w: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4,764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6,267</w:t>
            </w:r>
          </w:p>
        </w:tc>
      </w:tr>
      <w:tr>
        <w:trPr>
          <w:trHeight w:val="27"/>
        </w:trPr>
        <w:tc>
          <w:tcPr>
            <w:tcW w:w="60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issued 992 thousand warrants in connection with our Private Placement. Each warrant gives the holder thereof the right to purchase one share of common stock at an exercise price equal to $10.00. The warrants were issued with an aggregate fair value of $5.1 million.</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2017, 55 thousand warrants were exercised resulting in 32 thousand common shares issued. No warrants were exercised during the years ended 2016 and 2015.</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includes stock options and restricted stock units (RSUs) granted under the 2012 Plan and the Amended 2014 Plan.</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2012 Plan was approved by the Board on April 16, 2012 and authorized 5.5 million shares of common stock to be reserved for issuance, with 3.85 million shares available for stock options and 1.65 million shares available for RSUs. Options granted under the 2012 Plan are non-qualified stock options and may be granted to employees, directors and other key persons. The exercise price per share for options covered by the 2012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is granted. The vesting period of the stock option grants is also established by the Board at the time of grant and generally is for a three-year period. Upon the exercise of stock options, we issue shares from the authorized, unissued share reserve.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2014 Plan was approved by our stockholders at our annual meeting on May 8, 2014. The 2014 Plan authorized 4.0 million shares of common stock to be reserved for issuance. On May 11, 2017, our stockholders approved the Amended 2014 Plan at our annual stockholder meeting. The Amended 2014 Plan authorized an additional 2.0 million shares of common stock for issuance and, when taken together with the 2014 Plan, authorized a total of 6.0 million shares of common stock to be reserved for issuance. These shares may be either authorized but unissued shares or treasury shares.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option activity during the years ended December 31, 2017, December 31, 2016, and December 31, 2015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2017</w:t>
            </w:r>
          </w:p>
        </w:tc>
        <w:tc>
          <w:tcPr>
            <w:tcW w:w="16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Date Fair Value 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w w:val="91"/>
              </w:rPr>
              <w:t>(Shares 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2016</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forfeited</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outstanding at December 31, 2017</w:t>
            </w:r>
          </w:p>
        </w:tc>
        <w:tc>
          <w:tcPr>
            <w:tcW w:w="16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3,311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2016</w:t>
            </w:r>
          </w:p>
        </w:tc>
        <w:tc>
          <w:tcPr>
            <w:tcW w:w="16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Date Fair Value 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w w:val="91"/>
              </w:rPr>
              <w:t>(Shares 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2015</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forfeited</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outstanding at December 31, 2016</w:t>
            </w: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3,026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2015</w:t>
            </w:r>
          </w:p>
        </w:tc>
        <w:tc>
          <w:tcPr>
            <w:tcW w:w="162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24"/>
                <w:szCs w:val="24"/>
                <w:color w:val="auto"/>
              </w:rPr>
            </w:pPr>
          </w:p>
        </w:tc>
        <w:tc>
          <w:tcPr>
            <w:tcW w:w="18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Weighted Average Exercise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Date Fair Value per 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2014</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Options 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outstanding at December 31, 2015</w:t>
            </w:r>
          </w:p>
        </w:tc>
        <w:tc>
          <w:tcPr>
            <w:tcW w:w="3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2017, there were approximately 2.6 million fully vested and exercisable options. There were 272.8 thousand exercises during the year with an aggregate intrinsic value of $1.3 million. The weighted average exercise price for the fully vested and exercisable options was $10.39. The remaining weighted average contractual life of fully vested and exercisable options as of December 31, 2017 was 5.2 years. The aggregate grant date intrinsic value of fully vested and exercisable options was $17.0 million as of December 31, 2017.</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there was $1.1 million of total unrecognized compensation cost related to non-vested stock options. The weighted-average period over which total remaining compensation costs related to non-vested stock options will be recognized is 1.52 years.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account for stock options under ASC 718, which requires all share-based payments to be recognized in the financial statements at their fair values. To measure the fair value of outstanding stock options granted or modified, we utilize the Black-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Scholes options pricing model. Compensation expenses are recognized over the requisite service period, which is generally the three-year vesting period of the options (vesting in one-third increments per year).</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the years ended December 31, 2017 and 2015 were calculated using the Black-Scholes valuation model based on the following assumptions. There were no stock options granted during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As of December 31,</w:t>
            </w:r>
          </w:p>
        </w:tc>
        <w:tc>
          <w:tcPr>
            <w:tcW w:w="1760" w:type="dxa"/>
            <w:vAlign w:val="bottom"/>
            <w:tcBorders>
              <w:bottom w:val="single" w:sz="8" w:color="auto"/>
            </w:tcBorders>
          </w:tcPr>
          <w:p>
            <w:pPr>
              <w:spacing w:after="0"/>
              <w:rPr>
                <w:sz w:val="16"/>
                <w:szCs w:val="16"/>
                <w:color w:val="auto"/>
              </w:rPr>
            </w:pPr>
          </w:p>
        </w:tc>
      </w:tr>
      <w:tr>
        <w:trPr>
          <w:trHeight w:val="264"/>
        </w:trPr>
        <w:tc>
          <w:tcPr>
            <w:tcW w:w="5900" w:type="dxa"/>
            <w:vAlign w:val="bottom"/>
          </w:tcPr>
          <w:p>
            <w:pPr>
              <w:spacing w:after="0"/>
              <w:rPr>
                <w:sz w:val="22"/>
                <w:szCs w:val="22"/>
                <w:color w:val="auto"/>
              </w:rPr>
            </w:pPr>
          </w:p>
        </w:tc>
        <w:tc>
          <w:tcPr>
            <w:tcW w:w="17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 years</w:t>
            </w: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6 years</w:t>
            </w:r>
          </w:p>
        </w:tc>
      </w:tr>
      <w:tr>
        <w:trPr>
          <w:trHeight w:val="27"/>
        </w:trPr>
        <w:tc>
          <w:tcPr>
            <w:tcW w:w="5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2.04%-2.08%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1.65%-1.78%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8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30.5%-32.7%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Projected forfeiture rate</w:t>
            </w:r>
          </w:p>
        </w:tc>
        <w:tc>
          <w:tcPr>
            <w:tcW w:w="18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life for options granted during the period as historical exercise data is not available and the options meet the requirements set out in the Bulletin. Options granted have a maximum term of ten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is the U.S. Treasury rate on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Expected Price Volatility - </w:t>
      </w:r>
      <w:r>
        <w:rPr>
          <w:rFonts w:ascii="Arial" w:cs="Arial" w:eastAsia="Arial" w:hAnsi="Arial"/>
          <w:sz w:val="17"/>
          <w:szCs w:val="17"/>
          <w:color w:val="auto"/>
        </w:rPr>
        <w:t>is a measure of the amount by which a price has fluctuated or is expected to fluctuate. At the time of grants,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trading history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Projected Forfeiture Rate - </w:t>
      </w:r>
      <w:r>
        <w:rPr>
          <w:rFonts w:ascii="Arial" w:cs="Arial" w:eastAsia="Arial" w:hAnsi="Arial"/>
          <w:sz w:val="18"/>
          <w:szCs w:val="18"/>
          <w:color w:val="auto"/>
        </w:rPr>
        <w:t>is the estimated percentage of options granted that are expected to be forfeited or canceled before becoming fully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the forfeiture rate will decrease compensation expense. In the first quarter of 2017, we adopted ASU 2016-09 and elected to account for forfeitures as they occur, rather than estimate expected forfeitures.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during the years ended December 31, 2017, 2016 and 2015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2017</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8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172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24"/>
                <w:szCs w:val="24"/>
                <w:color w:val="auto"/>
              </w:rPr>
            </w:pP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2016</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2014</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2015</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December 31, 2017, we had 2.1 million shares of granted and non-vested RSUs, consisting of 1.9 million shares that are subject to service condition vesting requirements and 0.2 million shares that are subject to service and performance condition vesting requirements. All RSUs subject to market and service condition vesting requirements vested prior to December 31, 2017. The total fair value of shares vested during the year ended December 31, 2017 was $18.1 million. The remaining weighted average contractual life of non-vested RSUs was 8.6 years. As of December 31, 2017, there was $7.0 million of total unrecognized compensation costs related to non-vested RSUs, compared to $4.2 million as of December 31, 2016. The weighted-average period over which total remaining compensation costs related to non-vested RSUs will be recognized was 1.6 years.</w:t>
      </w:r>
    </w:p>
    <w:p>
      <w:pPr>
        <w:spacing w:after="0" w:line="124" w:lineRule="exact"/>
        <w:rPr>
          <w:sz w:val="20"/>
          <w:szCs w:val="20"/>
          <w:color w:val="auto"/>
        </w:rPr>
      </w:pPr>
    </w:p>
    <w:p>
      <w:pPr>
        <w:jc w:val="both"/>
        <w:ind w:firstLine="200"/>
        <w:spacing w:after="0" w:line="302" w:lineRule="auto"/>
        <w:rPr>
          <w:sz w:val="20"/>
          <w:szCs w:val="20"/>
          <w:color w:val="auto"/>
        </w:rPr>
      </w:pPr>
      <w:r>
        <w:rPr>
          <w:rFonts w:ascii="Arial" w:cs="Arial" w:eastAsia="Arial" w:hAnsi="Arial"/>
          <w:sz w:val="16"/>
          <w:szCs w:val="16"/>
          <w:color w:val="auto"/>
        </w:rPr>
        <w:t>Non-vested RSUs subject to service condition vesting requirements vest over a service period ranging from one to five years. Non-vested RSUs subject to performance condition vesting requirements are scheduled to vest at December 31, 2018, with the number of shares eligible for vesting based on the satisfaction of a return on equity goal. The fair value of RSUs subject to service and performance condition vesting requirements is measured as the closing price of our common stock on the date of grant less the present value of anticipated dividends to be paid during the service period.</w:t>
      </w:r>
    </w:p>
    <w:p>
      <w:pPr>
        <w:spacing w:after="0" w:line="3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2017, the Board approved a modification to the vesting terms of 29,818 granted and non-vested RSUs held by one employee. The modification accelerated the vesting date for all RSUs that would otherwise have vested in February 2018 to the date of the employee's retirement on July 31, 2017. We recognized an incremental compensation cost of $252 thousand in connection with this modification. The incremental compensation cost was measured as the excess of the fair value of the modified award over the fair value of the original award immediately before its terms were modified using relevant valuation inputs as of the modification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401(k) Savings Plan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on January 1, 2014, we offered to our employees a 401(k) Savings Plan (401(k) Plan) that qualifies as a deferred salary arrangement under Section 401(k) of the Internal Revenue Code. Under the 401(k) Plan, we match up to 100% of eligible employees' pre-tax contributions up to 4% of eligible compensation. We contributed approximately $1.5 million for the year ended December 31, 2017, compared to $1.5 million and $1.2 million for the years ended December 31, 2016 and 2015, respectively.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Phantom Shares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May 2016, we granted 8,169 phantom stock units to one independent director with a grant date fair market value of $50 thousand. Each phantom unit entitled the holder to a cash award equal to the fair market value of the unit based on the price of our stock on the first anniversary of the grant date. We accounted for these units in accordance with ASC 718-30, </w:t>
      </w:r>
      <w:r>
        <w:rPr>
          <w:rFonts w:ascii="Arial" w:cs="Arial" w:eastAsia="Arial" w:hAnsi="Arial"/>
          <w:sz w:val="18"/>
          <w:szCs w:val="18"/>
          <w:i w:val="1"/>
          <w:iCs w:val="1"/>
          <w:color w:val="auto"/>
        </w:rPr>
        <w:t>Stock Compensation Awards Classified as Liabilities</w:t>
      </w:r>
      <w:r>
        <w:rPr>
          <w:rFonts w:ascii="Arial" w:cs="Arial" w:eastAsia="Arial" w:hAnsi="Arial"/>
          <w:sz w:val="18"/>
          <w:szCs w:val="18"/>
          <w:color w:val="auto"/>
        </w:rPr>
        <w:t>. These units vested in May 2017 and were settled for $89 thousand in cash. No phantom stock units were granted during the year ended December 31, 2017 and none remained outstanding as of December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income tax expense (benefit) consists of the following components: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29,964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(52,909)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30,742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year ended December 31, 2017, we had income tax expense of $30.7 million, including amounts related to current year alternative minimum tax and changes to our net deferred tax asset. The changes to our net deferred tax asset reflect a one-time non-cash charge of $13.6 million primarily due to the re-measurement of our deferred tax assets and liabilities in connection with the enactment of the Tax Cuts and Jobs Act (the Act) on December 22, 2017.</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Act reduces the statutory U.S. federal corporate income tax rate from 35% to 21%. We have not completed our full assessment of the tax effects of the enactment of the Act on our December 31, 2017 deferred tax balances; however, in certain cases, as described below, we have made reasonable estimates of the effects on our deferred tax balances. We recognized a $13.6 million income tax expense in the year ended December 31, 2017 for the items we could reasonably estimate. We are still analyzing the Act and refining our calculations, which could impact the measurement of our existing deferred tax asset related to share-based compensation. For tax years beginning after December 31, 2017, the Act expanded the number of individuals whose compensation is subject to a $1 million cap on tax deductibility and includes performance-based compensation in the calculation. As a result, the Company recorded a provisional amount to reduce the future tax benefit related to share-based compensation. We will continue to make and refine our calculations as additional analysis is completed. In addition, our estimates may also be affected as we incorporate additional guidance that may be issued by the U.S. Treasury Department, the IRS, or other standard-setting bodies.</w:t>
      </w:r>
    </w:p>
    <w:p>
      <w:pPr>
        <w:spacing w:after="0" w:line="1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 ended December 31, 2016, we had income tax benefit of $52.5 million primarily related to the release of the valuation allowance recorded against our federal and certain state net deferred tax assets. At December 31, 2016, we determined that positive evidence of sufficient quantity and quality outweighed negative evidence, and supported a conclusion that it was more-likely-than-not that the Company would realize its federal and certain state net deferred tax assets. As a result, at December 31, 2016, we released the valuation allowance previously recorded against federal and certain state net deferred tax assets and recorded the effects of the change in income from continuing operations, generating financial statement benefits of $58.2 million and $0.3 million related to net federal and certain state net deferred tax assets, respectively. The 2016 provision for income taxes also included amounts for current year alternative minimum tax and changes to our net deferred tax asset.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2015, we recorded income tax expense of $0.0 due to the recognition of a valuation allowance against our federal and state net deferred tax assets.</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 U.S. taxpayer and are subject to the statutory U.S. federal corporate income tax rate of 35% for all prior years through December 31, 2017. We will be subject to the statutory U.S. federal corporate income tax rate of 21% for 2018 and all future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periods. Our holding company files a consolidated U.S. federal and various state income tax returns on behalf of itself and its subsidiaries.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between the federal statutory income tax rate and our effective income tax (benefit) rate:</w:t>
      </w:r>
    </w:p>
    <w:p>
      <w:pPr>
        <w:spacing w:after="0" w:line="39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260" w:type="dxa"/>
            <w:vAlign w:val="bottom"/>
            <w:gridSpan w:val="2"/>
          </w:tcPr>
          <w:p>
            <w:pPr>
              <w:ind w:left="80"/>
              <w:spacing w:after="0"/>
              <w:rPr>
                <w:sz w:val="20"/>
                <w:szCs w:val="20"/>
                <w:color w:val="auto"/>
              </w:rPr>
            </w:pPr>
            <w:r>
              <w:rPr>
                <w:rFonts w:ascii="Arial" w:cs="Arial" w:eastAsia="Arial" w:hAnsi="Arial"/>
                <w:sz w:val="18"/>
                <w:szCs w:val="18"/>
                <w:color w:val="auto"/>
              </w:rPr>
              <w:t>Re-measurement from change in federal statutory rate</w:t>
            </w:r>
          </w:p>
        </w:tc>
        <w:tc>
          <w:tcPr>
            <w:tcW w:w="1360" w:type="dxa"/>
            <w:vAlign w:val="bottom"/>
            <w:vMerge w:val="restart"/>
          </w:tcPr>
          <w:p>
            <w:pPr>
              <w:jc w:val="right"/>
              <w:ind w:right="13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Share-based and other compensation</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60" w:type="dxa"/>
            <w:vAlign w:val="bottom"/>
            <w:gridSpan w:val="2"/>
          </w:tcPr>
          <w:p>
            <w:pPr>
              <w:ind w:left="80"/>
              <w:spacing w:after="0"/>
              <w:rPr>
                <w:sz w:val="20"/>
                <w:szCs w:val="20"/>
                <w:color w:val="auto"/>
              </w:rPr>
            </w:pPr>
            <w:r>
              <w:rPr>
                <w:rFonts w:ascii="Arial" w:cs="Arial" w:eastAsia="Arial" w:hAnsi="Arial"/>
                <w:sz w:val="18"/>
                <w:szCs w:val="18"/>
                <w:color w:val="auto"/>
              </w:rPr>
              <w:t>Warrant gain/loss</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260" w:type="dxa"/>
            <w:vAlign w:val="bottom"/>
            <w:gridSpan w:val="2"/>
          </w:tcPr>
          <w:p>
            <w:pPr>
              <w:ind w:left="80"/>
              <w:spacing w:after="0"/>
              <w:rPr>
                <w:sz w:val="20"/>
                <w:szCs w:val="20"/>
                <w:color w:val="auto"/>
              </w:rPr>
            </w:pPr>
            <w:r>
              <w:rPr>
                <w:rFonts w:ascii="Arial" w:cs="Arial" w:eastAsia="Arial" w:hAnsi="Arial"/>
                <w:sz w:val="18"/>
                <w:szCs w:val="18"/>
                <w:color w:val="auto"/>
              </w:rPr>
              <w:t>Valuation allowance</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Effective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60" w:type="dxa"/>
            <w:vAlign w:val="bottom"/>
            <w:gridSpan w:val="2"/>
          </w:tcPr>
          <w:p>
            <w:pPr>
              <w:ind w:left="660"/>
              <w:spacing w:after="0"/>
              <w:rPr>
                <w:sz w:val="20"/>
                <w:szCs w:val="20"/>
                <w:color w:val="auto"/>
              </w:rPr>
            </w:pPr>
            <w:r>
              <w:rPr>
                <w:rFonts w:ascii="Arial" w:cs="Arial" w:eastAsia="Arial" w:hAnsi="Arial"/>
                <w:sz w:val="18"/>
                <w:szCs w:val="18"/>
                <w:color w:val="auto"/>
                <w:w w:val="95"/>
              </w:rPr>
              <w:t>The components of our net deferred tax asset are summarized as follows: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80" w:type="dxa"/>
            <w:vAlign w:val="bottom"/>
            <w:gridSpan w:val="5"/>
            <w:shd w:val="clear" w:color="auto" w:fill="CCEEFF"/>
          </w:tcPr>
          <w:p>
            <w:pPr>
              <w:jc w:val="right"/>
              <w:ind w:right="13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Net operating loss carry forwards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47,867</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9,514</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ceding commissions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Capitalized start-up costs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loss on investments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Alternative minimum tax credit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37"/>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Total gross deferred tax asset</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40,755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76,257</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37"/>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Total deferred tax asset</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69,316</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Deferred acquisition costs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(8,185)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Unrealized gain on investments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liability</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0" w:type="dxa"/>
            <w:vAlign w:val="bottom"/>
          </w:tcPr>
          <w:p>
            <w:pPr>
              <w:spacing w:after="0"/>
              <w:rPr>
                <w:sz w:val="1"/>
                <w:szCs w:val="1"/>
                <w:color w:val="auto"/>
              </w:rPr>
            </w:pPr>
          </w:p>
        </w:tc>
      </w:tr>
      <w:tr>
        <w:trPr>
          <w:trHeight w:val="257"/>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Net deferred tax asset</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51,434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2017, our net deferred tax asset decreased to $19.9 million from $51.4 million at December 31, 2016 due to the re-measurement of our deferred tax balances at the reduced statutory U.S. federal corporate income tax rate of 21% and the utilization of net operating loss carryforwards during 2017.</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enactment of the Act, we re-measured our deferred tax balances based on the rate at which they are expected to reverse in the future, which is generally 21%. We have not, however, completed our full assessment of the impact the Act will have on our December 31, 2017 deferred tax balances. We are still analyzing certain aspects of the Act and refining our calculation on</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deferred tax asset balance related to share-based compensation, which could potentially affect the measurement of these balances or potentially give rise to further increases or decreases to our deferred tax amounts. The provisional amount recorded primarily related to the re-measurement of our deferred tax assets and liabilities was $13.6 million.</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2017, we had a federal net operating loss carryforward of $93.3 million which expires from 2030 to 2037, and state net operating loss carryforwards of $89.1 million, which expire in varying amounts during the years 2031 to 2037. Section 382 of the Internal Revenue Code imposes annual limitations on a corporation's ability to utilize its net operating loss carryforwards if it experiences an "ownership change." As a result of the acquisition of our insurance subsidiaries in 2012, $7.3 million of NOLs were subject to annual limitations of $0.8 million through 2016, and $0.3 million, thereafter, through 2029.</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 adoption of ASU 2016-09 in the first quarter of 2017, we recognized a discrete tax benefit of $3.3 million associated with excess tax benefits for share-based compensation. As of December 31, 2017, our federal net operating loss carryforward balance included $2.2 million of excess share-based compensation previously excluded from the net deferred tax asset balance as of December 31, 2016.</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recorded valuation allowances of $7.2 million and $6.9 million at December 31, 2017 and 2016, respectively, to reflect the amounts of state net deferred tax assets that may not be realized. The valuation allowance at December 31, 2017 primarily relates to state net operating losses generated by NMIH, as NMIH operates at a loss and currently only generates revenue from its investment portfolio.</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2017 and 2016, we had no reserves for unrecognized tax benefits, and had taken no material uncertain tax positions that would have required recognition and measurement. It is our policy to classify interest and penalties related to unrecognized tax benefits as income tax expense.</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file income tax returns with the U.S. federal government and various state jurisdictions which are subject to potential examination by tax authorities. We are not currently under examination by federal or state jurisdictions. Our U.S. federal income tax returns for 2014 and subsequent years and state income tax returns for 2013 and subsequent years remain open by statute.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Software and Equipment</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Software and equipment consist largely of capitalized software developed to support our MI operations. Software and equipment, net of accumulated amortization and depreciation, as of December 31, 2017 and December 31, 2016,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3,102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39,240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30,176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and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22,802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20,402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capitalized amount for software, equipment, and leasehold during the year ended December 31, 2017, 2016 and 2015, was $9.1 million, $11.2 million, and $6.7 million, respectively. Amortization and depreciation expense for software, equipment, and leasehold improvements for the years ended December 31, 2017, 2016, and 2015 was $6.7 million, $4.9 million, and $3.2 million,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Assets and Goodwill</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we purchased in connection with the acquisition of our insurance subsidiaries, and at December 31, 2017 and December 31, 2016, were as follows for both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Expected Lives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licenses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GSE applications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and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test goodwill and intangible assets for impairment in the third and fourth quarter, respectively, of every year, or more frequently if we believe indicators of impairment exist. No impairments of indefinite-lived intangibles or goodwill were identified during the years ended December 31, 2017 and 2016.</w:t>
      </w:r>
    </w:p>
    <w:p>
      <w:pPr>
        <w:spacing w:after="0" w:line="123" w:lineRule="exact"/>
        <w:rPr>
          <w:sz w:val="20"/>
          <w:szCs w:val="20"/>
          <w:color w:val="auto"/>
        </w:rPr>
      </w:pPr>
    </w:p>
    <w:p>
      <w:pPr>
        <w:ind w:left="660" w:right="8600" w:hanging="652"/>
        <w:spacing w:after="0" w:line="440" w:lineRule="auto"/>
        <w:tabs>
          <w:tab w:leader="none" w:pos="28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PMIERs</w:t>
      </w:r>
    </w:p>
    <w:p>
      <w:pPr>
        <w:spacing w:after="0" w:line="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and other transactional adjustments approved by the GSEs, such as with respect to our 2017 ILN Transaction and 2016 QSR Transaction.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risk-based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required asset amount </w:t>
      </w:r>
      <w:r>
        <w:rPr>
          <w:rFonts w:ascii="Arial" w:cs="Arial" w:eastAsia="Arial" w:hAnsi="Arial"/>
          <w:sz w:val="18"/>
          <w:szCs w:val="18"/>
          <w:color w:val="auto"/>
        </w:rPr>
        <w:t>for pool insurance considers both the factors in the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 The PMIERs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LPMI policies originated on or after January 1, 2016.</w:t>
      </w:r>
    </w:p>
    <w:p>
      <w:pPr>
        <w:spacing w:after="0" w:line="13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2017 that NMIC fully complied with the PMIERs as of December 31, 2016. NMIC also has an ongoing obligation to immediately notify the GSEs in writing upon discovery of its failure to meet one or more of the PMIERs requirements. We continuously monitor our compliance with the PMIERs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Lease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leases office space under a facilities lease in Emeryville, California. In December 2016, the Company amended its lease to extend its term through March 2023.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9260" w:type="dxa"/>
            <w:vAlign w:val="bottom"/>
          </w:tcPr>
          <w:p>
            <w:pPr>
              <w:jc w:val="center"/>
              <w:ind w:left="2091"/>
              <w:spacing w:after="0"/>
              <w:rPr>
                <w:sz w:val="20"/>
                <w:szCs w:val="20"/>
                <w:color w:val="auto"/>
              </w:rPr>
            </w:pPr>
            <w:r>
              <w:rPr>
                <w:rFonts w:ascii="Arial" w:cs="Arial" w:eastAsia="Arial" w:hAnsi="Arial"/>
                <w:sz w:val="18"/>
                <w:szCs w:val="18"/>
                <w:color w:val="auto"/>
                <w:w w:val="98"/>
              </w:rPr>
              <w:t>NMI HOLDINGS, INC.</w:t>
            </w: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260" w:type="dxa"/>
            <w:vAlign w:val="bottom"/>
          </w:tcPr>
          <w:p>
            <w:pPr>
              <w:jc w:val="center"/>
              <w:ind w:left="2091"/>
              <w:spacing w:after="0"/>
              <w:rPr>
                <w:sz w:val="20"/>
                <w:szCs w:val="20"/>
                <w:color w:val="auto"/>
              </w:rPr>
            </w:pPr>
            <w:r>
              <w:rPr>
                <w:rFonts w:ascii="Arial" w:cs="Arial" w:eastAsia="Arial" w:hAnsi="Arial"/>
                <w:sz w:val="18"/>
                <w:szCs w:val="18"/>
                <w:color w:val="auto"/>
                <w:w w:val="96"/>
              </w:rPr>
              <w:t>NOTES TO CONSOLIDATED FINANCIAL STATEMENTS</w:t>
            </w: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9260" w:type="dxa"/>
            <w:vAlign w:val="bottom"/>
          </w:tcPr>
          <w:p>
            <w:pPr>
              <w:jc w:val="center"/>
              <w:ind w:left="2071"/>
              <w:spacing w:after="0"/>
              <w:rPr>
                <w:sz w:val="20"/>
                <w:szCs w:val="20"/>
                <w:color w:val="auto"/>
              </w:rPr>
            </w:pPr>
            <w:r>
              <w:rPr>
                <w:rFonts w:ascii="Arial" w:cs="Arial" w:eastAsia="Arial" w:hAnsi="Arial"/>
                <w:sz w:val="18"/>
                <w:szCs w:val="18"/>
                <w:color w:val="auto"/>
                <w:w w:val="93"/>
              </w:rPr>
              <w:t>DECEMBER 31, 2017</w:t>
            </w: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9260" w:type="dxa"/>
            <w:vAlign w:val="bottom"/>
          </w:tcPr>
          <w:p>
            <w:pPr>
              <w:ind w:left="660"/>
              <w:spacing w:after="0"/>
              <w:rPr>
                <w:sz w:val="20"/>
                <w:szCs w:val="20"/>
                <w:color w:val="auto"/>
              </w:rPr>
            </w:pPr>
            <w:r>
              <w:rPr>
                <w:rFonts w:ascii="Arial" w:cs="Arial" w:eastAsia="Arial" w:hAnsi="Arial"/>
                <w:sz w:val="18"/>
                <w:szCs w:val="18"/>
                <w:color w:val="auto"/>
              </w:rPr>
              <w:t>As of December 31, 2017, the future minimum lease payments under this lease are as follows:</w:t>
            </w: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94"/>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24"/>
                <w:szCs w:val="24"/>
                <w:color w:val="auto"/>
              </w:rPr>
            </w:pPr>
          </w:p>
        </w:tc>
        <w:tc>
          <w:tcPr>
            <w:tcW w:w="1780" w:type="dxa"/>
            <w:vAlign w:val="bottom"/>
          </w:tcPr>
          <w:p>
            <w:pPr>
              <w:jc w:val="right"/>
              <w:ind w:right="552"/>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2,346</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2,489</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657</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12,184</w:t>
            </w:r>
          </w:p>
        </w:tc>
      </w:tr>
      <w:tr>
        <w:trPr>
          <w:trHeight w:val="27"/>
        </w:trPr>
        <w:tc>
          <w:tcPr>
            <w:tcW w:w="9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incurred rent expense related to this lease of $2.1 million, $1.5 million, and $1.5 million for the years ended December 31, 2017, 2016, and 2015, respectively.</w:t>
      </w:r>
    </w:p>
    <w:p>
      <w:pPr>
        <w:spacing w:after="0" w:line="112" w:lineRule="exact"/>
        <w:rPr>
          <w:sz w:val="20"/>
          <w:szCs w:val="20"/>
          <w:color w:val="auto"/>
        </w:rPr>
      </w:pPr>
    </w:p>
    <w:p>
      <w:pPr>
        <w:ind w:left="660" w:right="9080" w:hanging="652"/>
        <w:spacing w:after="0" w:line="528" w:lineRule="auto"/>
        <w:tabs>
          <w:tab w:leader="none" w:pos="282"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NMIC and Re One's combined statutory net loss, statutory surplus, contingency reserve and RTC ratios for each of the years in the three-year period ended December 31, 2017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left="214"/>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36"/>
              <w:spacing w:after="0"/>
              <w:rPr>
                <w:sz w:val="20"/>
                <w:szCs w:val="20"/>
                <w:color w:val="auto"/>
              </w:rPr>
            </w:pPr>
            <w:r>
              <w:rPr>
                <w:rFonts w:ascii="Arial" w:cs="Arial" w:eastAsia="Arial" w:hAnsi="Arial"/>
                <w:sz w:val="14"/>
                <w:szCs w:val="14"/>
                <w:i w:val="1"/>
                <w:iCs w:val="1"/>
                <w:color w:val="auto"/>
                <w:w w:val="93"/>
              </w:rPr>
              <w:t>(In Thousands)</w:t>
            </w: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(35,946)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(26,653)</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102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w w:val="89"/>
              </w:rPr>
              <w:t>371,084</w:t>
            </w:r>
          </w:p>
        </w:tc>
        <w:tc>
          <w:tcPr>
            <w:tcW w:w="34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413,809</w:t>
            </w:r>
          </w:p>
        </w:tc>
        <w:tc>
          <w:tcPr>
            <w:tcW w:w="4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391,422</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9"/>
              </w:rPr>
              <w:t>186,641</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90,479</w:t>
            </w: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32,564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102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13.2:1</w:t>
            </w:r>
          </w:p>
        </w:tc>
        <w:tc>
          <w:tcPr>
            <w:tcW w:w="34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11.6:1</w:t>
            </w:r>
          </w:p>
        </w:tc>
        <w:tc>
          <w:tcPr>
            <w:tcW w:w="4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8.7:1</w:t>
            </w:r>
          </w:p>
        </w:tc>
      </w:tr>
    </w:tbl>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applicable law in Wisconsin and 15 other states, mortgage insurers must maintain minimum amounts of statutory capital relative to RIF to continue to write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 A working group of the National Association of Commissioners (NAIC) is currently developing a loan level capital model applicable to mortgage guaranty insurers that is expected to ultimately be incorporated into a revised NAIC Mortgage Guaranty Insurance Model Act. Following adoption by the NAIC, some or all of the 16 states that currently have minimum statutory capital requirements, and perhaps others that do not, are expected to enact a portion or all of the revised Model Act, including the loan-level capital model.</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NMIC's performing primary RIF, net of reinsurance, was approximately $7.3 billion, resulting in an RTC ratio of 14.0:1, significantly below the state financial requirements. As of December 31, 2016, NMIC's performing primary RIF, net of reinsurance, was approximately $5.8 billion, resulting in an RTC ratio of 12.4:1.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Ohio regulation limits the amount of risk a mortgage insurer may retain on a single loan to 25% of the borrower's indebtedness and, as a result, the portion of such insurance in excess of 25% must be reinsured. NMIC and Re One have entered into a primary excess share reinsurance agreement, effective August 1, 2012, and a facultative pool reinsurance agreement, effective September 1, 2013, under which NMIC cedes premiums, loss reserves and claims to Re One on an excess share basis for any primary or pool policy which offers coverage greater than 25% on any loan insured thereunder, after giving effect to third-party reinsurance. NMIC</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will use reinsurance provided by Re One solely for purposes of compliance with Ohio's coverage limit. The facultative pool reinsurance agreement was amended effective September 1, 2016, to reduce the risk ceded by NMIC to Re One in connection with the inception of the 2016 QSR Transaction.</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Restrictions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2017, NMIH's shareholders' equity was approximately $509 million. NMIH's total assets, excluding investment and intercompany receivables for NMIC, Re One, and NMIS, were approximately $84 million at December 31, 2017.</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NMIC and Re One are subject to restrictions on their ability to pay dividends without prior approval of the Wisconsin OCI. Under Wisconsin law, NMIC and Re One may pay dividends up to specified levels (</w:t>
      </w:r>
      <w:r>
        <w:rPr>
          <w:rFonts w:ascii="Arial" w:cs="Arial" w:eastAsia="Arial" w:hAnsi="Arial"/>
          <w:sz w:val="17"/>
          <w:szCs w:val="17"/>
          <w:i w:val="1"/>
          <w:iCs w:val="1"/>
          <w:color w:val="auto"/>
        </w:rPr>
        <w:t>i.e.</w:t>
      </w:r>
      <w:r>
        <w:rPr>
          <w:rFonts w:ascii="Arial" w:cs="Arial" w:eastAsia="Arial" w:hAnsi="Arial"/>
          <w:sz w:val="17"/>
          <w:szCs w:val="17"/>
          <w:color w:val="auto"/>
        </w:rPr>
        <w:t>, "ordinary" dividends) with 30 days' prior notice to the Wisconsin OCI. Dividends in larger amounts, or "extraordinary" dividends, are subject to the Wisconsin OCI's prior approval. Under Wisconsin law,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NMIC and Re One have never paid any dividends to NMIH. NMIC reported a statutory net loss for the twelve months ended December 31, 2017 and cannot pay any dividends to NMIH through December 31, 2018 without the prior approval of the Wisconsin OCI. Certain other states in which NMIC is licensed also have statutes or regulations that restrict its ability to pay dividends.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amount of restricted net assets held by our consolidated insurance subsidiaries totaled approximately $574 million. The amount of restricted assets used to determine any dividend to NMIH, once all restrictions expire, would be computed under SAP which may differ from the amount of restricted assets computed under GAAP.</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jc w:val="center"/>
        <w:ind w:right="-139"/>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 Quarters</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64"/>
        </w:trPr>
        <w:tc>
          <w:tcPr>
            <w:tcW w:w="4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Third</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Year</w:t>
            </w:r>
          </w:p>
        </w:tc>
      </w:tr>
      <w:tr>
        <w:trPr>
          <w:trHeight w:val="244"/>
        </w:trPr>
        <w:tc>
          <w:tcPr>
            <w:tcW w:w="4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5"/>
        </w:trPr>
        <w:tc>
          <w:tcPr>
            <w:tcW w:w="414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33,225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37,917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44,519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50,079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165,740</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3,807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3,908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16,273</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Net realized investment (losses) gains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1,373</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957</w:t>
            </w: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5,339</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and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25,989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28,048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24,645</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106,979</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w w:val="93"/>
              </w:rPr>
              <w:t>(Loss) gain from change in fair value of warrant liability</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(4,105)</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3,494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3,300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3,352</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13,528</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Pre-tax (loss) income</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6,740</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9,496</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19,497</w:t>
            </w: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17,059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52,792</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3,484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7,185</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30,742</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5,492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6,012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12,312</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22,050</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income per share: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Basic (loss)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0.09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0.10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0.21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0.37</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0.10</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w w:val="93"/>
              </w:rPr>
              <w:t>Weighted average common shares outstanding - basic</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59,184</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59,823</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59,884</w:t>
            </w:r>
          </w:p>
        </w:tc>
        <w:tc>
          <w:tcPr>
            <w:tcW w:w="4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60,219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59,816</w:t>
            </w: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 average common shares outstanding - diluted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62,339</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63,010</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63,089</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62,186</w:t>
            </w:r>
          </w:p>
        </w:tc>
      </w:tr>
      <w:tr>
        <w:trPr>
          <w:trHeight w:val="27"/>
        </w:trPr>
        <w:tc>
          <w:tcPr>
            <w:tcW w:w="4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80"/>
          </w:cols>
          <w:pgMar w:left="240" w:top="125" w:right="3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 Quarters</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Third</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19,807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26,041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31,808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32,825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110,481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3,231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3,342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3,544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(losses) gains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470</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664</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2,392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and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22,671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23,234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24,037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3,707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Pre-tax (loss)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(3,907)</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2,011</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6,289</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11,452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(3,907)</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2,011</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6,175</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59,722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64,001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income per share: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(loss)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0.03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0.10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0.03</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58,937</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59,106</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59,130</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59,071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58,937</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59,831</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60,285</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61,229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60,829</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ind w:left="820" w:right="20" w:hanging="488"/>
        <w:spacing w:after="0" w:line="263" w:lineRule="auto"/>
        <w:tabs>
          <w:tab w:leader="none" w:pos="8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Due to the use of weighted average shares outstanding when calculating earnings per share, the sum of quarterly per share data may not equal the per share data for the year.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December 31, 2017,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that evaluation, our Chief Executive Officer and Chief Financial Officer concluded that, as of December 31, 2017,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of our Chief Executive Officer and Chief Financial Officer, our management assessed the effectiveness of the Company's internal control over financial reporting as of December 31, 2017. In making this assessment, management used the criteria set forth in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2017.</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Due to the Company's status as an EGC, this annual report does not include an attestation report of our registered public accounting firm.</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0"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2017.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2017.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2017.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2017.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2017. Accordingly, we have omitted the information from this Item pursuant to General Instruction G (3) of Form 10-K.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580" w:right="2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Statements — See the "</w:t>
      </w:r>
      <w:r>
        <w:rPr>
          <w:rFonts w:ascii="Arial" w:cs="Arial" w:eastAsia="Arial" w:hAnsi="Arial"/>
          <w:sz w:val="18"/>
          <w:szCs w:val="18"/>
          <w:i w:val="1"/>
          <w:iCs w:val="1"/>
          <w:color w:val="auto"/>
        </w:rPr>
        <w:t>Index to Financial Statements</w:t>
      </w:r>
      <w:r>
        <w:rPr>
          <w:rFonts w:ascii="Arial" w:cs="Arial" w:eastAsia="Arial" w:hAnsi="Arial"/>
          <w:sz w:val="18"/>
          <w:szCs w:val="18"/>
          <w:color w:val="auto"/>
        </w:rPr>
        <w:t>" included in Part II, Item 8 of this report for a list of the financial statements filed as part of this report.</w:t>
      </w:r>
    </w:p>
    <w:p>
      <w:pPr>
        <w:spacing w:after="0" w:line="116" w:lineRule="exact"/>
        <w:rPr>
          <w:rFonts w:ascii="Arial" w:cs="Arial" w:eastAsia="Arial" w:hAnsi="Arial"/>
          <w:sz w:val="18"/>
          <w:szCs w:val="18"/>
          <w:color w:val="auto"/>
        </w:rPr>
      </w:pPr>
    </w:p>
    <w:p>
      <w:pPr>
        <w:ind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 — See the "</w:t>
      </w:r>
      <w:r>
        <w:rPr>
          <w:rFonts w:ascii="Arial" w:cs="Arial" w:eastAsia="Arial" w:hAnsi="Arial"/>
          <w:sz w:val="18"/>
          <w:szCs w:val="18"/>
          <w:i w:val="1"/>
          <w:iCs w:val="1"/>
          <w:color w:val="auto"/>
        </w:rPr>
        <w:t>Index to Financial Statement Schedules</w:t>
      </w:r>
      <w:r>
        <w:rPr>
          <w:rFonts w:ascii="Arial" w:cs="Arial" w:eastAsia="Arial" w:hAnsi="Arial"/>
          <w:sz w:val="18"/>
          <w:szCs w:val="18"/>
          <w:color w:val="auto"/>
        </w:rPr>
        <w:t>" on page 114 of this report for a list of the financial statement schedules filed as part of this report.</w:t>
      </w:r>
    </w:p>
    <w:p>
      <w:pPr>
        <w:spacing w:after="0" w:line="116"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 — See "</w:t>
      </w:r>
      <w:r>
        <w:rPr>
          <w:rFonts w:ascii="Arial" w:cs="Arial" w:eastAsia="Arial" w:hAnsi="Arial"/>
          <w:sz w:val="18"/>
          <w:szCs w:val="18"/>
          <w:i w:val="1"/>
          <w:iCs w:val="1"/>
          <w:color w:val="auto"/>
        </w:rPr>
        <w:t>Exhibit Index</w:t>
      </w:r>
      <w:r>
        <w:rPr>
          <w:rFonts w:ascii="Arial" w:cs="Arial" w:eastAsia="Arial" w:hAnsi="Arial"/>
          <w:sz w:val="18"/>
          <w:szCs w:val="18"/>
          <w:color w:val="auto"/>
        </w:rPr>
        <w:t>" on page i of this report for a list of exhibits filed as part of this report.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80" w:right="239" w:bottom="1440" w:gutter="0" w:footer="0" w:header="0"/>
        </w:sectPr>
      </w:pPr>
    </w:p>
    <w:bookmarkStart w:id="112" w:name="page113"/>
    <w:bookmarkEnd w:id="11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4"/>
          </w:tcPr>
          <w:p>
            <w:pPr>
              <w:ind w:left="840"/>
              <w:spacing w:after="0"/>
              <w:rPr>
                <w:sz w:val="20"/>
                <w:szCs w:val="20"/>
                <w:color w:val="auto"/>
              </w:rPr>
            </w:pPr>
            <w:r>
              <w:rPr>
                <w:rFonts w:ascii="Arial" w:cs="Arial" w:eastAsia="Arial" w:hAnsi="Arial"/>
                <w:sz w:val="18"/>
                <w:szCs w:val="18"/>
                <w:b w:val="1"/>
                <w:bCs w:val="1"/>
                <w:color w:val="auto"/>
              </w:rPr>
              <w:t>NMI HOLDINGS, INC.</w:t>
            </w:r>
          </w:p>
        </w:tc>
        <w:tc>
          <w:tcPr>
            <w:tcW w:w="2160" w:type="dxa"/>
            <w:vAlign w:val="bottom"/>
          </w:tcPr>
          <w:p>
            <w:pPr>
              <w:spacing w:after="0"/>
              <w:rPr>
                <w:sz w:val="20"/>
                <w:szCs w:val="20"/>
                <w:color w:val="auto"/>
              </w:rPr>
            </w:pPr>
          </w:p>
        </w:tc>
      </w:tr>
      <w:tr>
        <w:trPr>
          <w:trHeight w:val="662"/>
        </w:trPr>
        <w:tc>
          <w:tcPr>
            <w:tcW w:w="3840" w:type="dxa"/>
            <w:vAlign w:val="bottom"/>
            <w:gridSpan w:val="5"/>
          </w:tcPr>
          <w:p>
            <w:pPr>
              <w:spacing w:after="0"/>
              <w:rPr>
                <w:sz w:val="20"/>
                <w:szCs w:val="20"/>
                <w:color w:val="auto"/>
              </w:rPr>
            </w:pPr>
            <w:r>
              <w:rPr>
                <w:rFonts w:ascii="Arial" w:cs="Arial" w:eastAsia="Arial" w:hAnsi="Arial"/>
                <w:sz w:val="18"/>
                <w:szCs w:val="18"/>
                <w:color w:val="auto"/>
              </w:rPr>
              <w:t>Date: February 16, 2018</w:t>
            </w:r>
          </w:p>
        </w:tc>
        <w:tc>
          <w:tcPr>
            <w:tcW w:w="4840" w:type="dxa"/>
            <w:vAlign w:val="bottom"/>
            <w:gridSpan w:val="4"/>
          </w:tcPr>
          <w:p>
            <w:pPr>
              <w:ind w:left="840"/>
              <w:spacing w:after="0"/>
              <w:rPr>
                <w:sz w:val="20"/>
                <w:szCs w:val="20"/>
                <w:color w:val="auto"/>
              </w:rPr>
            </w:pPr>
            <w:r>
              <w:rPr>
                <w:rFonts w:ascii="Arial" w:cs="Arial" w:eastAsia="Arial" w:hAnsi="Arial"/>
                <w:sz w:val="18"/>
                <w:szCs w:val="18"/>
                <w:color w:val="auto"/>
              </w:rPr>
              <w:t>By: /s/ Bradley M. Shuster</w:t>
            </w:r>
          </w:p>
        </w:tc>
        <w:tc>
          <w:tcPr>
            <w:tcW w:w="21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6"/>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40" w:type="dxa"/>
            <w:vAlign w:val="bottom"/>
            <w:gridSpan w:val="4"/>
          </w:tcPr>
          <w:p>
            <w:pPr>
              <w:ind w:left="1060"/>
              <w:spacing w:after="0"/>
              <w:rPr>
                <w:sz w:val="20"/>
                <w:szCs w:val="20"/>
                <w:color w:val="auto"/>
              </w:rPr>
            </w:pPr>
            <w:r>
              <w:rPr>
                <w:rFonts w:ascii="Arial" w:cs="Arial" w:eastAsia="Arial" w:hAnsi="Arial"/>
                <w:sz w:val="18"/>
                <w:szCs w:val="18"/>
                <w:color w:val="auto"/>
              </w:rPr>
              <w:t>Name: Bradley M. Shuster</w:t>
            </w:r>
          </w:p>
        </w:tc>
        <w:tc>
          <w:tcPr>
            <w:tcW w:w="216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4"/>
          </w:tcPr>
          <w:p>
            <w:pPr>
              <w:ind w:left="1060"/>
              <w:spacing w:after="0"/>
              <w:rPr>
                <w:sz w:val="20"/>
                <w:szCs w:val="20"/>
                <w:color w:val="auto"/>
              </w:rPr>
            </w:pPr>
            <w:r>
              <w:rPr>
                <w:rFonts w:ascii="Arial" w:cs="Arial" w:eastAsia="Arial" w:hAnsi="Arial"/>
                <w:sz w:val="18"/>
                <w:szCs w:val="18"/>
                <w:color w:val="auto"/>
              </w:rPr>
              <w:t>Title: Chairman and Chief Executive Officer</w:t>
            </w:r>
          </w:p>
        </w:tc>
        <w:tc>
          <w:tcPr>
            <w:tcW w:w="2160" w:type="dxa"/>
            <w:vAlign w:val="bottom"/>
          </w:tcPr>
          <w:p>
            <w:pPr>
              <w:spacing w:after="0"/>
              <w:rPr>
                <w:sz w:val="20"/>
                <w:szCs w:val="20"/>
                <w:color w:val="auto"/>
              </w:rPr>
            </w:pPr>
          </w:p>
        </w:tc>
      </w:tr>
      <w:tr>
        <w:trPr>
          <w:trHeight w:val="783"/>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1140"/>
              <w:spacing w:after="0"/>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24"/>
                <w:szCs w:val="24"/>
                <w:color w:val="auto"/>
              </w:rPr>
            </w:pPr>
          </w:p>
        </w:tc>
        <w:tc>
          <w:tcPr>
            <w:tcW w:w="3700" w:type="dxa"/>
            <w:vAlign w:val="bottom"/>
            <w:gridSpan w:val="3"/>
          </w:tcPr>
          <w:p>
            <w:pPr>
              <w:ind w:left="960"/>
              <w:spacing w:after="0"/>
              <w:rPr>
                <w:sz w:val="20"/>
                <w:szCs w:val="20"/>
                <w:color w:val="auto"/>
              </w:rPr>
            </w:pPr>
            <w:r>
              <w:rPr>
                <w:rFonts w:ascii="Arial" w:cs="Arial" w:eastAsia="Arial" w:hAnsi="Arial"/>
                <w:sz w:val="18"/>
                <w:szCs w:val="18"/>
                <w:color w:val="auto"/>
              </w:rPr>
              <w:t>Title</w:t>
            </w:r>
          </w:p>
        </w:tc>
        <w:tc>
          <w:tcPr>
            <w:tcW w:w="2160" w:type="dxa"/>
            <w:vAlign w:val="bottom"/>
          </w:tcPr>
          <w:p>
            <w:pPr>
              <w:ind w:left="900"/>
              <w:spacing w:after="0"/>
              <w:rPr>
                <w:sz w:val="20"/>
                <w:szCs w:val="20"/>
                <w:color w:val="auto"/>
              </w:rPr>
            </w:pPr>
            <w:r>
              <w:rPr>
                <w:rFonts w:ascii="Arial" w:cs="Arial" w:eastAsia="Arial" w:hAnsi="Arial"/>
                <w:sz w:val="18"/>
                <w:szCs w:val="18"/>
                <w:color w:val="auto"/>
              </w:rPr>
              <w:t>Date</w:t>
            </w: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Bradley M. Shuster</w:t>
            </w:r>
          </w:p>
        </w:tc>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Bradley M. Shuster</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 Officer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230"/>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160" w:type="dxa"/>
            <w:vAlign w:val="bottom"/>
          </w:tcPr>
          <w:p>
            <w:pPr>
              <w:spacing w:after="0"/>
              <w:rPr>
                <w:sz w:val="20"/>
                <w:szCs w:val="20"/>
                <w:color w:val="auto"/>
              </w:rPr>
            </w:pP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Adam S. Pollitzer</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Adam S. Pollitzer</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230"/>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160" w:type="dxa"/>
            <w:vAlign w:val="bottom"/>
          </w:tcPr>
          <w:p>
            <w:pPr>
              <w:spacing w:after="0"/>
              <w:rPr>
                <w:sz w:val="20"/>
                <w:szCs w:val="20"/>
                <w:color w:val="auto"/>
              </w:rPr>
            </w:pP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Julie C. Norberg</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Julie C. Norberg</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Controller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Steven L. Scheid</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Steven L. Scheid</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James G. Jones</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James G. Jones</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Regina Muehlhauser</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Regina Muehlhauser</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Michael Montgomery</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Michael Montgomery</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Michael Embler</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Michael Embler</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r>
        <w:trPr>
          <w:trHeight w:val="648"/>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 James H. Ozanne</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James H. Ozanne</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16, 2018</w:t>
            </w:r>
          </w:p>
        </w:tc>
      </w:tr>
    </w:tbl>
    <w:p>
      <w:pPr>
        <w:spacing w:after="0" w:line="200" w:lineRule="exact"/>
        <w:rPr>
          <w:sz w:val="20"/>
          <w:szCs w:val="20"/>
          <w:color w:val="auto"/>
        </w:rPr>
      </w:pPr>
    </w:p>
    <w:p>
      <w:pPr>
        <w:sectPr>
          <w:pgSz w:w="11900" w:h="16838" w:orient="portrait"/>
          <w:cols w:equalWidth="0" w:num="1">
            <w:col w:w="10940"/>
          </w:cols>
          <w:pgMar w:left="240" w:top="58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940"/>
          </w:cols>
          <w:pgMar w:left="240" w:top="580" w:right="719" w:bottom="1440" w:gutter="0" w:footer="0" w:header="0"/>
          <w:type w:val="continuous"/>
        </w:sectPr>
      </w:pPr>
    </w:p>
    <w:bookmarkStart w:id="113" w:name="page114"/>
    <w:bookmarkEnd w:id="113"/>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 I — Summary of Investments — other than investments in related parties as of December 31, 2017</w:t>
            </w: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15">
              <w:r>
                <w:rPr>
                  <w:rFonts w:ascii="Arial" w:cs="Arial" w:eastAsia="Arial" w:hAnsi="Arial"/>
                  <w:sz w:val="18"/>
                  <w:szCs w:val="18"/>
                  <w:color w:val="0000EE"/>
                  <w:w w:val="88"/>
                </w:rPr>
                <w:t>F-1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9500" w:type="dxa"/>
            <w:vAlign w:val="bottom"/>
          </w:tcPr>
          <w:p>
            <w:pPr>
              <w:ind w:left="40"/>
              <w:spacing w:after="0" w:line="202" w:lineRule="exact"/>
              <w:rPr>
                <w:sz w:val="20"/>
                <w:szCs w:val="20"/>
                <w:color w:val="auto"/>
              </w:rPr>
            </w:pPr>
            <w:r>
              <w:rPr>
                <w:rFonts w:ascii="Arial" w:cs="Arial" w:eastAsia="Arial" w:hAnsi="Arial"/>
                <w:sz w:val="18"/>
                <w:szCs w:val="18"/>
                <w:color w:val="auto"/>
              </w:rPr>
              <w:t>Schedule II — Financial Information of Registrant as of December 31, 2017</w:t>
            </w:r>
          </w:p>
        </w:tc>
        <w:tc>
          <w:tcPr>
            <w:tcW w:w="1920" w:type="dxa"/>
            <w:vAlign w:val="bottom"/>
            <w:gridSpan w:val="3"/>
          </w:tcPr>
          <w:p>
            <w:pPr>
              <w:ind w:left="1640"/>
              <w:spacing w:after="0" w:line="202" w:lineRule="exact"/>
              <w:rPr>
                <w:rFonts w:ascii="Arial" w:cs="Arial" w:eastAsia="Arial" w:hAnsi="Arial"/>
                <w:sz w:val="18"/>
                <w:szCs w:val="18"/>
                <w:color w:val="0000EE"/>
                <w:w w:val="96"/>
              </w:rPr>
            </w:pPr>
            <w:hyperlink w:anchor="page116">
              <w:r>
                <w:rPr>
                  <w:rFonts w:ascii="Arial" w:cs="Arial" w:eastAsia="Arial" w:hAnsi="Arial"/>
                  <w:sz w:val="18"/>
                  <w:szCs w:val="18"/>
                  <w:color w:val="0000EE"/>
                  <w:w w:val="96"/>
                </w:rPr>
                <w:t>F-2</w:t>
              </w:r>
            </w:hyperlink>
          </w:p>
        </w:tc>
      </w:tr>
      <w:tr>
        <w:trPr>
          <w:trHeight w:val="48"/>
        </w:trPr>
        <w:tc>
          <w:tcPr>
            <w:tcW w:w="9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 — Reinsurance as of December 31, 2017</w:t>
            </w:r>
          </w:p>
        </w:tc>
        <w:tc>
          <w:tcPr>
            <w:tcW w:w="1920" w:type="dxa"/>
            <w:vAlign w:val="bottom"/>
            <w:gridSpan w:val="3"/>
            <w:shd w:val="clear" w:color="auto" w:fill="CCEEFF"/>
          </w:tcPr>
          <w:p>
            <w:pPr>
              <w:ind w:left="1640"/>
              <w:spacing w:after="0" w:line="202"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F-6</w:t>
              </w:r>
            </w:hyperlink>
          </w:p>
        </w:tc>
      </w:tr>
      <w:tr>
        <w:trPr>
          <w:trHeight w:val="48"/>
        </w:trPr>
        <w:tc>
          <w:tcPr>
            <w:tcW w:w="9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44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Amount Reflected on</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258"/>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w w:val="94"/>
              </w:rPr>
              <w:t>U.S. Treasury securities and obligations of U.S. government agencies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65,669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64,688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435,562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437,835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100,944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Total bonds</w:t>
            </w:r>
          </w:p>
        </w:tc>
        <w:tc>
          <w:tcPr>
            <w:tcW w:w="7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691,357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693,315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693,315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 - other</w:t>
            </w: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22,149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22,207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713,859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715,875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F-1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 xml:space="preserve">December 31, 2016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00" w:type="dxa"/>
            <w:vAlign w:val="bottom"/>
            <w:gridSpan w:val="4"/>
          </w:tcPr>
          <w:p>
            <w:pPr>
              <w:jc w:val="right"/>
              <w:ind w:right="69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Fixed maturities, available-for-sale, at fair value</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50,505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58,209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Investment in subsidiaries, at equity in net assets</w:t>
            </w: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573,695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503,731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from affiliates, net</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36,534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680,562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646,268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144,353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23,039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170,759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60,517,512 and 59,145,161 shares issued and outstanding as of December 31, 2017 and December 31,</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2016, respectively (250,000,000 shares authorized)</w:t>
            </w:r>
          </w:p>
        </w:tc>
        <w:tc>
          <w:tcPr>
            <w:tcW w:w="4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585,488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576,927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(96,722)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680,562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646,268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firstLine="8"/>
        <w:spacing w:after="0" w:line="364" w:lineRule="auto"/>
        <w:tabs>
          <w:tab w:leader="none" w:pos="153" w:val="left"/>
        </w:tabs>
        <w:numPr>
          <w:ilvl w:val="0"/>
          <w:numId w:val="54"/>
        </w:numPr>
        <w:rPr>
          <w:rFonts w:ascii="Arial" w:cs="Arial" w:eastAsia="Arial" w:hAnsi="Arial"/>
          <w:sz w:val="17"/>
          <w:szCs w:val="17"/>
          <w:color w:val="auto"/>
          <w:vertAlign w:val="superscript"/>
        </w:rPr>
      </w:pPr>
      <w:r>
        <w:rPr>
          <w:rFonts w:ascii="Arial" w:cs="Arial" w:eastAsia="Arial" w:hAnsi="Arial"/>
          <w:sz w:val="13"/>
          <w:szCs w:val="13"/>
          <w:color w:val="auto"/>
        </w:rPr>
        <w:t>The 2016 prior period balance sheet has been revised. See Item 8, "</w:t>
      </w:r>
      <w:r>
        <w:rPr>
          <w:rFonts w:ascii="Arial" w:cs="Arial" w:eastAsia="Arial" w:hAnsi="Arial"/>
          <w:sz w:val="13"/>
          <w:szCs w:val="13"/>
          <w:i w:val="1"/>
          <w:iCs w:val="1"/>
          <w:color w:val="auto"/>
        </w:rPr>
        <w:t>Financial Statements and Supplementary Data - Notes to Consolidated Financial Statements - Note 2,</w:t>
      </w:r>
      <w:r>
        <w:rPr>
          <w:rFonts w:ascii="Arial" w:cs="Arial" w:eastAsia="Arial" w:hAnsi="Arial"/>
          <w:sz w:val="13"/>
          <w:szCs w:val="13"/>
          <w:color w:val="auto"/>
        </w:rPr>
        <w:t xml:space="preserve"> </w:t>
      </w:r>
      <w:r>
        <w:rPr>
          <w:rFonts w:ascii="Arial" w:cs="Arial" w:eastAsia="Arial" w:hAnsi="Arial"/>
          <w:sz w:val="13"/>
          <w:szCs w:val="13"/>
          <w:i w:val="1"/>
          <w:iCs w:val="1"/>
          <w:color w:val="auto"/>
        </w:rPr>
        <w:t>Summary of Accounting Principles - Immaterial Correction of Prior Period Amounts</w:t>
      </w:r>
      <w:r>
        <w:rPr>
          <w:rFonts w:ascii="Arial" w:cs="Arial" w:eastAsia="Arial" w:hAnsi="Arial"/>
          <w:sz w:val="13"/>
          <w:szCs w:val="13"/>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171"/>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8"/>
              </w:rPr>
              <w:t xml:space="preserve">2016 </w:t>
            </w:r>
            <w:r>
              <w:rPr>
                <w:rFonts w:ascii="Arial" w:cs="Arial" w:eastAsia="Arial" w:hAnsi="Arial"/>
                <w:sz w:val="8"/>
                <w:szCs w:val="8"/>
                <w:b w:val="1"/>
                <w:bCs w:val="1"/>
                <w:color w:val="auto"/>
                <w:w w:val="98"/>
              </w:rPr>
              <w:t>(1)</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2,535</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2,914</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16,374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16,374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17,157</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from change in fair value of warrant liability</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(2,057)</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318"/>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(loss) of subsidiaries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67,146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r>
      <w:tr>
        <w:trPr>
          <w:trHeight w:val="324"/>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47,359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106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25,309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22,050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64,001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1"/>
              </w:rPr>
              <w:t>Net unrealized gains in accumulated other comprehensive loss, net of tax (benefit)</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w w:val="91"/>
              </w:rPr>
              <w:t>expense of ($49), $82, and $0 for each of the years in the three-year period ended</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December 31, 2017, respectively</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 for losses (gains) included in net loss, net of tax</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expense of $0 for each of the years in the three-year period ended December 31,</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 other comprehensive income (loss) of subsidiaries</w:t>
            </w:r>
          </w:p>
        </w:tc>
        <w:tc>
          <w:tcPr>
            <w:tcW w:w="106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(4,194)</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24,478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66,188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(31,660)</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firstLine="8"/>
        <w:spacing w:after="0" w:line="246" w:lineRule="auto"/>
        <w:tabs>
          <w:tab w:leader="none" w:pos="167" w:val="left"/>
        </w:tabs>
        <w:numPr>
          <w:ilvl w:val="0"/>
          <w:numId w:val="55"/>
        </w:numPr>
        <w:rPr>
          <w:rFonts w:ascii="Arial" w:cs="Arial" w:eastAsia="Arial" w:hAnsi="Arial"/>
          <w:sz w:val="19"/>
          <w:szCs w:val="19"/>
          <w:color w:val="auto"/>
          <w:vertAlign w:val="superscript"/>
        </w:rPr>
      </w:pPr>
      <w:r>
        <w:rPr>
          <w:rFonts w:ascii="Arial" w:cs="Arial" w:eastAsia="Arial" w:hAnsi="Arial"/>
          <w:sz w:val="15"/>
          <w:szCs w:val="15"/>
          <w:color w:val="auto"/>
        </w:rPr>
        <w:t>The 2016 prior period consolidated statements of operations has been revised. See Item 8</w:t>
      </w:r>
      <w:r>
        <w:rPr>
          <w:rFonts w:ascii="Arial" w:cs="Arial" w:eastAsia="Arial" w:hAnsi="Arial"/>
          <w:sz w:val="15"/>
          <w:szCs w:val="15"/>
          <w:i w:val="1"/>
          <w:iCs w:val="1"/>
          <w:color w:val="auto"/>
        </w:rPr>
        <w:t>, "Financial Statements and Supplementary Data - Notes to 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 Note 2, Summary of Accounting Principles - Immaterial Correction of Prior Period Amounts,</w:t>
      </w:r>
      <w:r>
        <w:rPr>
          <w:rFonts w:ascii="Arial" w:cs="Arial" w:eastAsia="Arial" w:hAnsi="Arial"/>
          <w:sz w:val="15"/>
          <w:szCs w:val="15"/>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791"/>
              <w:spacing w:after="0"/>
              <w:rPr>
                <w:sz w:val="20"/>
                <w:szCs w:val="20"/>
                <w:color w:val="auto"/>
              </w:rPr>
            </w:pPr>
            <w:r>
              <w:rPr>
                <w:rFonts w:ascii="Arial" w:cs="Arial" w:eastAsia="Arial" w:hAnsi="Arial"/>
                <w:sz w:val="14"/>
                <w:szCs w:val="14"/>
                <w:b w:val="1"/>
                <w:bCs w:val="1"/>
                <w:color w:val="auto"/>
                <w:w w:val="92"/>
              </w:rPr>
              <w:t>For the year ended December 31,</w:t>
            </w:r>
          </w:p>
        </w:tc>
        <w:tc>
          <w:tcPr>
            <w:tcW w:w="1260" w:type="dxa"/>
            <w:vAlign w:val="bottom"/>
            <w:tcBorders>
              <w:bottom w:val="single" w:sz="8" w:color="auto"/>
            </w:tcBorders>
          </w:tcPr>
          <w:p>
            <w:pPr>
              <w:spacing w:after="0"/>
              <w:rPr>
                <w:sz w:val="16"/>
                <w:szCs w:val="16"/>
                <w:color w:val="auto"/>
              </w:rPr>
            </w:pPr>
          </w:p>
        </w:tc>
      </w:tr>
      <w:tr>
        <w:trPr>
          <w:trHeight w:val="263"/>
        </w:trPr>
        <w:tc>
          <w:tcPr>
            <w:tcW w:w="6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1"/>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3"/>
              </w:rPr>
              <w:t>(In Thousands)</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(used in) provided by</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8,174</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3,885</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subsidiaries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14,430</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Accrued investment income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481</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from affiliates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626</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Deferred tax asset</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30,876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8,025</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7,814</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Capitalization of subsidiaries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(153,500)</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Purchase of fixed-maturity investments, available-for-sale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(66,411)</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w w:val="97"/>
              </w:rPr>
              <w:t>Proceeds from redemptions, maturities and sale of fixed-maturity investments,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available-for-sale</w:t>
            </w:r>
          </w:p>
        </w:tc>
        <w:tc>
          <w:tcPr>
            <w:tcW w:w="4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41,750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79,652</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(6,135)</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18,247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(167,554)</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related to employee equity plans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r>
      <w:tr>
        <w:trPr>
          <w:trHeight w:val="243"/>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warrants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term loan, net of discount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148,500</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Repayments of term loan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modification costs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142,998</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6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(16,742)</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29,925</w:t>
            </w:r>
          </w:p>
        </w:tc>
      </w:tr>
      <w:tr>
        <w:trPr>
          <w:trHeight w:val="250"/>
        </w:trPr>
        <w:tc>
          <w:tcPr>
            <w:tcW w:w="62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15,858</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8890</wp:posOffset>
            </wp:positionV>
            <wp:extent cx="3258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26035"/>
                    </a:xfrm>
                    <a:prstGeom prst="rect">
                      <a:avLst/>
                    </a:prstGeom>
                    <a:noFill/>
                  </pic:spPr>
                </pic:pic>
              </a:graphicData>
            </a:graphic>
          </wp:anchor>
        </w:drawing>
      </w:r>
    </w:p>
    <w:p>
      <w:pPr>
        <w:spacing w:after="0" w:line="24" w:lineRule="exact"/>
        <w:rPr>
          <w:sz w:val="20"/>
          <w:szCs w:val="20"/>
          <w:color w:val="auto"/>
        </w:rPr>
      </w:pPr>
    </w:p>
    <w:p>
      <w:pPr>
        <w:ind w:right="20" w:firstLine="8"/>
        <w:spacing w:after="0" w:line="246" w:lineRule="auto"/>
        <w:tabs>
          <w:tab w:leader="none" w:pos="167"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The 2016 prior period consolidated statements of cash flows has been revised. See Item 8</w:t>
      </w:r>
      <w:r>
        <w:rPr>
          <w:rFonts w:ascii="Arial" w:cs="Arial" w:eastAsia="Arial" w:hAnsi="Arial"/>
          <w:sz w:val="15"/>
          <w:szCs w:val="15"/>
          <w:i w:val="1"/>
          <w:iCs w:val="1"/>
          <w:color w:val="auto"/>
        </w:rPr>
        <w:t>, "Financial Statements and Supplementary Data - Notes to 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 Note 2, Summary of Accounting Principles - Immaterial Correction of Prior Period Amounts,</w:t>
      </w:r>
      <w:r>
        <w:rPr>
          <w:rFonts w:ascii="Arial" w:cs="Arial" w:eastAsia="Arial" w:hAnsi="Arial"/>
          <w:sz w:val="15"/>
          <w:szCs w:val="15"/>
          <w:color w:val="auto"/>
        </w:rPr>
        <w:t>" for further details.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5" w:right="2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Revisions to Prior Periods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other prior balances have been reclassified to conform to the current period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Wisconsin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2017 were $101.0 million, $80.5 million and $76.0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REINSURANCE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September 2016, to continue to grow our business and manage insurance risk and our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under PMIERs financial requirements, NMIC entered into a quota-share reinsurance transaction with a panel of third-party reinsurers.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Parent Company has no reinsurance agreements. The insurance subsidiaries are both mono-line mortgage insurance companies and the assets of each are dedicated only to the support of our mortgage insurance operations. NMIC only writes direct mortgage insurance business and assumes no business from any other entity. Re One only assumes business from NMIC to allow NMIC to comply with Ohio's coverage limit, after giving effect to third-party reinsurance. Neither NMIC nor Re One count any subsidiary of any kind in their admitted statutory assets.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1380" w:type="dxa"/>
            <w:vAlign w:val="bottom"/>
          </w:tcPr>
          <w:p>
            <w:pPr>
              <w:jc w:val="right"/>
              <w:ind w:right="256"/>
              <w:spacing w:after="0"/>
              <w:rPr>
                <w:sz w:val="20"/>
                <w:szCs w:val="20"/>
                <w:color w:val="auto"/>
              </w:rPr>
            </w:pPr>
            <w:r>
              <w:rPr>
                <w:rFonts w:ascii="Arial" w:cs="Arial" w:eastAsia="Arial" w:hAnsi="Arial"/>
                <w:sz w:val="14"/>
                <w:szCs w:val="14"/>
                <w:b w:val="1"/>
                <w:bCs w:val="1"/>
                <w:color w:val="auto"/>
              </w:rPr>
              <w:t>Ceded to Other</w:t>
            </w:r>
          </w:p>
        </w:tc>
        <w:tc>
          <w:tcPr>
            <w:tcW w:w="220" w:type="dxa"/>
            <w:vAlign w:val="bottom"/>
          </w:tcPr>
          <w:p>
            <w:pPr>
              <w:spacing w:after="0"/>
              <w:rPr>
                <w:sz w:val="14"/>
                <w:szCs w:val="14"/>
                <w:color w:val="auto"/>
              </w:rPr>
            </w:pPr>
          </w:p>
        </w:tc>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Assumed from Other</w:t>
            </w:r>
          </w:p>
        </w:tc>
        <w:tc>
          <w:tcPr>
            <w:tcW w:w="14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Net Amount</w:t>
            </w:r>
          </w:p>
        </w:tc>
        <w:tc>
          <w:tcPr>
            <w:tcW w:w="1700" w:type="dxa"/>
            <w:vAlign w:val="bottom"/>
          </w:tcPr>
          <w:p>
            <w:pPr>
              <w:ind w:left="180"/>
              <w:spacing w:after="0"/>
              <w:rPr>
                <w:sz w:val="20"/>
                <w:szCs w:val="20"/>
                <w:color w:val="auto"/>
              </w:rPr>
            </w:pPr>
            <w:r>
              <w:rPr>
                <w:rFonts w:ascii="Arial" w:cs="Arial" w:eastAsia="Arial" w:hAnsi="Arial"/>
                <w:sz w:val="14"/>
                <w:szCs w:val="14"/>
                <w:b w:val="1"/>
                <w:bCs w:val="1"/>
                <w:color w:val="auto"/>
              </w:rPr>
              <w:t>Percentage of Amount</w:t>
            </w: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Companies</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Companies</w:t>
            </w:r>
          </w:p>
        </w:tc>
        <w:tc>
          <w:tcPr>
            <w:tcW w:w="14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Assumed to Net</w:t>
            </w: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2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For the years ended December 31,</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ind w:left="2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2017</w:t>
            </w:r>
          </w:p>
        </w:tc>
        <w:tc>
          <w:tcPr>
            <w:tcW w:w="2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192,326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26,586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165,740</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2016</w:t>
            </w:r>
          </w:p>
        </w:tc>
        <w:tc>
          <w:tcPr>
            <w:tcW w:w="2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115,830</w:t>
            </w:r>
          </w:p>
        </w:tc>
        <w:tc>
          <w:tcPr>
            <w:tcW w:w="3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5,349</w:t>
            </w:r>
          </w:p>
        </w:tc>
        <w:tc>
          <w:tcPr>
            <w:tcW w:w="220" w:type="dxa"/>
            <w:vAlign w:val="bottom"/>
          </w:tcPr>
          <w:p>
            <w:pPr>
              <w:spacing w:after="0"/>
              <w:rPr>
                <w:sz w:val="21"/>
                <w:szCs w:val="21"/>
                <w:color w:val="auto"/>
              </w:rPr>
            </w:pPr>
          </w:p>
        </w:tc>
        <w:tc>
          <w:tcPr>
            <w:tcW w:w="1840" w:type="dxa"/>
            <w:vAlign w:val="bottom"/>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110,481</w:t>
            </w:r>
          </w:p>
        </w:tc>
        <w:tc>
          <w:tcPr>
            <w:tcW w:w="170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2015</w:t>
            </w:r>
          </w:p>
        </w:tc>
        <w:tc>
          <w:tcPr>
            <w:tcW w:w="2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2014</w:t>
            </w:r>
          </w:p>
        </w:tc>
        <w:tc>
          <w:tcPr>
            <w:tcW w:w="2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70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2"/>
          </w:tcPr>
          <w:p>
            <w:pPr>
              <w:ind w:left="36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10"/>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8"/>
                <w:szCs w:val="18"/>
                <w:color w:val="0000EE"/>
                <w:w w:val="94"/>
              </w:rPr>
            </w:pPr>
            <w:hyperlink r:id="rId13">
              <w:r>
                <w:rPr>
                  <w:rFonts w:ascii="Arial" w:cs="Arial" w:eastAsia="Arial" w:hAnsi="Arial"/>
                  <w:sz w:val="18"/>
                  <w:szCs w:val="18"/>
                  <w:color w:val="0000EE"/>
                  <w:w w:val="94"/>
                </w:rPr>
                <w:t>Stock Purchase Agreement, dated November 30, 2011</w:t>
              </w:r>
            </w:hyperlink>
            <w:r>
              <w:rPr>
                <w:rFonts w:ascii="Arial" w:cs="Arial" w:eastAsia="Arial" w:hAnsi="Arial"/>
                <w:sz w:val="18"/>
                <w:szCs w:val="18"/>
                <w:color w:val="000000"/>
                <w:w w:val="94"/>
              </w:rPr>
              <w:t>,</w:t>
            </w:r>
            <w:r>
              <w:rPr>
                <w:rFonts w:ascii="Arial" w:cs="Arial" w:eastAsia="Arial" w:hAnsi="Arial"/>
                <w:sz w:val="18"/>
                <w:szCs w:val="18"/>
                <w:color w:val="0000EE"/>
                <w:w w:val="94"/>
              </w:rPr>
              <w:t xml:space="preserve"> </w:t>
            </w:r>
            <w:r>
              <w:rPr>
                <w:rFonts w:ascii="Arial" w:cs="Arial" w:eastAsia="Arial" w:hAnsi="Arial"/>
                <w:sz w:val="18"/>
                <w:szCs w:val="18"/>
                <w:color w:val="000000"/>
                <w:w w:val="94"/>
              </w:rPr>
              <w:t>between NMI Holdings, Inc. and MAC Financial Ltd. (incorporated 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2.1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6"/>
              </w:rPr>
            </w:pPr>
            <w:hyperlink r:id="rId14">
              <w:r>
                <w:rPr>
                  <w:rFonts w:ascii="Arial" w:cs="Arial" w:eastAsia="Arial" w:hAnsi="Arial"/>
                  <w:sz w:val="18"/>
                  <w:szCs w:val="18"/>
                  <w:color w:val="0000EE"/>
                  <w:w w:val="96"/>
                </w:rPr>
                <w:t>Amendment to Stock Purchase Agreement, dated April 6, 2012</w:t>
              </w:r>
            </w:hyperlink>
            <w:r>
              <w:rPr>
                <w:rFonts w:ascii="Arial" w:cs="Arial" w:eastAsia="Arial" w:hAnsi="Arial"/>
                <w:sz w:val="18"/>
                <w:szCs w:val="18"/>
                <w:color w:val="000000"/>
                <w:w w:val="96"/>
              </w:rPr>
              <w:t>,</w:t>
            </w:r>
            <w:r>
              <w:rPr>
                <w:rFonts w:ascii="Arial" w:cs="Arial" w:eastAsia="Arial" w:hAnsi="Arial"/>
                <w:sz w:val="18"/>
                <w:szCs w:val="18"/>
                <w:color w:val="0000EE"/>
                <w:w w:val="96"/>
              </w:rPr>
              <w:t xml:space="preserve"> </w:t>
            </w:r>
            <w:r>
              <w:rPr>
                <w:rFonts w:ascii="Arial" w:cs="Arial" w:eastAsia="Arial" w:hAnsi="Arial"/>
                <w:sz w:val="18"/>
                <w:szCs w:val="18"/>
                <w:color w:val="000000"/>
                <w:w w:val="96"/>
              </w:rPr>
              <w:t>between NMI Holdings, Inc. and MAC Financial Ltd. (incorporated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5"/>
              </w:rPr>
              <w:t>herein by reference to Exhibit 2.2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1"/>
              </w:rPr>
            </w:pPr>
            <w:hyperlink r:id="rId15">
              <w:r>
                <w:rPr>
                  <w:rFonts w:ascii="Arial" w:cs="Arial" w:eastAsia="Arial" w:hAnsi="Arial"/>
                  <w:sz w:val="18"/>
                  <w:szCs w:val="18"/>
                  <w:color w:val="0000EE"/>
                  <w:w w:val="91"/>
                </w:rPr>
                <w:t xml:space="preserve">Second Amended and Restated Certificate of Incorporation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herein by reference to Exhibit 3.1 to our Form S-1 Registration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5"/>
              </w:rPr>
            </w:pPr>
            <w:hyperlink r:id="rId16">
              <w:r>
                <w:rPr>
                  <w:rFonts w:ascii="Arial" w:cs="Arial" w:eastAsia="Arial" w:hAnsi="Arial"/>
                  <w:sz w:val="18"/>
                  <w:szCs w:val="18"/>
                  <w:color w:val="0000EE"/>
                  <w:w w:val="95"/>
                </w:rPr>
                <w:t xml:space="preserve">Third Amended and Restated By-Laws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herein by reference to Exhibit 3.1 to our Form 8-K, filed on December 9, 2014)</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EE"/>
                <w:w w:val="94"/>
              </w:rPr>
            </w:pPr>
            <w:hyperlink r:id="rId17">
              <w:r>
                <w:rPr>
                  <w:rFonts w:ascii="Arial" w:cs="Arial" w:eastAsia="Arial" w:hAnsi="Arial"/>
                  <w:sz w:val="18"/>
                  <w:szCs w:val="18"/>
                  <w:color w:val="0000EE"/>
                  <w:w w:val="94"/>
                </w:rPr>
                <w:t xml:space="preserve">Specimen Class A common stock certificate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herein by reference to Exhibit 4.1 to our Form S-1 Registration Statement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3"/>
              </w:rPr>
            </w:pPr>
            <w:hyperlink r:id="rId18">
              <w:r>
                <w:rPr>
                  <w:rFonts w:ascii="Arial" w:cs="Arial" w:eastAsia="Arial" w:hAnsi="Arial"/>
                  <w:sz w:val="18"/>
                  <w:szCs w:val="18"/>
                  <w:color w:val="0000EE"/>
                  <w:w w:val="93"/>
                </w:rPr>
                <w:t xml:space="preserve">Registration Rights Agreement between NMI Holdings, Inc. and FBR Capital Markets &amp; Co., dated April 24, 2012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4.2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4"/>
              </w:rPr>
            </w:pPr>
            <w:hyperlink r:id="rId19">
              <w:r>
                <w:rPr>
                  <w:rFonts w:ascii="Arial" w:cs="Arial" w:eastAsia="Arial" w:hAnsi="Arial"/>
                  <w:sz w:val="18"/>
                  <w:szCs w:val="18"/>
                  <w:color w:val="0000EE"/>
                  <w:w w:val="94"/>
                </w:rPr>
                <w:t xml:space="preserve">Registration Rights Agreement by and between MAC Financial Ltd. and NMI Holdings, Inc., dated April 24, 2012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4"/>
              </w:rPr>
            </w:pPr>
            <w:hyperlink r:id="rId20">
              <w:r>
                <w:rPr>
                  <w:rFonts w:ascii="Arial" w:cs="Arial" w:eastAsia="Arial" w:hAnsi="Arial"/>
                  <w:sz w:val="18"/>
                  <w:szCs w:val="18"/>
                  <w:color w:val="0000EE"/>
                  <w:w w:val="94"/>
                </w:rPr>
                <w:t>Registration Rights Agreement between FBR &amp; Co., FBR Capital Markets LT, Inc., FBR Capital Markets &amp; Co., FBR Capital Markets</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20">
              <w:r>
                <w:rPr>
                  <w:rFonts w:ascii="Arial" w:cs="Arial" w:eastAsia="Arial" w:hAnsi="Arial"/>
                  <w:sz w:val="18"/>
                  <w:szCs w:val="18"/>
                  <w:color w:val="0000EE"/>
                  <w:w w:val="93"/>
                </w:rPr>
                <w:t xml:space="preserve">PT, Inc. and NMI Holdings, Inc., dated April 24, 2012 </w:t>
              </w:r>
              <w:r>
                <w:rPr>
                  <w:rFonts w:ascii="Arial" w:cs="Arial" w:eastAsia="Arial" w:hAnsi="Arial"/>
                  <w:sz w:val="18"/>
                  <w:szCs w:val="18"/>
                  <w:color w:val="000000"/>
                  <w:w w:val="93"/>
                </w:rPr>
                <w:t>(incorporated herein by reference to Exhibit 4.4 to our Form S-1 Registration</w:t>
              </w:r>
            </w:hyperlink>
          </w:p>
        </w:tc>
        <w:tc>
          <w:tcPr>
            <w:tcW w:w="26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0" w:type="dxa"/>
            <w:vAlign w:val="bottom"/>
            <w:tcBorders>
              <w:bottom w:val="single" w:sz="8" w:color="0000EE"/>
            </w:tcBorders>
            <w:gridSpan w:val="14"/>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Warrant No. 1 to Purchase Common Stock of NMI Holdings, Inc. issued to FBR Capital Markets &amp; Co., dated June 13,</w:t>
              </w:r>
            </w:hyperlink>
          </w:p>
        </w:tc>
        <w:tc>
          <w:tcPr>
            <w:tcW w:w="1380" w:type="dxa"/>
            <w:vAlign w:val="bottom"/>
            <w:gridSpan w:val="5"/>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 xml:space="preserve">2013 </w:t>
              </w:r>
              <w:r>
                <w:rPr>
                  <w:rFonts w:ascii="Arial" w:cs="Arial" w:eastAsia="Arial" w:hAnsi="Arial"/>
                  <w:sz w:val="18"/>
                  <w:szCs w:val="18"/>
                  <w:color w:val="000000"/>
                  <w:w w:val="94"/>
                </w:rPr>
                <w:t>(incorporated herein by reference to Exhibit 4.5 to our Form S-1 Registration Statement (Registration No. 333-</w:t>
              </w:r>
            </w:hyperlink>
            <w:r>
              <w:rPr>
                <w:rFonts w:ascii="Arial" w:cs="Arial" w:eastAsia="Arial" w:hAnsi="Arial"/>
                <w:sz w:val="18"/>
                <w:szCs w:val="18"/>
                <w:color w:val="0000EE"/>
                <w:w w:val="94"/>
              </w:rPr>
              <w:t xml:space="preserve">191635), </w:t>
            </w:r>
            <w:r>
              <w:rPr>
                <w:rFonts w:ascii="Arial" w:cs="Arial" w:eastAsia="Arial" w:hAnsi="Arial"/>
                <w:sz w:val="18"/>
                <w:szCs w:val="18"/>
                <w:color w:val="000000"/>
                <w:w w:val="94"/>
              </w:rPr>
              <w:t>filed on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3"/>
              </w:rPr>
            </w:pPr>
            <w:hyperlink r:id="rId22">
              <w:r>
                <w:rPr>
                  <w:rFonts w:ascii="Arial" w:cs="Arial" w:eastAsia="Arial" w:hAnsi="Arial"/>
                  <w:sz w:val="18"/>
                  <w:szCs w:val="18"/>
                  <w:color w:val="0000EE"/>
                  <w:w w:val="93"/>
                </w:rPr>
                <w:t xml:space="preserve">Form of Warrant to Purchase Common Stock of NMI Holdings, Inc. issued to former stockholders of MAC Financial Ltd. </w:t>
              </w:r>
            </w:hyperlink>
            <w:r>
              <w:rPr>
                <w:rFonts w:ascii="Arial" w:cs="Arial" w:eastAsia="Arial" w:hAnsi="Arial"/>
                <w:sz w:val="18"/>
                <w:szCs w:val="18"/>
                <w:color w:val="000000"/>
                <w:w w:val="93"/>
              </w:rPr>
              <w:t>(incorporated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8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5"/>
              </w:rPr>
              <w:t>herein by reference to Exhibit 4.6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3"/>
              </w:rPr>
            </w:pPr>
            <w:hyperlink r:id="rId23">
              <w:r>
                <w:rPr>
                  <w:rFonts w:ascii="Arial" w:cs="Arial" w:eastAsia="Arial" w:hAnsi="Arial"/>
                  <w:sz w:val="18"/>
                  <w:szCs w:val="18"/>
                  <w:color w:val="0000EE"/>
                  <w:w w:val="93"/>
                </w:rPr>
                <w:t xml:space="preserve">NMI Holdings Inc. 2012 Stock Incentive Plan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herein by reference to Exhibit 10.1 to our Form S-1 Registration Statement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tcBorders>
              <w:bottom w:val="single" w:sz="8" w:color="0000EE"/>
            </w:tcBorders>
            <w:gridSpan w:val="19"/>
          </w:tcPr>
          <w:p>
            <w:pPr>
              <w:spacing w:after="0"/>
              <w:rPr>
                <w:rFonts w:ascii="Arial" w:cs="Arial" w:eastAsia="Arial" w:hAnsi="Arial"/>
                <w:sz w:val="18"/>
                <w:szCs w:val="18"/>
                <w:color w:val="0000EE"/>
                <w:w w:val="95"/>
              </w:rPr>
            </w:pPr>
            <w:hyperlink r:id="rId24">
              <w:r>
                <w:rPr>
                  <w:rFonts w:ascii="Arial" w:cs="Arial" w:eastAsia="Arial" w:hAnsi="Arial"/>
                  <w:sz w:val="18"/>
                  <w:szCs w:val="18"/>
                  <w:color w:val="0000EE"/>
                  <w:w w:val="95"/>
                </w:rPr>
                <w:t>Form of NMI Holdings, Inc. 2012 Stock Incentive Plan Restricted Stock Unit Award Agreement for Chief Executive Officer and Chief</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w w:val="97"/>
              </w:rPr>
            </w:pPr>
            <w:hyperlink r:id="rId24">
              <w:r>
                <w:rPr>
                  <w:rFonts w:ascii="Arial" w:cs="Arial" w:eastAsia="Arial" w:hAnsi="Arial"/>
                  <w:sz w:val="18"/>
                  <w:szCs w:val="18"/>
                  <w:color w:val="0000EE"/>
                  <w:w w:val="97"/>
                </w:rPr>
                <w:t xml:space="preserve">Financial Officer </w:t>
              </w:r>
              <w:r>
                <w:rPr>
                  <w:rFonts w:ascii="Arial" w:cs="Arial" w:eastAsia="Arial" w:hAnsi="Arial"/>
                  <w:sz w:val="18"/>
                  <w:szCs w:val="18"/>
                  <w:color w:val="000000"/>
                  <w:w w:val="97"/>
                </w:rPr>
                <w:t>(incorporated herein by reference to Exhibit 10.2 to our Form S-1 Registration Statement (Registration No. 333-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2"/>
              </w:rPr>
            </w:pPr>
            <w:hyperlink r:id="rId25">
              <w:r>
                <w:rPr>
                  <w:rFonts w:ascii="Arial" w:cs="Arial" w:eastAsia="Arial" w:hAnsi="Arial"/>
                  <w:sz w:val="18"/>
                  <w:szCs w:val="18"/>
                  <w:color w:val="0000EE"/>
                  <w:w w:val="92"/>
                </w:rPr>
                <w:t xml:space="preserve">Form of NMI Holdings, Inc. 2012 Stock Incentive Plan Restricted Stock Unit Award Agreement for Management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80" w:type="dxa"/>
            <w:vAlign w:val="bottom"/>
            <w:gridSpan w:val="7"/>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10.3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5"/>
              </w:rPr>
            </w:pPr>
            <w:hyperlink r:id="rId26">
              <w:r>
                <w:rPr>
                  <w:rFonts w:ascii="Arial" w:cs="Arial" w:eastAsia="Arial" w:hAnsi="Arial"/>
                  <w:sz w:val="18"/>
                  <w:szCs w:val="18"/>
                  <w:color w:val="0000EE"/>
                  <w:w w:val="95"/>
                </w:rPr>
                <w:t xml:space="preserve">Form of NMI Holdings, Inc. 2012 Stock Incentive Plan Restricted Stock Unit Award Agreement for Directors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herein by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8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reference to Exhibit 10.4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EE"/>
            </w:tcBorders>
            <w:gridSpan w:val="18"/>
          </w:tcPr>
          <w:p>
            <w:pPr>
              <w:spacing w:after="0"/>
              <w:rPr>
                <w:rFonts w:ascii="Arial" w:cs="Arial" w:eastAsia="Arial" w:hAnsi="Arial"/>
                <w:sz w:val="18"/>
                <w:szCs w:val="18"/>
                <w:color w:val="0000EE"/>
                <w:w w:val="95"/>
              </w:rPr>
            </w:pPr>
            <w:hyperlink r:id="rId27">
              <w:r>
                <w:rPr>
                  <w:rFonts w:ascii="Arial" w:cs="Arial" w:eastAsia="Arial" w:hAnsi="Arial"/>
                  <w:sz w:val="18"/>
                  <w:szCs w:val="18"/>
                  <w:color w:val="0000EE"/>
                  <w:w w:val="95"/>
                </w:rPr>
                <w:t>Form of NMI Holdings, Inc. 2012 Stock Incentive Plan Nonqualified Stock Option Award Agreement for Chief Executive Officer and</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 xml:space="preserve">Chief Financial Officer </w:t>
              </w:r>
              <w:r>
                <w:rPr>
                  <w:rFonts w:ascii="Arial" w:cs="Arial" w:eastAsia="Arial" w:hAnsi="Arial"/>
                  <w:sz w:val="18"/>
                  <w:szCs w:val="18"/>
                  <w:color w:val="000000"/>
                  <w:w w:val="93"/>
                </w:rPr>
                <w:t>(incorporated herein by reference to Exhibit 10.5 to our Form S-1 Registration Statement (Registration No. 333-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10.6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6"/>
              </w:rPr>
            </w:pPr>
            <w:hyperlink r:id="rId28">
              <w:r>
                <w:rPr>
                  <w:rFonts w:ascii="Arial" w:cs="Arial" w:eastAsia="Arial" w:hAnsi="Arial"/>
                  <w:sz w:val="18"/>
                  <w:szCs w:val="18"/>
                  <w:color w:val="0000EE"/>
                  <w:w w:val="96"/>
                </w:rPr>
                <w:t xml:space="preserve">Form of NMI Holdings, Inc. 2012 Stock Incentive Plan Nonqualified Stock Option Award Agreement for Management </w:t>
              </w:r>
            </w:hyperlink>
            <w:r>
              <w:rPr>
                <w:rFonts w:ascii="Arial" w:cs="Arial" w:eastAsia="Arial" w:hAnsi="Arial"/>
                <w:sz w:val="18"/>
                <w:szCs w:val="18"/>
                <w:color w:val="000000"/>
                <w:w w:val="96"/>
              </w:rPr>
              <w:t>(incorporated</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6820" w:type="dxa"/>
            <w:vAlign w:val="bottom"/>
            <w:gridSpan w:val="10"/>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4"/>
              </w:rPr>
              <w:t>herein by reference to Exhibit 10.6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80" w:type="dxa"/>
            <w:vAlign w:val="bottom"/>
            <w:gridSpan w:val="19"/>
          </w:tcPr>
          <w:p>
            <w:pPr>
              <w:spacing w:after="0"/>
              <w:rPr>
                <w:rFonts w:ascii="Arial" w:cs="Arial" w:eastAsia="Arial" w:hAnsi="Arial"/>
                <w:sz w:val="18"/>
                <w:szCs w:val="18"/>
                <w:color w:val="0000EE"/>
                <w:w w:val="94"/>
              </w:rPr>
            </w:pPr>
            <w:hyperlink r:id="rId29">
              <w:r>
                <w:rPr>
                  <w:rFonts w:ascii="Arial" w:cs="Arial" w:eastAsia="Arial" w:hAnsi="Arial"/>
                  <w:sz w:val="18"/>
                  <w:szCs w:val="18"/>
                  <w:color w:val="0000EE"/>
                  <w:w w:val="94"/>
                </w:rPr>
                <w:t xml:space="preserve">Form of NMI Holdings, Inc. 2012 Stock Incentive Plan Nonqualified Stock Option Award Agreement for Directors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herein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6820" w:type="dxa"/>
            <w:vAlign w:val="bottom"/>
            <w:gridSpan w:val="10"/>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10.8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EE"/>
            </w:tcBorders>
            <w:gridSpan w:val="18"/>
          </w:tcPr>
          <w:p>
            <w:pPr>
              <w:spacing w:after="0"/>
              <w:rPr>
                <w:rFonts w:ascii="Arial" w:cs="Arial" w:eastAsia="Arial" w:hAnsi="Arial"/>
                <w:sz w:val="18"/>
                <w:szCs w:val="18"/>
                <w:color w:val="0000EE"/>
                <w:w w:val="95"/>
              </w:rPr>
            </w:pPr>
            <w:hyperlink r:id="rId30">
              <w:r>
                <w:rPr>
                  <w:rFonts w:ascii="Arial" w:cs="Arial" w:eastAsia="Arial" w:hAnsi="Arial"/>
                  <w:sz w:val="18"/>
                  <w:szCs w:val="18"/>
                  <w:color w:val="0000EE"/>
                  <w:w w:val="95"/>
                </w:rPr>
                <w:t>Form of NMI Holdings, Inc. 2012 Stock Incentive Plan Nonqualified Stock Option Award Agreement for Chief Executive Officer and</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Chief Financial Office</w:t>
              </w:r>
              <w:r>
                <w:rPr>
                  <w:rFonts w:ascii="Arial" w:cs="Arial" w:eastAsia="Arial" w:hAnsi="Arial"/>
                  <w:sz w:val="18"/>
                  <w:szCs w:val="18"/>
                  <w:color w:val="000000"/>
                </w:rPr>
                <w:t>r (incorporated herein by reference to Exhibit 10.8 to our Form 10-K, filed on February 17, 2017)</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10.9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EE"/>
                <w:w w:val="97"/>
              </w:rPr>
            </w:pPr>
            <w:hyperlink r:id="rId31">
              <w:r>
                <w:rPr>
                  <w:rFonts w:ascii="Arial" w:cs="Arial" w:eastAsia="Arial" w:hAnsi="Arial"/>
                  <w:sz w:val="18"/>
                  <w:szCs w:val="18"/>
                  <w:color w:val="0000EE"/>
                  <w:w w:val="97"/>
                </w:rPr>
                <w:t xml:space="preserve">Form of NMI Holdings, Inc. 2012 Stock Incentive Plan Nonqualified Stock Option Award Agreement for Employees  </w:t>
              </w:r>
            </w:hyperlink>
            <w:r>
              <w:rPr>
                <w:rFonts w:ascii="Arial" w:cs="Arial" w:eastAsia="Arial" w:hAnsi="Arial"/>
                <w:sz w:val="18"/>
                <w:szCs w:val="18"/>
                <w:color w:val="000000"/>
                <w:w w:val="97"/>
              </w:rPr>
              <w:t>(incorporated</w:t>
            </w: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9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auto"/>
              </w:rPr>
              <w:t>herein by reference to Exhibit 10.9 to our Form 10-K, filed on February 17, 2017)</w:t>
            </w:r>
          </w:p>
        </w:tc>
        <w:tc>
          <w:tcPr>
            <w:tcW w:w="1040" w:type="dxa"/>
            <w:vAlign w:val="bottom"/>
            <w:gridSpan w:val="3"/>
          </w:tcPr>
          <w:p>
            <w:pPr>
              <w:spacing w:after="0"/>
              <w:rPr>
                <w:sz w:val="20"/>
                <w:szCs w:val="20"/>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tcBorders>
              <w:bottom w:val="single" w:sz="8" w:color="0000EE"/>
            </w:tcBorders>
            <w:gridSpan w:val="18"/>
          </w:tcPr>
          <w:p>
            <w:pPr>
              <w:spacing w:after="0"/>
              <w:rPr>
                <w:rFonts w:ascii="Arial" w:cs="Arial" w:eastAsia="Arial" w:hAnsi="Arial"/>
                <w:sz w:val="18"/>
                <w:szCs w:val="18"/>
                <w:color w:val="0000EE"/>
                <w:w w:val="95"/>
              </w:rPr>
            </w:pPr>
            <w:hyperlink r:id="rId32">
              <w:r>
                <w:rPr>
                  <w:rFonts w:ascii="Arial" w:cs="Arial" w:eastAsia="Arial" w:hAnsi="Arial"/>
                  <w:sz w:val="18"/>
                  <w:szCs w:val="18"/>
                  <w:color w:val="0000EE"/>
                  <w:w w:val="95"/>
                </w:rPr>
                <w:t>Amended and Restated Employment Agreement by and between NMI Holdings, Inc. and Bradley M. Shuster, dated December 23,</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 xml:space="preserve">2015 </w:t>
              </w:r>
              <w:r>
                <w:rPr>
                  <w:rFonts w:ascii="Arial" w:cs="Arial" w:eastAsia="Arial" w:hAnsi="Arial"/>
                  <w:sz w:val="18"/>
                  <w:szCs w:val="18"/>
                  <w:color w:val="000000"/>
                </w:rPr>
                <w:t>(incorporated herein by reference to Exhibit 10.1 to our Form 8-K, filed on December 29, 2015)</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80" w:top="580" w:right="379" w:bottom="1440" w:gutter="0" w:footer="0" w:header="0"/>
        </w:sectPr>
      </w:pPr>
    </w:p>
    <w:bookmarkStart w:id="121" w:name="page122"/>
    <w:bookmarkEnd w:id="121"/>
    <w:p>
      <w:pPr>
        <w:jc w:val="both"/>
        <w:ind w:left="920" w:hanging="911"/>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10.11 ~</w:t>
      </w:r>
      <w:r>
        <w:rPr>
          <w:sz w:val="20"/>
          <w:szCs w:val="20"/>
          <w:color w:val="auto"/>
        </w:rPr>
        <w:tab/>
      </w:r>
      <w:hyperlink r:id="rId33">
        <w:r>
          <w:rPr>
            <w:rFonts w:ascii="Arial" w:cs="Arial" w:eastAsia="Arial" w:hAnsi="Arial"/>
            <w:sz w:val="18"/>
            <w:szCs w:val="18"/>
            <w:u w:val="single" w:color="auto"/>
            <w:color w:val="0000EE"/>
          </w:rPr>
          <w:t xml:space="preserve">Offer Letter by and between NMI Holdings, Inc. and Glenn Farrell, effective December 4,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Exhibit 10.1 to our Form 8-K, filed on December 9, 2014)</w:t>
      </w:r>
    </w:p>
    <w:p>
      <w:pPr>
        <w:spacing w:after="0" w:line="8" w:lineRule="exact"/>
        <w:rPr>
          <w:sz w:val="20"/>
          <w:szCs w:val="20"/>
          <w:color w:val="auto"/>
        </w:rPr>
      </w:pPr>
    </w:p>
    <w:p>
      <w:pPr>
        <w:jc w:val="both"/>
        <w:ind w:left="920" w:right="20" w:hanging="91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10.12 ~</w:t>
      </w:r>
      <w:r>
        <w:rPr>
          <w:sz w:val="20"/>
          <w:szCs w:val="20"/>
          <w:color w:val="auto"/>
        </w:rPr>
        <w:tab/>
      </w:r>
      <w:hyperlink r:id="rId34">
        <w:r>
          <w:rPr>
            <w:rFonts w:ascii="Arial" w:cs="Arial" w:eastAsia="Arial" w:hAnsi="Arial"/>
            <w:sz w:val="18"/>
            <w:szCs w:val="18"/>
            <w:u w:val="single" w:color="auto"/>
            <w:color w:val="0000EE"/>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Exhibit 10.10 to our Form 10-Q, filed on April 28, 2016)</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10.13 ~</w:t>
      </w:r>
      <w:r>
        <w:rPr>
          <w:sz w:val="20"/>
          <w:szCs w:val="20"/>
          <w:color w:val="auto"/>
        </w:rPr>
        <w:tab/>
      </w:r>
      <w:hyperlink r:id="rId35">
        <w:r>
          <w:rPr>
            <w:rFonts w:ascii="Arial" w:cs="Arial" w:eastAsia="Arial" w:hAnsi="Arial"/>
            <w:sz w:val="16"/>
            <w:szCs w:val="16"/>
            <w:u w:val="single" w:color="auto"/>
            <w:color w:val="0000EE"/>
          </w:rPr>
          <w:t xml:space="preserve">Offer Letter by and between NMI Holdings, Inc. and Adam Pollitzer, dated February 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to our Form 8-K, filed on February 3, 2017)</w:t>
      </w:r>
    </w:p>
    <w:p>
      <w:pPr>
        <w:spacing w:after="0" w:line="49" w:lineRule="exact"/>
        <w:rPr>
          <w:sz w:val="20"/>
          <w:szCs w:val="20"/>
          <w:color w:val="auto"/>
        </w:rPr>
      </w:pPr>
    </w:p>
    <w:p>
      <w:pPr>
        <w:jc w:val="both"/>
        <w:ind w:left="920" w:hanging="91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 ~</w:t>
      </w:r>
      <w:r>
        <w:rPr>
          <w:sz w:val="20"/>
          <w:szCs w:val="20"/>
          <w:color w:val="auto"/>
        </w:rPr>
        <w:tab/>
      </w:r>
      <w:hyperlink r:id="rId36">
        <w:r>
          <w:rPr>
            <w:rFonts w:ascii="Arial" w:cs="Arial" w:eastAsia="Arial" w:hAnsi="Arial"/>
            <w:sz w:val="18"/>
            <w:szCs w:val="18"/>
            <w:u w:val="single" w:color="auto"/>
            <w:color w:val="0000EE"/>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10.15 +</w:t>
      </w:r>
      <w:r>
        <w:rPr>
          <w:sz w:val="20"/>
          <w:szCs w:val="20"/>
          <w:color w:val="auto"/>
        </w:rPr>
        <w:tab/>
      </w:r>
      <w:hyperlink r:id="rId37">
        <w:r>
          <w:rPr>
            <w:rFonts w:ascii="Arial" w:cs="Arial" w:eastAsia="Arial" w:hAnsi="Arial"/>
            <w:sz w:val="18"/>
            <w:szCs w:val="18"/>
            <w:u w:val="single" w:color="auto"/>
            <w:color w:val="0000EE"/>
          </w:rPr>
          <w:t>Commitment Letter dated July 12, 2013 for Bulk Fannie Mae-Paid Loss-on-Sale Mortgage Insurance on the Portfolio of approximately</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$5.46 billion Purchased by Fannie Mae and Identified by Fannie Mae as Deal No. 2013 MIRT 01 and by the Company as Policy No. P-</w:t>
        </w:r>
      </w:hyperlink>
      <w:hyperlink r:id="rId37">
        <w:r>
          <w:rPr>
            <w:rFonts w:ascii="Arial" w:cs="Arial" w:eastAsia="Arial" w:hAnsi="Arial"/>
            <w:sz w:val="18"/>
            <w:szCs w:val="18"/>
            <w:u w:val="single" w:color="auto"/>
            <w:color w:val="0000EE"/>
          </w:rPr>
          <w:t>0001-01</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10.14 to our Form S-1 Registration Statement (Registration No. 333-191635), filed</w:t>
        </w:r>
      </w:hyperlink>
      <w:r>
        <w:rPr>
          <w:rFonts w:ascii="Arial" w:cs="Arial" w:eastAsia="Arial" w:hAnsi="Arial"/>
          <w:sz w:val="18"/>
          <w:szCs w:val="18"/>
          <w:color w:val="0000EE"/>
        </w:rPr>
        <w:t xml:space="preserve"> </w:t>
      </w:r>
      <w:r>
        <w:rPr>
          <w:rFonts w:ascii="Arial" w:cs="Arial" w:eastAsia="Arial" w:hAnsi="Arial"/>
          <w:sz w:val="18"/>
          <w:szCs w:val="18"/>
          <w:color w:val="000000"/>
        </w:rPr>
        <w:t>on October 9, 2013)</w:t>
      </w:r>
    </w:p>
    <w:p>
      <w:pPr>
        <w:spacing w:after="0" w:line="25" w:lineRule="exact"/>
        <w:rPr>
          <w:rFonts w:ascii="Arial" w:cs="Arial" w:eastAsia="Arial" w:hAnsi="Arial"/>
          <w:sz w:val="18"/>
          <w:szCs w:val="18"/>
          <w:u w:val="single" w:color="auto"/>
          <w:color w:val="0000EE"/>
        </w:rPr>
      </w:pPr>
    </w:p>
    <w:p>
      <w:pPr>
        <w:jc w:val="both"/>
        <w:ind w:left="920" w:hanging="843"/>
        <w:spacing w:after="0" w:line="298" w:lineRule="auto"/>
        <w:tabs>
          <w:tab w:leader="none" w:pos="900" w:val="left"/>
        </w:tabs>
        <w:rPr>
          <w:rFonts w:ascii="Arial" w:cs="Arial" w:eastAsia="Arial" w:hAnsi="Arial"/>
          <w:sz w:val="17"/>
          <w:szCs w:val="17"/>
          <w:color w:val="0000EE"/>
        </w:rPr>
      </w:pPr>
      <w:r>
        <w:rPr>
          <w:rFonts w:ascii="Arial" w:cs="Arial" w:eastAsia="Arial" w:hAnsi="Arial"/>
          <w:sz w:val="18"/>
          <w:szCs w:val="18"/>
          <w:color w:val="auto"/>
        </w:rPr>
        <w:t>10.16</w:t>
      </w:r>
      <w:r>
        <w:rPr>
          <w:sz w:val="20"/>
          <w:szCs w:val="20"/>
          <w:color w:val="auto"/>
        </w:rPr>
        <w:tab/>
      </w:r>
      <w:hyperlink r:id="rId38">
        <w:r>
          <w:rPr>
            <w:rFonts w:ascii="Arial" w:cs="Arial" w:eastAsia="Arial" w:hAnsi="Arial"/>
            <w:sz w:val="17"/>
            <w:szCs w:val="17"/>
            <w:u w:val="single" w:color="auto"/>
            <w:color w:val="0000EE"/>
          </w:rPr>
          <w:t>Credit Agreement, dated November 10, 2015, between NMI Holdings, Inc., the lenders party thereto and JPMorgan Chase Bank, N.A., as</w:t>
        </w:r>
      </w:hyperlink>
      <w:r>
        <w:rPr>
          <w:rFonts w:ascii="Arial" w:cs="Arial" w:eastAsia="Arial" w:hAnsi="Arial"/>
          <w:sz w:val="17"/>
          <w:szCs w:val="17"/>
          <w:u w:val="single" w:color="auto"/>
          <w:color w:val="0000EE"/>
        </w:rPr>
        <w:t xml:space="preserve"> </w:t>
      </w:r>
      <w:hyperlink r:id="rId38">
        <w:r>
          <w:rPr>
            <w:rFonts w:ascii="Arial" w:cs="Arial" w:eastAsia="Arial" w:hAnsi="Arial"/>
            <w:sz w:val="17"/>
            <w:szCs w:val="17"/>
            <w:u w:val="single" w:color="auto"/>
            <w:color w:val="0000EE"/>
          </w:rPr>
          <w:t>administrative agent</w:t>
        </w:r>
        <w:r>
          <w:rPr>
            <w:rFonts w:ascii="Arial" w:cs="Arial" w:eastAsia="Arial" w:hAnsi="Arial"/>
            <w:sz w:val="17"/>
            <w:szCs w:val="17"/>
            <w:color w:val="0000EE"/>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10.17</w:t>
      </w:r>
      <w:r>
        <w:rPr>
          <w:sz w:val="20"/>
          <w:szCs w:val="20"/>
          <w:color w:val="auto"/>
        </w:rPr>
        <w:tab/>
      </w:r>
      <w:hyperlink r:id="rId39">
        <w:r>
          <w:rPr>
            <w:rFonts w:ascii="Arial" w:cs="Arial" w:eastAsia="Arial" w:hAnsi="Arial"/>
            <w:sz w:val="18"/>
            <w:szCs w:val="18"/>
            <w:u w:val="single" w:color="auto"/>
            <w:color w:val="0000EE"/>
          </w:rPr>
          <w:t>Amendment No. 1, dated February 10, 2017, to the Credit Agreement dated November 10, 2015, between NMI Holdings, Inc., the lender</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parties thereto and JPMorgan Chase Bank, N.A., as administrative agent</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February 10, 2017)</w:t>
      </w:r>
    </w:p>
    <w:p>
      <w:pPr>
        <w:spacing w:after="0" w:line="19"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10.18</w:t>
      </w:r>
      <w:r>
        <w:rPr>
          <w:sz w:val="20"/>
          <w:szCs w:val="20"/>
          <w:color w:val="auto"/>
        </w:rPr>
        <w:tab/>
      </w:r>
      <w:hyperlink r:id="rId40">
        <w:r>
          <w:rPr>
            <w:rFonts w:ascii="Arial" w:cs="Arial" w:eastAsia="Arial" w:hAnsi="Arial"/>
            <w:sz w:val="18"/>
            <w:szCs w:val="18"/>
            <w:u w:val="single" w:color="auto"/>
            <w:color w:val="0000EE"/>
          </w:rPr>
          <w:t>Amendment No. 2, dated October 25, 2017, to the Credit Agreement dated November 10, 2015, between NMI Holdings, Inc., the lender</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parties thereto and JPMorgan Chase Bank, N.A., as administrative agent</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October 26, 2017)</w:t>
      </w:r>
    </w:p>
    <w:p>
      <w:pPr>
        <w:spacing w:after="0" w:line="1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10.19 ~</w:t>
      </w:r>
      <w:r>
        <w:rPr>
          <w:sz w:val="20"/>
          <w:szCs w:val="20"/>
          <w:color w:val="auto"/>
        </w:rPr>
        <w:tab/>
      </w:r>
      <w:hyperlink r:id="rId41">
        <w:r>
          <w:rPr>
            <w:rFonts w:ascii="Arial" w:cs="Arial" w:eastAsia="Arial" w:hAnsi="Arial"/>
            <w:sz w:val="18"/>
            <w:szCs w:val="18"/>
            <w:u w:val="single" w:color="auto"/>
            <w:color w:val="0000EE"/>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Annual Proxy Statement, filed on March 30, 2017)</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10.20 ~</w:t>
      </w:r>
      <w:r>
        <w:rPr>
          <w:sz w:val="20"/>
          <w:szCs w:val="20"/>
          <w:color w:val="auto"/>
        </w:rPr>
        <w:tab/>
      </w:r>
      <w:hyperlink r:id="rId42">
        <w:r>
          <w:rPr>
            <w:rFonts w:ascii="Arial" w:cs="Arial" w:eastAsia="Arial" w:hAnsi="Arial"/>
            <w:sz w:val="18"/>
            <w:szCs w:val="18"/>
            <w:u w:val="single" w:color="auto"/>
            <w:color w:val="0000EE"/>
          </w:rPr>
          <w:t>Form of NMI Holdings, Inc. Amended and Restated 2014 Omnibus Incentive Plan Restricted Stock Unit Award Agreement for Chief</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Executive Officer</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10.21 ~</w:t>
      </w:r>
      <w:r>
        <w:rPr>
          <w:sz w:val="20"/>
          <w:szCs w:val="20"/>
          <w:color w:val="auto"/>
        </w:rPr>
        <w:tab/>
      </w:r>
      <w:hyperlink r:id="rId43">
        <w:r>
          <w:rPr>
            <w:rFonts w:ascii="Arial" w:cs="Arial" w:eastAsia="Arial" w:hAnsi="Arial"/>
            <w:sz w:val="18"/>
            <w:szCs w:val="18"/>
            <w:u w:val="single" w:color="auto"/>
            <w:color w:val="0000EE"/>
          </w:rPr>
          <w:t>Form of NMI Holdings, Inc. Amended and Restated 2014 Omnibus Incentive Plan Restricted Stock Unit Award Agreement for Executive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Officers</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10.22 ~</w:t>
      </w:r>
      <w:r>
        <w:rPr>
          <w:sz w:val="20"/>
          <w:szCs w:val="20"/>
          <w:color w:val="auto"/>
        </w:rPr>
        <w:tab/>
      </w:r>
      <w:hyperlink r:id="rId44">
        <w:r>
          <w:rPr>
            <w:rFonts w:ascii="Arial" w:cs="Arial" w:eastAsia="Arial" w:hAnsi="Arial"/>
            <w:sz w:val="18"/>
            <w:szCs w:val="18"/>
            <w:u w:val="single" w:color="auto"/>
            <w:color w:val="0000EE"/>
          </w:rPr>
          <w:t>Form of NMI Holdings, Inc. Amended and Restated 2014 Omnibus Incentive Plan Restricted Stock Unit Award Agreement for</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Employees</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10.23 ~</w:t>
      </w:r>
      <w:r>
        <w:rPr>
          <w:sz w:val="20"/>
          <w:szCs w:val="20"/>
          <w:color w:val="auto"/>
        </w:rPr>
        <w:tab/>
      </w:r>
      <w:hyperlink r:id="rId45">
        <w:r>
          <w:rPr>
            <w:rFonts w:ascii="Arial" w:cs="Arial" w:eastAsia="Arial" w:hAnsi="Arial"/>
            <w:sz w:val="18"/>
            <w:szCs w:val="18"/>
            <w:u w:val="single" w:color="auto"/>
            <w:color w:val="0000EE"/>
          </w:rPr>
          <w:t>Form of NMI Holdings, Inc. Amended and Restated 2014 Omnibus Incentive Plan Restricted Stock Unit Award Agreement for</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Independent Directors</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8"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EE"/>
        </w:rPr>
      </w:pPr>
      <w:r>
        <w:rPr>
          <w:rFonts w:ascii="Arial" w:cs="Arial" w:eastAsia="Arial" w:hAnsi="Arial"/>
          <w:sz w:val="18"/>
          <w:szCs w:val="18"/>
          <w:color w:val="auto"/>
        </w:rPr>
        <w:t>10.24 ~</w:t>
      </w:r>
      <w:r>
        <w:rPr>
          <w:sz w:val="20"/>
          <w:szCs w:val="20"/>
          <w:color w:val="auto"/>
        </w:rPr>
        <w:tab/>
      </w:r>
      <w:hyperlink r:id="rId46">
        <w:r>
          <w:rPr>
            <w:rFonts w:ascii="Arial" w:cs="Arial" w:eastAsia="Arial" w:hAnsi="Arial"/>
            <w:sz w:val="17"/>
            <w:szCs w:val="17"/>
            <w:u w:val="single" w:color="auto"/>
            <w:color w:val="0000EE"/>
          </w:rPr>
          <w:t>Form of NMI Holdings, Inc. Amended and Restated 2014 Omnibus Incentive Plan Nonqualified Stock Option Award Agreement for</w:t>
        </w:r>
      </w:hyperlink>
      <w:r>
        <w:rPr>
          <w:rFonts w:ascii="Arial" w:cs="Arial" w:eastAsia="Arial" w:hAnsi="Arial"/>
          <w:sz w:val="17"/>
          <w:szCs w:val="17"/>
          <w:u w:val="single" w:color="auto"/>
          <w:color w:val="0000EE"/>
        </w:rPr>
        <w:t xml:space="preserve"> </w:t>
      </w:r>
      <w:hyperlink r:id="rId46">
        <w:r>
          <w:rPr>
            <w:rFonts w:ascii="Arial" w:cs="Arial" w:eastAsia="Arial" w:hAnsi="Arial"/>
            <w:sz w:val="17"/>
            <w:szCs w:val="17"/>
            <w:u w:val="single" w:color="auto"/>
            <w:color w:val="0000EE"/>
          </w:rPr>
          <w:t>Chief Executive Officer</w:t>
        </w:r>
        <w:r>
          <w:rPr>
            <w:rFonts w:ascii="Arial" w:cs="Arial" w:eastAsia="Arial" w:hAnsi="Arial"/>
            <w:sz w:val="17"/>
            <w:szCs w:val="17"/>
            <w:color w:val="0000EE"/>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EE"/>
        </w:rPr>
      </w:pPr>
      <w:r>
        <w:rPr>
          <w:rFonts w:ascii="Arial" w:cs="Arial" w:eastAsia="Arial" w:hAnsi="Arial"/>
          <w:sz w:val="18"/>
          <w:szCs w:val="18"/>
          <w:color w:val="auto"/>
        </w:rPr>
        <w:t>10.25 ~</w:t>
      </w:r>
      <w:r>
        <w:rPr>
          <w:sz w:val="20"/>
          <w:szCs w:val="20"/>
          <w:color w:val="auto"/>
        </w:rPr>
        <w:tab/>
      </w:r>
      <w:hyperlink r:id="rId47">
        <w:r>
          <w:rPr>
            <w:rFonts w:ascii="Arial" w:cs="Arial" w:eastAsia="Arial" w:hAnsi="Arial"/>
            <w:sz w:val="17"/>
            <w:szCs w:val="17"/>
            <w:u w:val="single" w:color="auto"/>
            <w:color w:val="0000EE"/>
          </w:rPr>
          <w:t>Form of NMI Holdings, Inc. Amended and Restated 2014 Omnibus Incentive Plan Nonqualified Stock Option Award Agreement for</w:t>
        </w:r>
      </w:hyperlink>
      <w:r>
        <w:rPr>
          <w:rFonts w:ascii="Arial" w:cs="Arial" w:eastAsia="Arial" w:hAnsi="Arial"/>
          <w:sz w:val="17"/>
          <w:szCs w:val="17"/>
          <w:u w:val="single" w:color="auto"/>
          <w:color w:val="0000EE"/>
        </w:rPr>
        <w:t xml:space="preserve"> </w:t>
      </w:r>
      <w:hyperlink r:id="rId47">
        <w:r>
          <w:rPr>
            <w:rFonts w:ascii="Arial" w:cs="Arial" w:eastAsia="Arial" w:hAnsi="Arial"/>
            <w:sz w:val="17"/>
            <w:szCs w:val="17"/>
            <w:u w:val="single" w:color="auto"/>
            <w:color w:val="0000EE"/>
          </w:rPr>
          <w:t>Executive Officers and Employees</w:t>
        </w:r>
        <w:r>
          <w:rPr>
            <w:rFonts w:ascii="Arial" w:cs="Arial" w:eastAsia="Arial" w:hAnsi="Arial"/>
            <w:sz w:val="17"/>
            <w:szCs w:val="17"/>
            <w:color w:val="0000EE"/>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10.26 ~</w:t>
      </w:r>
      <w:r>
        <w:rPr>
          <w:sz w:val="20"/>
          <w:szCs w:val="20"/>
          <w:color w:val="auto"/>
        </w:rPr>
        <w:tab/>
      </w:r>
      <w:hyperlink r:id="rId48">
        <w:r>
          <w:rPr>
            <w:rFonts w:ascii="Arial" w:cs="Arial" w:eastAsia="Arial" w:hAnsi="Arial"/>
            <w:sz w:val="18"/>
            <w:szCs w:val="18"/>
            <w:u w:val="single" w:color="auto"/>
            <w:color w:val="0000EE"/>
          </w:rPr>
          <w:t xml:space="preserve">Form of NMI Holdings, Inc. 2014 Omnibus Incentive Plan Phantom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herein by reference to Exhibit 10.21 to our Form 10-Q, filed on August 5, 2015)</w:t>
      </w:r>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10.27 ~</w:t>
      </w:r>
      <w:r>
        <w:rPr>
          <w:sz w:val="20"/>
          <w:szCs w:val="20"/>
          <w:color w:val="auto"/>
        </w:rPr>
        <w:tab/>
      </w:r>
      <w:hyperlink r:id="rId49">
        <w:r>
          <w:rPr>
            <w:rFonts w:ascii="Arial" w:cs="Arial" w:eastAsia="Arial" w:hAnsi="Arial"/>
            <w:sz w:val="18"/>
            <w:szCs w:val="18"/>
            <w:u w:val="single" w:color="auto"/>
            <w:color w:val="0000EE"/>
          </w:rPr>
          <w:t>Form of NMI Holdings, Inc. 2014 Omnibus Incentive Plan Performance Based Restricted Stock Unit Award Agreement for Chief</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Executive Officer</w:t>
        </w:r>
        <w:r>
          <w:rPr>
            <w:rFonts w:ascii="Arial" w:cs="Arial" w:eastAsia="Arial" w:hAnsi="Arial"/>
            <w:sz w:val="18"/>
            <w:szCs w:val="18"/>
            <w:color w:val="0000EE"/>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8"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10.28 ~</w:t>
      </w:r>
      <w:r>
        <w:rPr>
          <w:sz w:val="20"/>
          <w:szCs w:val="20"/>
          <w:color w:val="auto"/>
        </w:rPr>
        <w:tab/>
      </w:r>
      <w:hyperlink r:id="rId50">
        <w:r>
          <w:rPr>
            <w:rFonts w:ascii="Arial" w:cs="Arial" w:eastAsia="Arial" w:hAnsi="Arial"/>
            <w:sz w:val="17"/>
            <w:szCs w:val="17"/>
            <w:u w:val="single" w:color="auto"/>
            <w:color w:val="0000EE"/>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EE"/>
        </w:rPr>
        <w:t xml:space="preserve"> </w:t>
      </w:r>
      <w:r>
        <w:rPr>
          <w:rFonts w:ascii="Arial" w:cs="Arial" w:eastAsia="Arial" w:hAnsi="Arial"/>
          <w:sz w:val="17"/>
          <w:szCs w:val="17"/>
          <w:color w:val="000000"/>
        </w:rPr>
        <w:t>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10.29 ~</w:t>
      </w:r>
      <w:r>
        <w:rPr>
          <w:sz w:val="20"/>
          <w:szCs w:val="20"/>
          <w:color w:val="auto"/>
        </w:rPr>
        <w:tab/>
      </w:r>
      <w:hyperlink r:id="rId51">
        <w:r>
          <w:rPr>
            <w:rFonts w:ascii="Arial" w:cs="Arial" w:eastAsia="Arial" w:hAnsi="Arial"/>
            <w:sz w:val="18"/>
            <w:szCs w:val="18"/>
            <w:u w:val="single" w:color="auto"/>
            <w:color w:val="0000EE"/>
          </w:rPr>
          <w:t xml:space="preserve">NMI Holdings, Inc. Change in Control Severance Benefit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herein by reference to Exhibit 10.1 to our Form 8-K, filed on</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February 23, 2017)</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10.30 ~</w:t>
      </w:r>
      <w:r>
        <w:rPr>
          <w:sz w:val="20"/>
          <w:szCs w:val="20"/>
          <w:color w:val="auto"/>
        </w:rPr>
        <w:tab/>
      </w:r>
      <w:hyperlink r:id="rId52">
        <w:r>
          <w:rPr>
            <w:rFonts w:ascii="Arial" w:cs="Arial" w:eastAsia="Arial" w:hAnsi="Arial"/>
            <w:sz w:val="16"/>
            <w:szCs w:val="16"/>
            <w:u w:val="single" w:color="auto"/>
            <w:color w:val="0000EE"/>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herein by reference to Exhibit 10.2 to our Form 8-K, filed on February 23, 2017)</w:t>
      </w:r>
    </w:p>
    <w:p>
      <w:pPr>
        <w:spacing w:after="0" w:line="63"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10.31 ~</w:t>
      </w:r>
      <w:r>
        <w:rPr>
          <w:sz w:val="20"/>
          <w:szCs w:val="20"/>
          <w:color w:val="auto"/>
        </w:rPr>
        <w:tab/>
      </w:r>
      <w:hyperlink r:id="rId53">
        <w:r>
          <w:rPr>
            <w:rFonts w:ascii="Arial" w:cs="Arial" w:eastAsia="Arial" w:hAnsi="Arial"/>
            <w:sz w:val="16"/>
            <w:szCs w:val="16"/>
            <w:u w:val="single" w:color="auto"/>
            <w:color w:val="0000EE"/>
          </w:rPr>
          <w:t xml:space="preserve">Separation Agreement between NMI Holdings, Inc. and Glenn Farrell effective July 31,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to our Form 8-K, filed on August 1, 2017)</w:t>
      </w:r>
    </w:p>
    <w:p>
      <w:pPr>
        <w:spacing w:after="0" w:line="49"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54">
        <w:r>
          <w:rPr>
            <w:rFonts w:ascii="Arial" w:cs="Arial" w:eastAsia="Arial" w:hAnsi="Arial"/>
            <w:sz w:val="16"/>
            <w:szCs w:val="16"/>
            <w:u w:val="single" w:color="auto"/>
            <w:color w:val="0000EE"/>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24">
        <w:r>
          <w:rPr>
            <w:rFonts w:ascii="Arial" w:cs="Arial" w:eastAsia="Arial" w:hAnsi="Arial"/>
            <w:sz w:val="16"/>
            <w:szCs w:val="16"/>
            <w:u w:val="single" w:color="auto"/>
            <w:color w:val="0000EE"/>
          </w:rPr>
          <w:t>Consent of BDO USA, LLP</w:t>
        </w:r>
      </w:hyperlink>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25">
        <w:r>
          <w:rPr>
            <w:rFonts w:ascii="Arial" w:cs="Arial" w:eastAsia="Arial" w:hAnsi="Arial"/>
            <w:sz w:val="16"/>
            <w:szCs w:val="16"/>
            <w:u w:val="single" w:color="auto"/>
            <w:color w:val="0000EE"/>
          </w:rPr>
          <w:t xml:space="preserve">Principal Executive Officer's Certification </w:t>
        </w:r>
      </w:hyperlink>
      <w:r>
        <w:rPr>
          <w:rFonts w:ascii="Arial" w:cs="Arial" w:eastAsia="Arial" w:hAnsi="Arial"/>
          <w:sz w:val="16"/>
          <w:szCs w:val="16"/>
          <w:color w:val="000000"/>
        </w:rPr>
        <w:t>Pursuant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to Section 302 of the Sarbanes-Oxley Act of 2002</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26">
        <w:r>
          <w:rPr>
            <w:rFonts w:ascii="Arial" w:cs="Arial" w:eastAsia="Arial" w:hAnsi="Arial"/>
            <w:sz w:val="16"/>
            <w:szCs w:val="16"/>
            <w:u w:val="single" w:color="auto"/>
            <w:color w:val="0000EE"/>
          </w:rPr>
          <w:t xml:space="preserve">Principal Financial Officer's Certification </w:t>
        </w:r>
      </w:hyperlink>
      <w:r>
        <w:rPr>
          <w:rFonts w:ascii="Arial" w:cs="Arial" w:eastAsia="Arial" w:hAnsi="Arial"/>
          <w:sz w:val="16"/>
          <w:szCs w:val="16"/>
          <w:color w:val="000000"/>
        </w:rPr>
        <w:t>Pursuant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to Section 302 of the Sarbanes-Oxley Act of 2002</w:t>
      </w:r>
    </w:p>
    <w:p>
      <w:pPr>
        <w:spacing w:after="0" w:line="27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620" w:top="746" w:right="399" w:bottom="1440" w:gutter="0" w:footer="0" w:header="0"/>
        </w:sectPr>
      </w:pPr>
    </w:p>
    <w:bookmarkStart w:id="122" w:name="page123"/>
    <w:bookmarkEnd w:id="122"/>
    <w:p>
      <w:pPr>
        <w:ind w:left="61"/>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32.1 #</w:t>
      </w:r>
      <w:r>
        <w:rPr>
          <w:sz w:val="20"/>
          <w:szCs w:val="20"/>
          <w:color w:val="auto"/>
        </w:rPr>
        <w:tab/>
      </w:r>
      <w:hyperlink w:anchor="page127">
        <w:r>
          <w:rPr>
            <w:rFonts w:ascii="Arial" w:cs="Arial" w:eastAsia="Arial" w:hAnsi="Arial"/>
            <w:sz w:val="16"/>
            <w:szCs w:val="16"/>
            <w:u w:val="single" w:color="auto"/>
            <w:color w:val="0000EE"/>
          </w:rPr>
          <w:t xml:space="preserve">Certifications of CEO and CFO Pursuant </w:t>
        </w:r>
      </w:hyperlink>
      <w:r>
        <w:rPr>
          <w:rFonts w:ascii="Arial" w:cs="Arial" w:eastAsia="Arial" w:hAnsi="Arial"/>
          <w:sz w:val="16"/>
          <w:szCs w:val="16"/>
          <w:color w:val="000000"/>
        </w:rPr>
        <w:t>to</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18 U.S.C. Section 1350, as Adopted Pursuant to Section 906 of the Sarbanes-Oxley Act of</w:t>
      </w:r>
    </w:p>
    <w:p>
      <w:pPr>
        <w:spacing w:after="0" w:line="23" w:lineRule="exact"/>
        <w:rPr>
          <w:sz w:val="20"/>
          <w:szCs w:val="20"/>
          <w:color w:val="auto"/>
        </w:rPr>
      </w:pPr>
    </w:p>
    <w:p>
      <w:pPr>
        <w:ind w:left="941"/>
        <w:spacing w:after="0"/>
        <w:rPr>
          <w:sz w:val="20"/>
          <w:szCs w:val="20"/>
          <w:color w:val="auto"/>
        </w:rPr>
      </w:pPr>
      <w:r>
        <w:rPr>
          <w:rFonts w:ascii="Arial" w:cs="Arial" w:eastAsia="Arial" w:hAnsi="Arial"/>
          <w:sz w:val="18"/>
          <w:szCs w:val="18"/>
          <w:color w:val="auto"/>
        </w:rPr>
        <w:t>2002</w:t>
      </w:r>
    </w:p>
    <w:p>
      <w:pPr>
        <w:spacing w:after="0" w:line="49" w:lineRule="exact"/>
        <w:rPr>
          <w:sz w:val="20"/>
          <w:szCs w:val="20"/>
          <w:color w:val="auto"/>
        </w:rPr>
      </w:pPr>
    </w:p>
    <w:p>
      <w:pPr>
        <w:ind w:left="941" w:right="480" w:hanging="843"/>
        <w:spacing w:after="0" w:line="258" w:lineRule="auto"/>
        <w:tabs>
          <w:tab w:leader="none" w:pos="92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The following financial information from NMI Holdings, Inc.'s Annual Report on Form 10-K for the year ended December 31, 2017 formatted in XBRL (eXtensible Business Reporting Language):</w:t>
      </w:r>
    </w:p>
    <w:p>
      <w:pPr>
        <w:spacing w:after="0" w:line="1" w:lineRule="exact"/>
        <w:rPr>
          <w:sz w:val="20"/>
          <w:szCs w:val="20"/>
          <w:color w:val="auto"/>
        </w:rPr>
      </w:pPr>
    </w:p>
    <w:p>
      <w:pPr>
        <w:ind w:left="1141" w:hanging="209"/>
        <w:spacing w:after="0"/>
        <w:tabs>
          <w:tab w:leader="none" w:pos="1141"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Balance Sheets as of December 31, 2017 and 2016</w:t>
      </w:r>
    </w:p>
    <w:p>
      <w:pPr>
        <w:spacing w:after="0" w:line="9" w:lineRule="exact"/>
        <w:rPr>
          <w:rFonts w:ascii="Arial" w:cs="Arial" w:eastAsia="Arial" w:hAnsi="Arial"/>
          <w:sz w:val="18"/>
          <w:szCs w:val="18"/>
          <w:color w:val="auto"/>
        </w:rPr>
      </w:pPr>
    </w:p>
    <w:p>
      <w:pPr>
        <w:ind w:left="941" w:right="800" w:firstLine="216"/>
        <w:spacing w:after="0" w:line="250" w:lineRule="auto"/>
        <w:tabs>
          <w:tab w:leader="none" w:pos="14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Income (Loss) for each of the three years in the period ended December 31, 2017</w:t>
      </w:r>
    </w:p>
    <w:p>
      <w:pPr>
        <w:ind w:left="1481" w:hanging="324"/>
        <w:spacing w:after="0"/>
        <w:tabs>
          <w:tab w:leader="none" w:pos="1481" w:val="left"/>
        </w:tabs>
        <w:numPr>
          <w:ilvl w:val="1"/>
          <w:numId w:val="57"/>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years in the period ended December 31, 2017</w:t>
      </w:r>
    </w:p>
    <w:p>
      <w:pPr>
        <w:spacing w:after="0" w:line="32" w:lineRule="exact"/>
        <w:rPr>
          <w:rFonts w:ascii="Arial" w:cs="Arial" w:eastAsia="Arial" w:hAnsi="Arial"/>
          <w:sz w:val="16"/>
          <w:szCs w:val="16"/>
          <w:color w:val="auto"/>
        </w:rPr>
      </w:pPr>
    </w:p>
    <w:p>
      <w:pPr>
        <w:ind w:left="1461" w:hanging="304"/>
        <w:spacing w:after="0"/>
        <w:tabs>
          <w:tab w:leader="none" w:pos="1461"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ended December 31, 2017, and</w:t>
      </w:r>
    </w:p>
    <w:p>
      <w:pPr>
        <w:spacing w:after="0" w:line="9" w:lineRule="exact"/>
        <w:rPr>
          <w:sz w:val="20"/>
          <w:szCs w:val="20"/>
          <w:color w:val="auto"/>
        </w:rPr>
      </w:pPr>
    </w:p>
    <w:p>
      <w:pPr>
        <w:ind w:left="1181" w:hanging="249"/>
        <w:spacing w:after="0"/>
        <w:tabs>
          <w:tab w:leader="none" w:pos="11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88" w:lineRule="exact"/>
        <w:rPr>
          <w:rFonts w:ascii="Arial" w:cs="Arial" w:eastAsia="Arial" w:hAnsi="Arial"/>
          <w:sz w:val="18"/>
          <w:szCs w:val="18"/>
          <w:color w:val="auto"/>
        </w:rPr>
      </w:pPr>
    </w:p>
    <w:p>
      <w:pPr>
        <w:ind w:left="221" w:hanging="221"/>
        <w:spacing w:after="0"/>
        <w:tabs>
          <w:tab w:leader="none" w:pos="22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221" w:right="20" w:hanging="221"/>
        <w:spacing w:after="0" w:line="278" w:lineRule="auto"/>
        <w:tabs>
          <w:tab w:leader="none" w:pos="22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1"/>
          </w:cols>
          <w:pgMar w:left="599" w:top="74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333-192540 and No. 333-218050) of NMI Holdings, Inc. of our report dated February 16, 2018, relating to the consolidated financial statements and financial statement schedules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144"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14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color w:val="auto"/>
        </w:rPr>
        <w:t>February 16, 2018</w:t>
      </w:r>
      <w:r>
        <w:rPr>
          <w:sz w:val="20"/>
          <w:szCs w:val="20"/>
          <w:color w:val="auto"/>
        </w:rPr>
        <w:tab/>
      </w:r>
      <w:r>
        <w:rPr>
          <w:rFonts w:ascii="Arial" w:cs="Arial" w:eastAsia="Arial" w:hAnsi="Arial"/>
          <w:sz w:val="16"/>
          <w:szCs w:val="16"/>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257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7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Pollitzer, certify that:</w:t>
      </w:r>
    </w:p>
    <w:p>
      <w:pPr>
        <w:spacing w:after="0" w:line="144"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14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firstLine="8"/>
        <w:spacing w:after="0" w:line="27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9"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color w:val="auto"/>
        </w:rPr>
        <w:t>February 16, 2018</w:t>
      </w:r>
      <w:r>
        <w:rPr>
          <w:sz w:val="20"/>
          <w:szCs w:val="20"/>
          <w:color w:val="auto"/>
        </w:rPr>
        <w:tab/>
      </w:r>
      <w:r>
        <w:rPr>
          <w:rFonts w:ascii="Arial" w:cs="Arial" w:eastAsia="Arial" w:hAnsi="Arial"/>
          <w:sz w:val="16"/>
          <w:szCs w:val="16"/>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438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extLst>
                    </a:blip>
                    <a:srcRect/>
                    <a:stretch>
                      <a:fillRect/>
                    </a:stretch>
                  </pic:blipFill>
                  <pic:spPr bwMode="auto">
                    <a:xfrm>
                      <a:off x="0" y="0"/>
                      <a:ext cx="2438400"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the Annual Report of NMI Holdings, Inc. (the "Company") on Form 10-K for the year ended December 31, 2017,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84" w:lineRule="exact"/>
        <w:rPr>
          <w:sz w:val="20"/>
          <w:szCs w:val="20"/>
          <w:color w:val="auto"/>
        </w:rPr>
      </w:pPr>
    </w:p>
    <w:p>
      <w:pPr>
        <w:ind w:left="920" w:hanging="264"/>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20" w:hanging="264"/>
        <w:spacing w:after="0"/>
        <w:tabs>
          <w:tab w:leader="none" w:pos="9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color w:val="auto"/>
        </w:rPr>
        <w:t>February 16, 2018</w:t>
      </w:r>
      <w:r>
        <w:rPr>
          <w:sz w:val="20"/>
          <w:szCs w:val="20"/>
          <w:color w:val="auto"/>
        </w:rPr>
        <w:tab/>
      </w:r>
      <w:r>
        <w:rPr>
          <w:rFonts w:ascii="Arial" w:cs="Arial" w:eastAsia="Arial" w:hAnsi="Arial"/>
          <w:sz w:val="16"/>
          <w:szCs w:val="16"/>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257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9"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color w:val="auto"/>
        </w:rPr>
        <w:t>February 16, 2018</w:t>
      </w:r>
      <w:r>
        <w:rPr>
          <w:sz w:val="20"/>
          <w:szCs w:val="20"/>
          <w:color w:val="auto"/>
        </w:rPr>
        <w:tab/>
      </w:r>
      <w:r>
        <w:rPr>
          <w:rFonts w:ascii="Arial" w:cs="Arial" w:eastAsia="Arial" w:hAnsi="Arial"/>
          <w:sz w:val="16"/>
          <w:szCs w:val="16"/>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181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extLst>
                    </a:blip>
                    <a:srcRect/>
                    <a:stretch>
                      <a:fillRect/>
                    </a:stretch>
                  </pic:blipFill>
                  <pic:spPr bwMode="auto">
                    <a:xfrm>
                      <a:off x="0" y="0"/>
                      <a:ext cx="21812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lowerRoman"/>
      <w:start w:val="3"/>
    </w:lvl>
  </w:abstractNum>
  <w:abstractNum w:abstractNumId="36">
    <w:nsid w:val="749ABB43"/>
    <w:multiLevelType w:val="hybridMultilevel"/>
    <w:lvl w:ilvl="0">
      <w:lvlJc w:val="left"/>
      <w:lvlText w:val="(%1)"/>
      <w:numFmt w:val="lowerRoman"/>
      <w:start w:val="6"/>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lowerRoman"/>
      <w:start w:val="2"/>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2"/>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4"/>
    </w:lvl>
  </w:abstractNum>
  <w:abstractNum w:abstractNumId="50">
    <w:nsid w:val="1CF10FD8"/>
    <w:multiLevelType w:val="hybridMultilevel"/>
    <w:lvl w:ilvl="0">
      <w:lvlJc w:val="left"/>
      <w:lvlText w:val="%1."/>
      <w:numFmt w:val="decimal"/>
      <w:start w:val="15"/>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lowerRoman"/>
      <w:start w:val="1"/>
    </w:lvl>
    <w:lvl w:ilvl="1">
      <w:lvlJc w:val="left"/>
      <w:lvlText w:val="(%2)"/>
      <w:numFmt w:val="lowerRoman"/>
      <w:start w:val="2"/>
    </w:lvl>
  </w:abstractNum>
  <w:abstractNum w:abstractNumId="57">
    <w:nsid w:val="D34B6A8"/>
    <w:multiLevelType w:val="hybridMultilevel"/>
    <w:lvl w:ilvl="0">
      <w:lvlJc w:val="left"/>
      <w:lvlText w:val="~"/>
      <w:numFmt w:val="bullet"/>
      <w:start w:val="1"/>
    </w:lvl>
    <w:lvl w:ilvl="1">
      <w:lvlJc w:val="left"/>
      <w:lvlText w:val="(%2)"/>
      <w:numFmt w:val="lowerRoman"/>
      <w:start w:val="5"/>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55" Type="http://schemas.openxmlformats.org/officeDocument/2006/relationships/image" Target="media/image6.png"/><Relationship Id="rId56" Type="http://schemas.openxmlformats.org/officeDocument/2006/relationships/image" Target="media/image7.png"/><Relationship Id="rId57" Type="http://schemas.openxmlformats.org/officeDocument/2006/relationships/image" Target="media/image8.png"/><Relationship Id="rId58" Type="http://schemas.openxmlformats.org/officeDocument/2006/relationships/image" Target="media/image9.png"/><Relationship Id="rId13" Type="http://schemas.openxmlformats.org/officeDocument/2006/relationships/hyperlink" Target="http://www.sec.gov/Archives/edgar/data/1547903/000154790313000020/a21macstockpurchaseagreeme.htm" TargetMode="External"/><Relationship Id="rId14" Type="http://schemas.openxmlformats.org/officeDocument/2006/relationships/hyperlink" Target="http://www.sec.gov/Archives/edgar/data/1547903/000154790313000020/a22amendmenttomacpurhcasea.htm" TargetMode="External"/><Relationship Id="rId15" Type="http://schemas.openxmlformats.org/officeDocument/2006/relationships/hyperlink" Target="http://www.sec.gov/Archives/edgar/data/1547903/000154790313000020/a31secondamendedandrestate.htm" TargetMode="External"/><Relationship Id="rId16" Type="http://schemas.openxmlformats.org/officeDocument/2006/relationships/hyperlink" Target="http://www.sec.gov/Archives/edgar/data/1547903/000154790314000152/exhibit31december92014.htm" TargetMode="External"/><Relationship Id="rId17" Type="http://schemas.openxmlformats.org/officeDocument/2006/relationships/hyperlink" Target="http://www.sec.gov/Archives/edgar/data/1547903/000154790313000020/a41specimenclassacommonsto.htm" TargetMode="External"/><Relationship Id="rId18" Type="http://schemas.openxmlformats.org/officeDocument/2006/relationships/hyperlink" Target="http://www.sec.gov/Archives/edgar/data/1547903/000154790313000020/a42registrationrightsagree.htm" TargetMode="External"/><Relationship Id="rId19" Type="http://schemas.openxmlformats.org/officeDocument/2006/relationships/hyperlink" Target="http://www.sec.gov/Archives/edgar/data/1547903/000154790313000020/a43registrationrightsagree.htm" TargetMode="External"/><Relationship Id="rId20" Type="http://schemas.openxmlformats.org/officeDocument/2006/relationships/hyperlink" Target="http://www.sec.gov/Archives/edgar/data/1547903/000154790313000020/a44registrationrightsagree.htm" TargetMode="External"/><Relationship Id="rId21" Type="http://schemas.openxmlformats.org/officeDocument/2006/relationships/hyperlink" Target="http://www.sec.gov/Archives/edgar/data/1547903/000154790313000020/a45warrantno1fbrcapitalmar.htm" TargetMode="External"/><Relationship Id="rId22" Type="http://schemas.openxmlformats.org/officeDocument/2006/relationships/hyperlink" Target="http://www.sec.gov/Archives/edgar/data/1547903/000154790313000020/a46warrantno2macfinancial4.htm" TargetMode="External"/><Relationship Id="rId23" Type="http://schemas.openxmlformats.org/officeDocument/2006/relationships/hyperlink" Target="http://www.sec.gov/Archives/edgar/data/1547903/000154790313000020/a101nmiholdingsinc2012stoc.htm" TargetMode="External"/><Relationship Id="rId24" Type="http://schemas.openxmlformats.org/officeDocument/2006/relationships/hyperlink" Target="http://www.sec.gov/Archives/edgar/data/1547903/000154790313000020/a102formofnmiholdingsinc20.htm" TargetMode="External"/><Relationship Id="rId25" Type="http://schemas.openxmlformats.org/officeDocument/2006/relationships/hyperlink" Target="http://www.sec.gov/Archives/edgar/data/1547903/000154790313000020/a103formofnmiholdingsinc20.htm" TargetMode="External"/><Relationship Id="rId26" Type="http://schemas.openxmlformats.org/officeDocument/2006/relationships/hyperlink" Target="http://www.sec.gov/Archives/edgar/data/1547903/000154790313000020/a104formofnmiholdingsinc20.htm" TargetMode="External"/><Relationship Id="rId27" Type="http://schemas.openxmlformats.org/officeDocument/2006/relationships/hyperlink" Target="http://www.sec.gov/Archives/edgar/data/1547903/000154790313000020/a105formofnonqualifiedstoc.htm" TargetMode="External"/><Relationship Id="rId28" Type="http://schemas.openxmlformats.org/officeDocument/2006/relationships/hyperlink" Target="http://www.sec.gov/Archives/edgar/data/1547903/000154790313000020/a106formofnonqualifiedstoc.htm" TargetMode="External"/><Relationship Id="rId29" Type="http://schemas.openxmlformats.org/officeDocument/2006/relationships/hyperlink" Target="http://www.sec.gov/Archives/edgar/data/1547903/000154790313000020/a107formofnonqualifiedstoc.htm" TargetMode="External"/><Relationship Id="rId30" Type="http://schemas.openxmlformats.org/officeDocument/2006/relationships/hyperlink" Target="http://www.sec.gov/Archives/edgar/data/1547903/000154790317000032/exhibit108-2012stockincent.htm" TargetMode="External"/><Relationship Id="rId31" Type="http://schemas.openxmlformats.org/officeDocument/2006/relationships/hyperlink" Target="http://www.sec.gov/Archives/edgar/data/1547903/000154790317000032/exhibit109-2012stockincent.htm" TargetMode="External"/><Relationship Id="rId32" Type="http://schemas.openxmlformats.org/officeDocument/2006/relationships/hyperlink" Target="http://www.sec.gov/Archives/edgar/data/1547903/000154790315000172/a20151223shusteremployment.htm" TargetMode="External"/><Relationship Id="rId33" Type="http://schemas.openxmlformats.org/officeDocument/2006/relationships/hyperlink" Target="http://www.sec.gov/Archives/edgar/data/1547903/000154790314000152/exhibit101december92014.htm" TargetMode="External"/><Relationship Id="rId34" Type="http://schemas.openxmlformats.org/officeDocument/2006/relationships/hyperlink" Target="http://www.sec.gov/Archives/edgar/data/1547903/000154790316000230/exhibit1010leatherberrybil.htm" TargetMode="External"/><Relationship Id="rId35" Type="http://schemas.openxmlformats.org/officeDocument/2006/relationships/hyperlink" Target="http://www.sec.gov/Archives/edgar/data/1547903/000154790317000003/exhibit101offerletterdated.htm" TargetMode="External"/><Relationship Id="rId36" Type="http://schemas.openxmlformats.org/officeDocument/2006/relationships/hyperlink" Target="http://www.sec.gov/Archives/edgar/data/1547903/000154790314000146/exhibit101november252014.htm" TargetMode="External"/><Relationship Id="rId37" Type="http://schemas.openxmlformats.org/officeDocument/2006/relationships/hyperlink" Target="http://www.sec.gov/Archives/edgar/data/1547903/000154790313000020/a1014commitmentletterforbu.htm" TargetMode="External"/><Relationship Id="rId38" Type="http://schemas.openxmlformats.org/officeDocument/2006/relationships/hyperlink" Target="http://www.sec.gov/Archives/edgar/data/1547903/000154790315000142/nmihexhibit41tlb.htm" TargetMode="External"/><Relationship Id="rId39" Type="http://schemas.openxmlformats.org/officeDocument/2006/relationships/hyperlink" Target="http://www.sec.gov/Archives/edgar/data/1547903/000154790317000005/exhibit101tlaandannex.htm" TargetMode="External"/><Relationship Id="rId40" Type="http://schemas.openxmlformats.org/officeDocument/2006/relationships/hyperlink" Target="http://www.sec.gov/Archives/edgar/data/1547903/000154790317000115/exhibit101amendmentno2.htm" TargetMode="External"/><Relationship Id="rId41" Type="http://schemas.openxmlformats.org/officeDocument/2006/relationships/hyperlink" Target="http://www.sec.gov/Archives/edgar/data/1547903/000154790317000043/nmihproxy2017.htm" TargetMode="External"/><Relationship Id="rId42" Type="http://schemas.openxmlformats.org/officeDocument/2006/relationships/hyperlink" Target="http://www.sec.gov/Archives/edgar/data/1547903/000154790317000100/ex1019rsuceo.htm" TargetMode="External"/><Relationship Id="rId43" Type="http://schemas.openxmlformats.org/officeDocument/2006/relationships/hyperlink" Target="http://www.sec.gov/Archives/edgar/data/1547903/000154790317000100/ex1020rsueo.htm" TargetMode="External"/><Relationship Id="rId44" Type="http://schemas.openxmlformats.org/officeDocument/2006/relationships/hyperlink" Target="http://www.sec.gov/Archives/edgar/data/1547903/000154790317000100/ex1021rsuee.htm" TargetMode="External"/><Relationship Id="rId45" Type="http://schemas.openxmlformats.org/officeDocument/2006/relationships/hyperlink" Target="http://www.sec.gov/Archives/edgar/data/1547903/000154790317000100/ex1022rsuindependentdirect.htm" TargetMode="External"/><Relationship Id="rId46" Type="http://schemas.openxmlformats.org/officeDocument/2006/relationships/hyperlink" Target="http://www.sec.gov/Archives/edgar/data/1547903/000154790317000100/ex1023nqsceo.htm" TargetMode="External"/><Relationship Id="rId47" Type="http://schemas.openxmlformats.org/officeDocument/2006/relationships/hyperlink" Target="http://www.sec.gov/Archives/edgar/data/1547903/000154790317000100/ex1024nqseoee.htm" TargetMode="External"/><Relationship Id="rId48" Type="http://schemas.openxmlformats.org/officeDocument/2006/relationships/hyperlink" Target="http://www.sec.gov/Archives/edgar/data/1547903/000154790315000112/exhibit1021formofphantomun.htm" TargetMode="External"/><Relationship Id="rId49" Type="http://schemas.openxmlformats.org/officeDocument/2006/relationships/hyperlink" Target="http://www.sec.gov/Archives/edgar/data/1547903/000154790317000032/exhibit1026-2014omnibusinc.htm" TargetMode="External"/><Relationship Id="rId50" Type="http://schemas.openxmlformats.org/officeDocument/2006/relationships/hyperlink" Target="http://www.sec.gov/Archives/edgar/data/1547903/000154790316000185/ex101severancebenefitplan.htm" TargetMode="External"/><Relationship Id="rId51" Type="http://schemas.openxmlformats.org/officeDocument/2006/relationships/hyperlink" Target="http://www.sec.gov/Archives/edgar/data/1547903/000154790317000035/exhbit101.htm" TargetMode="External"/><Relationship Id="rId52" Type="http://schemas.openxmlformats.org/officeDocument/2006/relationships/hyperlink" Target="http://www.sec.gov/Archives/edgar/data/1547903/000154790317000035/exhibit102.htm" TargetMode="External"/><Relationship Id="rId53" Type="http://schemas.openxmlformats.org/officeDocument/2006/relationships/hyperlink" Target="http://www.sec.gov/Archives/edgar/data/1547903/000154790317000101/ex101farrellseparationagre.htm" TargetMode="External"/><Relationship Id="rId54"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2019-12-29T00:47:18Z</dcterms:created>
  <dcterms:modified xsi:type="dcterms:W3CDTF">2019-12-29T00:47:18Z</dcterms:modified>
</cp:coreProperties>
</file>