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38100</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96"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46" w:lineRule="exact"/>
        <w:rPr>
          <w:sz w:val="24"/>
          <w:szCs w:val="24"/>
          <w:color w:val="auto"/>
        </w:rPr>
      </w:pPr>
    </w:p>
    <w:p>
      <w:pPr>
        <w:ind w:left="72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3"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March 31, 2017</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168"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9000" w:type="dxa"/>
            <w:vAlign w:val="bottom"/>
            <w:gridSpan w:val="9"/>
          </w:tcPr>
          <w:p>
            <w:pPr>
              <w:ind w:left="300"/>
              <w:spacing w:after="0"/>
              <w:rPr>
                <w:sz w:val="20"/>
                <w:szCs w:val="20"/>
                <w:color w:val="auto"/>
              </w:rPr>
            </w:pPr>
            <w:r>
              <w:rPr>
                <w:rFonts w:ascii="Arial" w:cs="Arial" w:eastAsia="Arial" w:hAnsi="Arial"/>
                <w:sz w:val="18"/>
                <w:szCs w:val="18"/>
                <w:color w:val="auto"/>
                <w:w w:val="94"/>
              </w:rPr>
              <w:t>TRANSITION REPORT PURSUANT TO SECTION 13 OR 15(d) OF THE SECURITIES EXCHANGE ACT OF 1934</w:t>
            </w:r>
          </w:p>
        </w:tc>
      </w:tr>
      <w:tr>
        <w:trPr>
          <w:trHeight w:val="190"/>
        </w:trPr>
        <w:tc>
          <w:tcPr>
            <w:tcW w:w="380" w:type="dxa"/>
            <w:vAlign w:val="bottom"/>
          </w:tcPr>
          <w:p>
            <w:pPr>
              <w:spacing w:after="0" w:line="190" w:lineRule="exact"/>
              <w:rPr>
                <w:sz w:val="20"/>
                <w:szCs w:val="20"/>
                <w:color w:val="auto"/>
              </w:rPr>
            </w:pPr>
            <w:r>
              <w:rPr>
                <w:rFonts w:ascii="Arial" w:cs="Arial" w:eastAsia="Arial" w:hAnsi="Arial"/>
                <w:sz w:val="18"/>
                <w:szCs w:val="18"/>
                <w:color w:val="auto"/>
              </w:rPr>
              <w:t>o</w:t>
            </w:r>
          </w:p>
        </w:tc>
        <w:tc>
          <w:tcPr>
            <w:tcW w:w="2480" w:type="dxa"/>
            <w:vAlign w:val="bottom"/>
          </w:tcPr>
          <w:p>
            <w:pPr>
              <w:ind w:left="300"/>
              <w:spacing w:after="0" w:line="190" w:lineRule="exact"/>
              <w:rPr>
                <w:sz w:val="20"/>
                <w:szCs w:val="20"/>
                <w:color w:val="auto"/>
              </w:rPr>
            </w:pPr>
            <w:r>
              <w:rPr>
                <w:rFonts w:ascii="Arial" w:cs="Arial" w:eastAsia="Arial" w:hAnsi="Arial"/>
                <w:sz w:val="18"/>
                <w:szCs w:val="18"/>
                <w:color w:val="auto"/>
                <w:w w:val="93"/>
              </w:rPr>
              <w:t>For the transition period from</w:t>
            </w: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Arial" w:cs="Arial" w:eastAsia="Arial" w:hAnsi="Arial"/>
                <w:sz w:val="18"/>
                <w:szCs w:val="18"/>
                <w:color w:val="auto"/>
              </w:rPr>
              <w:t>to</w:t>
            </w:r>
          </w:p>
        </w:tc>
        <w:tc>
          <w:tcPr>
            <w:tcW w:w="760" w:type="dxa"/>
            <w:vAlign w:val="bottom"/>
            <w:tcBorders>
              <w:bottom w:val="single" w:sz="8" w:color="auto"/>
            </w:tcBorders>
            <w:gridSpan w:val="2"/>
          </w:tcPr>
          <w:p>
            <w:pPr>
              <w:spacing w:after="0"/>
              <w:rPr>
                <w:sz w:val="16"/>
                <w:szCs w:val="16"/>
                <w:color w:val="auto"/>
              </w:rPr>
            </w:pP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528"/>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Arial" w:cs="Arial" w:eastAsia="Arial" w:hAnsi="Arial"/>
                <w:sz w:val="16"/>
                <w:szCs w:val="16"/>
                <w:color w:val="auto"/>
                <w:w w:val="93"/>
              </w:rPr>
              <w:t xml:space="preserve">Commission file number </w:t>
            </w:r>
            <w:r>
              <w:rPr>
                <w:rFonts w:ascii="Arial" w:cs="Arial" w:eastAsia="Arial" w:hAnsi="Arial"/>
                <w:sz w:val="16"/>
                <w:szCs w:val="16"/>
                <w:b w:val="1"/>
                <w:bCs w:val="1"/>
                <w:color w:val="auto"/>
                <w:w w:val="93"/>
              </w:rPr>
              <w:t>001-36174</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3"/>
        </w:trPr>
        <w:tc>
          <w:tcPr>
            <w:tcW w:w="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r>
      <w:tr>
        <w:trPr>
          <w:trHeight w:val="414"/>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Arial" w:cs="Arial" w:eastAsia="Arial" w:hAnsi="Arial"/>
                <w:sz w:val="32"/>
                <w:szCs w:val="32"/>
                <w:b w:val="1"/>
                <w:bCs w:val="1"/>
                <w:color w:val="auto"/>
                <w:w w:val="96"/>
              </w:rPr>
              <w:t>NMI Holdings, Inc.</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4"/>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(Exact name of registrant as specified in its charter)</w:t>
            </w:r>
          </w:p>
        </w:tc>
        <w:tc>
          <w:tcPr>
            <w:tcW w:w="2040" w:type="dxa"/>
            <w:vAlign w:val="bottom"/>
          </w:tcPr>
          <w:p>
            <w:pPr>
              <w:spacing w:after="0"/>
              <w:rPr>
                <w:sz w:val="16"/>
                <w:szCs w:val="16"/>
                <w:color w:val="auto"/>
              </w:rPr>
            </w:pPr>
          </w:p>
        </w:tc>
      </w:tr>
      <w:tr>
        <w:trPr>
          <w:trHeight w:val="540"/>
        </w:trPr>
        <w:tc>
          <w:tcPr>
            <w:tcW w:w="380" w:type="dxa"/>
            <w:vAlign w:val="bottom"/>
          </w:tcPr>
          <w:p>
            <w:pPr>
              <w:spacing w:after="0"/>
              <w:rPr>
                <w:sz w:val="24"/>
                <w:szCs w:val="24"/>
                <w:color w:val="auto"/>
              </w:rPr>
            </w:pPr>
          </w:p>
        </w:tc>
        <w:tc>
          <w:tcPr>
            <w:tcW w:w="3300" w:type="dxa"/>
            <w:vAlign w:val="bottom"/>
            <w:gridSpan w:val="3"/>
          </w:tcPr>
          <w:p>
            <w:pPr>
              <w:jc w:val="center"/>
              <w:ind w:left="2156"/>
              <w:spacing w:after="0"/>
              <w:rPr>
                <w:sz w:val="20"/>
                <w:szCs w:val="20"/>
                <w:color w:val="auto"/>
              </w:rPr>
            </w:pPr>
            <w:r>
              <w:rPr>
                <w:rFonts w:ascii="Arial" w:cs="Arial" w:eastAsia="Arial" w:hAnsi="Arial"/>
                <w:sz w:val="18"/>
                <w:szCs w:val="18"/>
                <w:b w:val="1"/>
                <w:bCs w:val="1"/>
                <w:color w:val="auto"/>
                <w:w w:val="98"/>
              </w:rPr>
              <w:t>DELAWARE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20" w:type="dxa"/>
            <w:vAlign w:val="bottom"/>
            <w:gridSpan w:val="2"/>
          </w:tcPr>
          <w:p>
            <w:pPr>
              <w:jc w:val="right"/>
              <w:ind w:right="668"/>
              <w:spacing w:after="0"/>
              <w:rPr>
                <w:sz w:val="20"/>
                <w:szCs w:val="20"/>
                <w:color w:val="auto"/>
              </w:rPr>
            </w:pPr>
            <w:r>
              <w:rPr>
                <w:rFonts w:ascii="Arial" w:cs="Arial" w:eastAsia="Arial" w:hAnsi="Arial"/>
                <w:sz w:val="18"/>
                <w:szCs w:val="18"/>
                <w:b w:val="1"/>
                <w:bCs w:val="1"/>
                <w:color w:val="auto"/>
              </w:rPr>
              <w:t>45-4914248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2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31"/>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8"/>
                <w:szCs w:val="18"/>
                <w:b w:val="1"/>
                <w:bCs w:val="1"/>
                <w:color w:val="auto"/>
                <w:w w:val="91"/>
              </w:rPr>
              <w:t>2100 Powell Street, Emeryville, CA</w:t>
            </w:r>
          </w:p>
        </w:tc>
        <w:tc>
          <w:tcPr>
            <w:tcW w:w="2320" w:type="dxa"/>
            <w:vAlign w:val="bottom"/>
            <w:gridSpan w:val="2"/>
          </w:tcPr>
          <w:p>
            <w:pPr>
              <w:jc w:val="right"/>
              <w:ind w:right="888"/>
              <w:spacing w:after="0"/>
              <w:rPr>
                <w:sz w:val="20"/>
                <w:szCs w:val="20"/>
                <w:color w:val="auto"/>
              </w:rPr>
            </w:pPr>
            <w:r>
              <w:rPr>
                <w:rFonts w:ascii="Arial" w:cs="Arial" w:eastAsia="Arial" w:hAnsi="Arial"/>
                <w:sz w:val="18"/>
                <w:szCs w:val="18"/>
                <w:b w:val="1"/>
                <w:bCs w:val="1"/>
                <w:color w:val="auto"/>
              </w:rPr>
              <w:t>94608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 w:type="dxa"/>
            <w:vAlign w:val="bottom"/>
          </w:tcPr>
          <w:p>
            <w:pPr>
              <w:spacing w:after="0"/>
              <w:rPr>
                <w:sz w:val="24"/>
                <w:szCs w:val="24"/>
                <w:color w:val="auto"/>
              </w:rPr>
            </w:pPr>
          </w:p>
        </w:tc>
        <w:tc>
          <w:tcPr>
            <w:tcW w:w="2040" w:type="dxa"/>
            <w:vAlign w:val="bottom"/>
          </w:tcPr>
          <w:p>
            <w:pPr>
              <w:jc w:val="center"/>
              <w:ind w:right="248"/>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(855) 530-6642</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86"/>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80" w:type="dxa"/>
            <w:vAlign w:val="bottom"/>
            <w:gridSpan w:val="4"/>
          </w:tcPr>
          <w:p>
            <w:pPr>
              <w:jc w:val="center"/>
              <w:ind w:right="194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0" w:lineRule="exact"/>
        <w:rPr>
          <w:sz w:val="24"/>
          <w:szCs w:val="24"/>
          <w:color w:val="auto"/>
        </w:rPr>
      </w:pPr>
    </w:p>
    <w:p>
      <w:pPr>
        <w:spacing w:after="0" w:line="27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27" w:lineRule="exact"/>
        <w:rPr>
          <w:sz w:val="24"/>
          <w:szCs w:val="24"/>
          <w:color w:val="auto"/>
        </w:rPr>
      </w:pPr>
    </w:p>
    <w:p>
      <w:pPr>
        <w:ind w:left="560"/>
        <w:spacing w:after="0"/>
        <w:tabs>
          <w:tab w:leader="none" w:pos="3600" w:val="left"/>
          <w:tab w:leader="none" w:pos="6300" w:val="left"/>
          <w:tab w:leader="none" w:pos="89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44" w:lineRule="exact"/>
        <w:rPr>
          <w:sz w:val="24"/>
          <w:szCs w:val="24"/>
          <w:color w:val="auto"/>
        </w:rPr>
      </w:pPr>
    </w:p>
    <w:p>
      <w:pPr>
        <w:ind w:left="5980"/>
        <w:spacing w:after="0"/>
        <w:rPr>
          <w:sz w:val="20"/>
          <w:szCs w:val="20"/>
          <w:color w:val="auto"/>
        </w:rPr>
      </w:pPr>
      <w:r>
        <w:rPr>
          <w:rFonts w:ascii="Arial" w:cs="Arial" w:eastAsia="Arial" w:hAnsi="Arial"/>
          <w:sz w:val="13"/>
          <w:szCs w:val="13"/>
          <w:color w:val="auto"/>
        </w:rPr>
        <w:t>(Do not check if a smaller reporting company)</w:t>
      </w:r>
    </w:p>
    <w:p>
      <w:pPr>
        <w:spacing w:after="0" w:line="39" w:lineRule="exact"/>
        <w:rPr>
          <w:sz w:val="24"/>
          <w:szCs w:val="24"/>
          <w:color w:val="auto"/>
        </w:rPr>
      </w:pPr>
    </w:p>
    <w:p>
      <w:pPr>
        <w:ind w:left="380"/>
        <w:spacing w:after="0"/>
        <w:rPr>
          <w:sz w:val="20"/>
          <w:szCs w:val="20"/>
          <w:color w:val="auto"/>
        </w:rPr>
      </w:pPr>
      <w:r>
        <w:rPr>
          <w:rFonts w:ascii="Arial" w:cs="Arial" w:eastAsia="Arial" w:hAnsi="Arial"/>
          <w:sz w:val="18"/>
          <w:szCs w:val="18"/>
          <w:color w:val="auto"/>
        </w:rPr>
        <w:t>Emerging growth company x</w:t>
      </w:r>
    </w:p>
    <w:p>
      <w:pPr>
        <w:spacing w:after="0" w:line="200" w:lineRule="exact"/>
        <w:rPr>
          <w:sz w:val="24"/>
          <w:szCs w:val="24"/>
          <w:color w:val="auto"/>
        </w:rPr>
      </w:pPr>
    </w:p>
    <w:p>
      <w:pPr>
        <w:spacing w:after="0" w:line="26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o NO x</w:t>
      </w:r>
    </w:p>
    <w:p>
      <w:pPr>
        <w:sectPr>
          <w:pgSz w:w="11900" w:h="16838" w:orient="portrait"/>
          <w:cols w:equalWidth="0" w:num="1">
            <w:col w:w="11420"/>
          </w:cols>
          <w:pgMar w:left="240" w:top="684" w:right="239" w:bottom="1440" w:gutter="0" w:footer="0" w:header="0"/>
        </w:sectPr>
      </w:pPr>
    </w:p>
    <w:p>
      <w:pPr>
        <w:spacing w:after="0" w:line="391"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$0.01 par value per share, of the registrant outstanding on May 2, 2017 was 59,785,313 shares.</w:t>
      </w:r>
    </w:p>
    <w:p>
      <w:pPr>
        <w:sectPr>
          <w:pgSz w:w="11900" w:h="16838" w:orient="portrait"/>
          <w:cols w:equalWidth="0" w:num="1">
            <w:col w:w="11420"/>
          </w:cols>
          <w:pgMar w:left="240" w:top="68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5"/>
            <w:shd w:val="clear" w:color="auto" w:fill="CCEEFF"/>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Cautionary Note Regarding Forward Looking Statements</w:t>
              </w:r>
            </w:hyperlink>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64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Financial Statements</w:t>
              </w:r>
            </w:hyperlink>
          </w:p>
        </w:tc>
        <w:tc>
          <w:tcPr>
            <w:tcW w:w="8640" w:type="dxa"/>
            <w:vAlign w:val="bottom"/>
            <w:tcBorders>
              <w:bottom w:val="single" w:sz="8" w:color="CCEEFF"/>
            </w:tcBorders>
            <w:gridSpan w:val="5"/>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2.</w:t>
            </w:r>
          </w:p>
        </w:tc>
        <w:tc>
          <w:tcPr>
            <w:tcW w:w="10140" w:type="dxa"/>
            <w:vAlign w:val="bottom"/>
            <w:gridSpan w:val="10"/>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8"/>
            <w:shd w:val="clear" w:color="auto" w:fill="CCEEFF"/>
          </w:tcPr>
          <w:p>
            <w:pPr>
              <w:spacing w:after="0" w:line="202"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Quantitative and Qualitative Disclosures About Market Risk</w:t>
              </w:r>
            </w:hyperlink>
          </w:p>
        </w:tc>
        <w:tc>
          <w:tcPr>
            <w:tcW w:w="57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4.</w:t>
            </w:r>
          </w:p>
        </w:tc>
        <w:tc>
          <w:tcPr>
            <w:tcW w:w="10140" w:type="dxa"/>
            <w:vAlign w:val="bottom"/>
            <w:gridSpan w:val="10"/>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II</w:t>
              </w:r>
            </w:hyperlink>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03"/>
        </w:trPr>
        <w:tc>
          <w:tcPr>
            <w:tcW w:w="4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gridSpan w:val="2"/>
          </w:tcPr>
          <w:p>
            <w:pPr>
              <w:ind w:left="140"/>
              <w:spacing w:after="0" w:line="202" w:lineRule="exact"/>
              <w:rPr>
                <w:sz w:val="20"/>
                <w:szCs w:val="20"/>
                <w:color w:val="auto"/>
              </w:rPr>
            </w:pPr>
            <w:r>
              <w:rPr>
                <w:rFonts w:ascii="Arial" w:cs="Arial" w:eastAsia="Arial" w:hAnsi="Arial"/>
                <w:sz w:val="18"/>
                <w:szCs w:val="18"/>
                <w:color w:val="auto"/>
                <w:w w:val="90"/>
              </w:rPr>
              <w:t>Item 1.</w:t>
            </w:r>
          </w:p>
        </w:tc>
        <w:tc>
          <w:tcPr>
            <w:tcW w:w="380" w:type="dxa"/>
            <w:vAlign w:val="bottom"/>
            <w:tcBorders>
              <w:top w:val="single" w:sz="8" w:color="CCEEFF"/>
            </w:tcBorders>
            <w:gridSpan w:val="2"/>
          </w:tcPr>
          <w:p>
            <w:pPr>
              <w:spacing w:after="0"/>
              <w:rPr>
                <w:sz w:val="17"/>
                <w:szCs w:val="17"/>
                <w:color w:val="auto"/>
              </w:rPr>
            </w:pPr>
          </w:p>
        </w:tc>
        <w:tc>
          <w:tcPr>
            <w:tcW w:w="10140" w:type="dxa"/>
            <w:vAlign w:val="bottom"/>
            <w:tcBorders>
              <w:top w:val="single" w:sz="8" w:color="CCEEFF"/>
            </w:tcBorders>
            <w:gridSpan w:val="10"/>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shd w:val="clear" w:color="auto" w:fill="CCEEFF"/>
          </w:tcPr>
          <w:p>
            <w:pPr>
              <w:spacing w:after="0" w:line="202" w:lineRule="exact"/>
              <w:rPr>
                <w:rFonts w:ascii="Arial" w:cs="Arial" w:eastAsia="Arial" w:hAnsi="Arial"/>
                <w:sz w:val="18"/>
                <w:szCs w:val="18"/>
                <w:color w:val="0000EE"/>
                <w:w w:val="87"/>
                <w:shd w:val="clear" w:color="auto" w:fill="CCEEFF"/>
              </w:rPr>
            </w:pPr>
            <w:hyperlink w:anchor="page43">
              <w:r>
                <w:rPr>
                  <w:rFonts w:ascii="Arial" w:cs="Arial" w:eastAsia="Arial" w:hAnsi="Arial"/>
                  <w:sz w:val="18"/>
                  <w:szCs w:val="18"/>
                  <w:color w:val="0000EE"/>
                  <w:w w:val="87"/>
                  <w:shd w:val="clear" w:color="auto" w:fill="CCEEFF"/>
                </w:rPr>
                <w:t>Risk Factors</w:t>
              </w:r>
            </w:hyperlink>
          </w:p>
        </w:tc>
        <w:tc>
          <w:tcPr>
            <w:tcW w:w="924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6.</w:t>
            </w:r>
          </w:p>
        </w:tc>
        <w:tc>
          <w:tcPr>
            <w:tcW w:w="10140" w:type="dxa"/>
            <w:vAlign w:val="bottom"/>
            <w:gridSpan w:val="10"/>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Signatures</w:t>
              </w:r>
            </w:hyperlink>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20" w:type="dxa"/>
            <w:vAlign w:val="bottom"/>
            <w:gridSpan w:val="15"/>
          </w:tcPr>
          <w:p>
            <w:pPr>
              <w:ind w:left="40"/>
              <w:spacing w:after="0" w:line="202"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Exhibit Index</w:t>
              </w:r>
            </w:hyperlink>
          </w:p>
        </w:tc>
        <w:tc>
          <w:tcPr>
            <w:tcW w:w="80" w:type="dxa"/>
            <w:vAlign w:val="bottom"/>
          </w:tcPr>
          <w:p>
            <w:pPr>
              <w:spacing w:after="0"/>
              <w:rPr>
                <w:sz w:val="17"/>
                <w:szCs w:val="17"/>
                <w:color w:val="auto"/>
              </w:rPr>
            </w:pPr>
          </w:p>
        </w:tc>
        <w:tc>
          <w:tcPr>
            <w:tcW w:w="120" w:type="dxa"/>
            <w:vAlign w:val="bottom"/>
            <w:gridSpan w:val="2"/>
          </w:tcPr>
          <w:p>
            <w:pPr>
              <w:ind w:left="40"/>
              <w:spacing w:after="0" w:line="202" w:lineRule="exact"/>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w:t>
              </w:r>
            </w:hyperlink>
          </w:p>
        </w:tc>
      </w:tr>
      <w:tr>
        <w:trPr>
          <w:trHeight w:val="939"/>
        </w:trPr>
        <w:tc>
          <w:tcPr>
            <w:tcW w:w="4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20" w:type="dxa"/>
            <w:vAlign w:val="bottom"/>
            <w:gridSpan w:val="8"/>
          </w:tcPr>
          <w:p>
            <w:pPr>
              <w:jc w:val="right"/>
              <w:ind w:right="1760"/>
              <w:spacing w:after="0"/>
              <w:rPr>
                <w:sz w:val="20"/>
                <w:szCs w:val="20"/>
                <w:color w:val="auto"/>
              </w:rPr>
            </w:pPr>
            <w:r>
              <w:rPr>
                <w:rFonts w:ascii="Arial" w:cs="Arial" w:eastAsia="Arial" w:hAnsi="Arial"/>
                <w:sz w:val="18"/>
                <w:szCs w:val="18"/>
                <w:color w:val="auto"/>
              </w:rPr>
              <w:t>2</w:t>
            </w: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200" w:lineRule="exact"/>
        <w:rPr>
          <w:sz w:val="20"/>
          <w:szCs w:val="20"/>
          <w:color w:val="auto"/>
        </w:rPr>
      </w:pPr>
    </w:p>
    <w:p>
      <w:pPr>
        <w:spacing w:after="0" w:line="25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in the world's financial and capital markets and our access to such markets, including reinsurance;</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business practices of Fannie Mae and Freddie Mac (collectively, the GSEs), including decisions that have the impact of decreasing or discontinuing the use of mortgage insurance as credit enhancement;</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an eligible mortgage insurer under the private mortgage insurer eligibility requirements (PMIERs) and other requirements imposed by the GSEs, which they may change at any time;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actions of existing competitors, including governmental agencies like the Federal Housing Administration (FHA) and the Veterans Administration (VA), and potential market entry by new competitors or consolidation of existing competitors;</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adoption of new or changes to existing laws and regulations that impact our business or financial condition directly or the mortgage insurance industry generally or their enforcement and implementation by regulators;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the GSEs' role in the secondary mortgage market or other changes that could affect the residential mortgage industry generally or mortgage insurance in particular;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future lawsuits, investigations or inquiries or resolution of current lawsuits or inquiries;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62"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successfully execute and implement our capital plans, including our ability to access the reinsurance market and to enter into, and receive approval of, reinsurance arrangements on terms and conditions that are acceptable to us, the GSEs and our regulators;</w:t>
      </w:r>
    </w:p>
    <w:p>
      <w:pPr>
        <w:spacing w:after="0" w:line="38"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risk management or pricing or investment strategies;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inability of our counter-parties, including third party reinsurers, to meet their obligations to us;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carryforwards, which could be limited or eliminated in various ways, including if we experience an ownership change as defined in Section 382 of the Internal Revenue Code;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(IT) systems or the failure of technology providers to perform;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more information regarding these risks and uncertainties as well as certain additional risks that we face, you should refer to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 Item 1A, of our Annual Report on Form 10-K for the year ended December 31, 2016 (2016 10-K), as subsequently updated in other reports we file from time to time with the U.S. Securities and Exchange Commission (SEC).</w:t>
      </w:r>
    </w:p>
    <w:p>
      <w:pPr>
        <w:spacing w:after="0" w:line="15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and "Company" in this document refer to NMI Holdings, Inc., a Delaware corporation, and its wholly owned subsidiaries on a consolidated basis.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Condensed Consolidated Balance Sheets as of March 31, 2017 and December 31, 2016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shd w:val="clear" w:color="auto" w:fill="CCEEFF"/>
              </w:rPr>
            </w:pPr>
            <w:hyperlink w:anchor="page6">
              <w:r>
                <w:rPr>
                  <w:rFonts w:ascii="Arial" w:cs="Arial" w:eastAsia="Arial" w:hAnsi="Arial"/>
                  <w:sz w:val="18"/>
                  <w:szCs w:val="18"/>
                  <w:color w:val="0000EE"/>
                  <w:w w:val="79"/>
                  <w:shd w:val="clear" w:color="auto" w:fill="CCEEFF"/>
                </w:rPr>
                <w:t>6</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Condensed Consolidated Statements of Operations and Comprehensive Income for the three months ended March 31, 2017 and 2016</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11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Condensed Consolidated Statements of Changes in Shareholders' Equity for the three months ended March 31, 2017 and the year ended December</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3"/>
        </w:trPr>
        <w:tc>
          <w:tcPr>
            <w:tcW w:w="11220" w:type="dxa"/>
            <w:vAlign w:val="bottom"/>
            <w:tcBorders>
              <w:bottom w:val="single" w:sz="8" w:color="CCEEFF"/>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31, 2016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shd w:val="clear" w:color="auto" w:fill="CCEEFF"/>
              </w:rPr>
            </w:pPr>
            <w:hyperlink w:anchor="page8">
              <w:r>
                <w:rPr>
                  <w:rFonts w:ascii="Arial" w:cs="Arial" w:eastAsia="Arial" w:hAnsi="Arial"/>
                  <w:sz w:val="18"/>
                  <w:szCs w:val="18"/>
                  <w:color w:val="0000EE"/>
                  <w:w w:val="79"/>
                  <w:shd w:val="clear" w:color="auto" w:fill="CCEEFF"/>
                </w:rPr>
                <w:t>8</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Condensed Consolidated Statements of Cash Flows for the three months ended March 31, 2017 and 2016</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10">
              <w:r>
                <w:rPr>
                  <w:rFonts w:ascii="Arial" w:cs="Arial" w:eastAsia="Arial" w:hAnsi="Arial"/>
                  <w:sz w:val="18"/>
                  <w:szCs w:val="18"/>
                  <w:color w:val="0000EE"/>
                  <w:w w:val="79"/>
                  <w:shd w:val="clear" w:color="auto" w:fill="CCEEFF"/>
                </w:rPr>
                <w:t>10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675"/>
        </w:trPr>
        <w:tc>
          <w:tcPr>
            <w:tcW w:w="11220" w:type="dxa"/>
            <w:vAlign w:val="bottom"/>
            <w:tcBorders>
              <w:top w:val="single" w:sz="8" w:color="CCEEFF"/>
            </w:tcBorders>
          </w:tcPr>
          <w:p>
            <w:pPr>
              <w:ind w:left="5660"/>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2016</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1"/>
                <w:szCs w:val="21"/>
                <w:color w:val="auto"/>
              </w:rPr>
            </w:pPr>
          </w:p>
        </w:tc>
        <w:tc>
          <w:tcPr>
            <w:tcW w:w="328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r>
      <w:tr>
        <w:trPr>
          <w:trHeight w:val="235"/>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Fixed maturities, available-for-sale, at fair value (amortized cost of $658,463 and $630,688 as of March</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31, 2017 and December 31, 2016, respectively)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658,640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628,969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12,543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47,746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13,728</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Accrued investment income</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3,421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32,165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30,109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Software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Intangible assets and goodwill</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3,634</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reinsurance premiums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37,921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tax asset, net</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50,529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51,434</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840,162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839,897</w:t>
            </w:r>
          </w:p>
        </w:tc>
      </w:tr>
      <w:tr>
        <w:trPr>
          <w:trHeight w:val="311"/>
        </w:trPr>
        <w:tc>
          <w:tcPr>
            <w:tcW w:w="7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144,010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144,353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Unearned premiums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154,711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152,906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25,297</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Reserve for insurance claims and claim expenses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3,001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Reinsurance funds withheld</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30,633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ceding commission</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4,790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4,831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liability, at fair value</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356,253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364,388</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324"/>
        </w:trPr>
        <w:tc>
          <w:tcPr>
            <w:tcW w:w="7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rPr>
              <w:t>Common stock - class A shares, $0.01 par value;</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w w:val="89"/>
              </w:rPr>
              <w:t>59,783,358 and 59,145,161 shares issued and outstanding as of March 31, 2017 and December 31, 2016,</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respectively (250,000,000 shares authorized)</w:t>
            </w:r>
          </w:p>
        </w:tc>
        <w:tc>
          <w:tcPr>
            <w:tcW w:w="24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591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578,081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576,927</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(5,287)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(96,722)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483,909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475,509</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840,162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839,897</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6"/>
          <w:szCs w:val="16"/>
          <w:color w:val="auto"/>
        </w:rPr>
        <w:t>ONDENSED CONSOLIDATED STATEMENTS OF OPERATIONS AND COMPREHENSIVE INCOME (UNAUDITED)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9"/>
              </w:rPr>
              <w:t>For the three months ended March 31,</w:t>
            </w:r>
          </w:p>
        </w:tc>
        <w:tc>
          <w:tcPr>
            <w:tcW w:w="0" w:type="dxa"/>
            <w:vAlign w:val="bottom"/>
          </w:tcPr>
          <w:p>
            <w:pPr>
              <w:spacing w:after="0"/>
              <w:rPr>
                <w:sz w:val="1"/>
                <w:szCs w:val="1"/>
                <w:color w:val="auto"/>
              </w:rPr>
            </w:pPr>
          </w:p>
        </w:tc>
      </w:tr>
      <w:tr>
        <w:trPr>
          <w:trHeight w:val="196"/>
        </w:trPr>
        <w:tc>
          <w:tcPr>
            <w:tcW w:w="8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21"/>
                <w:szCs w:val="21"/>
                <w:color w:val="auto"/>
              </w:rPr>
            </w:pPr>
          </w:p>
        </w:tc>
        <w:tc>
          <w:tcPr>
            <w:tcW w:w="3000" w:type="dxa"/>
            <w:vAlign w:val="bottom"/>
            <w:gridSpan w:val="4"/>
          </w:tcPr>
          <w:p>
            <w:pPr>
              <w:jc w:val="right"/>
              <w:ind w:right="471"/>
              <w:spacing w:after="0"/>
              <w:rPr>
                <w:sz w:val="20"/>
                <w:szCs w:val="20"/>
                <w:color w:val="auto"/>
              </w:rPr>
            </w:pPr>
            <w:r>
              <w:rPr>
                <w:rFonts w:ascii="Arial" w:cs="Arial" w:eastAsia="Arial" w:hAnsi="Arial"/>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33,225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19,807</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losses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37,054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22,185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and claims expenses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Underwriting and operating expenses</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25,989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22,672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26,624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23,130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gain from change in fair value of warrant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91"/>
        </w:trPr>
        <w:tc>
          <w:tcPr>
            <w:tcW w:w="8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5,492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59,183,973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58,936,694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62,338,856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58,936,694</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Net unrealized gains in accumulated other comprehensive income, net of tax expense of $664 and $0 for the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quarters ended March 31, 2017 and March 31, 2016,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9,101</w:t>
            </w:r>
          </w:p>
        </w:tc>
        <w:tc>
          <w:tcPr>
            <w:tcW w:w="0" w:type="dxa"/>
            <w:vAlign w:val="bottom"/>
          </w:tcPr>
          <w:p>
            <w:pPr>
              <w:spacing w:after="0"/>
              <w:rPr>
                <w:sz w:val="1"/>
                <w:szCs w:val="1"/>
                <w:color w:val="auto"/>
              </w:rPr>
            </w:pPr>
          </w:p>
        </w:tc>
      </w:tr>
      <w:tr>
        <w:trPr>
          <w:trHeight w:val="229"/>
        </w:trPr>
        <w:tc>
          <w:tcPr>
            <w:tcW w:w="8120" w:type="dxa"/>
            <w:vAlign w:val="bottom"/>
          </w:tcPr>
          <w:p>
            <w:pPr>
              <w:ind w:left="280"/>
              <w:spacing w:after="0"/>
              <w:rPr>
                <w:sz w:val="20"/>
                <w:szCs w:val="20"/>
                <w:color w:val="auto"/>
              </w:rPr>
            </w:pPr>
            <w:r>
              <w:rPr>
                <w:rFonts w:ascii="Arial" w:cs="Arial" w:eastAsia="Arial" w:hAnsi="Arial"/>
                <w:sz w:val="18"/>
                <w:szCs w:val="18"/>
                <w:color w:val="auto"/>
                <w:w w:val="93"/>
              </w:rPr>
              <w:t>Reclassification adjustment for losses included in net loss (gain), net of tax expense of $0 for the quarters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80"/>
              <w:spacing w:after="0"/>
              <w:rPr>
                <w:sz w:val="20"/>
                <w:szCs w:val="20"/>
                <w:color w:val="auto"/>
              </w:rPr>
            </w:pPr>
            <w:r>
              <w:rPr>
                <w:rFonts w:ascii="Arial" w:cs="Arial" w:eastAsia="Arial" w:hAnsi="Arial"/>
                <w:sz w:val="18"/>
                <w:szCs w:val="18"/>
                <w:color w:val="auto"/>
              </w:rPr>
              <w:t>ended March 31, 2017 and 2016</w:t>
            </w:r>
          </w:p>
        </w:tc>
        <w:tc>
          <w:tcPr>
            <w:tcW w:w="30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9,986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6,725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6,079</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3480"/>
              <w:spacing w:after="0"/>
              <w:rPr>
                <w:sz w:val="20"/>
                <w:szCs w:val="20"/>
                <w:color w:val="auto"/>
              </w:rPr>
            </w:pPr>
            <w:r>
              <w:rPr>
                <w:rFonts w:ascii="Arial" w:cs="Arial" w:eastAsia="Arial" w:hAnsi="Arial"/>
                <w:sz w:val="18"/>
                <w:szCs w:val="18"/>
                <w:i w:val="1"/>
                <w:iCs w:val="1"/>
                <w:color w:val="auto"/>
                <w:w w:val="92"/>
              </w:rPr>
              <w:t>See accompanying notes to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1"/>
        </w:trPr>
        <w:tc>
          <w:tcPr>
            <w:tcW w:w="8120" w:type="dxa"/>
            <w:vAlign w:val="bottom"/>
          </w:tcPr>
          <w:p>
            <w:pPr>
              <w:ind w:left="566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280" w:type="dxa"/>
            <w:vAlign w:val="bottom"/>
            <w:gridSpan w:val="3"/>
          </w:tcPr>
          <w:p>
            <w:pPr>
              <w:jc w:val="right"/>
              <w:ind w:right="271"/>
              <w:spacing w:after="0"/>
              <w:rPr>
                <w:sz w:val="20"/>
                <w:szCs w:val="20"/>
                <w:color w:val="auto"/>
              </w:rPr>
            </w:pPr>
            <w:r>
              <w:rPr>
                <w:rFonts w:ascii="Arial" w:cs="Arial" w:eastAsia="Arial" w:hAnsi="Arial"/>
                <w:sz w:val="14"/>
                <w:szCs w:val="14"/>
                <w:b w:val="1"/>
                <w:bCs w:val="1"/>
                <w:color w:val="auto"/>
              </w:rPr>
              <w:t>Common Stock - Class A</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Accumulated 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right"/>
              <w:ind w:right="214"/>
              <w:spacing w:after="0" w:line="126"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4"/>
                <w:szCs w:val="4"/>
                <w:color w:val="auto"/>
              </w:rPr>
            </w:pPr>
          </w:p>
        </w:tc>
        <w:tc>
          <w:tcPr>
            <w:tcW w:w="1340" w:type="dxa"/>
            <w:vAlign w:val="bottom"/>
            <w:vMerge w:val="restart"/>
          </w:tcPr>
          <w:p>
            <w:pPr>
              <w:jc w:val="center"/>
              <w:ind w:right="14"/>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4"/>
                <w:szCs w:val="4"/>
                <w:color w:val="auto"/>
              </w:rPr>
            </w:pPr>
          </w:p>
        </w:tc>
        <w:tc>
          <w:tcPr>
            <w:tcW w:w="1080" w:type="dxa"/>
            <w:vAlign w:val="bottom"/>
            <w:vMerge w:val="restart"/>
          </w:tcPr>
          <w:p>
            <w:pPr>
              <w:jc w:val="right"/>
              <w:ind w:right="133"/>
              <w:spacing w:after="0" w:line="126" w:lineRule="exact"/>
              <w:rPr>
                <w:sz w:val="20"/>
                <w:szCs w:val="20"/>
                <w:color w:val="auto"/>
              </w:rPr>
            </w:pPr>
            <w:r>
              <w:rPr>
                <w:rFonts w:ascii="Arial" w:cs="Arial" w:eastAsia="Arial" w:hAnsi="Arial"/>
                <w:sz w:val="14"/>
                <w:szCs w:val="14"/>
                <w:b w:val="1"/>
                <w:bCs w:val="1"/>
                <w:color w:val="auto"/>
                <w:w w:val="95"/>
              </w:rPr>
              <w:t>Accumulated</w:t>
            </w: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900" w:type="dxa"/>
            <w:vAlign w:val="bottom"/>
          </w:tcPr>
          <w:p>
            <w:pPr>
              <w:spacing w:after="0"/>
              <w:rPr>
                <w:sz w:val="4"/>
                <w:szCs w:val="4"/>
                <w:color w:val="auto"/>
              </w:rPr>
            </w:pPr>
          </w:p>
        </w:tc>
        <w:tc>
          <w:tcPr>
            <w:tcW w:w="11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4"/>
                <w:szCs w:val="4"/>
                <w:color w:val="auto"/>
              </w:rPr>
            </w:pPr>
          </w:p>
        </w:tc>
        <w:tc>
          <w:tcPr>
            <w:tcW w:w="9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Paid-in Capital</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Deficit</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3"/>
          </w:tcPr>
          <w:p>
            <w:pPr>
              <w:jc w:val="right"/>
              <w:ind w:right="694"/>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January 1, 2016</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58,808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570,340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(160,723)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402,731</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5"/>
              </w:rPr>
              <w:t>Common stock: class A shares issued under stock</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w w:val="99"/>
              </w:rPr>
              <w:t>plans, net of shares withheld for employee taxes</w:t>
            </w:r>
          </w:p>
        </w:tc>
        <w:tc>
          <w:tcPr>
            <w:tcW w:w="1100" w:type="dxa"/>
            <w:vAlign w:val="bottom"/>
          </w:tcPr>
          <w:p>
            <w:pPr>
              <w:jc w:val="right"/>
              <w:spacing w:after="0"/>
              <w:rPr>
                <w:sz w:val="20"/>
                <w:szCs w:val="20"/>
                <w:color w:val="auto"/>
              </w:rPr>
            </w:pPr>
            <w:r>
              <w:rPr>
                <w:rFonts w:ascii="Arial" w:cs="Arial" w:eastAsia="Arial" w:hAnsi="Arial"/>
                <w:sz w:val="18"/>
                <w:szCs w:val="18"/>
                <w:color w:val="auto"/>
              </w:rPr>
              <w:t>337</w:t>
            </w:r>
          </w:p>
        </w:tc>
        <w:tc>
          <w:tcPr>
            <w:tcW w:w="2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6,814</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1"/>
              </w:rPr>
              <w:t>Change in unrealized investment gains/losses, net of</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tax expense of $1,178</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2,187</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64,001</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64,001</w:t>
            </w:r>
          </w:p>
        </w:tc>
        <w:tc>
          <w:tcPr>
            <w:tcW w:w="0" w:type="dxa"/>
            <w:vAlign w:val="bottom"/>
          </w:tcPr>
          <w:p>
            <w:pPr>
              <w:spacing w:after="0"/>
              <w:rPr>
                <w:sz w:val="1"/>
                <w:szCs w:val="1"/>
                <w:color w:val="auto"/>
              </w:rPr>
            </w:pPr>
          </w:p>
        </w:tc>
      </w:tr>
      <w:tr>
        <w:trPr>
          <w:trHeight w:val="297"/>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Balances, December 31, 2016</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59,145</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576,927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(96,722)</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475,509</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Cumulative effect of change in accounting principle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5"/>
              </w:rPr>
              <w:t>Common stock: class A shares issued under stock</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w w:val="99"/>
              </w:rPr>
              <w:t>plans, net of shares withheld for employee taxes</w:t>
            </w:r>
          </w:p>
        </w:tc>
        <w:tc>
          <w:tcPr>
            <w:tcW w:w="1100" w:type="dxa"/>
            <w:vAlign w:val="bottom"/>
          </w:tcPr>
          <w:p>
            <w:pPr>
              <w:jc w:val="right"/>
              <w:spacing w:after="0"/>
              <w:rPr>
                <w:sz w:val="20"/>
                <w:szCs w:val="20"/>
                <w:color w:val="auto"/>
              </w:rPr>
            </w:pPr>
            <w:r>
              <w:rPr>
                <w:rFonts w:ascii="Arial" w:cs="Arial" w:eastAsia="Arial" w:hAnsi="Arial"/>
                <w:sz w:val="18"/>
                <w:szCs w:val="18"/>
                <w:color w:val="auto"/>
              </w:rPr>
              <w:t>638</w:t>
            </w:r>
          </w:p>
        </w:tc>
        <w:tc>
          <w:tcPr>
            <w:tcW w:w="2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(1,117)</w:t>
            </w:r>
          </w:p>
        </w:tc>
        <w:tc>
          <w:tcPr>
            <w:tcW w:w="1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2,271</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1"/>
              </w:rPr>
              <w:t>Change in unrealized investment gains/losses, net of</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tax expense of $664</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1,233</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5,492</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color w:val="auto"/>
              </w:rPr>
              <w:t>Balances, March 31, 2017</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59,783</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578,081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(90,716)</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483,909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375"/>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3"/>
        </w:trPr>
        <w:tc>
          <w:tcPr>
            <w:tcW w:w="81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2016</w:t>
            </w:r>
          </w:p>
        </w:tc>
      </w:tr>
      <w:tr>
        <w:trPr>
          <w:trHeight w:val="237"/>
        </w:trPr>
        <w:tc>
          <w:tcPr>
            <w:tcW w:w="8120" w:type="dxa"/>
            <w:vAlign w:val="bottom"/>
          </w:tcPr>
          <w:p>
            <w:pPr>
              <w:ind w:left="40"/>
              <w:spacing w:after="0"/>
              <w:rPr>
                <w:sz w:val="20"/>
                <w:szCs w:val="20"/>
                <w:color w:val="auto"/>
              </w:rPr>
            </w:pPr>
            <w:r>
              <w:rPr>
                <w:rFonts w:ascii="Arial" w:cs="Arial" w:eastAsia="Arial" w:hAnsi="Arial"/>
                <w:sz w:val="17"/>
                <w:szCs w:val="17"/>
                <w:color w:val="auto"/>
              </w:rPr>
              <w:t>Cash flows from operating activities</w:t>
            </w:r>
          </w:p>
        </w:tc>
        <w:tc>
          <w:tcPr>
            <w:tcW w:w="960" w:type="dxa"/>
            <w:vAlign w:val="bottom"/>
          </w:tcPr>
          <w:p>
            <w:pPr>
              <w:spacing w:after="0"/>
              <w:rPr>
                <w:sz w:val="20"/>
                <w:szCs w:val="20"/>
                <w:color w:val="auto"/>
              </w:rPr>
            </w:pPr>
          </w:p>
        </w:tc>
        <w:tc>
          <w:tcPr>
            <w:tcW w:w="1260" w:type="dxa"/>
            <w:vAlign w:val="bottom"/>
            <w:gridSpan w:val="3"/>
          </w:tcPr>
          <w:p>
            <w:pPr>
              <w:jc w:val="right"/>
              <w:ind w:right="35"/>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20"/>
                <w:szCs w:val="20"/>
                <w:color w:val="auto"/>
              </w:rPr>
            </w:pPr>
          </w:p>
        </w:tc>
      </w:tr>
      <w:tr>
        <w:trPr>
          <w:trHeight w:val="256"/>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 (loss)</w:t>
            </w:r>
          </w:p>
        </w:tc>
        <w:tc>
          <w:tcPr>
            <w:tcW w:w="96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5,492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(3,907)</w:t>
            </w: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Adjustments to reconcile net income (loss) to net cash used in operating activities:</w:t>
            </w: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Net realized investment losses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885</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Loss (gain) from change in fair value of warrant liability</w:t>
            </w:r>
          </w:p>
        </w:tc>
        <w:tc>
          <w:tcPr>
            <w:tcW w:w="960" w:type="dxa"/>
            <w:vAlign w:val="bottom"/>
          </w:tcPr>
          <w:p>
            <w:pPr>
              <w:spacing w:after="0"/>
              <w:rPr>
                <w:sz w:val="20"/>
                <w:szCs w:val="20"/>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(670)</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Depreciation and amortization</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990</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Net amortization of premium on investment securities</w:t>
            </w:r>
          </w:p>
        </w:tc>
        <w:tc>
          <w:tcPr>
            <w:tcW w:w="960" w:type="dxa"/>
            <w:vAlign w:val="bottom"/>
          </w:tcPr>
          <w:p>
            <w:pPr>
              <w:spacing w:after="0"/>
              <w:rPr>
                <w:sz w:val="20"/>
                <w:szCs w:val="20"/>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357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326</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debt discount and debt issuance costs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418</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Share-based compensation expense</w:t>
            </w:r>
          </w:p>
        </w:tc>
        <w:tc>
          <w:tcPr>
            <w:tcW w:w="960" w:type="dxa"/>
            <w:vAlign w:val="bottom"/>
          </w:tcPr>
          <w:p>
            <w:pPr>
              <w:spacing w:after="0"/>
              <w:rPr>
                <w:sz w:val="20"/>
                <w:szCs w:val="20"/>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1,911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1,410</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Accrued investment income</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(479)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(271)</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Premiums receivable</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(1,435)</w:t>
            </w: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Prepaid expenses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(944)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(1,304)</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Deferred policy acquisition costs, net</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(3,418)</w:t>
            </w: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Other assets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16</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Deferred tax asset</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Unearned premiums</w:t>
            </w:r>
          </w:p>
        </w:tc>
        <w:tc>
          <w:tcPr>
            <w:tcW w:w="960" w:type="dxa"/>
            <w:vAlign w:val="bottom"/>
          </w:tcPr>
          <w:p>
            <w:pPr>
              <w:spacing w:after="0"/>
              <w:rPr>
                <w:sz w:val="20"/>
                <w:szCs w:val="20"/>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1,805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18,322</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Reserve for insurance claims and claims expenses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458</w:t>
            </w: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Reinsurance balances, net</w:t>
            </w:r>
          </w:p>
        </w:tc>
        <w:tc>
          <w:tcPr>
            <w:tcW w:w="960" w:type="dxa"/>
            <w:vAlign w:val="bottom"/>
          </w:tcPr>
          <w:p>
            <w:pPr>
              <w:spacing w:after="0"/>
              <w:rPr>
                <w:sz w:val="20"/>
                <w:szCs w:val="20"/>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141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Accounts payable and accrued expenses</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8"/>
              </w:rPr>
              <w:t>(10,351)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(11,085)</w:t>
            </w:r>
          </w:p>
        </w:tc>
      </w:tr>
      <w:tr>
        <w:trPr>
          <w:trHeight w:val="219"/>
        </w:trPr>
        <w:tc>
          <w:tcPr>
            <w:tcW w:w="8120" w:type="dxa"/>
            <w:vAlign w:val="bottom"/>
          </w:tcPr>
          <w:p>
            <w:pPr>
              <w:ind w:left="40"/>
              <w:spacing w:after="0"/>
              <w:rPr>
                <w:sz w:val="20"/>
                <w:szCs w:val="20"/>
                <w:color w:val="auto"/>
              </w:rPr>
            </w:pPr>
            <w:r>
              <w:rPr>
                <w:rFonts w:ascii="Arial" w:cs="Arial" w:eastAsia="Arial" w:hAnsi="Arial"/>
                <w:sz w:val="17"/>
                <w:szCs w:val="17"/>
                <w:color w:val="auto"/>
              </w:rPr>
              <w:t>Net cash (used in) provided by operating activities</w:t>
            </w:r>
          </w:p>
        </w:tc>
        <w:tc>
          <w:tcPr>
            <w:tcW w:w="9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(2,089)</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735</w:t>
            </w:r>
          </w:p>
        </w:tc>
      </w:tr>
      <w:tr>
        <w:trPr>
          <w:trHeight w:val="31"/>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investing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Purchase of short-term investments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88"/>
              </w:rPr>
              <w:t>(38,663)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(40,234)</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 of fixed-maturity investments, available-for-sale</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8"/>
              </w:rPr>
              <w:t>(60,212)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(31,085)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maturity of short-term investments</w:t>
            </w:r>
          </w:p>
        </w:tc>
        <w:tc>
          <w:tcPr>
            <w:tcW w:w="960" w:type="dxa"/>
            <w:vAlign w:val="bottom"/>
          </w:tcPr>
          <w:p>
            <w:pPr>
              <w:spacing w:after="0"/>
              <w:rPr>
                <w:sz w:val="21"/>
                <w:szCs w:val="21"/>
                <w:color w:val="auto"/>
              </w:rPr>
            </w:pPr>
          </w:p>
        </w:tc>
        <w:tc>
          <w:tcPr>
            <w:tcW w:w="640" w:type="dxa"/>
            <w:vAlign w:val="bottom"/>
          </w:tcPr>
          <w:p>
            <w:pPr>
              <w:jc w:val="right"/>
              <w:ind w:right="15"/>
              <w:spacing w:after="0"/>
              <w:rPr>
                <w:sz w:val="20"/>
                <w:szCs w:val="20"/>
                <w:color w:val="auto"/>
              </w:rPr>
            </w:pPr>
            <w:r>
              <w:rPr>
                <w:rFonts w:ascii="Arial" w:cs="Arial" w:eastAsia="Arial" w:hAnsi="Arial"/>
                <w:sz w:val="18"/>
                <w:szCs w:val="18"/>
                <w:color w:val="auto"/>
                <w:w w:val="94"/>
              </w:rPr>
              <w:t>46,845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24,347</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redemptions, maturities and sale of fixed-maturity investments, available-for-sale</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9"/>
              </w:rPr>
              <w:t>23,841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65,075</w:t>
            </w: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Software and equipment</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(3,069)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(2,319)</w:t>
            </w:r>
          </w:p>
        </w:tc>
      </w:tr>
      <w:tr>
        <w:trPr>
          <w:trHeight w:val="31"/>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provided by investing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8"/>
              </w:rPr>
              <w:t>(31,258)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15,784</w:t>
            </w:r>
          </w:p>
        </w:tc>
      </w:tr>
      <w:tr>
        <w:trPr>
          <w:trHeight w:val="233"/>
        </w:trPr>
        <w:tc>
          <w:tcPr>
            <w:tcW w:w="8120" w:type="dxa"/>
            <w:vAlign w:val="bottom"/>
          </w:tcPr>
          <w:p>
            <w:pPr>
              <w:ind w:left="40"/>
              <w:spacing w:after="0"/>
              <w:rPr>
                <w:sz w:val="20"/>
                <w:szCs w:val="20"/>
                <w:color w:val="auto"/>
              </w:rPr>
            </w:pPr>
            <w:r>
              <w:rPr>
                <w:rFonts w:ascii="Arial" w:cs="Arial" w:eastAsia="Arial" w:hAnsi="Arial"/>
                <w:sz w:val="17"/>
                <w:szCs w:val="17"/>
                <w:color w:val="auto"/>
              </w:rPr>
              <w:t>Cash flows from financing activities</w:t>
            </w:r>
          </w:p>
        </w:tc>
        <w:tc>
          <w:tcPr>
            <w:tcW w:w="9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issuance of common stock related to employee equity plans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449</w:t>
            </w: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Taxes paid related to net share settlement of equity awards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(3,503)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(608)</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Repayments of term loan</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(375)</w:t>
            </w: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Payments of debt modification costs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(370)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financing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(534)</w:t>
            </w:r>
          </w:p>
        </w:tc>
      </w:tr>
      <w:tr>
        <w:trPr>
          <w:trHeight w:val="291"/>
        </w:trPr>
        <w:tc>
          <w:tcPr>
            <w:tcW w:w="81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(decrease) increase in cash and cash equivalents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8"/>
              </w:rPr>
              <w:t>(35,203)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15,985</w:t>
            </w:r>
          </w:p>
        </w:tc>
      </w:tr>
      <w:tr>
        <w:trPr>
          <w:trHeight w:val="239"/>
        </w:trPr>
        <w:tc>
          <w:tcPr>
            <w:tcW w:w="8120" w:type="dxa"/>
            <w:vAlign w:val="bottom"/>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960" w:type="dxa"/>
            <w:vAlign w:val="bottom"/>
          </w:tcPr>
          <w:p>
            <w:pPr>
              <w:spacing w:after="0"/>
              <w:rPr>
                <w:sz w:val="20"/>
                <w:szCs w:val="20"/>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w w:val="99"/>
              </w:rPr>
              <w:t>47,746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57,317</w:t>
            </w:r>
          </w:p>
        </w:tc>
      </w:tr>
      <w:tr>
        <w:trPr>
          <w:trHeight w:val="31"/>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end of period</w:t>
            </w:r>
          </w:p>
        </w:tc>
        <w:tc>
          <w:tcPr>
            <w:tcW w:w="96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99"/>
              </w:rPr>
              <w:t>12,543</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73,302</w:t>
            </w:r>
          </w:p>
        </w:tc>
      </w:tr>
      <w:tr>
        <w:trPr>
          <w:trHeight w:val="284"/>
        </w:trPr>
        <w:tc>
          <w:tcPr>
            <w:tcW w:w="8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39"/>
        </w:trPr>
        <w:tc>
          <w:tcPr>
            <w:tcW w:w="8120" w:type="dxa"/>
            <w:vAlign w:val="bottom"/>
          </w:tcPr>
          <w:p>
            <w:pPr>
              <w:ind w:left="40"/>
              <w:spacing w:after="0"/>
              <w:rPr>
                <w:sz w:val="20"/>
                <w:szCs w:val="20"/>
                <w:color w:val="auto"/>
              </w:rPr>
            </w:pPr>
            <w:r>
              <w:rPr>
                <w:rFonts w:ascii="Arial" w:cs="Arial" w:eastAsia="Arial" w:hAnsi="Arial"/>
                <w:sz w:val="17"/>
                <w:szCs w:val="17"/>
                <w:color w:val="auto"/>
              </w:rPr>
              <w:t>Supplemental disclosures of cash flow information</w:t>
            </w: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Noncash financing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Interest paid</w:t>
            </w:r>
          </w:p>
        </w:tc>
        <w:tc>
          <w:tcPr>
            <w:tcW w:w="960" w:type="dxa"/>
            <w:vAlign w:val="bottom"/>
          </w:tcPr>
          <w:p>
            <w:pPr>
              <w:jc w:val="right"/>
              <w:ind w:right="780"/>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3,314</w:t>
            </w:r>
          </w:p>
        </w:tc>
        <w:tc>
          <w:tcPr>
            <w:tcW w:w="100" w:type="dxa"/>
            <w:vAlign w:val="bottom"/>
          </w:tcPr>
          <w:p>
            <w:pPr>
              <w:spacing w:after="0"/>
              <w:rPr>
                <w:sz w:val="20"/>
                <w:szCs w:val="20"/>
                <w:color w:val="auto"/>
              </w:rPr>
            </w:pPr>
          </w:p>
        </w:tc>
        <w:tc>
          <w:tcPr>
            <w:tcW w:w="52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3,225</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9"/>
        </w:trPr>
        <w:tc>
          <w:tcPr>
            <w:tcW w:w="81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Taxes paid</w:t>
            </w:r>
          </w:p>
        </w:tc>
        <w:tc>
          <w:tcPr>
            <w:tcW w:w="9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170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 Holdings, Inc. (NMIH) is a Delaware corporation, incorporated in May 2011, to provide private mortgage guaranty insurance (which we refer to as mortgage insurance or MI) through its wholly owned insurance subsidiaries, National Mortgage Insurance Corporation (NMIC) and National Mortgage Reinsurance Inc One (Re One). In April 2012, we completed a private placement of our securities, through which we offered and sold an aggregate of 55,000,000 of our Class A common stock resulting in net proceeds of approximately $510 million (the Private Placement), and we completed the acquisition of our insurance subsidiaries for $8.5 million in cash, common stock and warrants, plus the assumption of $1.3 million in liabilities. In November 2013, we completed an initial public offering of 2.4 million shares of our common stock, and our common stock began trading on the NASDAQ exchange on November 8, 2013, under the symbol "NMIH."</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2013, NMIC, our primary insurance subsidiary, issued its first mortgage insurance policy. NMIC is licensed to write mortgage insurance in all 50 states and D.C. In August 2015, NMIH capitalized a wholly owned subsidiary, NMI Services, Inc. (NMIS), through which we offer outsourced loan review services on a limited basis to mortgage loan originators.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accompanying unaudited condensed consolidated financial statements, which include the results of NMIH and its wholly 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2016, included in our 2016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The results of operations for the interim period may not be indicative of the results that may be expected for the full year ending December 31, 2017.</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Policy Acquisition Costs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Costs directly associated with the successful acquisition of mortgage insurance policies, consisting of certain selling expenses and other policy issuance and underwriting expenses, are initially deferred and reported as deferred policy acquisition costs (DAC). DAC is reviewed periodically to determine that it does not exceed recoverable amounts and is adjusted as appropriate for policy cancellations to be consistent with our revenue recognition policy. We estimate the rate of amortization to reflect actual experience and any changes to persistency or loss development. For each book year of business, these costs are amortized to expense in proportion to estimated gross profits over the estimated life of the policies. Total amortization of DAC for the three months ended March 31, 2017 and 2016, net of a portion of ceding commission related to the 2016 QSR Transaction (see Note 5, </w:t>
      </w:r>
      <w:r>
        <w:rPr>
          <w:rFonts w:ascii="Arial" w:cs="Arial" w:eastAsia="Arial" w:hAnsi="Arial"/>
          <w:sz w:val="16"/>
          <w:szCs w:val="16"/>
          <w:i w:val="1"/>
          <w:iCs w:val="1"/>
          <w:color w:val="auto"/>
        </w:rPr>
        <w:t>"Reinsurance")</w:t>
      </w:r>
      <w:r>
        <w:rPr>
          <w:rFonts w:ascii="Arial" w:cs="Arial" w:eastAsia="Arial" w:hAnsi="Arial"/>
          <w:sz w:val="18"/>
          <w:szCs w:val="18"/>
          <w:color w:val="auto"/>
        </w:rPr>
        <w:t>, was $1.0 million and $0.9 million, respectively.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 Deficiency Reserves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consider whether a premium deficiency exists at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related unearned premiums and anticipated investment income. We have determined that no premium deficiency reserves were necessary for the three months ended March 31, 2017 or 2016.</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account for premiums, losses and loss expenses that are ceded to reinsurers on bases consistent with those we use to account for the original policies we issue and pursuant to the terms of our reinsurance contracts. We account for premiums ceded to reinsurers as reductions to premium revenue. We earn profit commissions, which represent a percentage of the profits recognized by the reinsurers that are returned to us, based on the level of losses ceded. We recognize any profit commissions we earn as increases in net premium revenue.</w:t>
      </w:r>
    </w:p>
    <w:p>
      <w:pPr>
        <w:spacing w:after="0" w:line="133"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We receive ceding commissions, calculated as a percentage of ceded written premiums, which are intended to cover our costs to acquire and service the direct policies. We earn the ceding commissions in a manner consistent with our recognition of earnings on the underlying insurance policies, over the terms of the policies reinsured. We account for ceding commissions as reductions to underwriting and operating expenses.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4"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We cede a portion of loss reserves, paid losses and loss expenses, which are accounted for as reductions to loss expense and as reinsurance recoverables. We remain directly liable for all loss payments in the event we are unable to collect from any reinsurer.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Receivable</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Premiums receivable consist of premiums due on our mortgage insurance policies. If a mortgage insurance premium is unpaid for more than 120 days, the receivable is written off against earned premium and the related insurance policy is canceled.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In May 2014, the Financial accounting Standards Board (the FASB) issued Accounting Standards Update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w:t>
      </w:r>
      <w:r>
        <w:rPr>
          <w:rFonts w:ascii="Arial" w:cs="Arial" w:eastAsia="Arial" w:hAnsi="Arial"/>
          <w:sz w:val="16"/>
          <w:szCs w:val="16"/>
          <w:color w:val="auto"/>
        </w:rPr>
        <w:t>(Topic 606). This update is intended to provide a consistent approach in recognizing revenue. In accordance with the new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In August 2015, ASU 2015-14 deferred the provisions of ASU 2014-09 to be effective for interim and annual periods beginning after December 15, 2017. In addition, this guidance amends the existing requirements for the recognition of a gain or loss on the transfer of non-financial assets that are not in a contract with a customer (ASU 2017-05). The Company is currently evaluating the impact the adoption of this ASU will have, if any, on the consolidated financial statements; however, this update is not expected to impact the recognition of revenue related to insurance premiums or investments, which represent the majority of our total revenues.</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This update requires that businesses recognize rights and obligations associated with certain leases as assets and liabilities on the balance sheet.The standard also requires additional disclosures regarding the amount, timing, and uncertainty of cash flows arising from leases. For public business entities, this update is effective for annual periods beginning after December 15, 2018 and interim periods therein. Early adoption is permitted in any period. We expect to adopt this guidance on January 1, 2019. We anticipate this standard will have a material impact on our financial position, primarily due to our office space operating lease, as we will be required to recognize lease assets and lease liabilities on our consolidated balance sheet. We will continue to assess the potential impacts of this standard, including the impact the adoption of this guidance will have on our results of operations or cash flows.</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(Topic 326). This update requires companies to measure all expected credit losses for financial assets held at the reporting date. The accounting for credit losses on available-for-sale debt securities and purchased financial assets with credit deterioration also is amended in the standard. The standard will take effect for public business entities for fiscal years, and interim periods within those fiscal years, beginning after December 15, 2019. The Company is currently in the early stages of evaluating the impact the adoption of this ASU will have, if any, on the consolidated financial statements.</w:t>
      </w:r>
    </w:p>
    <w:p>
      <w:pPr>
        <w:spacing w:after="0" w:line="13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(Topic 230). This update is intended to reduce diversity in practice in how certain cash receipts and cash payments are presented and classified in the statement of cash flows. The standard will take effect for public business entities for fiscal years, and interim periods within those fiscal years, beginning after December 15, 2017. The Company is currently in the early stages of evaluating the impact the adoption of this ASU will have, if any, on the consolidated financial statements.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August 2016, the FASB issued ASU 2016-16, </w:t>
      </w:r>
      <w:r>
        <w:rPr>
          <w:rFonts w:ascii="Arial" w:cs="Arial" w:eastAsia="Arial" w:hAnsi="Arial"/>
          <w:sz w:val="18"/>
          <w:szCs w:val="18"/>
          <w:i w:val="1"/>
          <w:iCs w:val="1"/>
          <w:color w:val="auto"/>
        </w:rPr>
        <w:t>Income Taxes- Intra-Entity Transfers of Assets Other Than Inventory</w:t>
      </w:r>
      <w:r>
        <w:rPr>
          <w:rFonts w:ascii="Arial" w:cs="Arial" w:eastAsia="Arial" w:hAnsi="Arial"/>
          <w:sz w:val="18"/>
          <w:szCs w:val="18"/>
          <w:color w:val="auto"/>
        </w:rPr>
        <w:t xml:space="preserve"> (Topic 740). This update is intended to improve the accounting for the income tax consequences of intra-entity transfers of assets other than inventory. The standard will take effect for public business entities for fiscal years, and interim periods within those fiscal years, beginning after December 15, 2017. Early adoption is permitted at the beginning of any annual reporting period. The Company is currently in the early stages of evaluating the impact the adoption of this ASU will have, if any, on the consolidated financial statements.</w:t>
      </w:r>
    </w:p>
    <w:p>
      <w:pPr>
        <w:spacing w:after="0" w:line="13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(Topic 350). This update is intended to simplify the test for goodwill impairment. The standard will take effect for public business entities for fiscal years, and interim periods within those fiscal years, after December 15, 2020. Early adoption is permitted for interim or annual goodwill impairment tests performed on testing dates after January 1, 2017. The Company is currently in the early stages of evaluating the impact the adoption of this ASU will have, if any, on the consolidated financial statements.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March 2017, the FASB issued ASU 2017-08, </w:t>
      </w:r>
      <w:r>
        <w:rPr>
          <w:rFonts w:ascii="Arial" w:cs="Arial" w:eastAsia="Arial" w:hAnsi="Arial"/>
          <w:sz w:val="17"/>
          <w:szCs w:val="17"/>
          <w:i w:val="1"/>
          <w:iCs w:val="1"/>
          <w:color w:val="auto"/>
        </w:rPr>
        <w:t>Receivables - Nonrefundable Fees and Other Costs</w:t>
      </w:r>
      <w:r>
        <w:rPr>
          <w:rFonts w:ascii="Arial" w:cs="Arial" w:eastAsia="Arial" w:hAnsi="Arial"/>
          <w:sz w:val="17"/>
          <w:szCs w:val="17"/>
          <w:color w:val="auto"/>
        </w:rPr>
        <w:t xml:space="preserve"> (Subtopic 310-20). This update shortens the amortization period for the premium on certain purchased callable debt securities to the earliest call date. The standard will take effect for public business entities for fiscal years beginning after December 15, 2017. Early adoption is permitted, and if an entity early adopts the guidance in an interim period, any adjustments are reflected as of the beginning of the fiscal year that includes that interim period. The Company is currently in the early stages of evaluating the impact the adoption of this ASU will have, if any, on the consolidated financial statements.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Immaterial Correction of Prior Period Amounts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first quarter of 2017, after filing its 2016 10-K, including the audited financial statements included therein, the Company discovered that $1.8 million of deferred taxes on vested options associated with employees who had terminated employment in previous years had not been reversed. Because the Company’s deferred tax asset (DTA) was subject to a valuation allowance prior to December 2016, no expense would have been recognized by the Company in periods prior to December 2016. However, at December 31, 2016, when the Company released the valuation allowance against its DTA, the DTA was overstated by $1.8 million. The release of the valuation allowance resulted in a $1.8 million overstatement of the Company’s 2016 income tax benefit and net income.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provide consistency in the consolidated statements and as permitted by Staff Accounting Bulletin (SAB) 108, revisions for these immaterial amounts to previously reported annual amounts are reflected in the Consolidated Balance Sheet financial information herein and will be reflected in the Consolidated Statement of Operations in future filings containing such financial information as permitted by SAB 108. A comparison of the effected amounts as reported and as adjusted are reported below.</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ind w:left="40"/>
              <w:spacing w:after="0"/>
              <w:rPr>
                <w:sz w:val="20"/>
                <w:szCs w:val="20"/>
                <w:color w:val="auto"/>
              </w:rPr>
            </w:pPr>
            <w:r>
              <w:rPr>
                <w:rFonts w:ascii="Arial" w:cs="Arial" w:eastAsia="Arial" w:hAnsi="Arial"/>
                <w:sz w:val="14"/>
                <w:szCs w:val="14"/>
                <w:b w:val="1"/>
                <w:bCs w:val="1"/>
                <w:color w:val="auto"/>
              </w:rPr>
              <w:t>As of and for the full year ended December 31, 2016</w:t>
            </w:r>
          </w:p>
        </w:tc>
        <w:tc>
          <w:tcPr>
            <w:tcW w:w="2100" w:type="dxa"/>
            <w:vAlign w:val="bottom"/>
          </w:tcPr>
          <w:p>
            <w:pPr>
              <w:spacing w:after="0"/>
              <w:rPr>
                <w:sz w:val="16"/>
                <w:szCs w:val="16"/>
                <w:color w:val="auto"/>
              </w:rPr>
            </w:pPr>
          </w:p>
        </w:tc>
        <w:tc>
          <w:tcPr>
            <w:tcW w:w="1980" w:type="dxa"/>
            <w:vAlign w:val="bottom"/>
          </w:tcPr>
          <w:p>
            <w:pPr>
              <w:jc w:val="right"/>
              <w:ind w:right="354"/>
              <w:spacing w:after="0"/>
              <w:rPr>
                <w:sz w:val="20"/>
                <w:szCs w:val="20"/>
                <w:color w:val="auto"/>
              </w:rPr>
            </w:pPr>
            <w:r>
              <w:rPr>
                <w:rFonts w:ascii="Arial" w:cs="Arial" w:eastAsia="Arial" w:hAnsi="Arial"/>
                <w:sz w:val="14"/>
                <w:szCs w:val="14"/>
                <w:b w:val="1"/>
                <w:bCs w:val="1"/>
                <w:color w:val="auto"/>
                <w:w w:val="99"/>
              </w:rPr>
              <w:t>As previously reported</w:t>
            </w:r>
          </w:p>
        </w:tc>
        <w:tc>
          <w:tcPr>
            <w:tcW w:w="600" w:type="dxa"/>
            <w:vAlign w:val="bottom"/>
          </w:tcPr>
          <w:p>
            <w:pPr>
              <w:spacing w:after="0"/>
              <w:rPr>
                <w:sz w:val="16"/>
                <w:szCs w:val="16"/>
                <w:color w:val="auto"/>
              </w:rPr>
            </w:pPr>
          </w:p>
        </w:tc>
        <w:tc>
          <w:tcPr>
            <w:tcW w:w="1620" w:type="dxa"/>
            <w:vAlign w:val="bottom"/>
          </w:tcPr>
          <w:p>
            <w:pPr>
              <w:jc w:val="right"/>
              <w:ind w:right="632"/>
              <w:spacing w:after="0"/>
              <w:rPr>
                <w:sz w:val="20"/>
                <w:szCs w:val="20"/>
                <w:color w:val="auto"/>
              </w:rPr>
            </w:pPr>
            <w:r>
              <w:rPr>
                <w:rFonts w:ascii="Arial" w:cs="Arial" w:eastAsia="Arial" w:hAnsi="Arial"/>
                <w:sz w:val="14"/>
                <w:szCs w:val="14"/>
                <w:b w:val="1"/>
                <w:bCs w:val="1"/>
                <w:color w:val="auto"/>
              </w:rPr>
              <w:t>As adjusted</w:t>
            </w:r>
          </w:p>
        </w:tc>
      </w:tr>
      <w:tr>
        <w:trPr>
          <w:trHeight w:val="276"/>
        </w:trPr>
        <w:tc>
          <w:tcPr>
            <w:tcW w:w="5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580" w:type="dxa"/>
            <w:vAlign w:val="bottom"/>
            <w:gridSpan w:val="2"/>
          </w:tcPr>
          <w:p>
            <w:pPr>
              <w:jc w:val="right"/>
              <w:ind w:right="90"/>
              <w:spacing w:after="0"/>
              <w:rPr>
                <w:sz w:val="20"/>
                <w:szCs w:val="20"/>
                <w:color w:val="auto"/>
              </w:rPr>
            </w:pPr>
            <w:r>
              <w:rPr>
                <w:rFonts w:ascii="Arial" w:cs="Arial" w:eastAsia="Arial" w:hAnsi="Arial"/>
                <w:sz w:val="14"/>
                <w:szCs w:val="14"/>
                <w:i w:val="1"/>
                <w:iCs w:val="1"/>
                <w:color w:val="auto"/>
              </w:rPr>
              <w:t>(In thousands)</w:t>
            </w:r>
          </w:p>
        </w:tc>
        <w:tc>
          <w:tcPr>
            <w:tcW w:w="1620" w:type="dxa"/>
            <w:vAlign w:val="bottom"/>
          </w:tcPr>
          <w:p>
            <w:pPr>
              <w:spacing w:after="0"/>
              <w:rPr>
                <w:sz w:val="24"/>
                <w:szCs w:val="24"/>
                <w:color w:val="auto"/>
              </w:rPr>
            </w:pP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Income Statement</w:t>
            </w:r>
          </w:p>
        </w:tc>
        <w:tc>
          <w:tcPr>
            <w:tcW w:w="2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74"/>
              <w:spacing w:after="0"/>
              <w:rPr>
                <w:sz w:val="20"/>
                <w:szCs w:val="20"/>
                <w:color w:val="auto"/>
              </w:rPr>
            </w:pPr>
            <w:r>
              <w:rPr>
                <w:rFonts w:ascii="Arial" w:cs="Arial" w:eastAsia="Arial" w:hAnsi="Arial"/>
                <w:sz w:val="18"/>
                <w:szCs w:val="18"/>
                <w:color w:val="auto"/>
              </w:rPr>
              <w:t>65,841</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64,001</w:t>
            </w:r>
          </w:p>
        </w:tc>
      </w:tr>
      <w:tr>
        <w:trPr>
          <w:trHeight w:val="27"/>
        </w:trPr>
        <w:tc>
          <w:tcPr>
            <w:tcW w:w="5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2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(54,389)</w:t>
            </w:r>
          </w:p>
        </w:tc>
        <w:tc>
          <w:tcPr>
            <w:tcW w:w="6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(52,550)</w:t>
            </w: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Basic EPS</w:t>
            </w:r>
          </w:p>
        </w:tc>
        <w:tc>
          <w:tcPr>
            <w:tcW w:w="2100" w:type="dxa"/>
            <w:vAlign w:val="bottom"/>
          </w:tcPr>
          <w:p>
            <w:pPr>
              <w:spacing w:after="0"/>
              <w:rPr>
                <w:sz w:val="21"/>
                <w:szCs w:val="21"/>
                <w:color w:val="auto"/>
              </w:rPr>
            </w:pPr>
          </w:p>
        </w:tc>
        <w:tc>
          <w:tcPr>
            <w:tcW w:w="1980" w:type="dxa"/>
            <w:vAlign w:val="bottom"/>
          </w:tcPr>
          <w:p>
            <w:pPr>
              <w:jc w:val="right"/>
              <w:ind w:right="74"/>
              <w:spacing w:after="0"/>
              <w:rPr>
                <w:sz w:val="20"/>
                <w:szCs w:val="20"/>
                <w:color w:val="auto"/>
              </w:rPr>
            </w:pPr>
            <w:r>
              <w:rPr>
                <w:rFonts w:ascii="Arial" w:cs="Arial" w:eastAsia="Arial" w:hAnsi="Arial"/>
                <w:sz w:val="18"/>
                <w:szCs w:val="18"/>
                <w:color w:val="auto"/>
              </w:rPr>
              <w:t>1.11</w:t>
            </w:r>
          </w:p>
        </w:tc>
        <w:tc>
          <w:tcPr>
            <w:tcW w:w="6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1.08</w:t>
            </w:r>
          </w:p>
        </w:tc>
      </w:tr>
      <w:tr>
        <w:trPr>
          <w:trHeight w:val="27"/>
        </w:trPr>
        <w:tc>
          <w:tcPr>
            <w:tcW w:w="5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EPS</w:t>
            </w:r>
          </w:p>
        </w:tc>
        <w:tc>
          <w:tcPr>
            <w:tcW w:w="2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1.08</w:t>
            </w:r>
          </w:p>
        </w:tc>
        <w:tc>
          <w:tcPr>
            <w:tcW w:w="6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r>
      <w:tr>
        <w:trPr>
          <w:trHeight w:val="324"/>
        </w:trPr>
        <w:tc>
          <w:tcPr>
            <w:tcW w:w="5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 Sheet</w:t>
            </w:r>
          </w:p>
        </w:tc>
        <w:tc>
          <w:tcPr>
            <w:tcW w:w="2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Deferred tax asset, net</w:t>
            </w:r>
          </w:p>
        </w:tc>
        <w:tc>
          <w:tcPr>
            <w:tcW w:w="2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74"/>
              <w:spacing w:after="0"/>
              <w:rPr>
                <w:sz w:val="20"/>
                <w:szCs w:val="20"/>
                <w:color w:val="auto"/>
              </w:rPr>
            </w:pPr>
            <w:r>
              <w:rPr>
                <w:rFonts w:ascii="Arial" w:cs="Arial" w:eastAsia="Arial" w:hAnsi="Arial"/>
                <w:sz w:val="18"/>
                <w:szCs w:val="18"/>
                <w:color w:val="auto"/>
              </w:rPr>
              <w:t>53,274</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51,434</w:t>
            </w:r>
          </w:p>
        </w:tc>
      </w:tr>
      <w:tr>
        <w:trPr>
          <w:trHeight w:val="27"/>
        </w:trPr>
        <w:tc>
          <w:tcPr>
            <w:tcW w:w="5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841,737</w:t>
            </w:r>
          </w:p>
        </w:tc>
        <w:tc>
          <w:tcPr>
            <w:tcW w:w="6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839,897</w:t>
            </w: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1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(94,882)</w:t>
            </w:r>
          </w:p>
        </w:tc>
        <w:tc>
          <w:tcPr>
            <w:tcW w:w="6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(96,722)</w:t>
            </w:r>
          </w:p>
        </w:tc>
      </w:tr>
      <w:tr>
        <w:trPr>
          <w:trHeight w:val="27"/>
        </w:trPr>
        <w:tc>
          <w:tcPr>
            <w:tcW w:w="5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210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477,349</w:t>
            </w:r>
          </w:p>
        </w:tc>
        <w:tc>
          <w:tcPr>
            <w:tcW w:w="60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475,509</w:t>
            </w:r>
          </w:p>
        </w:tc>
      </w:tr>
      <w:tr>
        <w:trPr>
          <w:trHeight w:val="27"/>
        </w:trPr>
        <w:tc>
          <w:tcPr>
            <w:tcW w:w="51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 in Accounting Principle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(Topic 718), which intends to simplify various aspects of the accounting for and reporting of share-based payments. The new accounting is required to be adopted using a modified retrospective approach, with a cumulative-effect adjustment to opening retained earnings for any outstanding liability awards that qualify for equity classification under the new guidance.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the guidance is effective for annual and interim reporting periods beginning after December 15, 2016, the Company adopted the new guidance in the first quarter of 2017. This requires us to reflect any adjustments as of January 1, 2017, the beginning of the annual period that includes the interim period of adoption. The primary impact of adoption was the recognition of excess tax benefits in our provision for income taxes in our consolidated statement of earnings. Additionally, our consolidated statement of cash flows now present excess tax benefits as an operating activity on a prospective basis. Finally, we have elected to account for forfeitures as they occur, rather than estimate expected forfeitures. The net cumulative effect of this change was recognized as a $0.5 million reduction to the retained deficit as of January 1, 2017.</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Subsequent Event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2, 2017, we entered into an excess of loss reinsurance agreement with Oaktown Re Ltd., a Bermuda-domiciled special purpose insurer. In connection with the transaction, NMIC will receive $211.3 million of fully collateralized excess of loss reinsurance protection, covering an existing portfolio of mortgage insurance policies written from 2013 through 2016. In connection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note offering, as is customary in such capital markets transactions, NMIH indemnified the underwriter with respect to information provided in the offering materials about NMIC and the reinsured loans.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designated our investment portfolio as available-for-sale and report it at fair value. The related unrealized gains and losses are, after considering the related tax expense or benefit, recognized as a component of accumulated other comprehensive income and loss in shareholders' equity. Net realized investment gains and losses are reported in income based upon specific identification of securities sold.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March 31, 2017</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66,555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65,708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70,543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70,396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360,955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2,466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361,640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107,008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107,391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605,061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3,481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605,135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53,402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53,505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658,463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3,584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658,640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2016</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64,135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63,179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40,801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40,269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349,712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349,078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114,456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114,661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569,104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2,624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567,187</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61,584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61,782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630,688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628,969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2017 and December 31, 2016, there were approximately $6.9 million of cash and investments in the form of U.S. Treasury securities on deposit with various state insurance departments to satisfy regulatory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amortized cost and fair values of available for sale securities as of March 31, 2017 and December 31, 2016,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separate categories.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March 31, 2017</w:t>
            </w: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120,819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120,890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147,875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148,565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266,793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266,076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15,968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15,718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107,008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107,391</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658,463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658,640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2016</w:t>
            </w:r>
          </w:p>
        </w:tc>
        <w:tc>
          <w:tcPr>
            <w:tcW w:w="320" w:type="dxa"/>
            <w:vAlign w:val="bottom"/>
          </w:tcPr>
          <w:p>
            <w:pPr>
              <w:spacing w:after="0"/>
              <w:rPr>
                <w:sz w:val="23"/>
                <w:szCs w:val="23"/>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23"/>
                <w:szCs w:val="23"/>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94,382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94,584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173,296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173,251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242,005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240,060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6,549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6,413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114,456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114,661</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630,688</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628,969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March 31, 2017, the investment portfolio had gross unrealized losses of $3.4 million, $0.4 million of which has been in an unrealized loss position for a period of 12 months or greater. We did not consider these securities to be other-than-temporarily impaired as of March 31, 2017. We based our conclusion that these investments were not other-than-temporarily impaired as of March 31, 2017 on the following facts: (i) the unrealized losses were primarily caused by interest rate movements since the purchase date; (ii) we do not intend to sell these investments; and (iii) we do not believe that it is more likely than not that we will be required to sell these investments before recovery of our amortized cost basis, which may not occur until maturity. For those securities in an unrealized loss position, the length of time the securities were in such a position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center"/>
              <w:ind w:left="15"/>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March 31, 2017</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61,703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27,663</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1,718</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29,381</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100,085</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11,022</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111,107</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29,086</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8,547</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37,633</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3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center"/>
              <w:ind w:left="15"/>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2016</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51,093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28,659</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1,704</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30,363</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135,115</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13,873</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148,988</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38,702</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2,472</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41,174</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253,569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For the three months ended March 31,</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i w:val="1"/>
                <w:iCs w:val="1"/>
                <w:color w:val="auto"/>
                <w:w w:val="91"/>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3,993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Investment expenses</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3,807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660"/>
              <w:spacing w:after="0"/>
              <w:rPr>
                <w:sz w:val="20"/>
                <w:szCs w:val="20"/>
                <w:color w:val="auto"/>
              </w:rPr>
            </w:pPr>
            <w:r>
              <w:rPr>
                <w:rFonts w:ascii="Arial" w:cs="Arial" w:eastAsia="Arial" w:hAnsi="Arial"/>
                <w:sz w:val="18"/>
                <w:szCs w:val="18"/>
                <w:i w:val="1"/>
                <w:iCs w:val="1"/>
                <w:color w:val="auto"/>
              </w:rPr>
              <w:t>Net Realized Investment Gains (Losses)</w:t>
            </w: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9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900" w:type="dxa"/>
            <w:vAlign w:val="bottom"/>
          </w:tcPr>
          <w:p>
            <w:pPr>
              <w:spacing w:after="0"/>
              <w:rPr>
                <w:sz w:val="24"/>
                <w:szCs w:val="24"/>
                <w:color w:val="auto"/>
              </w:rPr>
            </w:pPr>
          </w:p>
        </w:tc>
        <w:tc>
          <w:tcPr>
            <w:tcW w:w="3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For the three months ended March 31,</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i w:val="1"/>
                <w:iCs w:val="1"/>
                <w:color w:val="auto"/>
                <w:w w:val="91"/>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investment gains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Gross realized investment losses</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losses</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 Other-than-Temporary Impairment (OTTI)</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quarter ended March 31, 2017, we recognized an OTTI loss in earnings of $144 thousand based on a negative outlook with an unfavorable forecasted recovery.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credit losses recognized in earnings for which a portion of an OTTI loss was recognized in accumulated other comprehensive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(loss).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describes the valuation techniques used by us to determine the fair value of financial instruments held at March 31,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1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1 - Unadjusted quoted prices for identical assets or liabilities in active markets that are accessible at the measurement date for identical assets or liabilities. Financial assets utilizing Level 1 inputs are U.S. Treasury securities;</w:t>
      </w:r>
    </w:p>
    <w:p>
      <w:pPr>
        <w:spacing w:after="0" w:line="11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2 - Prices or valuations based on observable inputs other than quoted prices in active markets for identical assets and liabilities. Financial assets utilizing Level 2 inputs include certain obligations of U.S. government agencies, municipal and corporate debt securities and asset-backed securities; and</w:t>
      </w:r>
    </w:p>
    <w:p>
      <w:pPr>
        <w:spacing w:after="0" w:line="12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Level 3 - Unobservable inputs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We value our warrant liability utilizing Level 3 inputs.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level of market activity used to determine the fair value hierarchy is based on the availability of observable inputs market participants would use to price an asset or a liability, including market value price observations.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 There were no transfers between Level 1 and Level 2 of the fair value hierarchy during the quarter ended March 31, 2017.</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calculate the fair value of outstanding warrants using a Black-Scholes option-pricing model in combination with a binomial model. Variables in the model include the risk-free rate of return, dividend yield, expected life and expected volatility of our stock price.</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ASC 825, </w:t>
      </w:r>
      <w:r>
        <w:rPr>
          <w:rFonts w:ascii="Arial" w:cs="Arial" w:eastAsia="Arial" w:hAnsi="Arial"/>
          <w:sz w:val="18"/>
          <w:szCs w:val="18"/>
          <w:i w:val="1"/>
          <w:iCs w:val="1"/>
          <w:color w:val="auto"/>
        </w:rPr>
        <w:t>Disclosures about Fair Value of Financial Instruments</w:t>
      </w:r>
      <w:r>
        <w:rPr>
          <w:rFonts w:ascii="Arial" w:cs="Arial" w:eastAsia="Arial" w:hAnsi="Arial"/>
          <w:sz w:val="18"/>
          <w:szCs w:val="18"/>
          <w:color w:val="auto"/>
        </w:rPr>
        <w:t>, requires all entities to disclose the fair value of their financial instruments, both assets and liabilities recognized and not recognized in the balance sheet, for which it is practicable to estimate fair value.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list of those assets and liabilities that are measured at fair value by hierarchy level:</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March 31, 2017</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55,746</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9,962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65,708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70,396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70,396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361,640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361,640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107,391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107,391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66,048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66,048</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121,794</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549,389</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671,183</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2016</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50,719</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12,460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63,179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40,269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40,269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349,078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349,078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114,661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114,661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109,528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109,528</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160,247</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516,468</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676,715</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roll-forward of Level 3 liabilities measured at fair value: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Warrant Liability</w:t>
            </w: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50"/>
        </w:trPr>
        <w:tc>
          <w:tcPr>
            <w:tcW w:w="7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3,367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 in fair value of warrant liability included in earnings</w:t>
            </w:r>
          </w:p>
        </w:tc>
        <w:tc>
          <w:tcPr>
            <w:tcW w:w="36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3,563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797</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revalue the warrant liability quarterly using a Black-Scholes option-pricing model, in combination with a binomial model, and we value the pricing protection features within the warrants using a Monte-Carlo simulation model. As of March 31, 2017, the assumptions used in the option-pricing model were as follows: a common stock price as of March 31, 2017 of $11.40, risk free interest rate of 1.70%, expected life of 3.92 years, expected volatility of 30.5% and a dividend yield of 0%. The change in fair value is primarily attributable to an increase in the price of our common stock from December 31, 2016 to March 31,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Term Loan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November 10, 2015, the Company entered into a credit agreement (the Credit Agreement) to obtain a three-year senior secured term loan B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Term Loan) for $150 million. On February 10, 2017, we entered into an amendment to the Credit Agreement, to extend the maturity date by one year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reduce the interest rate. We performed an analysis and concluded the amendment to the Credit Agreement should be treated as a modification.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2017, the Term Loan bears interest at the Eurodollar Rate, as defined in the Credit Agreement, (1% floor) plus an annual margin rate of 6.75%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all-in rate of 8.0% as of March 31, 2017), payable quarterly. Quarterly principal payments of $375 thousand are also required. The outstanding balance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31, 2017 was $147.8 million.</w:t>
      </w:r>
    </w:p>
    <w:p>
      <w:pPr>
        <w:spacing w:after="0" w:line="15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Debt issuance costs totaling $4.8 million and a 1% debt discount are being amortized to interest expense, using the effective interest method, over the contractual life of the Term Loan, including $370 thousand related to the modification. Effective interest rate for the Term Loan includes interest, amortization of issuance cost and the discount. For the three months ended March 31, 2017, the Company recorded $3.5 million of interest expense, including amortization of the issuance cost and discount.</w:t>
      </w:r>
    </w:p>
    <w:p>
      <w:pPr>
        <w:spacing w:after="0" w:line="13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NMIH is subject to certain quarterly covenants under the Credit Agreement. These covenants include, but are not limited to the following: a maximum debt-to-total capitalization ratio (as defined) of 35%, maximum risk-to-capital (RTC) ratio of 22.0:1.0, liquidity (as defined) of $33.4 million as of March 31, 2017, compliance with the PMIERs financial requirements (subject to any GSE-approved waivers), and equity requirements. This description is not intended to be complete in all respects and is qualified in its entirety by the terms of the Credit Agreement, including its covenants and events of default. We were in compliance with all covenants as of March 31, 2017.</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payments for the Company's Term Loan as of March 31, 2017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Pr>
          <w:p>
            <w:pPr>
              <w:ind w:left="40"/>
              <w:spacing w:after="0"/>
              <w:rPr>
                <w:sz w:val="20"/>
                <w:szCs w:val="20"/>
                <w:color w:val="auto"/>
              </w:rPr>
            </w:pPr>
            <w:r>
              <w:rPr>
                <w:rFonts w:ascii="Arial" w:cs="Arial" w:eastAsia="Arial" w:hAnsi="Arial"/>
                <w:sz w:val="14"/>
                <w:szCs w:val="14"/>
                <w:b w:val="1"/>
                <w:bCs w:val="1"/>
                <w:color w:val="auto"/>
              </w:rPr>
              <w:t>As of March 31, 2017</w:t>
            </w: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Principal</w:t>
            </w:r>
          </w:p>
        </w:tc>
      </w:tr>
      <w:tr>
        <w:trPr>
          <w:trHeight w:val="223"/>
        </w:trPr>
        <w:tc>
          <w:tcPr>
            <w:tcW w:w="9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jc w:val="right"/>
              <w:ind w:right="594"/>
              <w:spacing w:after="0"/>
              <w:rPr>
                <w:sz w:val="20"/>
                <w:szCs w:val="20"/>
                <w:color w:val="auto"/>
              </w:rPr>
            </w:pPr>
            <w:r>
              <w:rPr>
                <w:rFonts w:ascii="Arial" w:cs="Arial" w:eastAsia="Arial" w:hAnsi="Arial"/>
                <w:sz w:val="16"/>
                <w:szCs w:val="16"/>
                <w:i w:val="1"/>
                <w:iCs w:val="1"/>
                <w:color w:val="auto"/>
              </w:rPr>
              <w:t>(In thousands)</w:t>
            </w:r>
          </w:p>
        </w:tc>
      </w:tr>
      <w:tr>
        <w:trPr>
          <w:trHeight w:val="33"/>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1,500</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145,125</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147,750</w:t>
            </w:r>
          </w:p>
        </w:tc>
      </w:tr>
      <w:tr>
        <w:trPr>
          <w:trHeight w:val="20"/>
        </w:trPr>
        <w:tc>
          <w:tcPr>
            <w:tcW w:w="9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w:t>
      </w:r>
    </w:p>
    <w:p>
      <w:pPr>
        <w:spacing w:after="0" w:line="17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 xml:space="preserve">In September 2016, in order to continue to grow our business and manage insurance risk and our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under PMIERs financial requirements, the Company entered into a quota-share reinsurance transaction with a panel of third-party reinsurers, subject to certain conditions (2016 QSR Transaction). Each of the third-party reinsurers has an insurer financial strength rating of A- or better by Standard and Poor’s Rating Services (S&amp;P), A.M. Best or both. The GSEs and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Wisconsin Office of the Commissioner of Insurance (Wisconsin OCI) approved the 2016 QSR Transaction (subject to certain conditions), giving full capital credit under PMIERs and statutory accounting principles, respectively, for the risk ceded under the agreement. The credit that we receive under PMIERs is subject to periodic review by the GSEs.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w w:val="92"/>
              </w:rPr>
              <w:t>Under the 2016 QSR Transaction, effective September 1, 2016, NMIC ceded premiums related to:</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3"/>
        </w:trPr>
        <w:tc>
          <w:tcPr>
            <w:tcW w:w="640" w:type="dxa"/>
            <w:vAlign w:val="bottom"/>
          </w:tcPr>
          <w:p>
            <w:pPr>
              <w:ind w:left="340"/>
              <w:spacing w:after="0"/>
              <w:rPr>
                <w:sz w:val="20"/>
                <w:szCs w:val="20"/>
                <w:color w:val="auto"/>
              </w:rPr>
            </w:pPr>
            <w:r>
              <w:rPr>
                <w:rFonts w:ascii="Arial" w:cs="Arial" w:eastAsia="Arial" w:hAnsi="Arial"/>
                <w:sz w:val="20"/>
                <w:szCs w:val="20"/>
                <w:color w:val="auto"/>
              </w:rPr>
              <w:t>•</w:t>
            </w:r>
          </w:p>
        </w:tc>
        <w:tc>
          <w:tcPr>
            <w:tcW w:w="7260" w:type="dxa"/>
            <w:vAlign w:val="bottom"/>
          </w:tcPr>
          <w:p>
            <w:pPr>
              <w:ind w:left="80"/>
              <w:spacing w:after="0"/>
              <w:rPr>
                <w:sz w:val="20"/>
                <w:szCs w:val="20"/>
                <w:color w:val="auto"/>
              </w:rPr>
            </w:pPr>
            <w:r>
              <w:rPr>
                <w:rFonts w:ascii="Arial" w:cs="Arial" w:eastAsia="Arial" w:hAnsi="Arial"/>
                <w:sz w:val="18"/>
                <w:szCs w:val="18"/>
                <w:color w:val="auto"/>
              </w:rPr>
              <w:t>25% of existing risk written on eligible policies as of August 31, 2016;</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900" w:type="dxa"/>
            <w:vAlign w:val="bottom"/>
            <w:gridSpan w:val="2"/>
          </w:tcPr>
          <w:p>
            <w:pPr>
              <w:ind w:left="340"/>
              <w:spacing w:after="0"/>
              <w:rPr>
                <w:sz w:val="20"/>
                <w:szCs w:val="20"/>
                <w:color w:val="auto"/>
              </w:rPr>
            </w:pPr>
            <w:r>
              <w:rPr>
                <w:rFonts w:ascii="Arial" w:cs="Arial" w:eastAsia="Arial" w:hAnsi="Arial"/>
                <w:sz w:val="18"/>
                <w:szCs w:val="18"/>
                <w:color w:val="auto"/>
              </w:rPr>
              <w:t>•   100% of our existing risk under our pool agreement with Fannie Mae; and</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00" w:type="dxa"/>
            <w:vAlign w:val="bottom"/>
            <w:gridSpan w:val="2"/>
          </w:tcPr>
          <w:p>
            <w:pPr>
              <w:ind w:left="340"/>
              <w:spacing w:after="0"/>
              <w:rPr>
                <w:sz w:val="20"/>
                <w:szCs w:val="20"/>
                <w:color w:val="auto"/>
              </w:rPr>
            </w:pPr>
            <w:r>
              <w:rPr>
                <w:rFonts w:ascii="Arial" w:cs="Arial" w:eastAsia="Arial" w:hAnsi="Arial"/>
                <w:sz w:val="18"/>
                <w:szCs w:val="18"/>
                <w:color w:val="auto"/>
              </w:rPr>
              <w:t>•   25% of risk on eligible policies written from September 1, 2016 through December 31, 2017.</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640" w:type="dxa"/>
            <w:vAlign w:val="bottom"/>
          </w:tcPr>
          <w:p>
            <w:pPr>
              <w:spacing w:after="0"/>
              <w:rPr>
                <w:sz w:val="24"/>
                <w:szCs w:val="24"/>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rPr>
              <w:t>The effect of reinsurance on net premiums written and earned is as follows: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center"/>
              <w:ind w:right="133"/>
              <w:spacing w:after="0"/>
              <w:rPr>
                <w:sz w:val="20"/>
                <w:szCs w:val="20"/>
                <w:color w:val="auto"/>
              </w:rPr>
            </w:pPr>
            <w:r>
              <w:rPr>
                <w:rFonts w:ascii="Arial" w:cs="Arial" w:eastAsia="Arial" w:hAnsi="Arial"/>
                <w:sz w:val="14"/>
                <w:szCs w:val="14"/>
                <w:b w:val="1"/>
                <w:bCs w:val="1"/>
                <w:color w:val="auto"/>
                <w:w w:val="91"/>
              </w:rPr>
              <w:t>For the three months ended</w:t>
            </w:r>
          </w:p>
        </w:tc>
        <w:tc>
          <w:tcPr>
            <w:tcW w:w="0" w:type="dxa"/>
            <w:vAlign w:val="bottom"/>
          </w:tcPr>
          <w:p>
            <w:pPr>
              <w:spacing w:after="0"/>
              <w:rPr>
                <w:sz w:val="1"/>
                <w:szCs w:val="1"/>
                <w:color w:val="auto"/>
              </w:rPr>
            </w:pPr>
          </w:p>
        </w:tc>
      </w:tr>
      <w:tr>
        <w:trPr>
          <w:trHeight w:val="264"/>
        </w:trPr>
        <w:tc>
          <w:tcPr>
            <w:tcW w:w="640" w:type="dxa"/>
            <w:vAlign w:val="bottom"/>
          </w:tcPr>
          <w:p>
            <w:pPr>
              <w:spacing w:after="0"/>
              <w:rPr>
                <w:sz w:val="22"/>
                <w:szCs w:val="22"/>
                <w:color w:val="auto"/>
              </w:rPr>
            </w:pPr>
          </w:p>
        </w:tc>
        <w:tc>
          <w:tcPr>
            <w:tcW w:w="7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244"/>
        </w:trPr>
        <w:tc>
          <w:tcPr>
            <w:tcW w:w="640" w:type="dxa"/>
            <w:vAlign w:val="bottom"/>
          </w:tcPr>
          <w:p>
            <w:pPr>
              <w:spacing w:after="0"/>
              <w:rPr>
                <w:sz w:val="21"/>
                <w:szCs w:val="21"/>
                <w:color w:val="auto"/>
              </w:rPr>
            </w:pPr>
          </w:p>
        </w:tc>
        <w:tc>
          <w:tcPr>
            <w:tcW w:w="7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center"/>
              <w:ind w:right="133"/>
              <w:spacing w:after="0"/>
              <w:rPr>
                <w:sz w:val="20"/>
                <w:szCs w:val="20"/>
                <w:color w:val="auto"/>
              </w:rPr>
            </w:pPr>
            <w:r>
              <w:rPr>
                <w:rFonts w:ascii="Arial" w:cs="Arial" w:eastAsia="Arial" w:hAnsi="Arial"/>
                <w:sz w:val="14"/>
                <w:szCs w:val="14"/>
                <w:i w:val="1"/>
                <w:iCs w:val="1"/>
                <w:color w:val="auto"/>
                <w:w w:val="91"/>
              </w:rPr>
              <w:t>(In Thousands)</w:t>
            </w:r>
          </w:p>
        </w:tc>
        <w:tc>
          <w:tcPr>
            <w:tcW w:w="0" w:type="dxa"/>
            <w:vAlign w:val="bottom"/>
          </w:tcPr>
          <w:p>
            <w:pPr>
              <w:spacing w:after="0"/>
              <w:rPr>
                <w:sz w:val="1"/>
                <w:szCs w:val="1"/>
                <w:color w:val="auto"/>
              </w:rPr>
            </w:pPr>
          </w:p>
        </w:tc>
      </w:tr>
      <w:tr>
        <w:trPr>
          <w:trHeight w:val="255"/>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Direct</w:t>
            </w:r>
          </w:p>
        </w:tc>
        <w:tc>
          <w:tcPr>
            <w:tcW w:w="7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38,129</w:t>
            </w:r>
          </w:p>
        </w:tc>
        <w:tc>
          <w:tcPr>
            <w:tcW w:w="0" w:type="dxa"/>
            <w:vAlign w:val="bottom"/>
          </w:tcPr>
          <w:p>
            <w:pPr>
              <w:spacing w:after="0"/>
              <w:rPr>
                <w:sz w:val="1"/>
                <w:szCs w:val="1"/>
                <w:color w:val="auto"/>
              </w:rPr>
            </w:pP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w w:val="82"/>
              </w:rPr>
              <w:t>Ceded</w:t>
            </w:r>
          </w:p>
        </w:tc>
        <w:tc>
          <w:tcPr>
            <w:tcW w:w="7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premiums written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34,604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38,129</w:t>
            </w:r>
          </w:p>
        </w:tc>
        <w:tc>
          <w:tcPr>
            <w:tcW w:w="0" w:type="dxa"/>
            <w:vAlign w:val="bottom"/>
          </w:tcPr>
          <w:p>
            <w:pPr>
              <w:spacing w:after="0"/>
              <w:rPr>
                <w:sz w:val="1"/>
                <w:szCs w:val="1"/>
                <w:color w:val="auto"/>
              </w:rPr>
            </w:pPr>
          </w:p>
        </w:tc>
      </w:tr>
      <w:tr>
        <w:trPr>
          <w:trHeight w:val="20"/>
        </w:trPr>
        <w:tc>
          <w:tcPr>
            <w:tcW w:w="79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premiums earned</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w w:val="93"/>
              </w:rPr>
              <w:t>Direct</w:t>
            </w:r>
          </w:p>
        </w:tc>
        <w:tc>
          <w:tcPr>
            <w:tcW w:w="726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37,438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19,807</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2"/>
              </w:rPr>
              <w:t>Ceded</w:t>
            </w:r>
          </w:p>
        </w:tc>
        <w:tc>
          <w:tcPr>
            <w:tcW w:w="72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33,225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19,807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260" w:type="dxa"/>
            <w:vAlign w:val="bottom"/>
            <w:vMerge w:val="restart"/>
          </w:tcPr>
          <w:p>
            <w:pPr>
              <w:ind w:left="20"/>
              <w:spacing w:after="0"/>
              <w:rPr>
                <w:sz w:val="20"/>
                <w:szCs w:val="20"/>
                <w:color w:val="auto"/>
              </w:rPr>
            </w:pPr>
            <w:r>
              <w:rPr>
                <w:rFonts w:ascii="Arial" w:cs="Arial" w:eastAsia="Arial" w:hAnsi="Arial"/>
                <w:sz w:val="18"/>
                <w:szCs w:val="18"/>
                <w:color w:val="auto"/>
              </w:rPr>
              <w:t>The following tables show the amounts ceded related to the 2016 QSR Transaction:</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40" w:type="dxa"/>
            <w:vAlign w:val="bottom"/>
          </w:tcPr>
          <w:p>
            <w:pPr>
              <w:spacing w:after="0"/>
              <w:rPr>
                <w:sz w:val="24"/>
                <w:szCs w:val="24"/>
                <w:color w:val="auto"/>
              </w:rPr>
            </w:pPr>
          </w:p>
        </w:tc>
        <w:tc>
          <w:tcPr>
            <w:tcW w:w="7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center"/>
              <w:ind w:right="133"/>
              <w:spacing w:after="0"/>
              <w:rPr>
                <w:sz w:val="20"/>
                <w:szCs w:val="20"/>
                <w:color w:val="auto"/>
              </w:rPr>
            </w:pPr>
            <w:r>
              <w:rPr>
                <w:rFonts w:ascii="Arial" w:cs="Arial" w:eastAsia="Arial" w:hAnsi="Arial"/>
                <w:sz w:val="14"/>
                <w:szCs w:val="14"/>
                <w:b w:val="1"/>
                <w:bCs w:val="1"/>
                <w:color w:val="auto"/>
                <w:w w:val="91"/>
              </w:rPr>
              <w:t>For the three months ended</w:t>
            </w:r>
          </w:p>
        </w:tc>
        <w:tc>
          <w:tcPr>
            <w:tcW w:w="0" w:type="dxa"/>
            <w:vAlign w:val="bottom"/>
          </w:tcPr>
          <w:p>
            <w:pPr>
              <w:spacing w:after="0"/>
              <w:rPr>
                <w:sz w:val="1"/>
                <w:szCs w:val="1"/>
                <w:color w:val="auto"/>
              </w:rPr>
            </w:pPr>
          </w:p>
        </w:tc>
      </w:tr>
      <w:tr>
        <w:trPr>
          <w:trHeight w:val="264"/>
        </w:trPr>
        <w:tc>
          <w:tcPr>
            <w:tcW w:w="640" w:type="dxa"/>
            <w:vAlign w:val="bottom"/>
          </w:tcPr>
          <w:p>
            <w:pPr>
              <w:spacing w:after="0"/>
              <w:rPr>
                <w:sz w:val="22"/>
                <w:szCs w:val="22"/>
                <w:color w:val="auto"/>
              </w:rPr>
            </w:pPr>
          </w:p>
        </w:tc>
        <w:tc>
          <w:tcPr>
            <w:tcW w:w="7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244"/>
        </w:trPr>
        <w:tc>
          <w:tcPr>
            <w:tcW w:w="640" w:type="dxa"/>
            <w:vAlign w:val="bottom"/>
          </w:tcPr>
          <w:p>
            <w:pPr>
              <w:spacing w:after="0"/>
              <w:rPr>
                <w:sz w:val="21"/>
                <w:szCs w:val="21"/>
                <w:color w:val="auto"/>
              </w:rPr>
            </w:pPr>
          </w:p>
        </w:tc>
        <w:tc>
          <w:tcPr>
            <w:tcW w:w="7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center"/>
              <w:ind w:right="133"/>
              <w:spacing w:after="0"/>
              <w:rPr>
                <w:sz w:val="20"/>
                <w:szCs w:val="20"/>
                <w:color w:val="auto"/>
              </w:rPr>
            </w:pPr>
            <w:r>
              <w:rPr>
                <w:rFonts w:ascii="Arial" w:cs="Arial" w:eastAsia="Arial" w:hAnsi="Arial"/>
                <w:sz w:val="14"/>
                <w:szCs w:val="14"/>
                <w:i w:val="1"/>
                <w:iCs w:val="1"/>
                <w:color w:val="auto"/>
                <w:w w:val="91"/>
              </w:rPr>
              <w:t>(In Thousands)</w:t>
            </w:r>
          </w:p>
        </w:tc>
        <w:tc>
          <w:tcPr>
            <w:tcW w:w="0" w:type="dxa"/>
            <w:vAlign w:val="bottom"/>
          </w:tcPr>
          <w:p>
            <w:pPr>
              <w:spacing w:after="0"/>
              <w:rPr>
                <w:sz w:val="1"/>
                <w:szCs w:val="1"/>
                <w:color w:val="auto"/>
              </w:rPr>
            </w:pPr>
          </w:p>
        </w:tc>
      </w:tr>
      <w:tr>
        <w:trPr>
          <w:trHeight w:val="255"/>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Ceded risk-in-force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2,167,745</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Ceded premiums written</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Ceded premiums earned</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Ceding commission written</w:t>
            </w:r>
          </w:p>
        </w:tc>
        <w:tc>
          <w:tcPr>
            <w:tcW w:w="24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Ceding commission earned</w:t>
            </w:r>
          </w:p>
        </w:tc>
        <w:tc>
          <w:tcPr>
            <w:tcW w:w="24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NMIC receives a 20% ceding commission for premiums ceded pursuant to this transaction. NMIC will also receive a profit commission, provided that the loss ratio on the loans covered under the agreement generally remains below 60%, as measured annually. Losses on the ceded risk reduce NMIC's profit commission on a dollar-for-dollar basis.</w:t>
      </w:r>
    </w:p>
    <w:p>
      <w:pPr>
        <w:spacing w:after="0" w:line="141" w:lineRule="exact"/>
        <w:rPr>
          <w:sz w:val="20"/>
          <w:szCs w:val="20"/>
          <w:color w:val="auto"/>
        </w:rPr>
      </w:pPr>
    </w:p>
    <w:p>
      <w:pPr>
        <w:ind w:right="160" w:firstLine="648"/>
        <w:spacing w:after="0" w:line="319" w:lineRule="auto"/>
        <w:rPr>
          <w:sz w:val="20"/>
          <w:szCs w:val="20"/>
          <w:color w:val="auto"/>
        </w:rPr>
      </w:pPr>
      <w:r>
        <w:rPr>
          <w:rFonts w:ascii="Arial" w:cs="Arial" w:eastAsia="Arial" w:hAnsi="Arial"/>
          <w:sz w:val="16"/>
          <w:szCs w:val="16"/>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Ceded premiums written are recorded on the balance sheet as prepaid reinsurance premiums and amortized to ceded premiums earned in a manner consistent with the recognition of income on direct premiums.</w:t>
      </w:r>
    </w:p>
    <w:p>
      <w:pPr>
        <w:spacing w:after="0" w:line="8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reinsurance recoverable on loss reserves related to our 2016 QSR Transaction was $564 thousand as of March 31, 2017. The reinsurance recoverable balance is further supported by trust accounts established and maintained by each reinsurer in accordance with the PMIERs funding requirements that address ceded risk.</w:t>
      </w:r>
    </w:p>
    <w:p>
      <w:pPr>
        <w:spacing w:after="0" w:line="12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agreement is scheduled to terminate on December 31, 2027, except with respect to the ceded pool risk, which is scheduled to terminate on August 31, 2023. However, NMIC has the option, based on certain conditions and subject to a</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termination fee, to terminate the agreement as of December 31, 2020, or at the end of any calendar quarter thereafter, which would result in NMIC reassuming the related risk.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Reserves for Insurance Claims and Claims Expenses</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establish claim reserves to recognize the estimated liability for insurance claims and claim expenses related to defaults on insured mortgage loans. Our method, consistent with industry practice, is to establish claim reserves only for loans that have been reported to us as having been in default for at least 60 days. Our claim reserves also include amounts for estimated claims incurred on loans that have been in default for at least 60 days that have not yet been reported to us by the servicers, often referred to as IBNR. As of March 31, 2017, we have established reserves for insurance claims and claims expenses of $3.8 million for 207 primary loans in default. We paid 4 claims totaling $142 thousand during the quarter ended March 31, 2017.</w:t>
      </w:r>
    </w:p>
    <w:p>
      <w:pPr>
        <w:spacing w:after="0" w:line="1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2013, we entered into a pool insurance transaction with Fannie Mae. We only establish claim or IBNR reserves for pool risk if we expect claims to exceed the deductible under the pool agreement, which represents the amount of claims absorbed by Fannie Mae before we are obligated to pay any claims. At March 31, 2017, 47 loans in the pool were past due by 60 days or more. These 47 loans represent approximately $3.1 million in risk-in-force (RIF). Due to the size of the remaining deductible of $10.1 million, the low level of notices of default (NODs) reported through March 31, 2017 and the expected severity (all loans in the pool have loan-to-value ratios (LTVs) under 80%), we have not established any pool reserves for claims or IBNR for the three months ended March 31, 2017 and 2016. In connection with settlement of pool claims, we applied $256 thousand to the pool deductible through March 31, 2017. We have not paid any pool claims to date.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a reconciliation of the beginning and ending reserve balances for primary insurance claims and claims expenses: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54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r>
      <w:tr>
        <w:trPr>
          <w:trHeight w:val="250"/>
        </w:trPr>
        <w:tc>
          <w:tcPr>
            <w:tcW w:w="7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80" w:type="dxa"/>
            <w:vAlign w:val="bottom"/>
            <w:gridSpan w:val="3"/>
          </w:tcPr>
          <w:p>
            <w:pPr>
              <w:jc w:val="right"/>
              <w:ind w:right="696"/>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r>
      <w:tr>
        <w:trPr>
          <w:trHeight w:val="270"/>
        </w:trPr>
        <w:tc>
          <w:tcPr>
            <w:tcW w:w="7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5"/>
                <w:szCs w:val="25"/>
                <w:color w:val="auto"/>
                <w:vertAlign w:val="superscript"/>
              </w:rPr>
              <w:t>(1)</w:t>
            </w:r>
          </w:p>
        </w:tc>
        <w:tc>
          <w:tcPr>
            <w:tcW w:w="1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net of reinsurance recoverables</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2,704</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r>
      <w:tr>
        <w:trPr>
          <w:trHeight w:val="318"/>
        </w:trPr>
        <w:tc>
          <w:tcPr>
            <w:tcW w:w="79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claims incurred:</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79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r>
      <w:tr>
        <w:trPr>
          <w:trHeight w:val="270"/>
        </w:trPr>
        <w:tc>
          <w:tcPr>
            <w:tcW w:w="790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claims expenses incurred</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r>
      <w:tr>
        <w:trPr>
          <w:trHeight w:val="318"/>
        </w:trPr>
        <w:tc>
          <w:tcPr>
            <w:tcW w:w="79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paid:</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79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paid</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18"/>
        </w:trPr>
        <w:tc>
          <w:tcPr>
            <w:tcW w:w="79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at end of period, net of reinsurance recoverables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1,137</w:t>
            </w:r>
          </w:p>
        </w:tc>
      </w:tr>
      <w:tr>
        <w:trPr>
          <w:trHeight w:val="270"/>
        </w:trPr>
        <w:tc>
          <w:tcPr>
            <w:tcW w:w="7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5"/>
                <w:szCs w:val="25"/>
                <w:color w:val="auto"/>
                <w:vertAlign w:val="superscript"/>
              </w:rPr>
              <w:t>(1)</w:t>
            </w:r>
          </w:p>
        </w:tc>
        <w:tc>
          <w:tcPr>
            <w:tcW w:w="1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3,761</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1,137</w:t>
            </w:r>
          </w:p>
        </w:tc>
      </w:tr>
      <w:tr>
        <w:trPr>
          <w:trHeight w:val="20"/>
        </w:trPr>
        <w:tc>
          <w:tcPr>
            <w:tcW w:w="7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200" w:firstLine="8"/>
        <w:spacing w:after="0" w:line="244" w:lineRule="auto"/>
        <w:tabs>
          <w:tab w:leader="none" w:pos="187"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 xml:space="preserve">Related to ceded losses recoverable on the 2016 QSR Transaction, included in "Other Assets" on the Condensed Consolidated Balance Sheets. See Note 5, </w:t>
      </w:r>
      <w:r>
        <w:rPr>
          <w:rFonts w:ascii="Arial" w:cs="Arial" w:eastAsia="Arial" w:hAnsi="Arial"/>
          <w:sz w:val="14"/>
          <w:szCs w:val="14"/>
          <w:i w:val="1"/>
          <w:iCs w:val="1"/>
          <w:color w:val="auto"/>
        </w:rPr>
        <w:t>"Reinsurance"</w:t>
      </w:r>
      <w:r>
        <w:rPr>
          <w:rFonts w:ascii="Arial" w:cs="Arial" w:eastAsia="Arial" w:hAnsi="Arial"/>
          <w:sz w:val="14"/>
          <w:szCs w:val="14"/>
          <w:color w:val="auto"/>
        </w:rPr>
        <w:t xml:space="preserve"> for additional information.</w:t>
      </w:r>
    </w:p>
    <w:p>
      <w:pPr>
        <w:spacing w:after="0" w:line="1" w:lineRule="exact"/>
        <w:rPr>
          <w:rFonts w:ascii="Arial" w:cs="Arial" w:eastAsia="Arial" w:hAnsi="Arial"/>
          <w:sz w:val="22"/>
          <w:szCs w:val="22"/>
          <w:color w:val="auto"/>
          <w:vertAlign w:val="superscript"/>
        </w:rPr>
      </w:pPr>
    </w:p>
    <w:p>
      <w:pPr>
        <w:ind w:left="200" w:hanging="192"/>
        <w:spacing w:after="0" w:line="196" w:lineRule="auto"/>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5"/>
          <w:szCs w:val="15"/>
          <w:color w:val="auto"/>
        </w:rPr>
        <w:t>Related to defaults occurring in the current year.</w:t>
      </w:r>
    </w:p>
    <w:p>
      <w:pPr>
        <w:spacing w:after="0" w:line="23" w:lineRule="exact"/>
        <w:rPr>
          <w:rFonts w:ascii="Arial" w:cs="Arial" w:eastAsia="Arial" w:hAnsi="Arial"/>
          <w:sz w:val="23"/>
          <w:szCs w:val="23"/>
          <w:color w:val="auto"/>
          <w:vertAlign w:val="superscript"/>
        </w:rPr>
      </w:pPr>
    </w:p>
    <w:p>
      <w:pPr>
        <w:ind w:left="200" w:hanging="192"/>
        <w:spacing w:after="0" w:line="182" w:lineRule="auto"/>
        <w:tabs>
          <w:tab w:leader="none" w:pos="20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Related to defaults occurring in prior years.</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“claims incurred” section of the table above shows claims and claim expenses incurred on default notices received in the current year and in prior years. The amount of claims incurred relating to default notices received in the current year represents</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estimated amount to be ultimately paid on such default notices. The decreases during the periods presented in reserves held for prior year defaults are generally the result of ongoing analysis of recent loss development trends. We may increase or decrease our original estimates as we learn additional information about individual defaults and claims.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was a $320 thousand favorable prior year development during the three months ended March 31, 2017 as a result of NOD cures and ongoing analysis of recent loss development trends. Reserves of $2.5 million related to prior year defaults remained as of March 31, 2017.</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tables provide claim development data, by accident year, and a reconciliation to the reserve for insurance claims and claim expenses, related to the new guidance on short-duration contracts.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4"/>
          </w:tcPr>
          <w:p>
            <w:pPr>
              <w:jc w:val="right"/>
              <w:ind w:right="995"/>
              <w:spacing w:after="0"/>
              <w:rPr>
                <w:sz w:val="20"/>
                <w:szCs w:val="20"/>
                <w:color w:val="auto"/>
              </w:rPr>
            </w:pPr>
            <w:r>
              <w:rPr>
                <w:rFonts w:ascii="Arial" w:cs="Arial" w:eastAsia="Arial" w:hAnsi="Arial"/>
                <w:sz w:val="14"/>
                <w:szCs w:val="14"/>
                <w:b w:val="1"/>
                <w:bCs w:val="1"/>
                <w:color w:val="auto"/>
              </w:rPr>
              <w:t>Reserves net of Reinsurance</w:t>
            </w: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4"/>
                <w:szCs w:val="14"/>
                <w:b w:val="1"/>
                <w:bCs w:val="1"/>
                <w:color w:val="auto"/>
              </w:rPr>
              <w:t>As of March 31, 2017</w:t>
            </w:r>
          </w:p>
        </w:tc>
      </w:tr>
      <w:tr>
        <w:trPr>
          <w:trHeight w:val="229"/>
        </w:trPr>
        <w:tc>
          <w:tcPr>
            <w:tcW w:w="2160" w:type="dxa"/>
            <w:vAlign w:val="bottom"/>
            <w:gridSpan w:val="3"/>
          </w:tcPr>
          <w:p>
            <w:pPr>
              <w:ind w:left="660"/>
              <w:spacing w:after="0"/>
              <w:rPr>
                <w:sz w:val="20"/>
                <w:szCs w:val="20"/>
                <w:color w:val="auto"/>
              </w:rPr>
            </w:pPr>
            <w:r>
              <w:rPr>
                <w:rFonts w:ascii="Arial" w:cs="Arial" w:eastAsia="Arial" w:hAnsi="Arial"/>
                <w:sz w:val="14"/>
                <w:szCs w:val="14"/>
                <w:b w:val="1"/>
                <w:bCs w:val="1"/>
                <w:color w:val="auto"/>
              </w:rPr>
              <w:t>Accident Year</w:t>
            </w:r>
          </w:p>
        </w:tc>
        <w:tc>
          <w:tcPr>
            <w:tcW w:w="280" w:type="dxa"/>
            <w:vAlign w:val="bottom"/>
          </w:tcPr>
          <w:p>
            <w:pPr>
              <w:spacing w:after="0"/>
              <w:rPr>
                <w:sz w:val="19"/>
                <w:szCs w:val="19"/>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9"/>
                <w:szCs w:val="19"/>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9"/>
                <w:szCs w:val="19"/>
                <w:color w:val="auto"/>
              </w:rPr>
            </w:pPr>
          </w:p>
        </w:tc>
        <w:tc>
          <w:tcPr>
            <w:tcW w:w="1100" w:type="dxa"/>
            <w:vAlign w:val="bottom"/>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120" w:type="dxa"/>
            <w:vAlign w:val="bottom"/>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9"/>
                <w:szCs w:val="19"/>
                <w:color w:val="auto"/>
              </w:rPr>
            </w:pPr>
          </w:p>
        </w:tc>
        <w:tc>
          <w:tcPr>
            <w:tcW w:w="78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of IBNR</w:t>
            </w:r>
          </w:p>
        </w:tc>
        <w:tc>
          <w:tcPr>
            <w:tcW w:w="1240" w:type="dxa"/>
            <w:vAlign w:val="bottom"/>
          </w:tcPr>
          <w:p>
            <w:pPr>
              <w:jc w:val="right"/>
              <w:ind w:right="333"/>
              <w:spacing w:after="0"/>
              <w:rPr>
                <w:sz w:val="20"/>
                <w:szCs w:val="20"/>
                <w:color w:val="auto"/>
              </w:rPr>
            </w:pPr>
            <w:r>
              <w:rPr>
                <w:rFonts w:ascii="Arial" w:cs="Arial" w:eastAsia="Arial" w:hAnsi="Arial"/>
                <w:sz w:val="14"/>
                <w:szCs w:val="14"/>
                <w:b w:val="1"/>
                <w:bCs w:val="1"/>
                <w:color w:val="auto"/>
              </w:rPr>
              <w:t>NODs</w:t>
            </w:r>
          </w:p>
        </w:tc>
      </w:tr>
      <w:tr>
        <w:trPr>
          <w:trHeight w:val="21"/>
        </w:trPr>
        <w:tc>
          <w:tcPr>
            <w:tcW w:w="66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i w:val="1"/>
                <w:iCs w:val="1"/>
                <w:color w:val="auto"/>
                <w:w w:val="90"/>
              </w:rPr>
              <w:t>($ Values In Thousands)</w:t>
            </w: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66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w w:val="95"/>
              </w:rPr>
              <w:t>2013</w:t>
            </w:r>
          </w:p>
        </w:tc>
        <w:tc>
          <w:tcPr>
            <w:tcW w:w="8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24</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60" w:type="dxa"/>
            <w:vAlign w:val="bottom"/>
          </w:tcPr>
          <w:p>
            <w:pPr>
              <w:jc w:val="right"/>
              <w:ind w:right="220"/>
              <w:spacing w:after="0"/>
              <w:rPr>
                <w:sz w:val="20"/>
                <w:szCs w:val="20"/>
                <w:color w:val="auto"/>
              </w:rPr>
            </w:pPr>
            <w:r>
              <w:rPr>
                <w:rFonts w:ascii="Arial" w:cs="Arial" w:eastAsia="Arial" w:hAnsi="Arial"/>
                <w:sz w:val="16"/>
                <w:szCs w:val="16"/>
                <w:color w:val="auto"/>
                <w:w w:val="95"/>
              </w:rPr>
              <w:t>2014</w:t>
            </w:r>
          </w:p>
        </w:tc>
        <w:tc>
          <w:tcPr>
            <w:tcW w:w="8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1"/>
                <w:szCs w:val="21"/>
                <w:color w:val="auto"/>
              </w:rPr>
            </w:pPr>
          </w:p>
        </w:tc>
        <w:tc>
          <w:tcPr>
            <w:tcW w:w="1100" w:type="dxa"/>
            <w:vAlign w:val="bottom"/>
          </w:tcPr>
          <w:p>
            <w:pPr>
              <w:jc w:val="right"/>
              <w:ind w:right="254"/>
              <w:spacing w:after="0"/>
              <w:rPr>
                <w:sz w:val="20"/>
                <w:szCs w:val="20"/>
                <w:color w:val="auto"/>
              </w:rPr>
            </w:pPr>
            <w:r>
              <w:rPr>
                <w:rFonts w:ascii="Arial" w:cs="Arial" w:eastAsia="Arial" w:hAnsi="Arial"/>
                <w:sz w:val="18"/>
                <w:szCs w:val="18"/>
                <w:color w:val="auto"/>
              </w:rPr>
              <w:t>34</w:t>
            </w: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w w:val="95"/>
              </w:rPr>
              <w:t>2015</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652</w:t>
            </w:r>
          </w:p>
        </w:tc>
        <w:tc>
          <w:tcPr>
            <w:tcW w:w="11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614</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408</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r>
      <w:tr>
        <w:trPr>
          <w:trHeight w:val="243"/>
        </w:trPr>
        <w:tc>
          <w:tcPr>
            <w:tcW w:w="660" w:type="dxa"/>
            <w:vAlign w:val="bottom"/>
          </w:tcPr>
          <w:p>
            <w:pPr>
              <w:jc w:val="right"/>
              <w:ind w:right="220"/>
              <w:spacing w:after="0"/>
              <w:rPr>
                <w:sz w:val="20"/>
                <w:szCs w:val="20"/>
                <w:color w:val="auto"/>
              </w:rPr>
            </w:pPr>
            <w:r>
              <w:rPr>
                <w:rFonts w:ascii="Arial" w:cs="Arial" w:eastAsia="Arial" w:hAnsi="Arial"/>
                <w:sz w:val="16"/>
                <w:szCs w:val="16"/>
                <w:color w:val="auto"/>
                <w:w w:val="95"/>
              </w:rPr>
              <w:t>2016</w:t>
            </w:r>
          </w:p>
        </w:tc>
        <w:tc>
          <w:tcPr>
            <w:tcW w:w="8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2,210</w:t>
            </w:r>
          </w:p>
        </w:tc>
        <w:tc>
          <w:tcPr>
            <w:tcW w:w="3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1,921</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107</w:t>
            </w:r>
          </w:p>
        </w:tc>
      </w:tr>
      <w:tr>
        <w:trPr>
          <w:trHeight w:val="27"/>
        </w:trPr>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6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w w:val="95"/>
              </w:rPr>
              <w:t>2017</w:t>
            </w:r>
          </w:p>
        </w:tc>
        <w:tc>
          <w:tcPr>
            <w:tcW w:w="8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716</w:t>
            </w:r>
          </w:p>
        </w:tc>
        <w:tc>
          <w:tcPr>
            <w:tcW w:w="4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r>
      <w:tr>
        <w:trPr>
          <w:trHeight w:val="237"/>
        </w:trPr>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3,045</w:t>
            </w:r>
          </w:p>
        </w:tc>
        <w:tc>
          <w:tcPr>
            <w:tcW w:w="4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207</w:t>
            </w:r>
          </w:p>
        </w:tc>
      </w:tr>
      <w:tr>
        <w:trPr>
          <w:trHeight w:val="27"/>
        </w:trPr>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right="160" w:firstLine="648"/>
        <w:spacing w:after="0" w:line="277" w:lineRule="auto"/>
        <w:rPr>
          <w:sz w:val="20"/>
          <w:szCs w:val="20"/>
          <w:color w:val="auto"/>
        </w:rPr>
      </w:pPr>
      <w:r>
        <w:rPr>
          <w:rFonts w:ascii="Arial" w:cs="Arial" w:eastAsia="Arial" w:hAnsi="Arial"/>
          <w:sz w:val="18"/>
          <w:szCs w:val="18"/>
          <w:color w:val="auto"/>
        </w:rPr>
        <w:t>Our IBNR reserves reflect the actuarial estimate for claims incurred but not reported as of March 31, 2017. The number of NODs outstanding as of March 31, 2017 is the total number of loans in default over 60 days for which we have established reserves.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4"/>
                <w:szCs w:val="14"/>
                <w:b w:val="1"/>
                <w:bCs w:val="1"/>
                <w:color w:val="auto"/>
                <w:w w:val="97"/>
              </w:rPr>
              <w:t>Cumulative Paid Claims, net of Reinsurance</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Accident Year</w:t>
            </w:r>
          </w:p>
        </w:tc>
        <w:tc>
          <w:tcPr>
            <w:tcW w:w="1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2013</w:t>
            </w:r>
          </w:p>
        </w:tc>
        <w:tc>
          <w:tcPr>
            <w:tcW w:w="1880" w:type="dxa"/>
            <w:vAlign w:val="bottom"/>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1200" w:type="dxa"/>
            <w:vAlign w:val="bottom"/>
          </w:tcPr>
          <w:p>
            <w:pPr>
              <w:spacing w:after="0"/>
              <w:rPr>
                <w:sz w:val="19"/>
                <w:szCs w:val="19"/>
                <w:color w:val="auto"/>
              </w:rPr>
            </w:pPr>
          </w:p>
        </w:tc>
        <w:tc>
          <w:tcPr>
            <w:tcW w:w="1900" w:type="dxa"/>
            <w:vAlign w:val="bottom"/>
          </w:tcPr>
          <w:p>
            <w:pPr>
              <w:jc w:val="right"/>
              <w:ind w:right="1354"/>
              <w:spacing w:after="0"/>
              <w:rPr>
                <w:sz w:val="20"/>
                <w:szCs w:val="20"/>
                <w:color w:val="auto"/>
              </w:rPr>
            </w:pPr>
            <w:r>
              <w:rPr>
                <w:rFonts w:ascii="Arial" w:cs="Arial" w:eastAsia="Arial" w:hAnsi="Arial"/>
                <w:sz w:val="14"/>
                <w:szCs w:val="14"/>
                <w:b w:val="1"/>
                <w:bCs w:val="1"/>
                <w:color w:val="auto"/>
              </w:rPr>
              <w:t>2015</w:t>
            </w:r>
          </w:p>
        </w:tc>
        <w:tc>
          <w:tcPr>
            <w:tcW w:w="1380" w:type="dxa"/>
            <w:vAlign w:val="bottom"/>
            <w:gridSpan w:val="2"/>
          </w:tcPr>
          <w:p>
            <w:pPr>
              <w:jc w:val="right"/>
              <w:ind w:right="794"/>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9"/>
                <w:szCs w:val="19"/>
                <w:color w:val="auto"/>
              </w:rPr>
            </w:pPr>
          </w:p>
        </w:tc>
        <w:tc>
          <w:tcPr>
            <w:tcW w:w="1260" w:type="dxa"/>
            <w:vAlign w:val="bottom"/>
          </w:tcPr>
          <w:p>
            <w:pPr>
              <w:jc w:val="right"/>
              <w:ind w:right="6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200" w:type="dxa"/>
            <w:vAlign w:val="bottom"/>
          </w:tcPr>
          <w:p>
            <w:pPr>
              <w:ind w:left="120"/>
              <w:spacing w:after="0"/>
              <w:rPr>
                <w:sz w:val="20"/>
                <w:szCs w:val="20"/>
                <w:color w:val="auto"/>
              </w:rPr>
            </w:pPr>
            <w:r>
              <w:rPr>
                <w:rFonts w:ascii="Arial" w:cs="Arial" w:eastAsia="Arial" w:hAnsi="Arial"/>
                <w:sz w:val="14"/>
                <w:szCs w:val="14"/>
                <w:i w:val="1"/>
                <w:iCs w:val="1"/>
                <w:color w:val="auto"/>
              </w:rPr>
              <w:t>(In Thousands)</w:t>
            </w:r>
          </w:p>
        </w:tc>
        <w:tc>
          <w:tcPr>
            <w:tcW w:w="1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2013</w:t>
            </w: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90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0" w:type="dxa"/>
            <w:vAlign w:val="bottom"/>
          </w:tcPr>
          <w:p>
            <w:pPr>
              <w:ind w:left="40"/>
              <w:spacing w:after="0"/>
              <w:rPr>
                <w:sz w:val="20"/>
                <w:szCs w:val="20"/>
                <w:color w:val="auto"/>
              </w:rPr>
            </w:pPr>
            <w:r>
              <w:rPr>
                <w:rFonts w:ascii="Arial" w:cs="Arial" w:eastAsia="Arial" w:hAnsi="Arial"/>
                <w:sz w:val="16"/>
                <w:szCs w:val="16"/>
                <w:color w:val="auto"/>
              </w:rPr>
              <w:t>2014</w:t>
            </w: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0" w:type="dxa"/>
            <w:vAlign w:val="bottom"/>
          </w:tcPr>
          <w:p>
            <w:pPr>
              <w:ind w:left="22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694"/>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rPr>
              <w:t>50</w:t>
            </w:r>
          </w:p>
        </w:tc>
        <w:tc>
          <w:tcPr>
            <w:tcW w:w="1380" w:type="dxa"/>
            <w:vAlign w:val="bottom"/>
            <w:tcBorders>
              <w:bottom w:val="single" w:sz="8" w:color="CCEEFF"/>
            </w:tcBorders>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196</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500" w:type="dxa"/>
            <w:vAlign w:val="bottom"/>
          </w:tcPr>
          <w:p>
            <w:pPr>
              <w:ind w:left="40"/>
              <w:spacing w:after="0"/>
              <w:rPr>
                <w:sz w:val="20"/>
                <w:szCs w:val="20"/>
                <w:color w:val="auto"/>
              </w:rPr>
            </w:pPr>
            <w:r>
              <w:rPr>
                <w:rFonts w:ascii="Arial" w:cs="Arial" w:eastAsia="Arial" w:hAnsi="Arial"/>
                <w:sz w:val="16"/>
                <w:szCs w:val="16"/>
                <w:color w:val="auto"/>
              </w:rPr>
              <w:t>2016</w:t>
            </w: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380" w:type="dxa"/>
            <w:vAlign w:val="bottom"/>
            <w:gridSpan w:val="2"/>
          </w:tcPr>
          <w:p>
            <w:pPr>
              <w:jc w:val="right"/>
              <w:ind w:right="134"/>
              <w:spacing w:after="0"/>
              <w:rPr>
                <w:sz w:val="20"/>
                <w:szCs w:val="20"/>
                <w:color w:val="auto"/>
              </w:rPr>
            </w:pPr>
            <w:r>
              <w:rPr>
                <w:rFonts w:ascii="Arial" w:cs="Arial" w:eastAsia="Arial" w:hAnsi="Arial"/>
                <w:sz w:val="18"/>
                <w:szCs w:val="18"/>
                <w:color w:val="auto"/>
              </w:rPr>
              <w:t>171</w:t>
            </w:r>
          </w:p>
        </w:tc>
        <w:tc>
          <w:tcPr>
            <w:tcW w:w="56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8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20" w:type="dxa"/>
            <w:vAlign w:val="bottom"/>
            <w:gridSpan w:val="5"/>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65"/>
        </w:trPr>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gridSpan w:val="8"/>
          </w:tcPr>
          <w:p>
            <w:pPr>
              <w:jc w:val="center"/>
              <w:ind w:right="30"/>
              <w:spacing w:after="0"/>
              <w:rPr>
                <w:sz w:val="20"/>
                <w:szCs w:val="20"/>
                <w:color w:val="auto"/>
              </w:rPr>
            </w:pPr>
            <w:r>
              <w:rPr>
                <w:rFonts w:ascii="Arial" w:cs="Arial" w:eastAsia="Arial" w:hAnsi="Arial"/>
                <w:sz w:val="14"/>
                <w:szCs w:val="14"/>
                <w:b w:val="1"/>
                <w:bCs w:val="1"/>
                <w:color w:val="auto"/>
                <w:w w:val="93"/>
              </w:rPr>
              <w:t>Reconciliation of Disclosure of Incurred and Paid Claims Development to the Liability for Unpaid Claims and Claim Adjustment Expenses</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i w:val="1"/>
                <w:iCs w:val="1"/>
                <w:color w:val="auto"/>
                <w:w w:val="93"/>
              </w:rPr>
              <w:t>(In Thousands)</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0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18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960" w:type="dxa"/>
            <w:vAlign w:val="bottom"/>
            <w:tcBorders>
              <w:bottom w:val="single" w:sz="8" w:color="auto"/>
            </w:tcBorders>
            <w:gridSpan w:val="3"/>
          </w:tcPr>
          <w:p>
            <w:pPr>
              <w:jc w:val="right"/>
              <w:ind w:right="732"/>
              <w:spacing w:after="0"/>
              <w:rPr>
                <w:sz w:val="20"/>
                <w:szCs w:val="20"/>
                <w:color w:val="auto"/>
              </w:rPr>
            </w:pPr>
            <w:r>
              <w:rPr>
                <w:rFonts w:ascii="Arial" w:cs="Arial" w:eastAsia="Arial" w:hAnsi="Arial"/>
                <w:sz w:val="14"/>
                <w:szCs w:val="14"/>
                <w:b w:val="1"/>
                <w:bCs w:val="1"/>
                <w:color w:val="auto"/>
              </w:rPr>
              <w:t>As of March 31, 2017</w:t>
            </w: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w w:val="99"/>
              </w:rPr>
              <w:t>Liabilities for unpaid claims and claim adjustment expenses, net of reinsurance</w:t>
            </w:r>
          </w:p>
        </w:tc>
        <w:tc>
          <w:tcPr>
            <w:tcW w:w="1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934"/>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43"/>
        </w:trPr>
        <w:tc>
          <w:tcPr>
            <w:tcW w:w="3240" w:type="dxa"/>
            <w:vAlign w:val="bottom"/>
            <w:gridSpan w:val="5"/>
          </w:tcPr>
          <w:p>
            <w:pPr>
              <w:ind w:left="40"/>
              <w:spacing w:after="0"/>
              <w:rPr>
                <w:sz w:val="20"/>
                <w:szCs w:val="20"/>
                <w:color w:val="auto"/>
              </w:rPr>
            </w:pPr>
            <w:r>
              <w:rPr>
                <w:rFonts w:ascii="Arial" w:cs="Arial" w:eastAsia="Arial" w:hAnsi="Arial"/>
                <w:sz w:val="18"/>
                <w:szCs w:val="18"/>
                <w:color w:val="auto"/>
                <w:w w:val="93"/>
              </w:rPr>
              <w:t>Reinsurance recoverable on unpaid claims</w:t>
            </w:r>
          </w:p>
        </w:tc>
        <w:tc>
          <w:tcPr>
            <w:tcW w:w="18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80" w:type="dxa"/>
            <w:vAlign w:val="bottom"/>
            <w:gridSpan w:val="3"/>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w w:val="97"/>
              </w:rPr>
              <w:t>Unallocated claims adjustment expenses</w:t>
            </w:r>
          </w:p>
        </w:tc>
        <w:tc>
          <w:tcPr>
            <w:tcW w:w="18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7"/>
        </w:trPr>
        <w:tc>
          <w:tcPr>
            <w:tcW w:w="5120" w:type="dxa"/>
            <w:vAlign w:val="bottom"/>
            <w:gridSpan w:val="6"/>
          </w:tcPr>
          <w:p>
            <w:pPr>
              <w:ind w:left="40"/>
              <w:spacing w:after="0"/>
              <w:rPr>
                <w:sz w:val="20"/>
                <w:szCs w:val="20"/>
                <w:color w:val="auto"/>
              </w:rPr>
            </w:pPr>
            <w:r>
              <w:rPr>
                <w:rFonts w:ascii="Arial" w:cs="Arial" w:eastAsia="Arial" w:hAnsi="Arial"/>
                <w:sz w:val="18"/>
                <w:szCs w:val="18"/>
                <w:color w:val="auto"/>
                <w:w w:val="92"/>
              </w:rPr>
              <w:t>Total gross liability for unpaid claims and claim adjustment expenses</w:t>
            </w:r>
          </w:p>
        </w:tc>
        <w:tc>
          <w:tcPr>
            <w:tcW w:w="12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3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9"/>
              </w:rPr>
              <w:t>20</w:t>
            </w: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below table shows, on average, the percentage of claims paid over the years after a claim is incurred.</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57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8"/>
              </w:rPr>
              <w:t>Average annual percentage payout of incurred claims by age, net of reinsurance</w:t>
            </w:r>
          </w:p>
        </w:tc>
        <w:tc>
          <w:tcPr>
            <w:tcW w:w="1400" w:type="dxa"/>
            <w:vAlign w:val="bottom"/>
            <w:tcBorders>
              <w:bottom w:val="single" w:sz="8" w:color="auto"/>
            </w:tcBorders>
          </w:tcPr>
          <w:p>
            <w:pPr>
              <w:spacing w:after="0"/>
              <w:rPr>
                <w:sz w:val="16"/>
                <w:szCs w:val="16"/>
                <w:color w:val="auto"/>
              </w:rPr>
            </w:pPr>
          </w:p>
        </w:tc>
      </w:tr>
      <w:tr>
        <w:trPr>
          <w:trHeight w:val="264"/>
        </w:trPr>
        <w:tc>
          <w:tcPr>
            <w:tcW w:w="2700" w:type="dxa"/>
            <w:vAlign w:val="bottom"/>
          </w:tcPr>
          <w:p>
            <w:pPr>
              <w:spacing w:after="0"/>
              <w:rPr>
                <w:sz w:val="22"/>
                <w:szCs w:val="22"/>
                <w:color w:val="auto"/>
              </w:rPr>
            </w:pPr>
          </w:p>
        </w:tc>
        <w:tc>
          <w:tcPr>
            <w:tcW w:w="1380" w:type="dxa"/>
            <w:vAlign w:val="bottom"/>
            <w:tcBorders>
              <w:bottom w:val="single" w:sz="8" w:color="auto"/>
            </w:tcBorders>
          </w:tcPr>
          <w:p>
            <w:pPr>
              <w:jc w:val="center"/>
              <w:ind w:left="79"/>
              <w:spacing w:after="0"/>
              <w:rPr>
                <w:sz w:val="20"/>
                <w:szCs w:val="20"/>
                <w:color w:val="auto"/>
              </w:rPr>
            </w:pPr>
            <w:r>
              <w:rPr>
                <w:rFonts w:ascii="Arial" w:cs="Arial" w:eastAsia="Arial" w:hAnsi="Arial"/>
                <w:sz w:val="14"/>
                <w:szCs w:val="14"/>
                <w:b w:val="1"/>
                <w:bCs w:val="1"/>
                <w:color w:val="auto"/>
                <w:w w:val="90"/>
              </w:rPr>
              <w:t>Year 1</w:t>
            </w:r>
          </w:p>
        </w:tc>
        <w:tc>
          <w:tcPr>
            <w:tcW w:w="14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Year 2</w:t>
            </w:r>
          </w:p>
        </w:tc>
        <w:tc>
          <w:tcPr>
            <w:tcW w:w="17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Year 3</w:t>
            </w:r>
          </w:p>
        </w:tc>
        <w:tc>
          <w:tcPr>
            <w:tcW w:w="8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Year 4</w:t>
            </w:r>
          </w:p>
        </w:tc>
        <w:tc>
          <w:tcPr>
            <w:tcW w:w="14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Year 5</w:t>
            </w:r>
          </w:p>
        </w:tc>
      </w:tr>
      <w:tr>
        <w:trPr>
          <w:trHeight w:val="258"/>
        </w:trPr>
        <w:tc>
          <w:tcPr>
            <w:tcW w:w="2700" w:type="dxa"/>
            <w:vAlign w:val="bottom"/>
          </w:tcPr>
          <w:p>
            <w:pPr>
              <w:spacing w:after="0"/>
              <w:rPr>
                <w:sz w:val="20"/>
                <w:szCs w:val="20"/>
                <w:color w:val="auto"/>
              </w:rPr>
            </w:pPr>
            <w:r>
              <w:rPr>
                <w:rFonts w:ascii="Arial" w:cs="Arial" w:eastAsia="Arial" w:hAnsi="Arial"/>
                <w:sz w:val="14"/>
                <w:szCs w:val="14"/>
                <w:b w:val="1"/>
                <w:bCs w:val="1"/>
                <w:color w:val="auto"/>
              </w:rPr>
              <w:t>Claims duration disclosure</w:t>
            </w:r>
          </w:p>
        </w:tc>
        <w:tc>
          <w:tcPr>
            <w:tcW w:w="1380" w:type="dxa"/>
            <w:vAlign w:val="bottom"/>
          </w:tcPr>
          <w:p>
            <w:pPr>
              <w:jc w:val="right"/>
              <w:ind w:right="419"/>
              <w:spacing w:after="0"/>
              <w:rPr>
                <w:sz w:val="20"/>
                <w:szCs w:val="20"/>
                <w:color w:val="auto"/>
              </w:rPr>
            </w:pPr>
            <w:r>
              <w:rPr>
                <w:rFonts w:ascii="Arial" w:cs="Arial" w:eastAsia="Arial" w:hAnsi="Arial"/>
                <w:sz w:val="18"/>
                <w:szCs w:val="18"/>
                <w:color w:val="auto"/>
              </w:rPr>
              <w:t>3%</w:t>
            </w:r>
          </w:p>
        </w:tc>
        <w:tc>
          <w:tcPr>
            <w:tcW w:w="1400" w:type="dxa"/>
            <w:vAlign w:val="bottom"/>
          </w:tcPr>
          <w:p>
            <w:pPr>
              <w:spacing w:after="0"/>
              <w:rPr>
                <w:sz w:val="22"/>
                <w:szCs w:val="22"/>
                <w:color w:val="auto"/>
              </w:rPr>
            </w:pPr>
          </w:p>
        </w:tc>
        <w:tc>
          <w:tcPr>
            <w:tcW w:w="1780" w:type="dxa"/>
            <w:vAlign w:val="bottom"/>
          </w:tcPr>
          <w:p>
            <w:pPr>
              <w:jc w:val="right"/>
              <w:ind w:right="1259"/>
              <w:spacing w:after="0"/>
              <w:rPr>
                <w:sz w:val="20"/>
                <w:szCs w:val="20"/>
                <w:color w:val="auto"/>
              </w:rPr>
            </w:pPr>
            <w:r>
              <w:rPr>
                <w:rFonts w:ascii="Arial" w:cs="Arial" w:eastAsia="Arial" w:hAnsi="Arial"/>
                <w:sz w:val="18"/>
                <w:szCs w:val="18"/>
                <w:color w:val="auto"/>
              </w:rPr>
              <w:t>11%</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1740" w:type="dxa"/>
            <w:vAlign w:val="bottom"/>
          </w:tcPr>
          <w:p>
            <w:pPr>
              <w:ind w:left="1020"/>
              <w:spacing w:after="0"/>
              <w:rPr>
                <w:sz w:val="20"/>
                <w:szCs w:val="20"/>
                <w:color w:val="auto"/>
              </w:rPr>
            </w:pPr>
            <w:r>
              <w:rPr>
                <w:rFonts w:ascii="Arial" w:cs="Arial" w:eastAsia="Arial" w:hAnsi="Arial"/>
                <w:sz w:val="18"/>
                <w:szCs w:val="18"/>
                <w:color w:val="auto"/>
              </w:rPr>
              <w:t>—%</w:t>
            </w:r>
          </w:p>
        </w:tc>
        <w:tc>
          <w:tcPr>
            <w:tcW w:w="1400" w:type="dxa"/>
            <w:vAlign w:val="bottom"/>
          </w:tcPr>
          <w:p>
            <w:pPr>
              <w:ind w:left="1020"/>
              <w:spacing w:after="0"/>
              <w:rPr>
                <w:sz w:val="20"/>
                <w:szCs w:val="20"/>
                <w:color w:val="auto"/>
              </w:rPr>
            </w:pPr>
            <w:r>
              <w:rPr>
                <w:rFonts w:ascii="Arial" w:cs="Arial" w:eastAsia="Arial" w:hAnsi="Arial"/>
                <w:sz w:val="18"/>
                <w:szCs w:val="18"/>
                <w:color w:val="auto"/>
              </w:rPr>
              <w:t>—%</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(Loss) per Share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Basic earnings (loss) per share is based on the weighted average number of shares of common stock outstanding, while diluted earnings (loss) per share is based on the weighted average number of shares of common stock outstanding and common stock equivalents that would be issuable upon the exercise of stock options, other share-based compensation arrangements, and the dilutive effect of outstanding warrants. The following table reconciles the net income and the weighted average shares of common stock outstanding used in the computations of basic and diluted earnings (loss) per share of common stock:</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w w:val="97"/>
              </w:rPr>
              <w:t>For the three months ended March 31,</w:t>
            </w:r>
          </w:p>
        </w:tc>
      </w:tr>
      <w:tr>
        <w:trPr>
          <w:trHeight w:val="264"/>
        </w:trPr>
        <w:tc>
          <w:tcPr>
            <w:tcW w:w="8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gridSpan w:val="4"/>
          </w:tcPr>
          <w:p>
            <w:pPr>
              <w:jc w:val="right"/>
              <w:ind w:right="253"/>
              <w:spacing w:after="0"/>
              <w:rPr>
                <w:sz w:val="20"/>
                <w:szCs w:val="20"/>
                <w:color w:val="auto"/>
              </w:rPr>
            </w:pPr>
            <w:r>
              <w:rPr>
                <w:rFonts w:ascii="Arial" w:cs="Arial" w:eastAsia="Arial" w:hAnsi="Arial"/>
                <w:sz w:val="14"/>
                <w:szCs w:val="14"/>
                <w:i w:val="1"/>
                <w:iCs w:val="1"/>
                <w:color w:val="auto"/>
                <w:w w:val="96"/>
              </w:rPr>
              <w:t>(In Thousands, except for per share data)</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r>
      <w:tr>
        <w:trPr>
          <w:trHeight w:val="297"/>
        </w:trPr>
        <w:tc>
          <w:tcPr>
            <w:tcW w:w="83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4"/>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59,183,973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58,936,694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Dilutive effect of non-vested shares</w:t>
            </w:r>
          </w:p>
        </w:tc>
        <w:tc>
          <w:tcPr>
            <w:tcW w:w="2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3,154,883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weighted 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62,338,856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58,936,694</w:t>
            </w:r>
          </w:p>
        </w:tc>
      </w:tr>
      <w:tr>
        <w:trPr>
          <w:trHeight w:val="297"/>
        </w:trPr>
        <w:tc>
          <w:tcPr>
            <w:tcW w:w="83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months ended March 31, 2017, 1,121,471 of our common stock equivalents we issued under share-based compensation arrangements were not included in the calculation of diluted earnings (loss) per share because they were anti-dilutive. Non-vested shares of 3,154,883 were included in our weighted average number of common shares outstanding for the three months ended March 31, 2017.</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our net losses for the three months ended March 31, 2016, 7,351,338 of our common stock equivalents we issued under share-based compensation arrangements and warrants were not included in the calculation of diluted earnings (loss) per share as of such dates because they were anti-dilutive.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issued 992,000 warrants in connection with our Private Placement. Each warrant gives the holder thereof the right to purchase one share of common stock at an exercise price equal to $10.00. The warrants were issued with an aggregate fair value of $5.1 million.</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exercise of these warrants, the amounts will be treated as additional paid-in capital. No warrants were exercised during the three months ended March 31, 2017 and 2016.</w:t>
      </w:r>
    </w:p>
    <w:p>
      <w:pPr>
        <w:spacing w:after="0" w:line="11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We account for these warrants to purchase our common shares in accordance with ASC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are a U.S. taxpayer and are subject to a statutory U.S. federal corporate income tax rate of 35%. Our holding company files a consolidated U.S. federal and various state income tax returns on behalf of itself and its subsidiaries. Our provision for income taxes for the interim reporting periods are based on an estimated annual effective tax rate for the year ending December 31, 2017. Our effective tax rate on our pre-tax income was 18.5% for the three months ended March 31, 2017, compared to 0.0% for the comparable 2016 period. The increase in the effective tax expense for the three months ended March 31, 2017, against the comparable 2016 period was attributable to the elimination of tax benefits during the comparable 2016 period due to the recognition of a full</w:t>
      </w:r>
    </w:p>
    <w:p>
      <w:pPr>
        <w:sectPr>
          <w:pgSz w:w="11900" w:h="16838" w:orient="portrait"/>
          <w:cols w:equalWidth="0" w:num="1">
            <w:col w:w="11420"/>
          </w:cols>
          <w:pgMar w:left="240" w:top="125"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valuation allowance which had been recorded to reflect the amount of the deferred taxes that may not be realized. See Item 1, “</w:t>
      </w:r>
      <w:r>
        <w:rPr>
          <w:rFonts w:ascii="Arial" w:cs="Arial" w:eastAsia="Arial" w:hAnsi="Arial"/>
          <w:sz w:val="18"/>
          <w:szCs w:val="18"/>
          <w:i w:val="1"/>
          <w:iCs w:val="1"/>
          <w:color w:val="auto"/>
        </w:rPr>
        <w:t>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 - Notes to Consolidated Financial Statements - Note 1, Organization and Basis of Presentation - Immaterial Correction of Prior Period Amounts</w:t>
      </w:r>
      <w:r>
        <w:rPr>
          <w:rFonts w:ascii="Arial" w:cs="Arial" w:eastAsia="Arial" w:hAnsi="Arial"/>
          <w:sz w:val="18"/>
          <w:szCs w:val="18"/>
          <w:color w:val="auto"/>
        </w:rPr>
        <w:t>” for further details.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Statutory Information</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subsidiaries, NMIC and Re One, file financial statements in conformity with statutory basis accounting principles (SAP) prescribed or permitted by the Wisconsin OCI, NMIC's principal regulator. Prescribed SAP includes state laws, regulations and general administrative rules, as well as a variety of publications of the National Association of Insurance Commissioners.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NMIC and Re One's combined statutory net loss, statutory surplus, contingency reserve and risk-to-capital (RTC) ratios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As of and for the three months and year ended</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March 31, 2017</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3"/>
          </w:tcPr>
          <w:p>
            <w:pPr>
              <w:jc w:val="right"/>
              <w:ind w:right="1234"/>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(10,090)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Statutory surplus</w:t>
            </w:r>
          </w:p>
        </w:tc>
        <w:tc>
          <w:tcPr>
            <w:tcW w:w="240" w:type="dxa"/>
            <w:vAlign w:val="bottom"/>
          </w:tcPr>
          <w:p>
            <w:pPr>
              <w:spacing w:after="0"/>
              <w:rPr>
                <w:sz w:val="21"/>
                <w:szCs w:val="21"/>
                <w:color w:val="auto"/>
              </w:rPr>
            </w:pPr>
          </w:p>
        </w:tc>
        <w:tc>
          <w:tcPr>
            <w:tcW w:w="1520" w:type="dxa"/>
            <w:vAlign w:val="bottom"/>
          </w:tcPr>
          <w:p>
            <w:pPr>
              <w:jc w:val="right"/>
              <w:ind w:right="76"/>
              <w:spacing w:after="0"/>
              <w:rPr>
                <w:sz w:val="20"/>
                <w:szCs w:val="20"/>
                <w:color w:val="auto"/>
              </w:rPr>
            </w:pPr>
            <w:r>
              <w:rPr>
                <w:rFonts w:ascii="Arial" w:cs="Arial" w:eastAsia="Arial" w:hAnsi="Arial"/>
                <w:sz w:val="18"/>
                <w:szCs w:val="18"/>
                <w:color w:val="auto"/>
              </w:rPr>
              <w:t>404,359</w:t>
            </w: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413,809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Contingency reserve</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109,198</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90,479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Risk-to-Capital</w:t>
            </w:r>
          </w:p>
        </w:tc>
        <w:tc>
          <w:tcPr>
            <w:tcW w:w="240" w:type="dxa"/>
            <w:vAlign w:val="bottom"/>
          </w:tcPr>
          <w:p>
            <w:pPr>
              <w:spacing w:after="0"/>
              <w:rPr>
                <w:sz w:val="21"/>
                <w:szCs w:val="21"/>
                <w:color w:val="auto"/>
              </w:rPr>
            </w:pPr>
          </w:p>
        </w:tc>
        <w:tc>
          <w:tcPr>
            <w:tcW w:w="1520" w:type="dxa"/>
            <w:vAlign w:val="bottom"/>
          </w:tcPr>
          <w:p>
            <w:pPr>
              <w:jc w:val="right"/>
              <w:ind w:right="76"/>
              <w:spacing w:after="0"/>
              <w:rPr>
                <w:sz w:val="20"/>
                <w:szCs w:val="20"/>
                <w:color w:val="auto"/>
              </w:rPr>
            </w:pPr>
            <w:r>
              <w:rPr>
                <w:rFonts w:ascii="Arial" w:cs="Arial" w:eastAsia="Arial" w:hAnsi="Arial"/>
                <w:sz w:val="18"/>
                <w:szCs w:val="18"/>
                <w:color w:val="auto"/>
              </w:rPr>
              <w:t>12.4:1</w:t>
            </w: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11.6:1</w:t>
            </w:r>
          </w:p>
        </w:tc>
      </w:tr>
    </w:tbl>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NMIH is not subject to any limitations on its ability to pay dividends except those generally applicable to corporations that are incorporated in Delaware, such as NMIH. Delaware corporation law provides that dividends are only payable out of a corporation's capital surplus or recent net profits (subject to certain limitations). Since inception, NMIC has not paid any dividends to NMIH. As NMIC had a statutory net loss for the year ended December 31, 2016, NMIC cannot pay any dividends to NMIH through December 31, 2017, without the prior approval of the Wisconsin OCI.</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analysis should be read in conjunction with our unaudited consolidated financial statements and the notes thereto included in this report and our audited financial statements, notes thereto and "Management's Discussion and Analysis of Financial Condition and Results of Operations" included in our 2016 10-K, for a more complete understanding of our financial position and results of operations. In addition, investors should review the "Cautionary Note Regarding Forward-Looking Statements" above and the "Risk Factors" detailed in Part I, Item 1A of our 2016 10-K and Part II, Item IA of this report, as subsequently updated in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provide MI through our insurance subsidiaries. Our primary insurance subsidiary, NMIC, is a qualified MI provider on loans purchased by the GSEs and is licensed in all 50 states and D.C. to issue MI. Our reinsurance subsidiary, Re One, solely provides reinsurance to NMIC on certain loans insured by NMIC to meet state statutory coverage limits. Our subsidiary, NMIS, provides outsourced loan review services on a limited basis to mortgage loan originators. Our stock trades on the NASDAQ under the symbol "NMIH."</w:t>
      </w:r>
    </w:p>
    <w:p>
      <w:pPr>
        <w:spacing w:after="0" w:line="1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MI protects mortgage lenders from all or a portion of default-related losses on residential mortgage loans made to home buyers who generally make down payments of less than 20% of a home's purchase price. By protecting lenders and investors from credit losses, we help facilitate the availability of mortgages to prospective, primarily first-time, U.S. home buyers, thus promoting homeownership while protecting lenders and investors against potential losses related to a borrower's default. MI also facilitates the sale of these mortgage loans in the secondary mortgage market, most of which are sold to the GSEs. We are one of six companies in the U.S. who offer MI. Our business strategy is to continue to expand our customer base and write insurance on high quality, low down payment residential mortgages in the U.S. We reported our first profitable results on an annual basis for the year ended December 31, 2016, and for the quarter ended March 31, 2017, we reported net income of $5.5 million.</w:t>
      </w:r>
    </w:p>
    <w:p>
      <w:pPr>
        <w:spacing w:after="0" w:line="1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had total insurance-in-force (IIF) of $38.3 billion and total risk-in-force (RIF) of $8.5 billion as of March 31, 2017, compared to total IIF of $35.8 billion and total RIF of $7.9 billion as of December 31, 2016. Of total IIF as of March 31, 2017, we had $34.8 billion of primary IIF and $3.5 billion of pool IIF, compared to $32.2 billion of primary IIF and $3.6 billion of pool IIF as of December 31, 2016. As of March 31, 2017, our primary RIF was $8.4 billion, compared to primary RIF of $7.8 billion as of December 31, 2016. Pool RIF was $93.1 million as of March 31, 2017 and December 31, 2016.</w:t>
      </w:r>
    </w:p>
    <w:p>
      <w:pPr>
        <w:spacing w:after="0" w:line="1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discuss below our results of operations for the periods presented, as well as the conditions and trends that have impacted or are expected to impact our business, including customer development, new business writings, the composition of our insurance portfolio and other factors that we expect to impact our results. Our headquarters are located in Emeryville, California and our website is </w:t>
      </w:r>
      <w:r>
        <w:rPr>
          <w:rFonts w:ascii="Arial" w:cs="Arial" w:eastAsia="Arial" w:hAnsi="Arial"/>
          <w:sz w:val="18"/>
          <w:szCs w:val="18"/>
          <w:i w:val="1"/>
          <w:iCs w:val="1"/>
          <w:color w:val="auto"/>
        </w:rPr>
        <w:t>www.nationalmi.com</w:t>
      </w:r>
      <w:r>
        <w:rPr>
          <w:rFonts w:ascii="Arial" w:cs="Arial" w:eastAsia="Arial" w:hAnsi="Arial"/>
          <w:sz w:val="18"/>
          <w:szCs w:val="18"/>
          <w:color w:val="auto"/>
        </w:rPr>
        <w:t>. Our website and the information contained on or accessible through our website are not incorporated by reference into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and Trends Impacting Our Business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Customer Development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sales and marketing strategy is focused on expanding relationships with existing customers and attracting new mortgage originator customers in the U.S. that fall into two primary categories, which we refer to as "National Accounts" and "Regional Accounts." In the recent quarter, we increased our customer base. We had 1,174 master policy holders as of March 31, 2017, compared to 1,023 master policy holders as of March 31, 2016. Of those master policy holders, 537 or 45.7% generated new insurance written (NIW) in the first quarter of 2017, compared to 469, or 45.8% that generated NIW in the first quarter of 2016.</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Lenders in the combined residential mortgage market who control the MI decision are currently comprised of three groups:</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Top 10, primarily National Accounts, representing approximately 19% of the MI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Next 30, a combination of National and Regional Accounts, representing approximately 17% of the MI market;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1,500, primarily Regional Accounts, representing the remainder of the MI market.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jc w:val="both"/>
        <w:ind w:firstLine="648"/>
        <w:spacing w:after="0" w:line="279" w:lineRule="auto"/>
        <w:rPr>
          <w:sz w:val="20"/>
          <w:szCs w:val="20"/>
          <w:color w:val="auto"/>
        </w:rPr>
      </w:pPr>
      <w:r>
        <w:rPr>
          <w:rFonts w:ascii="Arial" w:cs="Arial" w:eastAsia="Arial" w:hAnsi="Arial"/>
          <w:sz w:val="17"/>
          <w:szCs w:val="17"/>
          <w:color w:val="auto"/>
        </w:rPr>
        <w:t>Since April 2013, we have increased our customer base significantly, and we expect to continue to acquire new customers. As of March 31, 2017, we had active customer relationships with 31 of the top 40 lenders and expect to develop additional active customer relationships. We believe our most significant growth opportunity is within the large and fragmented market of Regional Accounts, which includes some of the top correspondent lenders. In addition to adding new customers, we believe existing customers will begin to allocate more of their business to us for placement of our MI.</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Insurance Written, Insurance in Force and Premiums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NMIC's primary insurance may be written on a flow basis, in which loans are insured in individual, loan-by-loan transactions, or on an aggregated basis, in which each loan in a portfolio of loans is individually insured in a single transaction. NMIC has also written pool insurance under an agreement with Fannie Mae, in which it insured a group of loans (or pool) in one transaction. NMIC's pool insurance has a stated aggregate loss limit and a deductible under which no losses are paid by NMIC until losses on the pool of loans exceed the deductible. See Item 1</w:t>
      </w:r>
      <w:r>
        <w:rPr>
          <w:rFonts w:ascii="Arial" w:cs="Arial" w:eastAsia="Arial" w:hAnsi="Arial"/>
          <w:sz w:val="16"/>
          <w:szCs w:val="16"/>
          <w:i w:val="1"/>
          <w:iCs w:val="1"/>
          <w:color w:val="auto"/>
        </w:rPr>
        <w:t>, "Financial Statements and Supplementary Data - Notes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Consolidated Financial Statements - Note 6, Reserves for Insurance Claims and Claims Expenses," </w:t>
      </w:r>
      <w:r>
        <w:rPr>
          <w:rFonts w:ascii="Arial" w:cs="Arial" w:eastAsia="Arial" w:hAnsi="Arial"/>
          <w:sz w:val="16"/>
          <w:szCs w:val="16"/>
          <w:color w:val="auto"/>
        </w:rPr>
        <w:t>above. NIW production is impacted by a variety of</w:t>
      </w:r>
      <w:r>
        <w:rPr>
          <w:rFonts w:ascii="Arial" w:cs="Arial" w:eastAsia="Arial" w:hAnsi="Arial"/>
          <w:sz w:val="16"/>
          <w:szCs w:val="16"/>
          <w:i w:val="1"/>
          <w:iCs w:val="1"/>
          <w:color w:val="auto"/>
        </w:rPr>
        <w:t xml:space="preserve"> </w:t>
      </w:r>
      <w:r>
        <w:rPr>
          <w:rFonts w:ascii="Arial" w:cs="Arial" w:eastAsia="Arial" w:hAnsi="Arial"/>
          <w:sz w:val="16"/>
          <w:szCs w:val="16"/>
          <w:color w:val="auto"/>
        </w:rPr>
        <w:t>factors, including the size of the origination and refinance markets, business development, pricing relative to competitors and customer service, among others.</w:t>
      </w:r>
    </w:p>
    <w:p>
      <w:pPr>
        <w:spacing w:after="0" w:line="1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We set premiums for an insured loan at the time the loan is insured, based on our filed rates and rating rules. We offer borrower-paid (BPMI) and lender-paid (LPMI) mortgage insurance options. Premium rates are based on the risk characteristics of each insured loan and the capital required to support particular products. Capital charges are governed primarily by the GSEs' private mortgage insurer eligibility requirements (PMIERs), as well as by regulatory and economic capital requirements. See "- </w:t>
      </w:r>
      <w:r>
        <w:rPr>
          <w:rFonts w:ascii="Arial" w:cs="Arial" w:eastAsia="Arial" w:hAnsi="Arial"/>
          <w:sz w:val="16"/>
          <w:szCs w:val="16"/>
          <w:i w:val="1"/>
          <w:iCs w:val="1"/>
          <w:color w:val="auto"/>
        </w:rPr>
        <w:t>GSE Oversight"</w:t>
      </w:r>
      <w:r>
        <w:rPr>
          <w:rFonts w:ascii="Arial" w:cs="Arial" w:eastAsia="Arial" w:hAnsi="Arial"/>
          <w:sz w:val="16"/>
          <w:szCs w:val="16"/>
          <w:color w:val="auto"/>
        </w:rPr>
        <w:t xml:space="preserve"> and </w:t>
      </w:r>
      <w:r>
        <w:rPr>
          <w:rFonts w:ascii="Arial" w:cs="Arial" w:eastAsia="Arial" w:hAnsi="Arial"/>
          <w:sz w:val="16"/>
          <w:szCs w:val="16"/>
          <w:i w:val="1"/>
          <w:iCs w:val="1"/>
          <w:color w:val="auto"/>
        </w:rPr>
        <w:t>"- Capital Position of our Insurance Subsidiaries and Financial Strength Ratings,"</w:t>
      </w:r>
      <w:r>
        <w:rPr>
          <w:rFonts w:ascii="Arial" w:cs="Arial" w:eastAsia="Arial" w:hAnsi="Arial"/>
          <w:sz w:val="16"/>
          <w:szCs w:val="16"/>
          <w:color w:val="auto"/>
        </w:rPr>
        <w:t xml:space="preserve"> below.</w:t>
      </w:r>
    </w:p>
    <w:p>
      <w:pPr>
        <w:spacing w:after="0" w:line="1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offer monthly, single and annual premium payment plans. For monthly policies, premiums are collected and earned each month as coverage is provided. Policies written on a single premium basis are paid through a single, upfront payment, the majority of which is initially deferred as unearned premium and earned over the policy's expected life. Annual policies represent an insignificant amount of our NIW to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reinsurance on our results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utilize third party reinsurance to continue to grow our business and manage insurance risk and our minimum required assets under the PMIERs financial requirements. In September 2016, we entered into the 2016 QSR Transaction. On May 2, 2017, we entered into an excess of loss reinsurance agreement with Oaktown Re Ltd., a Bermuda-domiciled special purpose insurer, to secure $211.3 million of excess of loss reinsurance coverage (2017 XOL Transaction). Our results of operations are impacted by our reinsurance arrangements; although, we will not experience impacts from the 2017 XOL Transaction until second quarter 2017. We expect reinsurance will continue to be a primary component of our capital structure.</w:t>
      </w:r>
    </w:p>
    <w:p>
      <w:pPr>
        <w:spacing w:after="0" w:line="1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2016 QSR Transaction, premiums are ceded to reinsurers who assume a portion of the risk under the insurance policies we write. Our net premiums written and earned are net of ceded amounts, offset by a profit commission associated with the premiums ceded. The 2016 QSR Transaction protects us against a fixed percentage of losses arising from policies covered by the agreement and reduces the capital we are required to hold under state insurance regulations and GSE requirements.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2016 QSR Transaction affects premiums, underwriting expenses and losses incurred. In the quarter ended March 31, 2017, our pre-tax net cost of reinsurance was approximately $1.9 million. With respect to the 2016 QSR Transaction:</w:t>
      </w:r>
    </w:p>
    <w:p>
      <w:pPr>
        <w:spacing w:after="0" w:line="11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cede a fixed percentage of premiums on insurance covered by the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cede a fixed percentage of losses incurred on insurance covered by the agreement.</w:t>
      </w:r>
    </w:p>
    <w:p>
      <w:pPr>
        <w:spacing w:after="0" w:line="171"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receive the benefit of a profit commission through a reduction in the premiums we cede. The profit commission varies directly and inversely with the level of losses on a dollar for dollar basis and is eliminated at levels of losses that we do not expect to occur. This means that lower levels of losses result in our realization of a higher profit commission and less benefit from ceded losses; higher levels of losses result in more benefit from ceded losses and our realization of a lower profit commission (or for levels of losses we do not expect, its elimination).</w:t>
      </w:r>
    </w:p>
    <w:p>
      <w:pPr>
        <w:spacing w:after="0" w:line="117"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receive the benefit of a ceding commission equal to 20% of premiums ceded. The ceding commission is deferred and recognized as a reduction in underwriting expenses over the expected life of the risk associated with the reinsured policies.</w:t>
      </w:r>
    </w:p>
    <w:p>
      <w:pPr>
        <w:spacing w:after="0" w:line="1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effects described above result in an implied after-tax cost of reinsurance of approximately 3-4%, so long as loss ratios remain below 60%. The effect of the reinsurance on income will vary from period to period, depending on the level of ceded losses.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6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Portfolio Data</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tables below show primary and pool IIF, NIW and premiums written and earned. Single NIW and IIF include policies written on an aggregated and flow basis. Unless otherwise noted, the following tables do not include the effects of the 2016 QSR Transaction, as described above.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Primary and pool IIF and NIW</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As of and for the quarter ended</w:t>
            </w: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2016</w:t>
            </w:r>
          </w:p>
        </w:tc>
        <w:tc>
          <w:tcPr>
            <w:tcW w:w="800" w:type="dxa"/>
            <w:vAlign w:val="bottom"/>
            <w:tcBorders>
              <w:bottom w:val="single" w:sz="8" w:color="auto"/>
            </w:tcBorders>
          </w:tcPr>
          <w:p>
            <w:pPr>
              <w:spacing w:after="0"/>
              <w:rPr>
                <w:sz w:val="22"/>
                <w:szCs w:val="22"/>
                <w:color w:val="auto"/>
              </w:rPr>
            </w:pPr>
          </w:p>
        </w:tc>
      </w:tr>
      <w:tr>
        <w:trPr>
          <w:trHeight w:val="264"/>
        </w:trPr>
        <w:tc>
          <w:tcPr>
            <w:tcW w:w="60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IIF</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NIW</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IIF</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NIW</w:t>
            </w:r>
          </w:p>
        </w:tc>
      </w:tr>
      <w:tr>
        <w:trPr>
          <w:trHeight w:val="250"/>
        </w:trPr>
        <w:tc>
          <w:tcPr>
            <w:tcW w:w="6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Millions)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21,511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2,892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9,210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Single</w:t>
            </w:r>
          </w:p>
        </w:tc>
        <w:tc>
          <w:tcPr>
            <w:tcW w:w="32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13,268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9,354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1,762</w:t>
            </w:r>
          </w:p>
        </w:tc>
      </w:tr>
      <w:tr>
        <w:trPr>
          <w:trHeight w:val="27"/>
        </w:trPr>
        <w:tc>
          <w:tcPr>
            <w:tcW w:w="6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34,779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18,564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4,254</w:t>
            </w:r>
          </w:p>
        </w:tc>
      </w:tr>
      <w:tr>
        <w:trPr>
          <w:trHeight w:val="176"/>
        </w:trPr>
        <w:tc>
          <w:tcPr>
            <w:tcW w:w="6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Pool</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4,136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38,324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3,559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22,700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4,254</w:t>
            </w:r>
          </w:p>
        </w:tc>
      </w:tr>
      <w:tr>
        <w:trPr>
          <w:trHeight w:val="20"/>
        </w:trPr>
        <w:tc>
          <w:tcPr>
            <w:tcW w:w="6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quarter ended March 31, 2017, primary NIW decreased 16% compared to the first quarter of 2016, primarily due to our continued efforts to reduce the percentage of singles in our product mix. In the first quarter of 2017, monthly premium NIW increased 16% over the first quarter of 2016 as a result of our continuing efforts to increase our volume with existing customers and to build business with new customers. For the three months ended March 31, 2017, 81% of our NIW consisted of monthly premium policies, which is consistent with our long-term goal of achieving a monthly mix in line with the industry average of approximately 75-80%. As of March 31, 2017, our IIF was comprised of approximately 62% of monthly premium policies. We expect our IIF mix to continue to trend toward the industry average.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Primary and pool premiums written and earned</w:t>
            </w: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For the quarter ended</w:t>
            </w:r>
          </w:p>
        </w:tc>
      </w:tr>
      <w:tr>
        <w:trPr>
          <w:trHeight w:val="264"/>
        </w:trPr>
        <w:tc>
          <w:tcPr>
            <w:tcW w:w="79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March 31, 2017</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3"/>
          </w:tcPr>
          <w:p>
            <w:pPr>
              <w:ind w:left="1100"/>
              <w:spacing w:after="0"/>
              <w:rPr>
                <w:sz w:val="20"/>
                <w:szCs w:val="20"/>
                <w:color w:val="auto"/>
              </w:rPr>
            </w:pPr>
            <w:r>
              <w:rPr>
                <w:rFonts w:ascii="Arial" w:cs="Arial" w:eastAsia="Arial" w:hAnsi="Arial"/>
                <w:sz w:val="14"/>
                <w:szCs w:val="14"/>
                <w:i w:val="1"/>
                <w:iCs w:val="1"/>
                <w:color w:val="auto"/>
              </w:rPr>
              <w:t>(In Thousands)</w:t>
            </w:r>
          </w:p>
        </w:tc>
      </w:tr>
      <w:tr>
        <w:trPr>
          <w:trHeight w:val="276"/>
        </w:trPr>
        <w:tc>
          <w:tcPr>
            <w:tcW w:w="790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Net premiums written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34,604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38,129</w:t>
            </w:r>
          </w:p>
        </w:tc>
      </w:tr>
      <w:tr>
        <w:trPr>
          <w:trHeight w:val="341"/>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Net premiums earned </w:t>
            </w:r>
            <w:r>
              <w:rPr>
                <w:rFonts w:ascii="Arial" w:cs="Arial" w:eastAsia="Arial" w:hAnsi="Arial"/>
                <w:sz w:val="25"/>
                <w:szCs w:val="25"/>
                <w:color w:val="auto"/>
                <w:vertAlign w:val="superscript"/>
              </w:rPr>
              <w:t>(1)</w:t>
            </w:r>
          </w:p>
        </w:tc>
        <w:tc>
          <w:tcPr>
            <w:tcW w:w="240" w:type="dxa"/>
            <w:vAlign w:val="bottom"/>
          </w:tcPr>
          <w:p>
            <w:pPr>
              <w:spacing w:after="0"/>
              <w:rPr>
                <w:sz w:val="24"/>
                <w:szCs w:val="24"/>
                <w:color w:val="auto"/>
              </w:rPr>
            </w:pPr>
          </w:p>
        </w:tc>
        <w:tc>
          <w:tcPr>
            <w:tcW w:w="1480" w:type="dxa"/>
            <w:vAlign w:val="bottom"/>
          </w:tcPr>
          <w:p>
            <w:pPr>
              <w:ind w:left="860"/>
              <w:spacing w:after="0"/>
              <w:rPr>
                <w:sz w:val="20"/>
                <w:szCs w:val="20"/>
                <w:color w:val="auto"/>
              </w:rPr>
            </w:pPr>
            <w:r>
              <w:rPr>
                <w:rFonts w:ascii="Arial" w:cs="Arial" w:eastAsia="Arial" w:hAnsi="Arial"/>
                <w:sz w:val="18"/>
                <w:szCs w:val="18"/>
                <w:color w:val="auto"/>
              </w:rPr>
              <w:t>33,225</w:t>
            </w:r>
          </w:p>
        </w:tc>
        <w:tc>
          <w:tcPr>
            <w:tcW w:w="340" w:type="dxa"/>
            <w:vAlign w:val="bottom"/>
          </w:tcPr>
          <w:p>
            <w:pPr>
              <w:spacing w:after="0"/>
              <w:rPr>
                <w:sz w:val="24"/>
                <w:szCs w:val="24"/>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19,807</w:t>
            </w:r>
          </w:p>
        </w:tc>
      </w:tr>
    </w:tbl>
    <w:p>
      <w:pPr>
        <w:spacing w:after="0" w:line="80"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Premiums written and earned are reported net of the 2016 QSR Transaction.</w:t>
      </w:r>
    </w:p>
    <w:p>
      <w:pPr>
        <w:spacing w:after="0" w:line="14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quarter ended March 31, 2017, we had net premiums written of $34.6 million and premiums earned of $33.2 million, compared to net premiums written of $38.1 million and premiums earned of $19.8 million for the quarter ended March 31, 2016. Premiums written and earned are influenced by NIW, product mix, pricing and persistency. Additionally, premiums earned are influenced by the amortization of earnings on our single premium product over the policies' expected lives in accordance with the expiration of risk for policies covering more than one year.</w:t>
      </w:r>
    </w:p>
    <w:p>
      <w:pPr>
        <w:spacing w:after="0" w:line="1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increase in net premiums earned for the quarter ended March 31, 2017 is primarily the result of the continued growth of our primary flow business. The decrease in premiums written is due to the changing product mix as well as the 2016 QSR Transaction, under which we ceded approximately 25% of premiums written and earned. Period over period, premiums earned increased due to the changing product mix and growing number of monthly premium policies in force during the quarter ended March 31, 2017. Pool premiums written and earned for the quarter ended March 31, 2017 were $1.0 million, compared to pool premiums written and earned of $1.2 million for the quarter ended March 31, 2016.</w:t>
      </w:r>
    </w:p>
    <w:p>
      <w:pPr>
        <w:spacing w:after="0" w:line="1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our industry, a "book" is a group of loans that an MI company insures in a particular period, normally a calendar year. In general, the majority of any underwriting profit (</w:t>
      </w:r>
      <w:r>
        <w:rPr>
          <w:rFonts w:ascii="Arial" w:cs="Arial" w:eastAsia="Arial" w:hAnsi="Arial"/>
          <w:sz w:val="18"/>
          <w:szCs w:val="18"/>
          <w:i w:val="1"/>
          <w:iCs w:val="1"/>
          <w:color w:val="auto"/>
        </w:rPr>
        <w:t>i.e.</w:t>
      </w:r>
      <w:r>
        <w:rPr>
          <w:rFonts w:ascii="Arial" w:cs="Arial" w:eastAsia="Arial" w:hAnsi="Arial"/>
          <w:sz w:val="18"/>
          <w:szCs w:val="18"/>
          <w:color w:val="auto"/>
        </w:rPr>
        <w:t>, the earned premium revenue minus claims and expenses, excluding investment income) that a book generates occurs in the early years of the book, with the largest portion of the underwriting profit for that book realized in the first year.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 The earnings we record and the cash flow we receive vary based on the type of MI product (</w:t>
      </w:r>
      <w:r>
        <w:rPr>
          <w:rFonts w:ascii="Arial" w:cs="Arial" w:eastAsia="Arial" w:hAnsi="Arial"/>
          <w:sz w:val="18"/>
          <w:szCs w:val="18"/>
          <w:i w:val="1"/>
          <w:iCs w:val="1"/>
          <w:color w:val="auto"/>
        </w:rPr>
        <w:t>e.g.</w:t>
      </w:r>
      <w:r>
        <w:rPr>
          <w:rFonts w:ascii="Arial" w:cs="Arial" w:eastAsia="Arial" w:hAnsi="Arial"/>
          <w:sz w:val="18"/>
          <w:szCs w:val="18"/>
          <w:color w:val="auto"/>
        </w:rPr>
        <w:t>, BPMI or LPMI) and premium plan (</w:t>
      </w:r>
      <w:r>
        <w:rPr>
          <w:rFonts w:ascii="Arial" w:cs="Arial" w:eastAsia="Arial" w:hAnsi="Arial"/>
          <w:sz w:val="18"/>
          <w:szCs w:val="18"/>
          <w:i w:val="1"/>
          <w:iCs w:val="1"/>
          <w:color w:val="auto"/>
        </w:rPr>
        <w:t>e.g.</w:t>
      </w:r>
      <w:r>
        <w:rPr>
          <w:rFonts w:ascii="Arial" w:cs="Arial" w:eastAsia="Arial" w:hAnsi="Arial"/>
          <w:sz w:val="18"/>
          <w:szCs w:val="18"/>
          <w:color w:val="auto"/>
        </w:rPr>
        <w:t>, single or monthly) our customers select.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62" w:right="239" w:bottom="1440" w:gutter="0" w:footer="0" w:header="0"/>
        </w:sectPr>
      </w:pPr>
    </w:p>
    <w:bookmarkStart w:id="25" w:name="page26"/>
    <w:bookmarkEnd w:id="25"/>
    <w:p>
      <w:pPr>
        <w:jc w:val="both"/>
        <w:ind w:firstLine="648"/>
        <w:spacing w:after="0" w:line="257" w:lineRule="auto"/>
        <w:rPr>
          <w:sz w:val="20"/>
          <w:szCs w:val="20"/>
          <w:color w:val="auto"/>
        </w:rPr>
      </w:pPr>
      <w:r>
        <w:rPr>
          <w:rFonts w:ascii="Arial" w:cs="Arial" w:eastAsia="Arial" w:hAnsi="Arial"/>
          <w:sz w:val="18"/>
          <w:szCs w:val="18"/>
          <w:color w:val="auto"/>
        </w:rPr>
        <w:t>We price our products to achieve a mid-teens percentage return on PMIERs required assets. Our pricing is risk-based, meaning that loans with higher LTVs and lower credit scores will generally be priced higher than loans with lower LTVs and higher credit scores. See "</w:t>
      </w:r>
      <w:r>
        <w:rPr>
          <w:rFonts w:ascii="Arial" w:cs="Arial" w:eastAsia="Arial" w:hAnsi="Arial"/>
          <w:sz w:val="18"/>
          <w:szCs w:val="18"/>
          <w:i w:val="1"/>
          <w:iCs w:val="1"/>
          <w:color w:val="auto"/>
        </w:rPr>
        <w:t>- GSE Oversight,</w:t>
      </w:r>
      <w:r>
        <w:rPr>
          <w:rFonts w:ascii="Arial" w:cs="Arial" w:eastAsia="Arial" w:hAnsi="Arial"/>
          <w:sz w:val="18"/>
          <w:szCs w:val="18"/>
          <w:color w:val="auto"/>
        </w:rPr>
        <w:t>" below for a discussion of the PMIERs financial requirements. Since the industry adopted risk-based pricing in 2016, pricing for monthly premium product, which represents approximately 75% - 80% of the market, has generally been stable. Single-premium LPMI, which historically has represented approximately 20% - 25% of industry NIW, has generally been more price competitive.</w:t>
      </w:r>
    </w:p>
    <w:p>
      <w:pPr>
        <w:spacing w:after="0" w:line="2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persistency rate is the percentage of IIF that remains on our books after any 12-month period. Because our insurance premiums are earned over the life of a policy, changes in persistency rates can have a significant impact on our earnings. The persistency rate on our portfolio was 81.3% at March 31, 2017. Persistency rates are sensitive to fluctuations in interest rates. Decreases in interest rates typically increase our portfolio's cancellation rate. When cancellations increase, we experience lower profitability and returns on our monthly premium business, and conversely, higher returns on our single premium business because, rather than amortizing the single premium over the expected life of the policy, upon cancellation, we immediately recognize all unamortized single premium as earned.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Statistics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primary portfolio trends, by quarter, for the last five quarters.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ind w:left="40"/>
              <w:spacing w:after="0"/>
              <w:rPr>
                <w:sz w:val="20"/>
                <w:szCs w:val="20"/>
                <w:color w:val="auto"/>
              </w:rPr>
            </w:pPr>
            <w:r>
              <w:rPr>
                <w:rFonts w:ascii="Arial" w:cs="Arial" w:eastAsia="Arial" w:hAnsi="Arial"/>
                <w:sz w:val="14"/>
                <w:szCs w:val="14"/>
                <w:b w:val="1"/>
                <w:bCs w:val="1"/>
                <w:color w:val="auto"/>
              </w:rPr>
              <w:t>Primary portfolio trends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w w:val="92"/>
              </w:rPr>
              <w:t>As of and for the quarter ended</w:t>
            </w:r>
          </w:p>
        </w:tc>
        <w:tc>
          <w:tcPr>
            <w:tcW w:w="14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64"/>
        </w:trPr>
        <w:tc>
          <w:tcPr>
            <w:tcW w:w="28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6"/>
              </w:rPr>
              <w:t>December 31, 2016</w:t>
            </w:r>
          </w:p>
        </w:tc>
        <w:tc>
          <w:tcPr>
            <w:tcW w:w="1820" w:type="dxa"/>
            <w:vAlign w:val="bottom"/>
            <w:tcBorders>
              <w:bottom w:val="single" w:sz="8" w:color="auto"/>
            </w:tcBorders>
            <w:gridSpan w:val="2"/>
          </w:tcPr>
          <w:p>
            <w:pPr>
              <w:jc w:val="right"/>
              <w:ind w:right="171"/>
              <w:spacing w:after="0"/>
              <w:rPr>
                <w:sz w:val="20"/>
                <w:szCs w:val="20"/>
                <w:color w:val="auto"/>
              </w:rPr>
            </w:pPr>
            <w:r>
              <w:rPr>
                <w:rFonts w:ascii="Arial" w:cs="Arial" w:eastAsia="Arial" w:hAnsi="Arial"/>
                <w:sz w:val="14"/>
                <w:szCs w:val="14"/>
                <w:b w:val="1"/>
                <w:bCs w:val="1"/>
                <w:color w:val="auto"/>
              </w:rPr>
              <w:t>September 30, 2016</w:t>
            </w:r>
          </w:p>
        </w:tc>
        <w:tc>
          <w:tcPr>
            <w:tcW w:w="3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June 30, 2016</w:t>
            </w: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2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1340" w:type="dxa"/>
            <w:vAlign w:val="bottom"/>
          </w:tcPr>
          <w:p>
            <w:pPr>
              <w:jc w:val="right"/>
              <w:ind w:right="131"/>
              <w:spacing w:after="0"/>
              <w:rPr>
                <w:sz w:val="20"/>
                <w:szCs w:val="20"/>
                <w:color w:val="auto"/>
              </w:rPr>
            </w:pPr>
            <w:r>
              <w:rPr>
                <w:rFonts w:ascii="Arial" w:cs="Arial" w:eastAsia="Arial" w:hAnsi="Arial"/>
                <w:sz w:val="14"/>
                <w:szCs w:val="14"/>
                <w:i w:val="1"/>
                <w:iCs w:val="1"/>
                <w:color w:val="auto"/>
                <w:w w:val="96"/>
              </w:rPr>
              <w:t>Values In Millions)</w:t>
            </w: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2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insurance written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3,559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5,240</w:t>
            </w:r>
          </w:p>
        </w:tc>
        <w:tc>
          <w:tcPr>
            <w:tcW w:w="4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5,857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5,838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4,254</w:t>
            </w:r>
          </w:p>
        </w:tc>
      </w:tr>
      <w:tr>
        <w:trPr>
          <w:trHeight w:val="243"/>
        </w:trPr>
        <w:tc>
          <w:tcPr>
            <w:tcW w:w="2840" w:type="dxa"/>
            <w:vAlign w:val="bottom"/>
          </w:tcPr>
          <w:p>
            <w:pPr>
              <w:ind w:left="280"/>
              <w:spacing w:after="0"/>
              <w:rPr>
                <w:sz w:val="20"/>
                <w:szCs w:val="20"/>
                <w:color w:val="auto"/>
              </w:rPr>
            </w:pPr>
            <w:r>
              <w:rPr>
                <w:rFonts w:ascii="Arial" w:cs="Arial" w:eastAsia="Arial" w:hAnsi="Arial"/>
                <w:sz w:val="18"/>
                <w:szCs w:val="18"/>
                <w:color w:val="auto"/>
              </w:rPr>
              <w:t>New risk written</w:t>
            </w:r>
          </w:p>
        </w:tc>
        <w:tc>
          <w:tcPr>
            <w:tcW w:w="220" w:type="dxa"/>
            <w:vAlign w:val="bottom"/>
          </w:tcPr>
          <w:p>
            <w:pPr>
              <w:spacing w:after="0"/>
              <w:rPr>
                <w:sz w:val="21"/>
                <w:szCs w:val="21"/>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868</w:t>
            </w:r>
          </w:p>
        </w:tc>
        <w:tc>
          <w:tcPr>
            <w:tcW w:w="22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1,244</w:t>
            </w:r>
          </w:p>
        </w:tc>
        <w:tc>
          <w:tcPr>
            <w:tcW w:w="480" w:type="dxa"/>
            <w:vAlign w:val="bottom"/>
          </w:tcPr>
          <w:p>
            <w:pPr>
              <w:spacing w:after="0"/>
              <w:rPr>
                <w:sz w:val="21"/>
                <w:szCs w:val="21"/>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1,415</w:t>
            </w:r>
          </w:p>
        </w:tc>
        <w:tc>
          <w:tcPr>
            <w:tcW w:w="320" w:type="dxa"/>
            <w:vAlign w:val="bottom"/>
          </w:tcPr>
          <w:p>
            <w:pPr>
              <w:spacing w:after="0"/>
              <w:rPr>
                <w:sz w:val="21"/>
                <w:szCs w:val="21"/>
                <w:color w:val="auto"/>
              </w:rPr>
            </w:pPr>
          </w:p>
        </w:tc>
        <w:tc>
          <w:tcPr>
            <w:tcW w:w="1420" w:type="dxa"/>
            <w:vAlign w:val="bottom"/>
          </w:tcPr>
          <w:p>
            <w:pPr>
              <w:jc w:val="right"/>
              <w:ind w:right="151"/>
              <w:spacing w:after="0"/>
              <w:rPr>
                <w:sz w:val="20"/>
                <w:szCs w:val="20"/>
                <w:color w:val="auto"/>
              </w:rPr>
            </w:pPr>
            <w:r>
              <w:rPr>
                <w:rFonts w:ascii="Arial" w:cs="Arial" w:eastAsia="Arial" w:hAnsi="Arial"/>
                <w:sz w:val="18"/>
                <w:szCs w:val="18"/>
                <w:color w:val="auto"/>
              </w:rPr>
              <w:t>1,411</w:t>
            </w:r>
          </w:p>
        </w:tc>
        <w:tc>
          <w:tcPr>
            <w:tcW w:w="28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1,016</w:t>
            </w:r>
          </w:p>
        </w:tc>
      </w:tr>
      <w:tr>
        <w:trPr>
          <w:trHeight w:val="27"/>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28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Insurance in force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34,779</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32,168</w:t>
            </w:r>
          </w:p>
        </w:tc>
        <w:tc>
          <w:tcPr>
            <w:tcW w:w="4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28,228</w:t>
            </w:r>
          </w:p>
        </w:tc>
        <w:tc>
          <w:tcPr>
            <w:tcW w:w="3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23,624</w:t>
            </w: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18,564</w:t>
            </w:r>
          </w:p>
        </w:tc>
      </w:tr>
      <w:tr>
        <w:trPr>
          <w:trHeight w:val="270"/>
        </w:trPr>
        <w:tc>
          <w:tcPr>
            <w:tcW w:w="284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Risk in force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8,444</w:t>
            </w:r>
          </w:p>
        </w:tc>
        <w:tc>
          <w:tcPr>
            <w:tcW w:w="22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7,790</w:t>
            </w:r>
          </w:p>
        </w:tc>
        <w:tc>
          <w:tcPr>
            <w:tcW w:w="480" w:type="dxa"/>
            <w:vAlign w:val="bottom"/>
          </w:tcPr>
          <w:p>
            <w:pPr>
              <w:spacing w:after="0"/>
              <w:rPr>
                <w:sz w:val="23"/>
                <w:szCs w:val="23"/>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6,847</w:t>
            </w:r>
          </w:p>
        </w:tc>
        <w:tc>
          <w:tcPr>
            <w:tcW w:w="320" w:type="dxa"/>
            <w:vAlign w:val="bottom"/>
          </w:tcPr>
          <w:p>
            <w:pPr>
              <w:spacing w:after="0"/>
              <w:rPr>
                <w:sz w:val="23"/>
                <w:szCs w:val="23"/>
                <w:color w:val="auto"/>
              </w:rPr>
            </w:pPr>
          </w:p>
        </w:tc>
        <w:tc>
          <w:tcPr>
            <w:tcW w:w="1420" w:type="dxa"/>
            <w:vAlign w:val="bottom"/>
          </w:tcPr>
          <w:p>
            <w:pPr>
              <w:jc w:val="right"/>
              <w:ind w:right="151"/>
              <w:spacing w:after="0"/>
              <w:rPr>
                <w:sz w:val="20"/>
                <w:szCs w:val="20"/>
                <w:color w:val="auto"/>
              </w:rPr>
            </w:pPr>
            <w:r>
              <w:rPr>
                <w:rFonts w:ascii="Arial" w:cs="Arial" w:eastAsia="Arial" w:hAnsi="Arial"/>
                <w:sz w:val="18"/>
                <w:szCs w:val="18"/>
                <w:color w:val="auto"/>
              </w:rPr>
              <w:t>5,721</w:t>
            </w:r>
          </w:p>
        </w:tc>
        <w:tc>
          <w:tcPr>
            <w:tcW w:w="280" w:type="dxa"/>
            <w:vAlign w:val="bottom"/>
          </w:tcPr>
          <w:p>
            <w:pPr>
              <w:spacing w:after="0"/>
              <w:rPr>
                <w:sz w:val="23"/>
                <w:szCs w:val="23"/>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4,487</w:t>
            </w:r>
          </w:p>
        </w:tc>
      </w:tr>
      <w:tr>
        <w:trPr>
          <w:trHeight w:val="270"/>
        </w:trPr>
        <w:tc>
          <w:tcPr>
            <w:tcW w:w="28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Policies in force (count)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145,632</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134,662</w:t>
            </w:r>
          </w:p>
        </w:tc>
        <w:tc>
          <w:tcPr>
            <w:tcW w:w="4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119,002</w:t>
            </w:r>
          </w:p>
        </w:tc>
        <w:tc>
          <w:tcPr>
            <w:tcW w:w="3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100,547</w:t>
            </w: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79,700</w:t>
            </w:r>
          </w:p>
        </w:tc>
      </w:tr>
      <w:tr>
        <w:trPr>
          <w:trHeight w:val="270"/>
        </w:trPr>
        <w:tc>
          <w:tcPr>
            <w:tcW w:w="284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Weighted-average coverage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24.2%</w:t>
            </w:r>
          </w:p>
        </w:tc>
        <w:tc>
          <w:tcPr>
            <w:tcW w:w="4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24.3%</w:t>
            </w:r>
          </w:p>
        </w:tc>
        <w:tc>
          <w:tcPr>
            <w:tcW w:w="3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24.2%</w:t>
            </w: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50"/>
        </w:trPr>
        <w:tc>
          <w:tcPr>
            <w:tcW w:w="2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in default (count)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207</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179</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115</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79</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w:t>
            </w:r>
          </w:p>
        </w:tc>
      </w:tr>
      <w:tr>
        <w:trPr>
          <w:trHeight w:val="243"/>
        </w:trPr>
        <w:tc>
          <w:tcPr>
            <w:tcW w:w="2840" w:type="dxa"/>
            <w:vAlign w:val="bottom"/>
          </w:tcPr>
          <w:p>
            <w:pPr>
              <w:ind w:left="280"/>
              <w:spacing w:after="0"/>
              <w:rPr>
                <w:sz w:val="20"/>
                <w:szCs w:val="20"/>
                <w:color w:val="auto"/>
              </w:rPr>
            </w:pPr>
            <w:r>
              <w:rPr>
                <w:rFonts w:ascii="Arial" w:cs="Arial" w:eastAsia="Arial" w:hAnsi="Arial"/>
                <w:sz w:val="18"/>
                <w:szCs w:val="18"/>
                <w:color w:val="auto"/>
              </w:rPr>
              <w:t>Percentage of loans in default</w:t>
            </w: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w:t>
            </w:r>
          </w:p>
        </w:tc>
        <w:tc>
          <w:tcPr>
            <w:tcW w:w="4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Risk in force on defaulted loans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4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w:t>
            </w:r>
          </w:p>
        </w:tc>
      </w:tr>
      <w:tr>
        <w:trPr>
          <w:trHeight w:val="270"/>
        </w:trPr>
        <w:tc>
          <w:tcPr>
            <w:tcW w:w="284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Average premium yield </w:t>
            </w:r>
            <w:r>
              <w:rPr>
                <w:rFonts w:ascii="Arial" w:cs="Arial" w:eastAsia="Arial" w:hAnsi="Arial"/>
                <w:sz w:val="25"/>
                <w:szCs w:val="25"/>
                <w:color w:val="auto"/>
                <w:vertAlign w:val="superscript"/>
              </w:rPr>
              <w:t>(3)</w:t>
            </w:r>
          </w:p>
        </w:tc>
        <w:tc>
          <w:tcPr>
            <w:tcW w:w="220" w:type="dxa"/>
            <w:vAlign w:val="bottom"/>
          </w:tcPr>
          <w:p>
            <w:pPr>
              <w:spacing w:after="0"/>
              <w:rPr>
                <w:sz w:val="23"/>
                <w:szCs w:val="23"/>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0.44%</w:t>
            </w:r>
          </w:p>
        </w:tc>
        <w:tc>
          <w:tcPr>
            <w:tcW w:w="4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0.48%</w:t>
            </w:r>
          </w:p>
        </w:tc>
        <w:tc>
          <w:tcPr>
            <w:tcW w:w="3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0.47%</w:t>
            </w: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0.45%</w:t>
            </w:r>
          </w:p>
        </w:tc>
      </w:tr>
      <w:tr>
        <w:trPr>
          <w:trHeight w:val="250"/>
        </w:trPr>
        <w:tc>
          <w:tcPr>
            <w:tcW w:w="2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Earnings from cancellations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w:t>
            </w:r>
          </w:p>
        </w:tc>
        <w:tc>
          <w:tcPr>
            <w:tcW w:w="4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w:t>
            </w:r>
          </w:p>
        </w:tc>
      </w:tr>
      <w:tr>
        <w:trPr>
          <w:trHeight w:val="270"/>
        </w:trPr>
        <w:tc>
          <w:tcPr>
            <w:tcW w:w="284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Annual persistency </w:t>
            </w:r>
            <w:r>
              <w:rPr>
                <w:rFonts w:ascii="Arial" w:cs="Arial" w:eastAsia="Arial" w:hAnsi="Arial"/>
                <w:sz w:val="25"/>
                <w:szCs w:val="25"/>
                <w:color w:val="auto"/>
                <w:vertAlign w:val="superscript"/>
              </w:rPr>
              <w:t>(4)</w:t>
            </w:r>
          </w:p>
        </w:tc>
        <w:tc>
          <w:tcPr>
            <w:tcW w:w="220" w:type="dxa"/>
            <w:vAlign w:val="bottom"/>
          </w:tcPr>
          <w:p>
            <w:pPr>
              <w:spacing w:after="0"/>
              <w:rPr>
                <w:sz w:val="23"/>
                <w:szCs w:val="23"/>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81.3%</w:t>
            </w: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80.7%</w:t>
            </w:r>
          </w:p>
        </w:tc>
        <w:tc>
          <w:tcPr>
            <w:tcW w:w="4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81.8%</w:t>
            </w:r>
          </w:p>
        </w:tc>
        <w:tc>
          <w:tcPr>
            <w:tcW w:w="320" w:type="dxa"/>
            <w:vAlign w:val="bottom"/>
          </w:tcPr>
          <w:p>
            <w:pPr>
              <w:spacing w:after="0"/>
              <w:rPr>
                <w:sz w:val="23"/>
                <w:szCs w:val="23"/>
                <w:color w:val="auto"/>
              </w:rPr>
            </w:pPr>
          </w:p>
        </w:tc>
        <w:tc>
          <w:tcPr>
            <w:tcW w:w="1420" w:type="dxa"/>
            <w:vAlign w:val="bottom"/>
          </w:tcPr>
          <w:p>
            <w:pPr>
              <w:jc w:val="right"/>
              <w:ind w:right="151"/>
              <w:spacing w:after="0"/>
              <w:rPr>
                <w:sz w:val="20"/>
                <w:szCs w:val="20"/>
                <w:color w:val="auto"/>
              </w:rPr>
            </w:pPr>
            <w:r>
              <w:rPr>
                <w:rFonts w:ascii="Arial" w:cs="Arial" w:eastAsia="Arial" w:hAnsi="Arial"/>
                <w:sz w:val="18"/>
                <w:szCs w:val="18"/>
                <w:color w:val="auto"/>
              </w:rPr>
              <w:t>83.3%</w:t>
            </w: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70"/>
        </w:trPr>
        <w:tc>
          <w:tcPr>
            <w:tcW w:w="28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Quarterly persistency </w:t>
            </w:r>
            <w:r>
              <w:rPr>
                <w:rFonts w:ascii="Arial" w:cs="Arial" w:eastAsia="Arial" w:hAnsi="Arial"/>
                <w:sz w:val="25"/>
                <w:szCs w:val="25"/>
                <w:color w:val="auto"/>
                <w:vertAlign w:val="superscript"/>
              </w:rPr>
              <w:t>(5)</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88.2%</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4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3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r>
    </w:tbl>
    <w:p>
      <w:pPr>
        <w:spacing w:after="0" w:line="143" w:lineRule="exact"/>
        <w:rPr>
          <w:sz w:val="20"/>
          <w:szCs w:val="20"/>
          <w:color w:val="auto"/>
        </w:rPr>
      </w:pPr>
    </w:p>
    <w:p>
      <w:pPr>
        <w:ind w:left="820" w:hanging="488"/>
        <w:spacing w:after="0"/>
        <w:tabs>
          <w:tab w:leader="none" w:pos="820" w:val="left"/>
        </w:tabs>
        <w:numPr>
          <w:ilvl w:val="0"/>
          <w:numId w:val="8"/>
        </w:numPr>
        <w:rPr>
          <w:rFonts w:ascii="Arial" w:cs="Arial" w:eastAsia="Arial" w:hAnsi="Arial"/>
          <w:sz w:val="9"/>
          <w:szCs w:val="9"/>
          <w:color w:val="auto"/>
        </w:rPr>
      </w:pPr>
      <w:r>
        <w:rPr>
          <w:rFonts w:ascii="Arial" w:cs="Arial" w:eastAsia="Arial" w:hAnsi="Arial"/>
          <w:sz w:val="14"/>
          <w:szCs w:val="14"/>
          <w:color w:val="auto"/>
        </w:rPr>
        <w:t>Reported as of the end of the period.</w:t>
      </w:r>
    </w:p>
    <w:p>
      <w:pPr>
        <w:spacing w:after="0" w:line="13" w:lineRule="exact"/>
        <w:rPr>
          <w:rFonts w:ascii="Arial" w:cs="Arial" w:eastAsia="Arial" w:hAnsi="Arial"/>
          <w:sz w:val="9"/>
          <w:szCs w:val="9"/>
          <w:color w:val="auto"/>
        </w:rPr>
      </w:pPr>
    </w:p>
    <w:p>
      <w:pPr>
        <w:ind w:left="820" w:hanging="488"/>
        <w:spacing w:after="0"/>
        <w:tabs>
          <w:tab w:leader="none" w:pos="820" w:val="left"/>
        </w:tabs>
        <w:numPr>
          <w:ilvl w:val="0"/>
          <w:numId w:val="8"/>
        </w:numPr>
        <w:rPr>
          <w:rFonts w:ascii="Arial" w:cs="Arial" w:eastAsia="Arial" w:hAnsi="Arial"/>
          <w:sz w:val="9"/>
          <w:szCs w:val="9"/>
          <w:color w:val="auto"/>
        </w:rPr>
      </w:pPr>
      <w:r>
        <w:rPr>
          <w:rFonts w:ascii="Arial" w:cs="Arial" w:eastAsia="Arial" w:hAnsi="Arial"/>
          <w:sz w:val="14"/>
          <w:szCs w:val="14"/>
          <w:color w:val="auto"/>
        </w:rPr>
        <w:t>End of period RIF divided by IIF.</w:t>
      </w:r>
    </w:p>
    <w:p>
      <w:pPr>
        <w:spacing w:after="0" w:line="1" w:lineRule="exact"/>
        <w:rPr>
          <w:rFonts w:ascii="Arial" w:cs="Arial" w:eastAsia="Arial" w:hAnsi="Arial"/>
          <w:sz w:val="9"/>
          <w:szCs w:val="9"/>
          <w:color w:val="auto"/>
        </w:rPr>
      </w:pPr>
    </w:p>
    <w:p>
      <w:pPr>
        <w:ind w:left="820" w:hanging="488"/>
        <w:spacing w:after="0"/>
        <w:tabs>
          <w:tab w:leader="none" w:pos="820" w:val="left"/>
        </w:tabs>
        <w:numPr>
          <w:ilvl w:val="0"/>
          <w:numId w:val="8"/>
        </w:numPr>
        <w:rPr>
          <w:rFonts w:ascii="Arial" w:cs="Arial" w:eastAsia="Arial" w:hAnsi="Arial"/>
          <w:sz w:val="9"/>
          <w:szCs w:val="9"/>
          <w:color w:val="auto"/>
        </w:rPr>
      </w:pPr>
      <w:r>
        <w:rPr>
          <w:rFonts w:ascii="Arial" w:cs="Arial" w:eastAsia="Arial" w:hAnsi="Arial"/>
          <w:sz w:val="14"/>
          <w:szCs w:val="14"/>
          <w:color w:val="auto"/>
        </w:rPr>
        <w:t>Average premium yield is calculated by dividing net primary and pool premiums earned, net of reinsurance, by average gross IIF for the period, annualized.</w:t>
      </w:r>
    </w:p>
    <w:p>
      <w:pPr>
        <w:spacing w:after="0" w:line="1" w:lineRule="exact"/>
        <w:rPr>
          <w:rFonts w:ascii="Arial" w:cs="Arial" w:eastAsia="Arial" w:hAnsi="Arial"/>
          <w:sz w:val="9"/>
          <w:szCs w:val="9"/>
          <w:color w:val="auto"/>
        </w:rPr>
      </w:pPr>
    </w:p>
    <w:p>
      <w:pPr>
        <w:ind w:left="820" w:hanging="488"/>
        <w:spacing w:after="0"/>
        <w:tabs>
          <w:tab w:leader="none" w:pos="820" w:val="left"/>
        </w:tabs>
        <w:numPr>
          <w:ilvl w:val="0"/>
          <w:numId w:val="8"/>
        </w:numPr>
        <w:rPr>
          <w:rFonts w:ascii="Arial" w:cs="Arial" w:eastAsia="Arial" w:hAnsi="Arial"/>
          <w:sz w:val="9"/>
          <w:szCs w:val="9"/>
          <w:color w:val="auto"/>
        </w:rPr>
      </w:pPr>
      <w:r>
        <w:rPr>
          <w:rFonts w:ascii="Arial" w:cs="Arial" w:eastAsia="Arial" w:hAnsi="Arial"/>
          <w:sz w:val="14"/>
          <w:szCs w:val="14"/>
          <w:color w:val="auto"/>
        </w:rPr>
        <w:t>Defined as the percentage of IIF that remains on our books after any 12-month period.</w:t>
      </w:r>
    </w:p>
    <w:p>
      <w:pPr>
        <w:spacing w:after="0" w:line="1" w:lineRule="exact"/>
        <w:rPr>
          <w:rFonts w:ascii="Arial" w:cs="Arial" w:eastAsia="Arial" w:hAnsi="Arial"/>
          <w:sz w:val="9"/>
          <w:szCs w:val="9"/>
          <w:color w:val="auto"/>
        </w:rPr>
      </w:pPr>
    </w:p>
    <w:p>
      <w:pPr>
        <w:ind w:left="820" w:hanging="488"/>
        <w:spacing w:after="0"/>
        <w:tabs>
          <w:tab w:leader="none" w:pos="820" w:val="left"/>
        </w:tabs>
        <w:numPr>
          <w:ilvl w:val="0"/>
          <w:numId w:val="8"/>
        </w:numPr>
        <w:rPr>
          <w:rFonts w:ascii="Arial" w:cs="Arial" w:eastAsia="Arial" w:hAnsi="Arial"/>
          <w:sz w:val="9"/>
          <w:szCs w:val="9"/>
          <w:color w:val="auto"/>
        </w:rPr>
      </w:pPr>
      <w:r>
        <w:rPr>
          <w:rFonts w:ascii="Arial" w:cs="Arial" w:eastAsia="Arial" w:hAnsi="Arial"/>
          <w:sz w:val="14"/>
          <w:szCs w:val="14"/>
          <w:color w:val="auto"/>
        </w:rPr>
        <w:t>Defined as the percentage of IIF that remains on our books after any 3-month period, annualized.</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reflects a summary of the change in total primary IIF for the three months ended March 31, 2017 and 2016.</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ind w:left="40"/>
              <w:spacing w:after="0"/>
              <w:rPr>
                <w:sz w:val="20"/>
                <w:szCs w:val="20"/>
                <w:color w:val="auto"/>
              </w:rPr>
            </w:pPr>
            <w:r>
              <w:rPr>
                <w:rFonts w:ascii="Arial" w:cs="Arial" w:eastAsia="Arial" w:hAnsi="Arial"/>
                <w:sz w:val="14"/>
                <w:szCs w:val="14"/>
                <w:b w:val="1"/>
                <w:bCs w:val="1"/>
                <w:color w:val="auto"/>
              </w:rPr>
              <w:t>Primary IIF</w:t>
            </w:r>
          </w:p>
        </w:tc>
        <w:tc>
          <w:tcPr>
            <w:tcW w:w="3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264"/>
        </w:trPr>
        <w:tc>
          <w:tcPr>
            <w:tcW w:w="42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6"/>
              </w:rPr>
              <w:t>March 31, 2016</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3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32,168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14,824</w:t>
            </w:r>
          </w:p>
        </w:tc>
        <w:tc>
          <w:tcPr>
            <w:tcW w:w="0" w:type="dxa"/>
            <w:vAlign w:val="bottom"/>
          </w:tcPr>
          <w:p>
            <w:pPr>
              <w:spacing w:after="0"/>
              <w:rPr>
                <w:sz w:val="1"/>
                <w:szCs w:val="1"/>
                <w:color w:val="auto"/>
              </w:rPr>
            </w:pPr>
          </w:p>
        </w:tc>
      </w:tr>
      <w:tr>
        <w:trPr>
          <w:trHeight w:val="243"/>
        </w:trPr>
        <w:tc>
          <w:tcPr>
            <w:tcW w:w="4200" w:type="dxa"/>
            <w:vAlign w:val="bottom"/>
          </w:tcPr>
          <w:p>
            <w:pPr>
              <w:ind w:left="280"/>
              <w:spacing w:after="0"/>
              <w:rPr>
                <w:sz w:val="20"/>
                <w:szCs w:val="20"/>
                <w:color w:val="auto"/>
              </w:rPr>
            </w:pPr>
            <w:r>
              <w:rPr>
                <w:rFonts w:ascii="Arial" w:cs="Arial" w:eastAsia="Arial" w:hAnsi="Arial"/>
                <w:sz w:val="18"/>
                <w:szCs w:val="18"/>
                <w:color w:val="auto"/>
              </w:rPr>
              <w:t>NIW</w:t>
            </w:r>
          </w:p>
        </w:tc>
        <w:tc>
          <w:tcPr>
            <w:tcW w:w="3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8"/>
              <w:spacing w:after="0"/>
              <w:rPr>
                <w:sz w:val="20"/>
                <w:szCs w:val="20"/>
                <w:color w:val="auto"/>
              </w:rPr>
            </w:pPr>
            <w:r>
              <w:rPr>
                <w:rFonts w:ascii="Arial" w:cs="Arial" w:eastAsia="Arial" w:hAnsi="Arial"/>
                <w:sz w:val="18"/>
                <w:szCs w:val="18"/>
                <w:color w:val="auto"/>
              </w:rPr>
              <w:t>3,559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Cancellations and other reductions</w:t>
            </w:r>
          </w:p>
        </w:tc>
        <w:tc>
          <w:tcPr>
            <w:tcW w:w="3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57"/>
        </w:trPr>
        <w:tc>
          <w:tcPr>
            <w:tcW w:w="4200" w:type="dxa"/>
            <w:vAlign w:val="bottom"/>
          </w:tcPr>
          <w:p>
            <w:pPr>
              <w:ind w:left="40"/>
              <w:spacing w:after="0"/>
              <w:rPr>
                <w:sz w:val="20"/>
                <w:szCs w:val="20"/>
                <w:color w:val="auto"/>
              </w:rPr>
            </w:pPr>
            <w:r>
              <w:rPr>
                <w:rFonts w:ascii="Arial" w:cs="Arial" w:eastAsia="Arial" w:hAnsi="Arial"/>
                <w:sz w:val="18"/>
                <w:szCs w:val="18"/>
                <w:color w:val="auto"/>
              </w:rPr>
              <w:t>IIF, end of period</w:t>
            </w:r>
          </w:p>
        </w:tc>
        <w:tc>
          <w:tcPr>
            <w:tcW w:w="3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34,779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18,564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700" w:type="dxa"/>
            <w:vAlign w:val="bottom"/>
            <w:vMerge w:val="restart"/>
          </w:tcPr>
          <w:p>
            <w:pPr>
              <w:jc w:val="right"/>
              <w:ind w:right="2010"/>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0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color w:val="auto"/>
        </w:rPr>
        <w:t>The table below reflects a summary of our primary IIF and RIF by book year as of March 31, 2017 and 2016.</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Primary IIF and RIF</w:t>
            </w:r>
          </w:p>
        </w:tc>
        <w:tc>
          <w:tcPr>
            <w:tcW w:w="10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As of March 31, 2017</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March 31, 2016</w:t>
            </w:r>
          </w:p>
        </w:tc>
        <w:tc>
          <w:tcPr>
            <w:tcW w:w="96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IIF</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RIF</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IIF</w:t>
            </w:r>
          </w:p>
        </w:tc>
        <w:tc>
          <w:tcPr>
            <w:tcW w:w="7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RIF</w:t>
            </w:r>
          </w:p>
        </w:tc>
      </w:tr>
      <w:tr>
        <w:trPr>
          <w:trHeight w:val="250"/>
        </w:trPr>
        <w:tc>
          <w:tcPr>
            <w:tcW w:w="4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80" w:type="dxa"/>
            <w:vAlign w:val="bottom"/>
            <w:gridSpan w:val="3"/>
          </w:tcPr>
          <w:p>
            <w:pPr>
              <w:jc w:val="right"/>
              <w:ind w:right="130"/>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2017</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3,544</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2016</w:t>
            </w:r>
          </w:p>
        </w:tc>
        <w:tc>
          <w:tcPr>
            <w:tcW w:w="108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w w:val="94"/>
              </w:rPr>
              <w:t>19,774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4,756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4,232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1,011</w:t>
            </w:r>
          </w:p>
        </w:tc>
      </w:tr>
      <w:tr>
        <w:trPr>
          <w:trHeight w:val="27"/>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9,681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11,806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2014</w:t>
            </w:r>
          </w:p>
        </w:tc>
        <w:tc>
          <w:tcPr>
            <w:tcW w:w="108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1,735</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597</w:t>
            </w:r>
          </w:p>
        </w:tc>
      </w:tr>
      <w:tr>
        <w:trPr>
          <w:trHeight w:val="27"/>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0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4"/>
              </w:rPr>
              <w:t>34,779</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8,444</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18,564</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4,487</w:t>
            </w: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utilize certain risk principles that form the basis of how we underwrite and originate primary NIW. We manage our portfolio credit risk by using several loan eligibility matrices which prescribe the maximum LTV, minimum borrower credit score, maximum loan size, property type, loan type, loan term and occupancy status of loans that we will insure. Our loan eligibility matrices, as well as all of our detailed underwriting guidelines, are contained in our Underwriting Guideline Manual that is publicly available on our website. Our eligibility criteria and underwriting guidelines are designed to mitigate the layered risk inherent in a single insurance policy. "Layered risk" refers to the accumulation of borrower, loan and property risk. For example, we have higher credit score and lower maximum allowed LTV requirements for riskier property types, such as investor properties, compared to owner-occupied properties. We monitor the concentrations of various risk attributes in our insurance portfolio. Generally, insuring loans made to borrowers with higher credit scores tends to result in a lower frequency of claims than with loans made to borrowers with lower credit scores.</w:t>
      </w:r>
    </w:p>
    <w:p>
      <w:pPr>
        <w:spacing w:after="0" w:line="2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tables below reflect our total primary NIW by FICO, LTV and purchase/refinance mix for the three months ended March 31, 2017 and 2016. We calculate the LTV of a loan as the percentage of the original loan amount to the original value of the property securing the loan. In general, the lower the LTV the lower the likelihood of a default, and for loans that default, a lower LTV generally results in lower severity for a resulting claim, as the borrower has more equity in the property.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Primary NIW by FICO</w:t>
            </w: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79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1233"/>
              <w:spacing w:after="0"/>
              <w:rPr>
                <w:sz w:val="20"/>
                <w:szCs w:val="20"/>
                <w:color w:val="auto"/>
              </w:rPr>
            </w:pPr>
            <w:r>
              <w:rPr>
                <w:rFonts w:ascii="Arial" w:cs="Arial" w:eastAsia="Arial" w:hAnsi="Arial"/>
                <w:sz w:val="14"/>
                <w:szCs w:val="14"/>
                <w:i w:val="1"/>
                <w:iCs w:val="1"/>
                <w:color w:val="auto"/>
              </w:rPr>
              <w:t>(In Millions)</w:t>
            </w:r>
          </w:p>
        </w:tc>
      </w:tr>
      <w:tr>
        <w:trPr>
          <w:trHeight w:val="256"/>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740-759</w:t>
            </w:r>
          </w:p>
        </w:tc>
        <w:tc>
          <w:tcPr>
            <w:tcW w:w="24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712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700-719</w:t>
            </w:r>
          </w:p>
        </w:tc>
        <w:tc>
          <w:tcPr>
            <w:tcW w:w="24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411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&lt;=679</w:t>
            </w:r>
          </w:p>
        </w:tc>
        <w:tc>
          <w:tcPr>
            <w:tcW w:w="24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130</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3,559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4,254</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r>
      <w:tr>
        <w:trPr>
          <w:trHeight w:val="481"/>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Primary NIW by LTV</w:t>
            </w:r>
          </w:p>
        </w:tc>
        <w:tc>
          <w:tcPr>
            <w:tcW w:w="2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79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1233"/>
              <w:spacing w:after="0"/>
              <w:rPr>
                <w:sz w:val="20"/>
                <w:szCs w:val="20"/>
                <w:color w:val="auto"/>
              </w:rPr>
            </w:pPr>
            <w:r>
              <w:rPr>
                <w:rFonts w:ascii="Arial" w:cs="Arial" w:eastAsia="Arial" w:hAnsi="Arial"/>
                <w:sz w:val="14"/>
                <w:szCs w:val="14"/>
                <w:i w:val="1"/>
                <w:iCs w:val="1"/>
                <w:color w:val="auto"/>
              </w:rPr>
              <w:t>(In Millions)</w:t>
            </w:r>
          </w:p>
        </w:tc>
      </w:tr>
      <w:tr>
        <w:trPr>
          <w:trHeight w:val="256"/>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24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1,816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85.00% and below</w:t>
            </w:r>
          </w:p>
        </w:tc>
        <w:tc>
          <w:tcPr>
            <w:tcW w:w="24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809</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3,559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4,254</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87"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87" w:right="2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Primary NIW by purchase/refinance mix</w:t>
            </w: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79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1234"/>
              <w:spacing w:after="0"/>
              <w:rPr>
                <w:sz w:val="20"/>
                <w:szCs w:val="20"/>
                <w:color w:val="auto"/>
              </w:rPr>
            </w:pPr>
            <w:r>
              <w:rPr>
                <w:rFonts w:ascii="Arial" w:cs="Arial" w:eastAsia="Arial" w:hAnsi="Arial"/>
                <w:sz w:val="14"/>
                <w:szCs w:val="14"/>
                <w:i w:val="1"/>
                <w:iCs w:val="1"/>
                <w:color w:val="auto"/>
              </w:rPr>
              <w:t>(In Millions)</w:t>
            </w:r>
          </w:p>
        </w:tc>
      </w:tr>
      <w:tr>
        <w:trPr>
          <w:trHeight w:val="256"/>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Refinance</w:t>
            </w:r>
          </w:p>
        </w:tc>
        <w:tc>
          <w:tcPr>
            <w:tcW w:w="240" w:type="dxa"/>
            <w:vAlign w:val="bottom"/>
          </w:tcPr>
          <w:p>
            <w:pPr>
              <w:spacing w:after="0"/>
              <w:rPr>
                <w:sz w:val="21"/>
                <w:szCs w:val="21"/>
                <w:color w:val="auto"/>
              </w:rPr>
            </w:pPr>
          </w:p>
        </w:tc>
        <w:tc>
          <w:tcPr>
            <w:tcW w:w="1480" w:type="dxa"/>
            <w:vAlign w:val="bottom"/>
          </w:tcPr>
          <w:p>
            <w:pPr>
              <w:jc w:val="right"/>
              <w:ind w:right="39"/>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1,335</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3,559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4,254</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tables below show the primary weighted average FICO and weighted average LTV, by policy type, for NIW in the quarters presented.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 Average FICO</w:t>
            </w:r>
          </w:p>
        </w:tc>
        <w:tc>
          <w:tcPr>
            <w:tcW w:w="3520" w:type="dxa"/>
            <w:vAlign w:val="bottom"/>
            <w:tcBorders>
              <w:bottom w:val="single" w:sz="8" w:color="auto"/>
            </w:tcBorders>
            <w:gridSpan w:val="5"/>
          </w:tcPr>
          <w:p>
            <w:pPr>
              <w:jc w:val="right"/>
              <w:ind w:right="836"/>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7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gridSpan w:val="4"/>
          </w:tcPr>
          <w:p>
            <w:pPr>
              <w:ind w:left="380"/>
              <w:spacing w:after="0"/>
              <w:rPr>
                <w:sz w:val="20"/>
                <w:szCs w:val="20"/>
                <w:color w:val="auto"/>
              </w:rPr>
            </w:pPr>
            <w:r>
              <w:rPr>
                <w:rFonts w:ascii="Arial" w:cs="Arial" w:eastAsia="Arial" w:hAnsi="Arial"/>
                <w:sz w:val="14"/>
                <w:szCs w:val="14"/>
                <w:b w:val="1"/>
                <w:bCs w:val="1"/>
                <w:color w:val="auto"/>
              </w:rPr>
              <w:t>March 31, 2017</w:t>
            </w:r>
          </w:p>
        </w:tc>
        <w:tc>
          <w:tcPr>
            <w:tcW w:w="1700" w:type="dxa"/>
            <w:vAlign w:val="bottom"/>
          </w:tcPr>
          <w:p>
            <w:pPr>
              <w:jc w:val="right"/>
              <w:ind w:right="296"/>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79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172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Single</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764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759</w:t>
            </w:r>
          </w:p>
        </w:tc>
      </w:tr>
      <w:tr>
        <w:trPr>
          <w:trHeight w:val="575"/>
        </w:trPr>
        <w:tc>
          <w:tcPr>
            <w:tcW w:w="790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 Average LTV</w:t>
            </w:r>
          </w:p>
        </w:tc>
        <w:tc>
          <w:tcPr>
            <w:tcW w:w="3520" w:type="dxa"/>
            <w:vAlign w:val="bottom"/>
            <w:gridSpan w:val="5"/>
          </w:tcPr>
          <w:p>
            <w:pPr>
              <w:jc w:val="right"/>
              <w:ind w:right="876"/>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77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Borders>
              <w:top w:val="single" w:sz="8" w:color="auto"/>
              <w:bottom w:val="single" w:sz="8" w:color="CCEEFF"/>
            </w:tcBorders>
            <w:gridSpan w:val="2"/>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Single</w:t>
            </w:r>
          </w:p>
        </w:tc>
        <w:tc>
          <w:tcPr>
            <w:tcW w:w="164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91%</w:t>
            </w: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reflect our total primary IIF and RIF by FICO, average loan size, LTV and loan type.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ind w:left="40"/>
              <w:spacing w:after="0"/>
              <w:rPr>
                <w:sz w:val="20"/>
                <w:szCs w:val="20"/>
                <w:color w:val="auto"/>
              </w:rPr>
            </w:pPr>
            <w:r>
              <w:rPr>
                <w:rFonts w:ascii="Arial" w:cs="Arial" w:eastAsia="Arial" w:hAnsi="Arial"/>
                <w:sz w:val="14"/>
                <w:szCs w:val="14"/>
                <w:b w:val="1"/>
                <w:bCs w:val="1"/>
                <w:color w:val="auto"/>
              </w:rPr>
              <w:t>Primary IIF by FICO</w:t>
            </w: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55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March 31, 2017</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March 31, 2016</w:t>
            </w:r>
          </w:p>
        </w:tc>
        <w:tc>
          <w:tcPr>
            <w:tcW w:w="720" w:type="dxa"/>
            <w:vAlign w:val="bottom"/>
            <w:tcBorders>
              <w:bottom w:val="single" w:sz="8" w:color="auto"/>
            </w:tcBorders>
          </w:tcPr>
          <w:p>
            <w:pPr>
              <w:spacing w:after="0"/>
              <w:rPr>
                <w:sz w:val="22"/>
                <w:szCs w:val="22"/>
                <w:color w:val="auto"/>
              </w:rPr>
            </w:pPr>
          </w:p>
        </w:tc>
      </w:tr>
      <w:tr>
        <w:trPr>
          <w:trHeight w:val="250"/>
        </w:trPr>
        <w:tc>
          <w:tcPr>
            <w:tcW w:w="5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i w:val="1"/>
                <w:iCs w:val="1"/>
                <w:color w:val="auto"/>
              </w:rPr>
              <w:t>($ Values In Millions)</w:t>
            </w:r>
          </w:p>
        </w:tc>
        <w:tc>
          <w:tcPr>
            <w:tcW w:w="1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6"/>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rPr>
              <w:t>17,408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rPr>
              <w:t>9,146</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740-759</w:t>
            </w:r>
          </w:p>
        </w:tc>
        <w:tc>
          <w:tcPr>
            <w:tcW w:w="520" w:type="dxa"/>
            <w:vAlign w:val="bottom"/>
          </w:tcPr>
          <w:p>
            <w:pPr>
              <w:spacing w:after="0"/>
              <w:rPr>
                <w:sz w:val="21"/>
                <w:szCs w:val="21"/>
                <w:color w:val="auto"/>
              </w:rPr>
            </w:pPr>
          </w:p>
        </w:tc>
        <w:tc>
          <w:tcPr>
            <w:tcW w:w="1640" w:type="dxa"/>
            <w:vAlign w:val="bottom"/>
          </w:tcPr>
          <w:p>
            <w:pPr>
              <w:jc w:val="right"/>
              <w:ind w:right="812"/>
              <w:spacing w:after="0"/>
              <w:rPr>
                <w:sz w:val="20"/>
                <w:szCs w:val="20"/>
                <w:color w:val="auto"/>
              </w:rPr>
            </w:pPr>
            <w:r>
              <w:rPr>
                <w:rFonts w:ascii="Arial" w:cs="Arial" w:eastAsia="Arial" w:hAnsi="Arial"/>
                <w:sz w:val="18"/>
                <w:szCs w:val="18"/>
                <w:color w:val="auto"/>
              </w:rPr>
              <w:t>5,658</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80" w:type="dxa"/>
            <w:vAlign w:val="bottom"/>
          </w:tcPr>
          <w:p>
            <w:pPr>
              <w:jc w:val="right"/>
              <w:ind w:right="832"/>
              <w:spacing w:after="0"/>
              <w:rPr>
                <w:sz w:val="20"/>
                <w:szCs w:val="20"/>
                <w:color w:val="auto"/>
              </w:rPr>
            </w:pPr>
            <w:r>
              <w:rPr>
                <w:rFonts w:ascii="Arial" w:cs="Arial" w:eastAsia="Arial" w:hAnsi="Arial"/>
                <w:sz w:val="18"/>
                <w:szCs w:val="18"/>
                <w:color w:val="auto"/>
              </w:rPr>
              <w:t>3,045</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rPr>
              <w:t>4,460</w:t>
            </w:r>
          </w:p>
        </w:tc>
        <w:tc>
          <w:tcPr>
            <w:tcW w:w="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rPr>
              <w:t>2,515</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700-719</w:t>
            </w:r>
          </w:p>
        </w:tc>
        <w:tc>
          <w:tcPr>
            <w:tcW w:w="520" w:type="dxa"/>
            <w:vAlign w:val="bottom"/>
          </w:tcPr>
          <w:p>
            <w:pPr>
              <w:spacing w:after="0"/>
              <w:rPr>
                <w:sz w:val="21"/>
                <w:szCs w:val="21"/>
                <w:color w:val="auto"/>
              </w:rPr>
            </w:pPr>
          </w:p>
        </w:tc>
        <w:tc>
          <w:tcPr>
            <w:tcW w:w="1640" w:type="dxa"/>
            <w:vAlign w:val="bottom"/>
          </w:tcPr>
          <w:p>
            <w:pPr>
              <w:jc w:val="right"/>
              <w:ind w:right="812"/>
              <w:spacing w:after="0"/>
              <w:rPr>
                <w:sz w:val="20"/>
                <w:szCs w:val="20"/>
                <w:color w:val="auto"/>
              </w:rPr>
            </w:pPr>
            <w:r>
              <w:rPr>
                <w:rFonts w:ascii="Arial" w:cs="Arial" w:eastAsia="Arial" w:hAnsi="Arial"/>
                <w:sz w:val="18"/>
                <w:szCs w:val="18"/>
                <w:color w:val="auto"/>
              </w:rPr>
              <w:t>3,533</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80" w:type="dxa"/>
            <w:vAlign w:val="bottom"/>
          </w:tcPr>
          <w:p>
            <w:pPr>
              <w:jc w:val="right"/>
              <w:ind w:right="832"/>
              <w:spacing w:after="0"/>
              <w:rPr>
                <w:sz w:val="20"/>
                <w:szCs w:val="20"/>
                <w:color w:val="auto"/>
              </w:rPr>
            </w:pPr>
            <w:r>
              <w:rPr>
                <w:rFonts w:ascii="Arial" w:cs="Arial" w:eastAsia="Arial" w:hAnsi="Arial"/>
                <w:sz w:val="18"/>
                <w:szCs w:val="18"/>
                <w:color w:val="auto"/>
              </w:rPr>
              <w:t>1,877</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rPr>
              <w:t>2,336</w:t>
            </w:r>
          </w:p>
        </w:tc>
        <w:tc>
          <w:tcPr>
            <w:tcW w:w="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rPr>
              <w:t>1,305</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&lt;=679</w:t>
            </w:r>
          </w:p>
        </w:tc>
        <w:tc>
          <w:tcPr>
            <w:tcW w:w="520" w:type="dxa"/>
            <w:vAlign w:val="bottom"/>
          </w:tcPr>
          <w:p>
            <w:pPr>
              <w:spacing w:after="0"/>
              <w:rPr>
                <w:sz w:val="21"/>
                <w:szCs w:val="21"/>
                <w:color w:val="auto"/>
              </w:rPr>
            </w:pPr>
          </w:p>
        </w:tc>
        <w:tc>
          <w:tcPr>
            <w:tcW w:w="1640" w:type="dxa"/>
            <w:vAlign w:val="bottom"/>
          </w:tcPr>
          <w:p>
            <w:pPr>
              <w:jc w:val="right"/>
              <w:ind w:right="812"/>
              <w:spacing w:after="0"/>
              <w:rPr>
                <w:sz w:val="20"/>
                <w:szCs w:val="20"/>
                <w:color w:val="auto"/>
              </w:rPr>
            </w:pPr>
            <w:r>
              <w:rPr>
                <w:rFonts w:ascii="Arial" w:cs="Arial" w:eastAsia="Arial" w:hAnsi="Arial"/>
                <w:sz w:val="18"/>
                <w:szCs w:val="18"/>
                <w:color w:val="auto"/>
              </w:rPr>
              <w:t>1,384</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80" w:type="dxa"/>
            <w:vAlign w:val="bottom"/>
          </w:tcPr>
          <w:p>
            <w:pPr>
              <w:jc w:val="right"/>
              <w:ind w:right="832"/>
              <w:spacing w:after="0"/>
              <w:rPr>
                <w:sz w:val="20"/>
                <w:szCs w:val="20"/>
                <w:color w:val="auto"/>
              </w:rPr>
            </w:pPr>
            <w:r>
              <w:rPr>
                <w:rFonts w:ascii="Arial" w:cs="Arial" w:eastAsia="Arial" w:hAnsi="Arial"/>
                <w:sz w:val="18"/>
                <w:szCs w:val="18"/>
                <w:color w:val="auto"/>
              </w:rPr>
              <w:t>676</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7"/>
        </w:trPr>
        <w:tc>
          <w:tcPr>
            <w:tcW w:w="55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8"/>
                <w:szCs w:val="18"/>
                <w:color w:val="auto"/>
              </w:rPr>
              <w:t>34,779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8"/>
                <w:szCs w:val="18"/>
                <w:color w:val="auto"/>
                <w:w w:val="98"/>
              </w:rPr>
              <w:t>18,564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81"/>
        </w:trPr>
        <w:tc>
          <w:tcPr>
            <w:tcW w:w="5520" w:type="dxa"/>
            <w:vAlign w:val="bottom"/>
          </w:tcPr>
          <w:p>
            <w:pPr>
              <w:ind w:left="40"/>
              <w:spacing w:after="0"/>
              <w:rPr>
                <w:sz w:val="20"/>
                <w:szCs w:val="20"/>
                <w:color w:val="auto"/>
              </w:rPr>
            </w:pPr>
            <w:r>
              <w:rPr>
                <w:rFonts w:ascii="Arial" w:cs="Arial" w:eastAsia="Arial" w:hAnsi="Arial"/>
                <w:sz w:val="14"/>
                <w:szCs w:val="14"/>
                <w:b w:val="1"/>
                <w:bCs w:val="1"/>
                <w:color w:val="auto"/>
              </w:rPr>
              <w:t>Primary RIF by FICO</w:t>
            </w:r>
          </w:p>
        </w:tc>
        <w:tc>
          <w:tcPr>
            <w:tcW w:w="5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64"/>
        </w:trPr>
        <w:tc>
          <w:tcPr>
            <w:tcW w:w="55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March 31, 2017</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March 31, 2016</w:t>
            </w:r>
          </w:p>
        </w:tc>
        <w:tc>
          <w:tcPr>
            <w:tcW w:w="720" w:type="dxa"/>
            <w:vAlign w:val="bottom"/>
            <w:tcBorders>
              <w:bottom w:val="single" w:sz="8" w:color="auto"/>
            </w:tcBorders>
          </w:tcPr>
          <w:p>
            <w:pPr>
              <w:spacing w:after="0"/>
              <w:rPr>
                <w:sz w:val="22"/>
                <w:szCs w:val="22"/>
                <w:color w:val="auto"/>
              </w:rPr>
            </w:pPr>
          </w:p>
        </w:tc>
      </w:tr>
      <w:tr>
        <w:trPr>
          <w:trHeight w:val="250"/>
        </w:trPr>
        <w:tc>
          <w:tcPr>
            <w:tcW w:w="5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i w:val="1"/>
                <w:iCs w:val="1"/>
                <w:color w:val="auto"/>
              </w:rPr>
              <w:t>($ Values In Millions)</w:t>
            </w:r>
          </w:p>
        </w:tc>
        <w:tc>
          <w:tcPr>
            <w:tcW w:w="1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6"/>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rPr>
              <w:t>4,253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rPr>
              <w:t>2,207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740-759</w:t>
            </w:r>
          </w:p>
        </w:tc>
        <w:tc>
          <w:tcPr>
            <w:tcW w:w="520" w:type="dxa"/>
            <w:vAlign w:val="bottom"/>
          </w:tcPr>
          <w:p>
            <w:pPr>
              <w:spacing w:after="0"/>
              <w:rPr>
                <w:sz w:val="21"/>
                <w:szCs w:val="21"/>
                <w:color w:val="auto"/>
              </w:rPr>
            </w:pPr>
          </w:p>
        </w:tc>
        <w:tc>
          <w:tcPr>
            <w:tcW w:w="1640" w:type="dxa"/>
            <w:vAlign w:val="bottom"/>
          </w:tcPr>
          <w:p>
            <w:pPr>
              <w:jc w:val="right"/>
              <w:ind w:right="812"/>
              <w:spacing w:after="0"/>
              <w:rPr>
                <w:sz w:val="20"/>
                <w:szCs w:val="20"/>
                <w:color w:val="auto"/>
              </w:rPr>
            </w:pPr>
            <w:r>
              <w:rPr>
                <w:rFonts w:ascii="Arial" w:cs="Arial" w:eastAsia="Arial" w:hAnsi="Arial"/>
                <w:sz w:val="18"/>
                <w:szCs w:val="18"/>
                <w:color w:val="auto"/>
              </w:rPr>
              <w:t>1,383</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80" w:type="dxa"/>
            <w:vAlign w:val="bottom"/>
          </w:tcPr>
          <w:p>
            <w:pPr>
              <w:jc w:val="right"/>
              <w:ind w:right="832"/>
              <w:spacing w:after="0"/>
              <w:rPr>
                <w:sz w:val="20"/>
                <w:szCs w:val="20"/>
                <w:color w:val="auto"/>
              </w:rPr>
            </w:pPr>
            <w:r>
              <w:rPr>
                <w:rFonts w:ascii="Arial" w:cs="Arial" w:eastAsia="Arial" w:hAnsi="Arial"/>
                <w:sz w:val="18"/>
                <w:szCs w:val="18"/>
                <w:color w:val="auto"/>
              </w:rPr>
              <w:t>747</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17</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rPr>
              <w:t>1,081</w:t>
            </w:r>
          </w:p>
        </w:tc>
        <w:tc>
          <w:tcPr>
            <w:tcW w:w="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rPr>
              <w:t>613</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700-719</w:t>
            </w:r>
          </w:p>
        </w:tc>
        <w:tc>
          <w:tcPr>
            <w:tcW w:w="520" w:type="dxa"/>
            <w:vAlign w:val="bottom"/>
          </w:tcPr>
          <w:p>
            <w:pPr>
              <w:spacing w:after="0"/>
              <w:rPr>
                <w:sz w:val="21"/>
                <w:szCs w:val="21"/>
                <w:color w:val="auto"/>
              </w:rPr>
            </w:pPr>
          </w:p>
        </w:tc>
        <w:tc>
          <w:tcPr>
            <w:tcW w:w="1640" w:type="dxa"/>
            <w:vAlign w:val="bottom"/>
          </w:tcPr>
          <w:p>
            <w:pPr>
              <w:jc w:val="right"/>
              <w:ind w:right="812"/>
              <w:spacing w:after="0"/>
              <w:rPr>
                <w:sz w:val="20"/>
                <w:szCs w:val="20"/>
                <w:color w:val="auto"/>
              </w:rPr>
            </w:pPr>
            <w:r>
              <w:rPr>
                <w:rFonts w:ascii="Arial" w:cs="Arial" w:eastAsia="Arial" w:hAnsi="Arial"/>
                <w:sz w:val="18"/>
                <w:szCs w:val="18"/>
                <w:color w:val="auto"/>
              </w:rPr>
              <w:t>851</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80" w:type="dxa"/>
            <w:vAlign w:val="bottom"/>
          </w:tcPr>
          <w:p>
            <w:pPr>
              <w:jc w:val="right"/>
              <w:ind w:right="832"/>
              <w:spacing w:after="0"/>
              <w:rPr>
                <w:sz w:val="20"/>
                <w:szCs w:val="20"/>
                <w:color w:val="auto"/>
              </w:rPr>
            </w:pPr>
            <w:r>
              <w:rPr>
                <w:rFonts w:ascii="Arial" w:cs="Arial" w:eastAsia="Arial" w:hAnsi="Arial"/>
                <w:sz w:val="18"/>
                <w:szCs w:val="18"/>
                <w:color w:val="auto"/>
              </w:rPr>
              <w:t>453</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rPr>
              <w:t>556</w:t>
            </w:r>
          </w:p>
        </w:tc>
        <w:tc>
          <w:tcPr>
            <w:tcW w:w="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rPr>
              <w:t>312</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&lt;=679</w:t>
            </w:r>
          </w:p>
        </w:tc>
        <w:tc>
          <w:tcPr>
            <w:tcW w:w="520" w:type="dxa"/>
            <w:vAlign w:val="bottom"/>
          </w:tcPr>
          <w:p>
            <w:pPr>
              <w:spacing w:after="0"/>
              <w:rPr>
                <w:sz w:val="21"/>
                <w:szCs w:val="21"/>
                <w:color w:val="auto"/>
              </w:rPr>
            </w:pPr>
          </w:p>
        </w:tc>
        <w:tc>
          <w:tcPr>
            <w:tcW w:w="1640" w:type="dxa"/>
            <w:vAlign w:val="bottom"/>
          </w:tcPr>
          <w:p>
            <w:pPr>
              <w:jc w:val="right"/>
              <w:ind w:right="812"/>
              <w:spacing w:after="0"/>
              <w:rPr>
                <w:sz w:val="20"/>
                <w:szCs w:val="20"/>
                <w:color w:val="auto"/>
              </w:rPr>
            </w:pPr>
            <w:r>
              <w:rPr>
                <w:rFonts w:ascii="Arial" w:cs="Arial" w:eastAsia="Arial" w:hAnsi="Arial"/>
                <w:sz w:val="18"/>
                <w:szCs w:val="18"/>
                <w:color w:val="auto"/>
              </w:rPr>
              <w:t>320</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80" w:type="dxa"/>
            <w:vAlign w:val="bottom"/>
          </w:tcPr>
          <w:p>
            <w:pPr>
              <w:jc w:val="right"/>
              <w:ind w:right="832"/>
              <w:spacing w:after="0"/>
              <w:rPr>
                <w:sz w:val="20"/>
                <w:szCs w:val="20"/>
                <w:color w:val="auto"/>
              </w:rPr>
            </w:pPr>
            <w:r>
              <w:rPr>
                <w:rFonts w:ascii="Arial" w:cs="Arial" w:eastAsia="Arial" w:hAnsi="Arial"/>
                <w:sz w:val="18"/>
                <w:szCs w:val="18"/>
                <w:color w:val="auto"/>
              </w:rPr>
              <w:t>155</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55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8"/>
                <w:szCs w:val="18"/>
                <w:color w:val="auto"/>
              </w:rPr>
              <w:t>8,444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8"/>
                <w:szCs w:val="18"/>
                <w:color w:val="auto"/>
              </w:rPr>
              <w:t>4,487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608"/>
        </w:trPr>
        <w:tc>
          <w:tcPr>
            <w:tcW w:w="5520" w:type="dxa"/>
            <w:vAlign w:val="bottom"/>
          </w:tcPr>
          <w:p>
            <w:pPr>
              <w:spacing w:after="0"/>
              <w:rPr>
                <w:sz w:val="24"/>
                <w:szCs w:val="24"/>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1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Primary Average Loan Size by FICO</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85"/>
              </w:rPr>
              <w:t>As of</w:t>
            </w:r>
          </w:p>
        </w:tc>
        <w:tc>
          <w:tcPr>
            <w:tcW w:w="1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rPr>
              <w:t>March 31, 2017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60" w:type="dxa"/>
            <w:vAlign w:val="bottom"/>
            <w:gridSpan w:val="7"/>
          </w:tcPr>
          <w:p>
            <w:pPr>
              <w:ind w:left="140"/>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740-759</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700-719</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&lt;=679</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21"/>
                <w:szCs w:val="21"/>
                <w:color w:val="auto"/>
              </w:rPr>
            </w:pPr>
          </w:p>
        </w:tc>
      </w:tr>
      <w:tr>
        <w:trPr>
          <w:trHeight w:val="521"/>
        </w:trPr>
        <w:tc>
          <w:tcPr>
            <w:tcW w:w="4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Primary IIF by LTV</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4"/>
                <w:szCs w:val="14"/>
                <w:b w:val="1"/>
                <w:bCs w:val="1"/>
                <w:color w:val="auto"/>
              </w:rPr>
              <w:t>As of</w:t>
            </w: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gridSpan w:val="4"/>
          </w:tcPr>
          <w:p>
            <w:pPr>
              <w:ind w:left="540"/>
              <w:spacing w:after="0"/>
              <w:rPr>
                <w:sz w:val="20"/>
                <w:szCs w:val="20"/>
                <w:color w:val="auto"/>
              </w:rPr>
            </w:pPr>
            <w:r>
              <w:rPr>
                <w:rFonts w:ascii="Arial" w:cs="Arial" w:eastAsia="Arial" w:hAnsi="Arial"/>
                <w:sz w:val="14"/>
                <w:szCs w:val="14"/>
                <w:b w:val="1"/>
                <w:bCs w:val="1"/>
                <w:color w:val="auto"/>
              </w:rPr>
              <w:t>March 31, 2017</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60" w:type="dxa"/>
            <w:vAlign w:val="bottom"/>
            <w:gridSpan w:val="7"/>
          </w:tcPr>
          <w:p>
            <w:pPr>
              <w:ind w:left="320"/>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3"/>
          </w:tcPr>
          <w:p>
            <w:pPr>
              <w:spacing w:after="0"/>
              <w:rPr>
                <w:sz w:val="20"/>
                <w:szCs w:val="20"/>
                <w:color w:val="auto"/>
              </w:rPr>
            </w:pPr>
            <w:r>
              <w:rPr>
                <w:rFonts w:ascii="Arial" w:cs="Arial" w:eastAsia="Arial" w:hAnsi="Arial"/>
                <w:sz w:val="14"/>
                <w:szCs w:val="14"/>
                <w:i w:val="1"/>
                <w:iCs w:val="1"/>
                <w:color w:val="auto"/>
                <w:w w:val="95"/>
              </w:rPr>
              <w:t>($ Values In Millions)</w:t>
            </w:r>
          </w:p>
        </w:tc>
        <w:tc>
          <w:tcPr>
            <w:tcW w:w="3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jc w:val="center"/>
              <w:ind w:right="3492"/>
              <w:spacing w:after="0"/>
              <w:rPr>
                <w:sz w:val="20"/>
                <w:szCs w:val="20"/>
                <w:color w:val="auto"/>
              </w:rPr>
            </w:pPr>
            <w:r>
              <w:rPr>
                <w:rFonts w:ascii="Arial" w:cs="Arial" w:eastAsia="Arial" w:hAnsi="Arial"/>
                <w:sz w:val="18"/>
                <w:szCs w:val="18"/>
                <w:color w:val="auto"/>
                <w:w w:val="87"/>
              </w:rPr>
              <w:t>95.01% and above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1,931</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5460" w:type="dxa"/>
            <w:vAlign w:val="bottom"/>
          </w:tcPr>
          <w:p>
            <w:pPr>
              <w:jc w:val="center"/>
              <w:ind w:right="3472"/>
              <w:spacing w:after="0"/>
              <w:rPr>
                <w:sz w:val="20"/>
                <w:szCs w:val="20"/>
                <w:color w:val="auto"/>
              </w:rPr>
            </w:pPr>
            <w:r>
              <w:rPr>
                <w:rFonts w:ascii="Arial" w:cs="Arial" w:eastAsia="Arial" w:hAnsi="Arial"/>
                <w:sz w:val="18"/>
                <w:szCs w:val="18"/>
                <w:color w:val="auto"/>
                <w:w w:val="91"/>
              </w:rPr>
              <w:t>90.01% to 95.00%</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15,601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116"/>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8,220</w:t>
            </w:r>
          </w:p>
        </w:tc>
        <w:tc>
          <w:tcPr>
            <w:tcW w:w="12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3472"/>
              <w:spacing w:after="0"/>
              <w:rPr>
                <w:sz w:val="20"/>
                <w:szCs w:val="20"/>
                <w:color w:val="auto"/>
              </w:rPr>
            </w:pPr>
            <w:r>
              <w:rPr>
                <w:rFonts w:ascii="Arial" w:cs="Arial" w:eastAsia="Arial" w:hAnsi="Arial"/>
                <w:sz w:val="18"/>
                <w:szCs w:val="18"/>
                <w:color w:val="auto"/>
                <w:w w:val="91"/>
              </w:rPr>
              <w:t>85.01% to 90.00%</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11,058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6,326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tcPr>
          <w:p>
            <w:pPr>
              <w:jc w:val="center"/>
              <w:ind w:right="3472"/>
              <w:spacing w:after="0"/>
              <w:rPr>
                <w:sz w:val="20"/>
                <w:szCs w:val="20"/>
                <w:color w:val="auto"/>
              </w:rPr>
            </w:pPr>
            <w:r>
              <w:rPr>
                <w:rFonts w:ascii="Arial" w:cs="Arial" w:eastAsia="Arial" w:hAnsi="Arial"/>
                <w:sz w:val="18"/>
                <w:szCs w:val="18"/>
                <w:color w:val="auto"/>
                <w:w w:val="90"/>
              </w:rPr>
              <w:t>85.00% and below</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6,189</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11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3,319</w:t>
            </w:r>
          </w:p>
        </w:tc>
        <w:tc>
          <w:tcPr>
            <w:tcW w:w="12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34,779</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18,564</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1"/>
        </w:trPr>
        <w:tc>
          <w:tcPr>
            <w:tcW w:w="4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Primary RIF by LTV</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4"/>
                <w:szCs w:val="14"/>
                <w:b w:val="1"/>
                <w:bCs w:val="1"/>
                <w:color w:val="auto"/>
              </w:rPr>
              <w:t>As of</w:t>
            </w: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gridSpan w:val="4"/>
          </w:tcPr>
          <w:p>
            <w:pPr>
              <w:ind w:left="540"/>
              <w:spacing w:after="0"/>
              <w:rPr>
                <w:sz w:val="20"/>
                <w:szCs w:val="20"/>
                <w:color w:val="auto"/>
              </w:rPr>
            </w:pPr>
            <w:r>
              <w:rPr>
                <w:rFonts w:ascii="Arial" w:cs="Arial" w:eastAsia="Arial" w:hAnsi="Arial"/>
                <w:sz w:val="14"/>
                <w:szCs w:val="14"/>
                <w:b w:val="1"/>
                <w:bCs w:val="1"/>
                <w:color w:val="auto"/>
              </w:rPr>
              <w:t>March 31, 2017</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60" w:type="dxa"/>
            <w:vAlign w:val="bottom"/>
            <w:gridSpan w:val="7"/>
          </w:tcPr>
          <w:p>
            <w:pPr>
              <w:ind w:left="320"/>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3"/>
          </w:tcPr>
          <w:p>
            <w:pPr>
              <w:spacing w:after="0"/>
              <w:rPr>
                <w:sz w:val="20"/>
                <w:szCs w:val="20"/>
                <w:color w:val="auto"/>
              </w:rPr>
            </w:pPr>
            <w:r>
              <w:rPr>
                <w:rFonts w:ascii="Arial" w:cs="Arial" w:eastAsia="Arial" w:hAnsi="Arial"/>
                <w:sz w:val="14"/>
                <w:szCs w:val="14"/>
                <w:i w:val="1"/>
                <w:iCs w:val="1"/>
                <w:color w:val="auto"/>
                <w:w w:val="95"/>
              </w:rPr>
              <w:t>($ Values In Millions)</w:t>
            </w:r>
          </w:p>
        </w:tc>
        <w:tc>
          <w:tcPr>
            <w:tcW w:w="3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jc w:val="center"/>
              <w:ind w:right="3492"/>
              <w:spacing w:after="0"/>
              <w:rPr>
                <w:sz w:val="20"/>
                <w:szCs w:val="20"/>
                <w:color w:val="auto"/>
              </w:rPr>
            </w:pPr>
            <w:r>
              <w:rPr>
                <w:rFonts w:ascii="Arial" w:cs="Arial" w:eastAsia="Arial" w:hAnsi="Arial"/>
                <w:sz w:val="18"/>
                <w:szCs w:val="18"/>
                <w:color w:val="auto"/>
                <w:w w:val="87"/>
              </w:rPr>
              <w:t>95.01% and above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5460" w:type="dxa"/>
            <w:vAlign w:val="bottom"/>
          </w:tcPr>
          <w:p>
            <w:pPr>
              <w:jc w:val="center"/>
              <w:ind w:right="3472"/>
              <w:spacing w:after="0"/>
              <w:rPr>
                <w:sz w:val="20"/>
                <w:szCs w:val="20"/>
                <w:color w:val="auto"/>
              </w:rPr>
            </w:pPr>
            <w:r>
              <w:rPr>
                <w:rFonts w:ascii="Arial" w:cs="Arial" w:eastAsia="Arial" w:hAnsi="Arial"/>
                <w:sz w:val="18"/>
                <w:szCs w:val="18"/>
                <w:color w:val="auto"/>
                <w:w w:val="91"/>
              </w:rPr>
              <w:t>90.01% to 95.00%</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4,585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116"/>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3472"/>
              <w:spacing w:after="0"/>
              <w:rPr>
                <w:sz w:val="20"/>
                <w:szCs w:val="20"/>
                <w:color w:val="auto"/>
              </w:rPr>
            </w:pPr>
            <w:r>
              <w:rPr>
                <w:rFonts w:ascii="Arial" w:cs="Arial" w:eastAsia="Arial" w:hAnsi="Arial"/>
                <w:sz w:val="18"/>
                <w:szCs w:val="18"/>
                <w:color w:val="auto"/>
                <w:w w:val="91"/>
              </w:rPr>
              <w:t>85.01% to 90.00%</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1,498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tcPr>
          <w:p>
            <w:pPr>
              <w:jc w:val="center"/>
              <w:ind w:right="3472"/>
              <w:spacing w:after="0"/>
              <w:rPr>
                <w:sz w:val="20"/>
                <w:szCs w:val="20"/>
                <w:color w:val="auto"/>
              </w:rPr>
            </w:pPr>
            <w:r>
              <w:rPr>
                <w:rFonts w:ascii="Arial" w:cs="Arial" w:eastAsia="Arial" w:hAnsi="Arial"/>
                <w:sz w:val="18"/>
                <w:szCs w:val="18"/>
                <w:color w:val="auto"/>
                <w:w w:val="90"/>
              </w:rPr>
              <w:t>85.00% and below</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116"/>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8,444</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4,487</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r>
      <w:tr>
        <w:trPr>
          <w:trHeight w:val="20"/>
        </w:trPr>
        <w:tc>
          <w:tcPr>
            <w:tcW w:w="550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1"/>
        </w:trPr>
        <w:tc>
          <w:tcPr>
            <w:tcW w:w="55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Primary RIF by Loan Type</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As of</w:t>
            </w: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2017</w:t>
            </w:r>
          </w:p>
        </w:tc>
        <w:tc>
          <w:tcPr>
            <w:tcW w:w="3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31, 2016</w:t>
            </w:r>
          </w:p>
        </w:tc>
      </w:tr>
      <w:tr>
        <w:trPr>
          <w:trHeight w:val="324"/>
        </w:trPr>
        <w:tc>
          <w:tcPr>
            <w:tcW w:w="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Fixed</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99%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tcPr>
          <w:p>
            <w:pPr>
              <w:ind w:left="140"/>
              <w:spacing w:after="0"/>
              <w:rPr>
                <w:sz w:val="20"/>
                <w:szCs w:val="20"/>
                <w:color w:val="auto"/>
              </w:rPr>
            </w:pPr>
            <w:r>
              <w:rPr>
                <w:rFonts w:ascii="Arial" w:cs="Arial" w:eastAsia="Arial" w:hAnsi="Arial"/>
                <w:sz w:val="18"/>
                <w:szCs w:val="18"/>
                <w:color w:val="auto"/>
              </w:rPr>
              <w:t>Adjustable rate mortgages:</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3452"/>
              <w:spacing w:after="0"/>
              <w:rPr>
                <w:sz w:val="20"/>
                <w:szCs w:val="20"/>
                <w:color w:val="auto"/>
              </w:rPr>
            </w:pPr>
            <w:r>
              <w:rPr>
                <w:rFonts w:ascii="Arial" w:cs="Arial" w:eastAsia="Arial" w:hAnsi="Arial"/>
                <w:sz w:val="18"/>
                <w:szCs w:val="18"/>
                <w:color w:val="auto"/>
                <w:w w:val="89"/>
              </w:rPr>
              <w:t>Less than five years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Five years and longer</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r>
      <w:tr>
        <w:trPr>
          <w:trHeight w:val="27"/>
        </w:trPr>
        <w:tc>
          <w:tcPr>
            <w:tcW w:w="550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0"/>
                <w:szCs w:val="20"/>
                <w:color w:val="auto"/>
              </w:rPr>
            </w:pPr>
          </w:p>
        </w:tc>
      </w:tr>
      <w:tr>
        <w:trPr>
          <w:trHeight w:val="27"/>
        </w:trPr>
        <w:tc>
          <w:tcPr>
            <w:tcW w:w="4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and March 31, 2016, 100% of each of our pool IIF and RIF was comprised of insurance on fixed rate mortgages.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38"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The table below shows primary portfolio statistics, by book year, as of March 31, 2017.</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As of March 31, 2017</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3"/>
                <w:szCs w:val="13"/>
                <w:color w:val="auto"/>
              </w:rPr>
            </w:pPr>
          </w:p>
        </w:tc>
        <w:tc>
          <w:tcPr>
            <w:tcW w:w="88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4"/>
              </w:rPr>
              <w:t>Remaining</w:t>
            </w: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Remaining of</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Policies Ever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7"/>
              </w:rPr>
              <w:t>Number of</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 of Claims</w:t>
            </w: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Incurred Loss</w:t>
            </w:r>
          </w:p>
        </w:tc>
        <w:tc>
          <w:tcPr>
            <w:tcW w:w="12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49"/>
        </w:trPr>
        <w:tc>
          <w:tcPr>
            <w:tcW w:w="1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Origination year</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Insurance</w:t>
            </w:r>
          </w:p>
        </w:tc>
        <w:tc>
          <w:tcPr>
            <w:tcW w:w="12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Insurance in</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Original</w:t>
            </w:r>
          </w:p>
        </w:tc>
        <w:tc>
          <w:tcPr>
            <w:tcW w:w="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Loans in</w:t>
            </w:r>
          </w:p>
        </w:tc>
        <w:tc>
          <w:tcPr>
            <w:tcW w:w="780" w:type="dxa"/>
            <w:vAlign w:val="bottom"/>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Ratio (Inception</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4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Written</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Force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Insurance</w:t>
            </w: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in Force</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4"/>
              </w:rPr>
              <w:t>Force</w:t>
            </w:r>
          </w:p>
        </w:tc>
        <w:tc>
          <w:tcPr>
            <w:tcW w:w="9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Default</w:t>
            </w: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Paid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xml:space="preserve">to Date) </w:t>
            </w:r>
            <w:r>
              <w:rPr>
                <w:rFonts w:ascii="Arial" w:cs="Arial" w:eastAsia="Arial" w:hAnsi="Arial"/>
                <w:sz w:val="8"/>
                <w:szCs w:val="8"/>
                <w:b w:val="1"/>
                <w:bCs w:val="1"/>
                <w:color w:val="auto"/>
                <w:w w:val="97"/>
              </w:rPr>
              <w:t>(1)</w:t>
            </w: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 xml:space="preserve">default rate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4"/>
                <w:szCs w:val="14"/>
                <w:i w:val="1"/>
                <w:iCs w:val="1"/>
                <w:color w:val="auto"/>
                <w:w w:val="97"/>
              </w:rPr>
              <w:t>($ Values 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w:t>
            </w:r>
          </w:p>
        </w:tc>
        <w:tc>
          <w:tcPr>
            <w:tcW w:w="1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180" w:type="dxa"/>
            <w:vAlign w:val="bottom"/>
            <w:tcBorders>
              <w:bottom w:val="single" w:sz="8" w:color="CCEEFF"/>
            </w:tcBorders>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4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0.2%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1340" w:type="dxa"/>
            <w:vAlign w:val="bottom"/>
          </w:tcPr>
          <w:p>
            <w:pPr>
              <w:ind w:left="4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1,735</w:t>
            </w:r>
          </w:p>
        </w:tc>
        <w:tc>
          <w:tcPr>
            <w:tcW w:w="1300" w:type="dxa"/>
            <w:vAlign w:val="bottom"/>
          </w:tcPr>
          <w:p>
            <w:pPr>
              <w:jc w:val="right"/>
              <w:ind w:right="57"/>
              <w:spacing w:after="0"/>
              <w:rPr>
                <w:sz w:val="20"/>
                <w:szCs w:val="20"/>
                <w:color w:val="auto"/>
              </w:rPr>
            </w:pPr>
            <w:r>
              <w:rPr>
                <w:rFonts w:ascii="Arial" w:cs="Arial" w:eastAsia="Arial" w:hAnsi="Arial"/>
                <w:sz w:val="18"/>
                <w:szCs w:val="18"/>
                <w:color w:val="auto"/>
              </w:rPr>
              <w:t>50%</w:t>
            </w:r>
          </w:p>
        </w:tc>
        <w:tc>
          <w:tcPr>
            <w:tcW w:w="940" w:type="dxa"/>
            <w:vAlign w:val="bottom"/>
          </w:tcPr>
          <w:p>
            <w:pPr>
              <w:jc w:val="right"/>
              <w:spacing w:after="0"/>
              <w:rPr>
                <w:sz w:val="20"/>
                <w:szCs w:val="20"/>
                <w:color w:val="auto"/>
              </w:rPr>
            </w:pPr>
            <w:r>
              <w:rPr>
                <w:rFonts w:ascii="Arial" w:cs="Arial" w:eastAsia="Arial" w:hAnsi="Arial"/>
                <w:sz w:val="18"/>
                <w:szCs w:val="18"/>
                <w:color w:val="auto"/>
              </w:rPr>
              <w:t>14,786</w:t>
            </w:r>
          </w:p>
        </w:tc>
        <w:tc>
          <w:tcPr>
            <w:tcW w:w="1180" w:type="dxa"/>
            <w:vAlign w:val="bottom"/>
            <w:gridSpan w:val="3"/>
          </w:tcPr>
          <w:p>
            <w:pPr>
              <w:jc w:val="right"/>
              <w:ind w:right="24"/>
              <w:spacing w:after="0"/>
              <w:rPr>
                <w:sz w:val="20"/>
                <w:szCs w:val="20"/>
                <w:color w:val="auto"/>
              </w:rPr>
            </w:pPr>
            <w:r>
              <w:rPr>
                <w:rFonts w:ascii="Arial" w:cs="Arial" w:eastAsia="Arial" w:hAnsi="Arial"/>
                <w:sz w:val="18"/>
                <w:szCs w:val="18"/>
                <w:color w:val="auto"/>
              </w:rPr>
              <w:t>8,527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440" w:type="dxa"/>
            <w:vAlign w:val="bottom"/>
          </w:tcPr>
          <w:p>
            <w:pPr>
              <w:jc w:val="right"/>
              <w:ind w:right="77"/>
              <w:spacing w:after="0"/>
              <w:rPr>
                <w:sz w:val="20"/>
                <w:szCs w:val="20"/>
                <w:color w:val="auto"/>
              </w:rPr>
            </w:pPr>
            <w:r>
              <w:rPr>
                <w:rFonts w:ascii="Arial" w:cs="Arial" w:eastAsia="Arial" w:hAnsi="Arial"/>
                <w:sz w:val="18"/>
                <w:szCs w:val="18"/>
                <w:color w:val="auto"/>
              </w:rPr>
              <w:t>2.7%</w:t>
            </w: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9,681</w:t>
            </w:r>
          </w:p>
        </w:tc>
        <w:tc>
          <w:tcPr>
            <w:tcW w:w="1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52,548</w:t>
            </w:r>
          </w:p>
        </w:tc>
        <w:tc>
          <w:tcPr>
            <w:tcW w:w="1180" w:type="dxa"/>
            <w:vAlign w:val="bottom"/>
            <w:tcBorders>
              <w:bottom w:val="single" w:sz="8" w:color="CCEEFF"/>
            </w:tcBorders>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43,414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4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1340" w:type="dxa"/>
            <w:vAlign w:val="bottom"/>
          </w:tcPr>
          <w:p>
            <w:pPr>
              <w:ind w:left="4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21,188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19,774</w:t>
            </w:r>
          </w:p>
        </w:tc>
        <w:tc>
          <w:tcPr>
            <w:tcW w:w="1300" w:type="dxa"/>
            <w:vAlign w:val="bottom"/>
          </w:tcPr>
          <w:p>
            <w:pPr>
              <w:jc w:val="right"/>
              <w:ind w:right="57"/>
              <w:spacing w:after="0"/>
              <w:rPr>
                <w:sz w:val="20"/>
                <w:szCs w:val="20"/>
                <w:color w:val="auto"/>
              </w:rPr>
            </w:pPr>
            <w:r>
              <w:rPr>
                <w:rFonts w:ascii="Arial" w:cs="Arial" w:eastAsia="Arial" w:hAnsi="Arial"/>
                <w:sz w:val="18"/>
                <w:szCs w:val="18"/>
                <w:color w:val="auto"/>
              </w:rPr>
              <w:t>93%</w:t>
            </w:r>
          </w:p>
        </w:tc>
        <w:tc>
          <w:tcPr>
            <w:tcW w:w="940" w:type="dxa"/>
            <w:vAlign w:val="bottom"/>
          </w:tcPr>
          <w:p>
            <w:pPr>
              <w:jc w:val="right"/>
              <w:spacing w:after="0"/>
              <w:rPr>
                <w:sz w:val="20"/>
                <w:szCs w:val="20"/>
                <w:color w:val="auto"/>
              </w:rPr>
            </w:pPr>
            <w:r>
              <w:rPr>
                <w:rFonts w:ascii="Arial" w:cs="Arial" w:eastAsia="Arial" w:hAnsi="Arial"/>
                <w:sz w:val="18"/>
                <w:szCs w:val="18"/>
                <w:color w:val="auto"/>
              </w:rPr>
              <w:t>83,628</w:t>
            </w:r>
          </w:p>
        </w:tc>
        <w:tc>
          <w:tcPr>
            <w:tcW w:w="1180" w:type="dxa"/>
            <w:vAlign w:val="bottom"/>
            <w:gridSpan w:val="3"/>
          </w:tcPr>
          <w:p>
            <w:pPr>
              <w:jc w:val="right"/>
              <w:ind w:right="24"/>
              <w:spacing w:after="0"/>
              <w:rPr>
                <w:sz w:val="20"/>
                <w:szCs w:val="20"/>
                <w:color w:val="auto"/>
              </w:rPr>
            </w:pPr>
            <w:r>
              <w:rPr>
                <w:rFonts w:ascii="Arial" w:cs="Arial" w:eastAsia="Arial" w:hAnsi="Arial"/>
                <w:sz w:val="18"/>
                <w:szCs w:val="18"/>
                <w:color w:val="auto"/>
              </w:rPr>
              <w:t>79,595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7"/>
              <w:spacing w:after="0"/>
              <w:rPr>
                <w:sz w:val="20"/>
                <w:szCs w:val="20"/>
                <w:color w:val="auto"/>
              </w:rPr>
            </w:pPr>
            <w:r>
              <w:rPr>
                <w:rFonts w:ascii="Arial" w:cs="Arial" w:eastAsia="Arial" w:hAnsi="Arial"/>
                <w:sz w:val="18"/>
                <w:szCs w:val="18"/>
                <w:color w:val="auto"/>
              </w:rPr>
              <w:t>0.9%</w:t>
            </w: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3,544</w:t>
            </w:r>
          </w:p>
        </w:tc>
        <w:tc>
          <w:tcPr>
            <w:tcW w:w="1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13,926</w:t>
            </w:r>
          </w:p>
        </w:tc>
        <w:tc>
          <w:tcPr>
            <w:tcW w:w="1180" w:type="dxa"/>
            <w:vAlign w:val="bottom"/>
            <w:tcBorders>
              <w:bottom w:val="single" w:sz="8" w:color="CCEEFF"/>
            </w:tcBorders>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13,872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3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40,782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34,779</w:t>
            </w:r>
          </w:p>
        </w:tc>
        <w:tc>
          <w:tcPr>
            <w:tcW w:w="13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165,543</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8"/>
                <w:szCs w:val="18"/>
                <w:color w:val="auto"/>
              </w:rPr>
              <w:t>145,632</w:t>
            </w:r>
          </w:p>
        </w:tc>
        <w:tc>
          <w:tcPr>
            <w:tcW w:w="1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w:t>
            </w:r>
          </w:p>
        </w:tc>
        <w:tc>
          <w:tcPr>
            <w:tcW w:w="1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820" w:hanging="488"/>
        <w:spacing w:after="0"/>
        <w:tabs>
          <w:tab w:leader="none" w:pos="820" w:val="left"/>
        </w:tabs>
        <w:numPr>
          <w:ilvl w:val="0"/>
          <w:numId w:val="9"/>
        </w:numPr>
        <w:rPr>
          <w:rFonts w:ascii="Arial" w:cs="Arial" w:eastAsia="Arial" w:hAnsi="Arial"/>
          <w:sz w:val="9"/>
          <w:szCs w:val="9"/>
          <w:color w:val="auto"/>
        </w:rPr>
      </w:pPr>
      <w:r>
        <w:rPr>
          <w:rFonts w:ascii="Arial" w:cs="Arial" w:eastAsia="Arial" w:hAnsi="Arial"/>
          <w:sz w:val="14"/>
          <w:szCs w:val="14"/>
          <w:color w:val="auto"/>
        </w:rPr>
        <w:t>The ratio of total losses incurred (paid and reserved) divided by cumulative premiums earned, net of reinsurance.</w:t>
      </w:r>
    </w:p>
    <w:p>
      <w:pPr>
        <w:spacing w:after="0" w:line="13" w:lineRule="exact"/>
        <w:rPr>
          <w:rFonts w:ascii="Arial" w:cs="Arial" w:eastAsia="Arial" w:hAnsi="Arial"/>
          <w:sz w:val="9"/>
          <w:szCs w:val="9"/>
          <w:color w:val="auto"/>
        </w:rPr>
      </w:pPr>
    </w:p>
    <w:p>
      <w:pPr>
        <w:ind w:left="820" w:hanging="488"/>
        <w:spacing w:after="0"/>
        <w:tabs>
          <w:tab w:leader="none" w:pos="820" w:val="left"/>
        </w:tabs>
        <w:numPr>
          <w:ilvl w:val="0"/>
          <w:numId w:val="9"/>
        </w:numPr>
        <w:rPr>
          <w:rFonts w:ascii="Arial" w:cs="Arial" w:eastAsia="Arial" w:hAnsi="Arial"/>
          <w:sz w:val="9"/>
          <w:szCs w:val="9"/>
          <w:color w:val="auto"/>
        </w:rPr>
      </w:pPr>
      <w:r>
        <w:rPr>
          <w:rFonts w:ascii="Arial" w:cs="Arial" w:eastAsia="Arial" w:hAnsi="Arial"/>
          <w:sz w:val="14"/>
          <w:szCs w:val="14"/>
          <w:color w:val="auto"/>
        </w:rPr>
        <w:t>The sum of claims paid ever to date and notices of default as of the end of the period divided by policies ever in force.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shows the distribution by state of our primary RIF. As of March 31, 2017, our RIF continues to be relatively more concentrated in California, primarily as a result of the location and timing of the acquisition of new customers. The distribution of risk across the states as of March 31, 2017 is not necessarily representative of the geographic distribution we expect in the future.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Top 10 primary RIF by state</w:t>
            </w:r>
          </w:p>
        </w:tc>
        <w:tc>
          <w:tcPr>
            <w:tcW w:w="2140" w:type="dxa"/>
            <w:vAlign w:val="bottom"/>
            <w:tcBorders>
              <w:bottom w:val="single" w:sz="8" w:color="auto"/>
            </w:tcBorders>
            <w:gridSpan w:val="3"/>
          </w:tcPr>
          <w:p>
            <w:pPr>
              <w:ind w:left="1680"/>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140" w:type="dxa"/>
            <w:vAlign w:val="bottom"/>
            <w:gridSpan w:val="3"/>
          </w:tcPr>
          <w:p>
            <w:pPr>
              <w:ind w:left="400"/>
              <w:spacing w:after="0"/>
              <w:rPr>
                <w:sz w:val="20"/>
                <w:szCs w:val="20"/>
                <w:color w:val="auto"/>
              </w:rPr>
            </w:pPr>
            <w:r>
              <w:rPr>
                <w:rFonts w:ascii="Arial" w:cs="Arial" w:eastAsia="Arial" w:hAnsi="Arial"/>
                <w:sz w:val="14"/>
                <w:szCs w:val="14"/>
                <w:b w:val="1"/>
                <w:bCs w:val="1"/>
                <w:color w:val="auto"/>
              </w:rPr>
              <w:t>March 31, 2017</w:t>
            </w:r>
          </w:p>
        </w:tc>
        <w:tc>
          <w:tcPr>
            <w:tcW w:w="1500" w:type="dxa"/>
            <w:vAlign w:val="bottom"/>
          </w:tcPr>
          <w:p>
            <w:pPr>
              <w:jc w:val="right"/>
              <w:ind w:right="311"/>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Texas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6.8</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Virginia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Florida</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5.3</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Arizona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Colorado</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4.1</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Maryland</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Michigan</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4.3</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Utah</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Pennsylvania</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3.6</w:t>
            </w:r>
          </w:p>
        </w:tc>
      </w:tr>
      <w:tr>
        <w:trPr>
          <w:trHeight w:val="27"/>
        </w:trPr>
        <w:tc>
          <w:tcPr>
            <w:tcW w:w="77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0"/>
        </w:trPr>
        <w:tc>
          <w:tcPr>
            <w:tcW w:w="77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Reserve for Insurance Claims and Claims Expenses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Claims incurred is the expense that is booked within a particular period to reflect actual and estimated claim payments that we believe will ultimately be made as a result of insured loans that are in default. We do not recognize an estimate of claim expense for loans that are not in default. As of March 31, 2017, we have established reserves for insurance claims of $3.8 million for 207 primary loans in default, compared to a reserve of $3.0 million for 179 primary loans in default as of December 31, 2016, and a reserve of $1.1 million for 55 primary loans in default as of March 31, 2016. We also establish reserves for the related claims expenses, which are the estimated costs to adjust and settle claims. We have not established any pool reserves for claims or IBNR to date. For additional discussion of our reserves, see, Item 1, "</w:t>
      </w:r>
      <w:r>
        <w:rPr>
          <w:rFonts w:ascii="Arial" w:cs="Arial" w:eastAsia="Arial" w:hAnsi="Arial"/>
          <w:sz w:val="17"/>
          <w:szCs w:val="17"/>
          <w:i w:val="1"/>
          <w:iCs w:val="1"/>
          <w:color w:val="auto"/>
        </w:rPr>
        <w:t>Financial Statements and Supplementary Data - Notes to Condensed Consolidated</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Statements - Note 6. Reserves for Insurance Claims and Claims Expenses.</w:t>
      </w:r>
      <w:r>
        <w:rPr>
          <w:rFonts w:ascii="Arial" w:cs="Arial" w:eastAsia="Arial" w:hAnsi="Arial"/>
          <w:sz w:val="17"/>
          <w:szCs w:val="17"/>
          <w:color w:val="auto"/>
        </w:rPr>
        <w: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jc w:val="both"/>
        <w:ind w:firstLine="648"/>
        <w:spacing w:after="0" w:line="264" w:lineRule="auto"/>
        <w:rPr>
          <w:sz w:val="20"/>
          <w:szCs w:val="20"/>
          <w:color w:val="auto"/>
        </w:rPr>
      </w:pPr>
      <w:r>
        <w:rPr>
          <w:rFonts w:ascii="Arial" w:cs="Arial" w:eastAsia="Arial" w:hAnsi="Arial"/>
          <w:sz w:val="18"/>
          <w:szCs w:val="18"/>
          <w:color w:val="auto"/>
        </w:rPr>
        <w:t>Claims incurred is affected by a variety of factors, including the state of the economy, declines in housing values, product mix of IIF, the size of loans insured and the percentage of coverage on insured loans. Policies with higher loan amounts and coverage percentages tend to result in higher incurred claim amounts.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claims incurred will be relatively low in the foreseeable future for the following reasons:</w:t>
      </w:r>
    </w:p>
    <w:p>
      <w:pPr>
        <w:spacing w:after="0" w:line="171" w:lineRule="exact"/>
        <w:rPr>
          <w:sz w:val="20"/>
          <w:szCs w:val="20"/>
          <w:color w:val="auto"/>
        </w:rPr>
      </w:pPr>
    </w:p>
    <w:p>
      <w:pPr>
        <w:ind w:left="840" w:hanging="332"/>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typical distribution of claims over the life of a book results in fewer defaults during the first two years after loans are originated, usually peaking in years three through six and declining thereafter;</w:t>
      </w:r>
    </w:p>
    <w:p>
      <w:pPr>
        <w:spacing w:after="0" w:line="62" w:lineRule="exact"/>
        <w:rPr>
          <w:rFonts w:ascii="Arial" w:cs="Arial" w:eastAsia="Arial" w:hAnsi="Arial"/>
          <w:sz w:val="18"/>
          <w:szCs w:val="18"/>
          <w:color w:val="auto"/>
        </w:rPr>
      </w:pPr>
    </w:p>
    <w:p>
      <w:pPr>
        <w:ind w:left="840" w:hanging="332"/>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 the pool insurance agreement between NMIC and Fannie Mae, NMIC is responsible for claims only to the extent they exceed a deductible; and</w:t>
      </w:r>
    </w:p>
    <w:p>
      <w:pPr>
        <w:spacing w:after="0" w:line="116" w:lineRule="exact"/>
        <w:rPr>
          <w:rFonts w:ascii="Arial" w:cs="Arial" w:eastAsia="Arial" w:hAnsi="Arial"/>
          <w:sz w:val="18"/>
          <w:szCs w:val="18"/>
          <w:color w:val="auto"/>
        </w:rPr>
      </w:pPr>
    </w:p>
    <w:p>
      <w:pPr>
        <w:ind w:left="840" w:hanging="332"/>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generated low NIW in our early years of operations.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Until our portfolio matures, we expect our reported loss ratio will be less than 10%, due to loss development being generally insignificant in the early years of a loan cycle combined with strong growth in earned premiums on a year-over-year basis. We expect that the frequency of claims on our initial primary books of business should be between 2% and 3% of mortgages insured over the life of the book. For claims that we may receive, we expect the severity of the claim to be between 85% and 95% of the coverage amount. Based on these expectations, we estimate that the loss ratio over the life of each book will be between 20% and 25% of earned premiums, and we price to that expectation.</w:t>
      </w:r>
    </w:p>
    <w:p>
      <w:pPr>
        <w:spacing w:after="0" w:line="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developed our estimates of the expected frequency and severity of claims based on statutory filings by many of our competitors, which contain historical book year performance, as well as an industry dataset which consists of nearly 150 million mortgages and 80 data fields per mortgage, gathered over the past 17 years. As state-regulated entities, mortgage insurers are required to file actuarial justifications for premium rate changes in many states, many of which are publicly available and include historical information on claim frequency and severity. Historical performance data from similar underwriting, house price, and interest rate periods were compared to today to determine a range of expected performance. To date, our loss experience is developing at a slower pace than historical trends have shown, as a result of high quality underwriting and a favorable housing market.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7"/>
          <w:szCs w:val="17"/>
          <w:color w:val="auto"/>
        </w:rPr>
        <w:t>The following table provides a reconciliation of the beginning and ending reserve balances for primary insurance claims and claims expenses.</w:t>
      </w:r>
    </w:p>
    <w:p>
      <w:pPr>
        <w:spacing w:after="0" w:line="200" w:lineRule="exact"/>
        <w:rPr>
          <w:sz w:val="20"/>
          <w:szCs w:val="20"/>
          <w:color w:val="auto"/>
        </w:rPr>
      </w:pPr>
    </w:p>
    <w:p>
      <w:pPr>
        <w:spacing w:after="0" w:line="204"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75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31, 2017</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7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00" w:type="dxa"/>
            <w:vAlign w:val="bottom"/>
            <w:gridSpan w:val="4"/>
          </w:tcPr>
          <w:p>
            <w:pPr>
              <w:jc w:val="right"/>
              <w:ind w:right="101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r>
      <w:tr>
        <w:trPr>
          <w:trHeight w:val="270"/>
        </w:trPr>
        <w:tc>
          <w:tcPr>
            <w:tcW w:w="75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5"/>
                <w:szCs w:val="25"/>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net of reinsurance recoverables</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r>
      <w:tr>
        <w:trPr>
          <w:trHeight w:val="318"/>
        </w:trPr>
        <w:tc>
          <w:tcPr>
            <w:tcW w:w="75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claims incurred:</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520" w:type="dxa"/>
            <w:vAlign w:val="bottom"/>
          </w:tcPr>
          <w:p>
            <w:pPr>
              <w:ind w:left="260"/>
              <w:spacing w:after="0"/>
              <w:rPr>
                <w:sz w:val="20"/>
                <w:szCs w:val="20"/>
                <w:color w:val="auto"/>
              </w:rPr>
            </w:pPr>
            <w:r>
              <w:rPr>
                <w:rFonts w:ascii="Arial" w:cs="Arial" w:eastAsia="Arial" w:hAnsi="Arial"/>
                <w:sz w:val="18"/>
                <w:szCs w:val="18"/>
                <w:color w:val="auto"/>
              </w:rPr>
              <w:t>Claims and claim expenses incurred:</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520" w:type="dxa"/>
            <w:vAlign w:val="bottom"/>
            <w:shd w:val="clear" w:color="auto" w:fill="CCEEFF"/>
          </w:tcPr>
          <w:p>
            <w:pPr>
              <w:ind w:left="48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553</w:t>
            </w:r>
          </w:p>
        </w:tc>
      </w:tr>
      <w:tr>
        <w:trPr>
          <w:trHeight w:val="270"/>
        </w:trPr>
        <w:tc>
          <w:tcPr>
            <w:tcW w:w="7520" w:type="dxa"/>
            <w:vAlign w:val="bottom"/>
            <w:tcBorders>
              <w:bottom w:val="single" w:sz="8" w:color="CCEEFF"/>
            </w:tcBorders>
          </w:tcPr>
          <w:p>
            <w:pPr>
              <w:ind w:left="48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6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and claims expenses incurred</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r>
      <w:tr>
        <w:trPr>
          <w:trHeight w:val="318"/>
        </w:trPr>
        <w:tc>
          <w:tcPr>
            <w:tcW w:w="75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claims paid:</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520" w:type="dxa"/>
            <w:vAlign w:val="bottom"/>
          </w:tcPr>
          <w:p>
            <w:pPr>
              <w:ind w:left="260"/>
              <w:spacing w:after="0"/>
              <w:rPr>
                <w:sz w:val="20"/>
                <w:szCs w:val="20"/>
                <w:color w:val="auto"/>
              </w:rPr>
            </w:pPr>
            <w:r>
              <w:rPr>
                <w:rFonts w:ascii="Arial" w:cs="Arial" w:eastAsia="Arial" w:hAnsi="Arial"/>
                <w:sz w:val="18"/>
                <w:szCs w:val="18"/>
                <w:color w:val="auto"/>
              </w:rPr>
              <w:t>Claims and claim expenses paid:</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520" w:type="dxa"/>
            <w:vAlign w:val="bottom"/>
            <w:shd w:val="clear" w:color="auto" w:fill="CCEEFF"/>
          </w:tcPr>
          <w:p>
            <w:pPr>
              <w:ind w:left="48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520" w:type="dxa"/>
            <w:vAlign w:val="bottom"/>
            <w:tcBorders>
              <w:bottom w:val="single" w:sz="8" w:color="CCEEFF"/>
            </w:tcBorders>
          </w:tcPr>
          <w:p>
            <w:pPr>
              <w:ind w:left="48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and claim expenses paid</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318"/>
        </w:trPr>
        <w:tc>
          <w:tcPr>
            <w:tcW w:w="75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at end of period, net of reinsurance recoverables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w:t>
            </w:r>
          </w:p>
        </w:tc>
      </w:tr>
      <w:tr>
        <w:trPr>
          <w:trHeight w:val="270"/>
        </w:trPr>
        <w:tc>
          <w:tcPr>
            <w:tcW w:w="75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5"/>
                <w:szCs w:val="25"/>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1,137</w:t>
            </w:r>
          </w:p>
        </w:tc>
      </w:tr>
      <w:tr>
        <w:trPr>
          <w:trHeight w:val="20"/>
        </w:trPr>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firstLine="8"/>
        <w:spacing w:after="0" w:line="244" w:lineRule="auto"/>
        <w:tabs>
          <w:tab w:leader="none" w:pos="187"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Related to ceded losses recoverable on the 2016 QSR Transaction. To date, ceded losses have been immaterial. See Item 1, "</w:t>
      </w:r>
      <w:r>
        <w:rPr>
          <w:rFonts w:ascii="Arial" w:cs="Arial" w:eastAsia="Arial" w:hAnsi="Arial"/>
          <w:sz w:val="14"/>
          <w:szCs w:val="14"/>
          <w:i w:val="1"/>
          <w:iCs w:val="1"/>
          <w:color w:val="auto"/>
        </w:rPr>
        <w:t>Financial Statements and Supplementary Data -</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Notes to Consolidated Financial Statements - Note 5, Reinsurance" </w:t>
      </w:r>
      <w:r>
        <w:rPr>
          <w:rFonts w:ascii="Arial" w:cs="Arial" w:eastAsia="Arial" w:hAnsi="Arial"/>
          <w:sz w:val="14"/>
          <w:szCs w:val="14"/>
          <w:color w:val="auto"/>
        </w:rPr>
        <w:t>for additional information.</w:t>
      </w:r>
    </w:p>
    <w:p>
      <w:pPr>
        <w:spacing w:after="0" w:line="1" w:lineRule="exact"/>
        <w:rPr>
          <w:rFonts w:ascii="Arial" w:cs="Arial" w:eastAsia="Arial" w:hAnsi="Arial"/>
          <w:sz w:val="22"/>
          <w:szCs w:val="22"/>
          <w:color w:val="auto"/>
          <w:vertAlign w:val="superscript"/>
        </w:rPr>
      </w:pPr>
    </w:p>
    <w:p>
      <w:pPr>
        <w:ind w:left="200" w:hanging="192"/>
        <w:spacing w:after="0" w:line="196" w:lineRule="auto"/>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5"/>
          <w:szCs w:val="15"/>
          <w:color w:val="auto"/>
        </w:rPr>
        <w:t>Related to defaults occurring in the current year.</w:t>
      </w:r>
    </w:p>
    <w:p>
      <w:pPr>
        <w:spacing w:after="0" w:line="23" w:lineRule="exact"/>
        <w:rPr>
          <w:rFonts w:ascii="Arial" w:cs="Arial" w:eastAsia="Arial" w:hAnsi="Arial"/>
          <w:sz w:val="23"/>
          <w:szCs w:val="23"/>
          <w:color w:val="auto"/>
          <w:vertAlign w:val="superscript"/>
        </w:rPr>
      </w:pPr>
    </w:p>
    <w:p>
      <w:pPr>
        <w:ind w:left="200" w:hanging="192"/>
        <w:spacing w:after="0" w:line="182" w:lineRule="auto"/>
        <w:tabs>
          <w:tab w:leader="none" w:pos="20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Related to defaults occurring in prior years.</w:t>
      </w:r>
    </w:p>
    <w:p>
      <w:pPr>
        <w:spacing w:after="0" w:line="154"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"claims incurred" section of the table above shows claims and claim expenses incurred on default notices received in the current year and in prior years. The amount of claims incurred relating to default notices received in the current year represents the estimated amount to be ultimately paid on such default notices. The decreases during the periods presented in reserves held for prior year defaults are generally the result of ongoing analysis of recent loss development trends. We may increase or decrease our original estimates as we learn additional information about individual defaults and claims.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count of loans in default.</w:t>
      </w:r>
    </w:p>
    <w:p>
      <w:pPr>
        <w:spacing w:after="0" w:line="392"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302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For the three months ended</w:t>
            </w:r>
          </w:p>
        </w:tc>
      </w:tr>
      <w:tr>
        <w:trPr>
          <w:trHeight w:val="264"/>
        </w:trPr>
        <w:tc>
          <w:tcPr>
            <w:tcW w:w="3780" w:type="dxa"/>
            <w:vAlign w:val="bottom"/>
            <w:tcBorders>
              <w:bottom w:val="single" w:sz="8" w:color="CCEEFF"/>
            </w:tcBorders>
          </w:tcPr>
          <w:p>
            <w:pPr>
              <w:spacing w:after="0"/>
              <w:rPr>
                <w:sz w:val="22"/>
                <w:szCs w:val="22"/>
                <w:color w:val="auto"/>
              </w:rPr>
            </w:pPr>
          </w:p>
        </w:tc>
        <w:tc>
          <w:tcPr>
            <w:tcW w:w="44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default inventory</w:t>
            </w:r>
          </w:p>
        </w:tc>
        <w:tc>
          <w:tcPr>
            <w:tcW w:w="58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Plus: new defaults</w:t>
            </w:r>
          </w:p>
        </w:tc>
        <w:tc>
          <w:tcPr>
            <w:tcW w:w="5880" w:type="dxa"/>
            <w:vAlign w:val="bottom"/>
            <w:gridSpan w:val="2"/>
          </w:tcPr>
          <w:p>
            <w:pPr>
              <w:jc w:val="right"/>
              <w:ind w:right="68"/>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39</w:t>
            </w:r>
          </w:p>
        </w:tc>
      </w:tr>
      <w:tr>
        <w:trPr>
          <w:trHeight w:val="27"/>
        </w:trPr>
        <w:tc>
          <w:tcPr>
            <w:tcW w:w="37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cures</w:t>
            </w:r>
          </w:p>
        </w:tc>
        <w:tc>
          <w:tcPr>
            <w:tcW w:w="58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Less: claims paid</w:t>
            </w:r>
          </w:p>
        </w:tc>
        <w:tc>
          <w:tcPr>
            <w:tcW w:w="5880" w:type="dxa"/>
            <w:vAlign w:val="bottom"/>
            <w:gridSpan w:val="2"/>
          </w:tcPr>
          <w:p>
            <w:pPr>
              <w:jc w:val="right"/>
              <w:ind w:right="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default inventory</w:t>
            </w:r>
          </w:p>
        </w:tc>
        <w:tc>
          <w:tcPr>
            <w:tcW w:w="58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r>
      <w:tr>
        <w:trPr>
          <w:trHeight w:val="615"/>
        </w:trPr>
        <w:tc>
          <w:tcPr>
            <w:tcW w:w="3780" w:type="dxa"/>
            <w:vAlign w:val="bottom"/>
          </w:tcPr>
          <w:p>
            <w:pPr>
              <w:spacing w:after="0"/>
              <w:rPr>
                <w:sz w:val="24"/>
                <w:szCs w:val="24"/>
                <w:color w:val="auto"/>
              </w:rPr>
            </w:pPr>
          </w:p>
        </w:tc>
        <w:tc>
          <w:tcPr>
            <w:tcW w:w="4400" w:type="dxa"/>
            <w:vAlign w:val="bottom"/>
          </w:tcPr>
          <w:p>
            <w:pPr>
              <w:jc w:val="right"/>
              <w:ind w:right="2410"/>
              <w:spacing w:after="0"/>
              <w:rPr>
                <w:sz w:val="20"/>
                <w:szCs w:val="20"/>
                <w:color w:val="auto"/>
              </w:rPr>
            </w:pPr>
            <w:r>
              <w:rPr>
                <w:rFonts w:ascii="Arial" w:cs="Arial" w:eastAsia="Arial" w:hAnsi="Arial"/>
                <w:sz w:val="18"/>
                <w:szCs w:val="18"/>
                <w:color w:val="auto"/>
              </w:rPr>
              <w:t>32</w:t>
            </w: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bl>
    <w:p>
      <w:pPr>
        <w:sectPr>
          <w:pgSz w:w="11900" w:h="16838" w:orient="portrait"/>
          <w:cols w:equalWidth="0" w:num="1">
            <w:col w:w="11400"/>
          </w:cols>
          <w:pgMar w:left="240" w:top="584" w:right="259" w:bottom="1440" w:gutter="0" w:footer="0" w:header="0"/>
        </w:sectPr>
      </w:pPr>
    </w:p>
    <w:bookmarkStart w:id="32" w:name="page33"/>
    <w:bookmarkEnd w:id="32"/>
    <w:p>
      <w:pPr>
        <w:ind w:right="20" w:firstLine="648"/>
        <w:spacing w:after="0" w:line="277" w:lineRule="auto"/>
        <w:rPr>
          <w:sz w:val="20"/>
          <w:szCs w:val="20"/>
          <w:color w:val="auto"/>
        </w:rPr>
      </w:pPr>
      <w:r>
        <w:rPr>
          <w:rFonts w:ascii="Arial" w:cs="Arial" w:eastAsia="Arial" w:hAnsi="Arial"/>
          <w:sz w:val="18"/>
          <w:szCs w:val="18"/>
          <w:color w:val="auto"/>
        </w:rPr>
        <w:t>The increase in the number of defaults at March 31, 2017 compared to March 31, 2016 was primarily due to an increase in the number of policies in force and expected loss development of our earliest book years.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details of our claims paid for the three months ended March 31, 2017 and March 31, 2016.</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center"/>
              <w:ind w:right="94"/>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264"/>
        </w:trPr>
        <w:tc>
          <w:tcPr>
            <w:tcW w:w="8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March 31, 2017</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March 31, 2016</w:t>
            </w:r>
          </w:p>
        </w:tc>
      </w:tr>
      <w:tr>
        <w:trPr>
          <w:trHeight w:val="244"/>
        </w:trPr>
        <w:tc>
          <w:tcPr>
            <w:tcW w:w="8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0" w:type="dxa"/>
            <w:vAlign w:val="bottom"/>
            <w:gridSpan w:val="3"/>
          </w:tcPr>
          <w:p>
            <w:pPr>
              <w:jc w:val="center"/>
              <w:ind w:right="74"/>
              <w:spacing w:after="0"/>
              <w:rPr>
                <w:sz w:val="20"/>
                <w:szCs w:val="20"/>
                <w:color w:val="auto"/>
              </w:rPr>
            </w:pPr>
            <w:r>
              <w:rPr>
                <w:rFonts w:ascii="Arial" w:cs="Arial" w:eastAsia="Arial" w:hAnsi="Arial"/>
                <w:sz w:val="14"/>
                <w:szCs w:val="14"/>
                <w:i w:val="1"/>
                <w:iCs w:val="1"/>
                <w:color w:val="auto"/>
                <w:w w:val="91"/>
              </w:rPr>
              <w:t>($ Values In Thousands)</w:t>
            </w:r>
          </w:p>
        </w:tc>
      </w:tr>
      <w:tr>
        <w:trPr>
          <w:trHeight w:val="255"/>
        </w:trPr>
        <w:tc>
          <w:tcPr>
            <w:tcW w:w="8220" w:type="dxa"/>
            <w:vAlign w:val="bottom"/>
          </w:tcPr>
          <w:p>
            <w:pPr>
              <w:ind w:left="40"/>
              <w:spacing w:after="0"/>
              <w:rPr>
                <w:sz w:val="20"/>
                <w:szCs w:val="20"/>
                <w:color w:val="auto"/>
              </w:rPr>
            </w:pPr>
            <w:r>
              <w:rPr>
                <w:rFonts w:ascii="Arial" w:cs="Arial" w:eastAsia="Arial" w:hAnsi="Arial"/>
                <w:sz w:val="18"/>
                <w:szCs w:val="18"/>
                <w:color w:val="auto"/>
              </w:rPr>
              <w:t>Number of claims paid</w:t>
            </w:r>
          </w:p>
        </w:tc>
        <w:tc>
          <w:tcPr>
            <w:tcW w:w="200" w:type="dxa"/>
            <w:vAlign w:val="bottom"/>
          </w:tcPr>
          <w:p>
            <w:pPr>
              <w:spacing w:after="0"/>
              <w:rPr>
                <w:sz w:val="22"/>
                <w:szCs w:val="22"/>
                <w:color w:val="auto"/>
              </w:rPr>
            </w:pPr>
          </w:p>
        </w:tc>
        <w:tc>
          <w:tcPr>
            <w:tcW w:w="1380" w:type="dxa"/>
            <w:vAlign w:val="bottom"/>
          </w:tcPr>
          <w:p>
            <w:pPr>
              <w:jc w:val="right"/>
              <w:ind w:right="158"/>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2"/>
                <w:szCs w:val="22"/>
                <w:color w:val="auto"/>
              </w:rPr>
            </w:pPr>
          </w:p>
        </w:tc>
        <w:tc>
          <w:tcPr>
            <w:tcW w:w="13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Total amount paid for claims</w:t>
            </w: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BFE4FF"/>
            </w:tcBorders>
            <w:shd w:val="clear" w:color="auto" w:fill="BFE4FF"/>
          </w:tcPr>
          <w:p>
            <w:pPr>
              <w:jc w:val="right"/>
              <w:ind w:right="158"/>
              <w:spacing w:after="0"/>
              <w:rPr>
                <w:sz w:val="20"/>
                <w:szCs w:val="20"/>
                <w:color w:val="auto"/>
              </w:rPr>
            </w:pPr>
            <w:r>
              <w:rPr>
                <w:rFonts w:ascii="Arial" w:cs="Arial" w:eastAsia="Arial" w:hAnsi="Arial"/>
                <w:sz w:val="18"/>
                <w:szCs w:val="18"/>
                <w:color w:val="auto"/>
              </w:rPr>
              <w:t>142</w:t>
            </w:r>
          </w:p>
        </w:tc>
        <w:tc>
          <w:tcPr>
            <w:tcW w:w="2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BFE4FF"/>
            </w:tcBorders>
            <w:shd w:val="clear" w:color="auto" w:fill="BFE4FF"/>
          </w:tcPr>
          <w:p>
            <w:pPr>
              <w:ind w:left="98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Average amount paid per claim</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8"/>
              <w:spacing w:after="0"/>
              <w:rPr>
                <w:sz w:val="20"/>
                <w:szCs w:val="20"/>
                <w:color w:val="auto"/>
              </w:rPr>
            </w:pPr>
            <w:r>
              <w:rPr>
                <w:rFonts w:ascii="Arial" w:cs="Arial" w:eastAsia="Arial" w:hAnsi="Arial"/>
                <w:sz w:val="18"/>
                <w:szCs w:val="18"/>
                <w:color w:val="auto"/>
              </w:rPr>
              <w:t>35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220" w:type="dxa"/>
            <w:vAlign w:val="bottom"/>
            <w:shd w:val="clear" w:color="auto" w:fill="BFE4FF"/>
          </w:tcPr>
          <w:p>
            <w:pPr>
              <w:ind w:left="40"/>
              <w:spacing w:after="0" w:line="270" w:lineRule="exact"/>
              <w:rPr>
                <w:sz w:val="20"/>
                <w:szCs w:val="20"/>
                <w:color w:val="auto"/>
              </w:rPr>
            </w:pPr>
            <w:r>
              <w:rPr>
                <w:rFonts w:ascii="Arial" w:cs="Arial" w:eastAsia="Arial" w:hAnsi="Arial"/>
                <w:sz w:val="18"/>
                <w:szCs w:val="18"/>
                <w:color w:val="auto"/>
              </w:rPr>
              <w:t>Severity</w:t>
            </w:r>
            <w:r>
              <w:rPr>
                <w:rFonts w:ascii="Arial" w:cs="Arial" w:eastAsia="Arial" w:hAnsi="Arial"/>
                <w:sz w:val="25"/>
                <w:szCs w:val="25"/>
                <w:color w:val="auto"/>
                <w:vertAlign w:val="superscript"/>
              </w:rPr>
              <w:t>(1)</w:t>
            </w:r>
          </w:p>
        </w:tc>
        <w:tc>
          <w:tcPr>
            <w:tcW w:w="200" w:type="dxa"/>
            <w:vAlign w:val="bottom"/>
            <w:shd w:val="clear" w:color="auto" w:fill="BFE4FF"/>
          </w:tcPr>
          <w:p>
            <w:pPr>
              <w:spacing w:after="0"/>
              <w:rPr>
                <w:sz w:val="23"/>
                <w:szCs w:val="23"/>
                <w:color w:val="auto"/>
              </w:rPr>
            </w:pPr>
          </w:p>
        </w:tc>
        <w:tc>
          <w:tcPr>
            <w:tcW w:w="13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BFE4FF"/>
          </w:tcPr>
          <w:p>
            <w:pPr>
              <w:spacing w:after="0"/>
              <w:rPr>
                <w:sz w:val="23"/>
                <w:szCs w:val="23"/>
                <w:color w:val="auto"/>
              </w:rPr>
            </w:pPr>
          </w:p>
        </w:tc>
        <w:tc>
          <w:tcPr>
            <w:tcW w:w="1340" w:type="dxa"/>
            <w:vAlign w:val="bottom"/>
            <w:shd w:val="clear" w:color="auto" w:fill="BFE4FF"/>
          </w:tcPr>
          <w:p>
            <w:pPr>
              <w:ind w:left="980"/>
              <w:spacing w:after="0"/>
              <w:rPr>
                <w:sz w:val="20"/>
                <w:szCs w:val="20"/>
                <w:color w:val="auto"/>
              </w:rPr>
            </w:pPr>
            <w:r>
              <w:rPr>
                <w:rFonts w:ascii="Arial" w:cs="Arial" w:eastAsia="Arial" w:hAnsi="Arial"/>
                <w:sz w:val="18"/>
                <w:szCs w:val="18"/>
                <w:color w:val="auto"/>
                <w:w w:val="99"/>
              </w:rPr>
              <w:t>—%</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Severity represents the total amount of claims paid divided by the related RIF on the loan at the time it goes to claim.</w:t>
      </w:r>
    </w:p>
    <w:p>
      <w:pPr>
        <w:spacing w:after="0" w:line="16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increase in the number of claims paid for the three months ended March 31, 2017 compared to the same period ended March 31, 2016 is in line with our expectation of loss development in our earliest book years. We believe our severity is below expectations as the result of appreciating home prices in recent years.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Average reserve per default:</w:t>
            </w:r>
          </w:p>
        </w:tc>
        <w:tc>
          <w:tcPr>
            <w:tcW w:w="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As of March 31, 2017</w:t>
            </w: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5"/>
              </w:rPr>
              <w:t>As of March 31, 2016</w:t>
            </w:r>
          </w:p>
        </w:tc>
      </w:tr>
      <w:tr>
        <w:trPr>
          <w:trHeight w:val="250"/>
        </w:trPr>
        <w:tc>
          <w:tcPr>
            <w:tcW w:w="6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760" w:type="dxa"/>
            <w:vAlign w:val="bottom"/>
          </w:tcPr>
          <w:p>
            <w:pPr>
              <w:spacing w:after="0"/>
              <w:rPr>
                <w:sz w:val="21"/>
                <w:szCs w:val="21"/>
                <w:color w:val="auto"/>
              </w:rPr>
            </w:pPr>
          </w:p>
        </w:tc>
      </w:tr>
      <w:tr>
        <w:trPr>
          <w:trHeight w:val="276"/>
        </w:trPr>
        <w:tc>
          <w:tcPr>
            <w:tcW w:w="69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Case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IBNR</w:t>
            </w:r>
          </w:p>
        </w:tc>
        <w:tc>
          <w:tcPr>
            <w:tcW w:w="280" w:type="dxa"/>
            <w:vAlign w:val="bottom"/>
          </w:tcPr>
          <w:p>
            <w:pPr>
              <w:spacing w:after="0"/>
              <w:rPr>
                <w:sz w:val="21"/>
                <w:szCs w:val="21"/>
                <w:color w:val="auto"/>
              </w:rPr>
            </w:pPr>
          </w:p>
        </w:tc>
        <w:tc>
          <w:tcPr>
            <w:tcW w:w="190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r>
      <w:tr>
        <w:trPr>
          <w:trHeight w:val="20"/>
        </w:trPr>
        <w:tc>
          <w:tcPr>
            <w:tcW w:w="6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Defined as the gross reserve per insured loan in default.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GSE Oversight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GSEs are the principal purchasers of mortgages insured by MI companies. As a result, the practices of the private MI industry in the U.S. are driven in large part by the requirements and practices of the GSEs.</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As an </w:t>
      </w:r>
      <w:r>
        <w:rPr>
          <w:rFonts w:ascii="Arial" w:cs="Arial" w:eastAsia="Arial" w:hAnsi="Arial"/>
          <w:sz w:val="18"/>
          <w:szCs w:val="18"/>
          <w:i w:val="1"/>
          <w:iCs w:val="1"/>
          <w:color w:val="auto"/>
        </w:rPr>
        <w:t>Approved Insurer</w:t>
      </w:r>
      <w:r>
        <w:rPr>
          <w:rFonts w:ascii="Arial" w:cs="Arial" w:eastAsia="Arial" w:hAnsi="Arial"/>
          <w:sz w:val="18"/>
          <w:szCs w:val="18"/>
          <w:color w:val="auto"/>
        </w:rPr>
        <w:t>, NMIC is subject to ongoing compliance with the PMIERs. (</w:t>
      </w:r>
      <w:r>
        <w:rPr>
          <w:rFonts w:ascii="Arial" w:cs="Arial" w:eastAsia="Arial" w:hAnsi="Arial"/>
          <w:sz w:val="18"/>
          <w:szCs w:val="18"/>
          <w:i w:val="1"/>
          <w:iCs w:val="1"/>
          <w:color w:val="auto"/>
        </w:rPr>
        <w:t>Italicized</w:t>
      </w:r>
      <w:r>
        <w:rPr>
          <w:rFonts w:ascii="Arial" w:cs="Arial" w:eastAsia="Arial" w:hAnsi="Arial"/>
          <w:sz w:val="18"/>
          <w:szCs w:val="18"/>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8"/>
          <w:szCs w:val="18"/>
          <w:i w:val="1"/>
          <w:iCs w:val="1"/>
          <w:color w:val="auto"/>
        </w:rPr>
        <w:t>Approved Insurers</w:t>
      </w:r>
      <w:r>
        <w:rPr>
          <w:rFonts w:ascii="Arial" w:cs="Arial" w:eastAsia="Arial" w:hAnsi="Arial"/>
          <w:sz w:val="18"/>
          <w:szCs w:val="18"/>
          <w:color w:val="auto"/>
        </w:rPr>
        <w:t>. The PMIERs financial requirements prescribe a risk-based capital methodology whereby the amount of capital required to be held against each insured loan is determined based on certain risk characteristics, such as FICO, vintage (year of origination), performing vs. non-performing (</w:t>
      </w:r>
      <w:r>
        <w:rPr>
          <w:rFonts w:ascii="Arial" w:cs="Arial" w:eastAsia="Arial" w:hAnsi="Arial"/>
          <w:sz w:val="18"/>
          <w:szCs w:val="18"/>
          <w:i w:val="1"/>
          <w:iCs w:val="1"/>
          <w:color w:val="auto"/>
        </w:rPr>
        <w:t>i.e.</w:t>
      </w:r>
      <w:r>
        <w:rPr>
          <w:rFonts w:ascii="Arial" w:cs="Arial" w:eastAsia="Arial" w:hAnsi="Arial"/>
          <w:sz w:val="18"/>
          <w:szCs w:val="18"/>
          <w:color w:val="auto"/>
        </w:rPr>
        <w:t>, current vs. delinquent), LTV and other risk features. An asset charge is calculated for each insured loan based on its risk profile. In general, higher quality loans carry lower capital charges.</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Under the PMIERs financial requirements,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which 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net RIF, calculated by applying on a loan-by-loan basis certain risk-based factors derived from tables set out in the PMIERs to the net RIF.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for primary insurance is subject to a floor of 5.6% of total, performing, primary RIF, and the </w:t>
      </w:r>
      <w:r>
        <w:rPr>
          <w:rFonts w:ascii="Arial" w:cs="Arial" w:eastAsia="Arial" w:hAnsi="Arial"/>
          <w:sz w:val="18"/>
          <w:szCs w:val="18"/>
          <w:i w:val="1"/>
          <w:iCs w:val="1"/>
          <w:color w:val="auto"/>
        </w:rPr>
        <w:t xml:space="preserve">risk-based required asset amount </w:t>
      </w:r>
      <w:r>
        <w:rPr>
          <w:rFonts w:ascii="Arial" w:cs="Arial" w:eastAsia="Arial" w:hAnsi="Arial"/>
          <w:sz w:val="18"/>
          <w:szCs w:val="18"/>
          <w:color w:val="auto"/>
        </w:rPr>
        <w:t>for pool insurance considers both the factors in the tables and the</w:t>
      </w:r>
      <w:r>
        <w:rPr>
          <w:rFonts w:ascii="Arial" w:cs="Arial" w:eastAsia="Arial" w:hAnsi="Arial"/>
          <w:sz w:val="18"/>
          <w:szCs w:val="18"/>
          <w:i w:val="1"/>
          <w:iCs w:val="1"/>
          <w:color w:val="auto"/>
        </w:rPr>
        <w:t xml:space="preserve"> net remaining stop loss </w:t>
      </w:r>
      <w:r>
        <w:rPr>
          <w:rFonts w:ascii="Arial" w:cs="Arial" w:eastAsia="Arial" w:hAnsi="Arial"/>
          <w:sz w:val="18"/>
          <w:szCs w:val="18"/>
          <w:color w:val="auto"/>
        </w:rPr>
        <w:t>for each pool insurance policy.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PMIERs financial requirements also increase the amount of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must be held by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for loans originated on or after January 1, 2016 that are insured under LPMI policies.</w:t>
      </w:r>
    </w:p>
    <w:p>
      <w:pPr>
        <w:spacing w:after="0" w:line="13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By April 15th of each year, NMIC must certify it met all PMIERs requirements as of December 31st of the prior year. We certified to the GSEs by April 15, 2017 that NMIC fully complied with the PMIERs as of December 31, 2016. NMIC also has an ongoing obligation to immediately notify the GSEs in writing upon discovery of its failure to meet one or more of the PMIERs requirements. We continuously monitor our compliance with the PMIERs.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comparison of the PMIERs financial requirements as reported by NMIC.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79"/>
              </w:rPr>
              <w:t>As of</w:t>
            </w:r>
          </w:p>
        </w:tc>
        <w:tc>
          <w:tcPr>
            <w:tcW w:w="1480" w:type="dxa"/>
            <w:vAlign w:val="bottom"/>
            <w:tcBorders>
              <w:bottom w:val="single" w:sz="8" w:color="auto"/>
            </w:tcBorders>
          </w:tcPr>
          <w:p>
            <w:pPr>
              <w:spacing w:after="0"/>
              <w:rPr>
                <w:sz w:val="16"/>
                <w:szCs w:val="16"/>
                <w:color w:val="auto"/>
              </w:rPr>
            </w:pPr>
          </w:p>
        </w:tc>
      </w:tr>
      <w:tr>
        <w:trPr>
          <w:trHeight w:val="264"/>
        </w:trPr>
        <w:tc>
          <w:tcPr>
            <w:tcW w:w="78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March 31, 2017</w:t>
            </w: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March 31, 2016</w:t>
            </w:r>
          </w:p>
        </w:tc>
      </w:tr>
      <w:tr>
        <w:trPr>
          <w:trHeight w:val="264"/>
        </w:trPr>
        <w:tc>
          <w:tcPr>
            <w:tcW w:w="7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80" w:type="dxa"/>
            <w:vAlign w:val="bottom"/>
          </w:tcPr>
          <w:p>
            <w:pPr>
              <w:ind w:left="120"/>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8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Available Assets</w:t>
            </w: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BFE4FF"/>
            </w:tcBorders>
            <w:shd w:val="clear" w:color="auto" w:fill="BFE4FF"/>
          </w:tcPr>
          <w:p>
            <w:pPr>
              <w:jc w:val="right"/>
              <w:ind w:right="74"/>
              <w:spacing w:after="0"/>
              <w:rPr>
                <w:sz w:val="20"/>
                <w:szCs w:val="20"/>
                <w:color w:val="auto"/>
              </w:rPr>
            </w:pPr>
            <w:r>
              <w:rPr>
                <w:rFonts w:ascii="Arial" w:cs="Arial" w:eastAsia="Arial" w:hAnsi="Arial"/>
                <w:sz w:val="18"/>
                <w:szCs w:val="18"/>
                <w:color w:val="auto"/>
              </w:rPr>
              <w:t>466,982</w:t>
            </w:r>
          </w:p>
        </w:tc>
        <w:tc>
          <w:tcPr>
            <w:tcW w:w="44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BFE4FF"/>
            </w:tcBorders>
            <w:shd w:val="clear" w:color="auto" w:fill="BFE4FF"/>
          </w:tcPr>
          <w:p>
            <w:pPr>
              <w:jc w:val="right"/>
              <w:ind w:right="97"/>
              <w:spacing w:after="0"/>
              <w:rPr>
                <w:sz w:val="20"/>
                <w:szCs w:val="20"/>
                <w:color w:val="auto"/>
              </w:rPr>
            </w:pPr>
            <w:r>
              <w:rPr>
                <w:rFonts w:ascii="Arial" w:cs="Arial" w:eastAsia="Arial" w:hAnsi="Arial"/>
                <w:sz w:val="18"/>
                <w:szCs w:val="18"/>
                <w:color w:val="auto"/>
              </w:rPr>
              <w:t>434,138</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Net Risk-Based Required Assets</w:t>
            </w:r>
          </w:p>
        </w:tc>
        <w:tc>
          <w:tcPr>
            <w:tcW w:w="240" w:type="dxa"/>
            <w:vAlign w:val="bottom"/>
          </w:tcPr>
          <w:p>
            <w:pPr>
              <w:spacing w:after="0"/>
              <w:rPr>
                <w:sz w:val="21"/>
                <w:szCs w:val="21"/>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398,859</w:t>
            </w:r>
          </w:p>
        </w:tc>
        <w:tc>
          <w:tcPr>
            <w:tcW w:w="440" w:type="dxa"/>
            <w:vAlign w:val="bottom"/>
          </w:tcPr>
          <w:p>
            <w:pPr>
              <w:spacing w:after="0"/>
              <w:rPr>
                <w:sz w:val="21"/>
                <w:szCs w:val="21"/>
                <w:color w:val="auto"/>
              </w:rPr>
            </w:pPr>
          </w:p>
        </w:tc>
        <w:tc>
          <w:tcPr>
            <w:tcW w:w="1480" w:type="dxa"/>
            <w:vAlign w:val="bottom"/>
          </w:tcPr>
          <w:p>
            <w:pPr>
              <w:jc w:val="right"/>
              <w:ind w:right="97"/>
              <w:spacing w:after="0"/>
              <w:rPr>
                <w:sz w:val="20"/>
                <w:szCs w:val="20"/>
                <w:color w:val="auto"/>
              </w:rPr>
            </w:pPr>
            <w:r>
              <w:rPr>
                <w:rFonts w:ascii="Arial" w:cs="Arial" w:eastAsia="Arial" w:hAnsi="Arial"/>
                <w:sz w:val="18"/>
                <w:szCs w:val="18"/>
                <w:color w:val="auto"/>
              </w:rPr>
              <w:t>302,852</w:t>
            </w: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60" w:type="dxa"/>
            <w:vAlign w:val="bottom"/>
            <w:shd w:val="clear" w:color="auto" w:fill="BFE4FF"/>
          </w:tcPr>
          <w:p>
            <w:pPr>
              <w:spacing w:after="0"/>
              <w:rPr>
                <w:sz w:val="23"/>
                <w:szCs w:val="23"/>
                <w:color w:val="auto"/>
              </w:rPr>
            </w:pPr>
          </w:p>
        </w:tc>
        <w:tc>
          <w:tcPr>
            <w:tcW w:w="240" w:type="dxa"/>
            <w:vAlign w:val="bottom"/>
            <w:shd w:val="clear" w:color="auto" w:fill="BFE4FF"/>
          </w:tcPr>
          <w:p>
            <w:pPr>
              <w:spacing w:after="0"/>
              <w:rPr>
                <w:sz w:val="23"/>
                <w:szCs w:val="23"/>
                <w:color w:val="auto"/>
              </w:rPr>
            </w:pPr>
          </w:p>
        </w:tc>
        <w:tc>
          <w:tcPr>
            <w:tcW w:w="1400" w:type="dxa"/>
            <w:vAlign w:val="bottom"/>
            <w:shd w:val="clear" w:color="auto" w:fill="BFE4FF"/>
          </w:tcPr>
          <w:p>
            <w:pPr>
              <w:spacing w:after="0"/>
              <w:rPr>
                <w:sz w:val="23"/>
                <w:szCs w:val="23"/>
                <w:color w:val="auto"/>
              </w:rPr>
            </w:pPr>
          </w:p>
        </w:tc>
        <w:tc>
          <w:tcPr>
            <w:tcW w:w="440" w:type="dxa"/>
            <w:vAlign w:val="bottom"/>
            <w:shd w:val="clear" w:color="auto" w:fill="BFE4FF"/>
          </w:tcPr>
          <w:p>
            <w:pPr>
              <w:spacing w:after="0"/>
              <w:rPr>
                <w:sz w:val="23"/>
                <w:szCs w:val="23"/>
                <w:color w:val="auto"/>
              </w:rPr>
            </w:pPr>
          </w:p>
        </w:tc>
        <w:tc>
          <w:tcPr>
            <w:tcW w:w="1480" w:type="dxa"/>
            <w:vAlign w:val="bottom"/>
            <w:shd w:val="clear" w:color="auto" w:fill="BFE4FF"/>
          </w:tcPr>
          <w:p>
            <w:pPr>
              <w:spacing w:after="0"/>
              <w:rPr>
                <w:sz w:val="23"/>
                <w:szCs w:val="23"/>
                <w:color w:val="auto"/>
              </w:rPr>
            </w:pPr>
          </w:p>
        </w:tc>
      </w:tr>
      <w:tr>
        <w:trPr>
          <w:trHeight w:val="341"/>
        </w:trPr>
        <w:tc>
          <w:tcPr>
            <w:tcW w:w="7860" w:type="dxa"/>
            <w:vAlign w:val="bottom"/>
          </w:tcPr>
          <w:p>
            <w:pPr>
              <w:ind w:left="40"/>
              <w:spacing w:after="0"/>
              <w:rPr>
                <w:sz w:val="20"/>
                <w:szCs w:val="20"/>
                <w:color w:val="auto"/>
              </w:rPr>
            </w:pPr>
            <w:r>
              <w:rPr>
                <w:rFonts w:ascii="Arial" w:cs="Arial" w:eastAsia="Arial" w:hAnsi="Arial"/>
                <w:sz w:val="18"/>
                <w:szCs w:val="18"/>
                <w:color w:val="auto"/>
              </w:rPr>
              <w:t xml:space="preserve">Asset charge % </w:t>
            </w:r>
            <w:r>
              <w:rPr>
                <w:rFonts w:ascii="Arial" w:cs="Arial" w:eastAsia="Arial" w:hAnsi="Arial"/>
                <w:sz w:val="25"/>
                <w:szCs w:val="25"/>
                <w:color w:val="auto"/>
                <w:vertAlign w:val="superscript"/>
              </w:rPr>
              <w:t>(1)</w:t>
            </w: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6.14%</w:t>
            </w:r>
          </w:p>
        </w:tc>
        <w:tc>
          <w:tcPr>
            <w:tcW w:w="4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54"/>
        </w:trPr>
        <w:tc>
          <w:tcPr>
            <w:tcW w:w="7860" w:type="dxa"/>
            <w:vAlign w:val="bottom"/>
          </w:tcPr>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Asset charge represents the</w:t>
            </w:r>
            <w:r>
              <w:rPr>
                <w:rFonts w:ascii="Arial" w:cs="Arial" w:eastAsia="Arial" w:hAnsi="Arial"/>
                <w:sz w:val="9"/>
                <w:szCs w:val="9"/>
                <w:color w:val="auto"/>
              </w:rPr>
              <w:t xml:space="preserve"> </w:t>
            </w:r>
            <w:r>
              <w:rPr>
                <w:rFonts w:ascii="Arial" w:cs="Arial" w:eastAsia="Arial" w:hAnsi="Arial"/>
                <w:sz w:val="14"/>
                <w:szCs w:val="14"/>
                <w:i w:val="1"/>
                <w:iCs w:val="1"/>
                <w:color w:val="auto"/>
              </w:rPr>
              <w:t>risk-based required asset amount</w:t>
            </w:r>
            <w:r>
              <w:rPr>
                <w:rFonts w:ascii="Arial" w:cs="Arial" w:eastAsia="Arial" w:hAnsi="Arial"/>
                <w:sz w:val="9"/>
                <w:szCs w:val="9"/>
                <w:color w:val="auto"/>
              </w:rPr>
              <w:t xml:space="preserve"> </w:t>
            </w:r>
            <w:r>
              <w:rPr>
                <w:rFonts w:ascii="Arial" w:cs="Arial" w:eastAsia="Arial" w:hAnsi="Arial"/>
                <w:sz w:val="14"/>
                <w:szCs w:val="14"/>
                <w:color w:val="auto"/>
              </w:rPr>
              <w:t>divided by the outstanding RIF on performing primary loans.</w:t>
            </w: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80" w:type="dxa"/>
            <w:vAlign w:val="bottom"/>
          </w:tcPr>
          <w:p>
            <w:pPr>
              <w:spacing w:after="0"/>
              <w:rPr>
                <w:sz w:val="22"/>
                <w:szCs w:val="22"/>
                <w:color w:val="auto"/>
              </w:rPr>
            </w:pPr>
          </w:p>
        </w:tc>
      </w:tr>
    </w:tbl>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Position of Our Insurance Subsidiaries and Financial Strength Ratings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GSE-imposed capital requirements, NMIC is also subject to state regulatory minimum capital requirements based on its insured RIF. While formulations of this minimum capital may vary in each jurisdiction, the most common measure allows for a maximum permitted risk-to-capital (RTC) ratio of 25:1.</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2017, NMIC's primary RIF, net of reinsurance, was approximately $6.3 billion, representing insurance on a total of 145,632 policies in force. NMIC ceded 100% of its pool RIF pursuant to the 2016 QSR Transaction. Based on NMIC's total statutory surplus of $482.3 million as of March 31, 2017, NMIC's RTC ratio was 13.1:1. Re One had total statutory capital of $33.4 million as of March 31, 2017, with a RTC ratio of .5:1. We plan to contribute capital or to cede risk as needed to maintain compliance with state capital requirements.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2016, S&amp;P affirmed its "BBB-" financial strength and long-term counter-party credit ratings for NMIC. In July 2015, S&amp;P assigned its "BB-" long-term counter-party credit rating to NMIH. S&amp;P's outlook for both companies is "stable." In March 2017, Moody's Investors Service (Moody's) updated its financial strength rating from "Ba2" to "Ba1" for NMIC. Also at that time, Moody's updated its B2 rating to a B1 rating to the recently amended $150 million Term Loan held by NMIH. Moody's outlook for both companies is "stable."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MI industry is highly competitive and currently consists of six private mortgage insurers, including NMIC, as well as governmental agencies like the FHA and the VA.</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 companies compete based on service, customer relationships, underwriting and other factors, including price (particularly with respect to single premium LPMI). Following industry-wide pricing changes in the first half of 2016, largely in response to higher capital requirements imposed by the PMIERs, pricing in the industry has generally stabilized. We expect the MI market to remain competitive, with pressure for industry participants to grow or maintain their market share. Our competitors' respective shares of the private MI market for the quarter ended December 31, 2016 ranged from 12% to a high of approximately 19%.</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Competition with FHA</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Although there has been broad policy consensus toward the need for private capital to play a larger role and government credit risk to be reduced in the U.S. housing finance system, it remains difficult to predict whether the combined market share of governmental agencies such as the FHA and VA will recede to historical levels. In 2015, the FHA reduced some of its single-family annual mortgage insurance premiums, which had the effect of maintaining the FHA's elevated market share and continuing the increased role of government in the mortgage insurance market. In January 2017, the FHA announced further reductions to its annual premiums; however, before such reductions could take effect, the FHA announced that the cuts were suspended indefinitely. To date, the impact from the FHA's 2015 premium reduction has not had a significant impact on our continued growth in the market. We believe our pricing continues to be more attractive than the FHA's current pricing for a substantial majority of borrowers with credit and loan characteristics similar to those whose loans we insure. With the new Presidential administration, it remains uncertain whether FHA will ultimately adopt the suspended reductions or otherwise reduce its mortgage insurance premiums again, or eliminate the non-cancelability of premiums, or whether Congress will continue to consider legislation to reform the FHA. There are factors beyond premium rate that influence a lender's decision to choose private MI over FHA insurance, including among others, the FHA's loan eligibility requirements, cancelability, loan size limits and the relative ease of use of private MI products compared to FHA products.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Consolidated statements of operations</w:t>
            </w:r>
          </w:p>
        </w:tc>
        <w:tc>
          <w:tcPr>
            <w:tcW w:w="2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1091"/>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94"/>
              </w:rPr>
              <w:t>March 31, 2016</w:t>
            </w:r>
          </w:p>
        </w:tc>
      </w:tr>
      <w:tr>
        <w:trPr>
          <w:trHeight w:val="251"/>
        </w:trPr>
        <w:tc>
          <w:tcPr>
            <w:tcW w:w="77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360" w:type="dxa"/>
            <w:vAlign w:val="bottom"/>
          </w:tcPr>
          <w:p>
            <w:pPr>
              <w:spacing w:after="0"/>
              <w:rPr>
                <w:sz w:val="21"/>
                <w:szCs w:val="21"/>
                <w:color w:val="auto"/>
              </w:rPr>
            </w:pPr>
          </w:p>
        </w:tc>
      </w:tr>
      <w:tr>
        <w:trPr>
          <w:trHeight w:val="256"/>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33,225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19,807</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260" w:type="dxa"/>
            <w:vAlign w:val="bottom"/>
          </w:tcPr>
          <w:p>
            <w:pPr>
              <w:spacing w:after="0"/>
              <w:rPr>
                <w:sz w:val="21"/>
                <w:szCs w:val="21"/>
                <w:color w:val="auto"/>
              </w:rPr>
            </w:pPr>
          </w:p>
        </w:tc>
        <w:tc>
          <w:tcPr>
            <w:tcW w:w="1500" w:type="dxa"/>
            <w:vAlign w:val="bottom"/>
          </w:tcPr>
          <w:p>
            <w:pPr>
              <w:jc w:val="right"/>
              <w:ind w:right="93"/>
              <w:spacing w:after="0"/>
              <w:rPr>
                <w:sz w:val="20"/>
                <w:szCs w:val="20"/>
                <w:color w:val="auto"/>
              </w:rPr>
            </w:pPr>
            <w:r>
              <w:rPr>
                <w:rFonts w:ascii="Arial" w:cs="Arial" w:eastAsia="Arial" w:hAnsi="Arial"/>
                <w:sz w:val="18"/>
                <w:szCs w:val="18"/>
                <w:color w:val="auto"/>
              </w:rPr>
              <w:t>3,807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3,231</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losses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(885)</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60" w:type="dxa"/>
            <w:vAlign w:val="bottom"/>
          </w:tcPr>
          <w:p>
            <w:pPr>
              <w:spacing w:after="0"/>
              <w:rPr>
                <w:sz w:val="21"/>
                <w:szCs w:val="21"/>
                <w:color w:val="auto"/>
              </w:rPr>
            </w:pPr>
          </w:p>
        </w:tc>
        <w:tc>
          <w:tcPr>
            <w:tcW w:w="1500" w:type="dxa"/>
            <w:vAlign w:val="bottom"/>
          </w:tcPr>
          <w:p>
            <w:pPr>
              <w:jc w:val="right"/>
              <w:ind w:right="93"/>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32</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37,054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22,185</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and claims expenses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458</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Underwriting and operating expenses</w:t>
            </w:r>
          </w:p>
        </w:tc>
        <w:tc>
          <w:tcPr>
            <w:tcW w:w="260" w:type="dxa"/>
            <w:vAlign w:val="bottom"/>
          </w:tcPr>
          <w:p>
            <w:pPr>
              <w:spacing w:after="0"/>
              <w:rPr>
                <w:sz w:val="21"/>
                <w:szCs w:val="21"/>
                <w:color w:val="auto"/>
              </w:rPr>
            </w:pPr>
          </w:p>
        </w:tc>
        <w:tc>
          <w:tcPr>
            <w:tcW w:w="1500" w:type="dxa"/>
            <w:vAlign w:val="bottom"/>
          </w:tcPr>
          <w:p>
            <w:pPr>
              <w:jc w:val="right"/>
              <w:ind w:right="93"/>
              <w:spacing w:after="0"/>
              <w:rPr>
                <w:sz w:val="20"/>
                <w:szCs w:val="20"/>
                <w:color w:val="auto"/>
              </w:rPr>
            </w:pPr>
            <w:r>
              <w:rPr>
                <w:rFonts w:ascii="Arial" w:cs="Arial" w:eastAsia="Arial" w:hAnsi="Arial"/>
                <w:sz w:val="18"/>
                <w:szCs w:val="18"/>
                <w:color w:val="auto"/>
              </w:rPr>
              <w:t>25,989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22,672</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26,624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23,130</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2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gain from change in fair value of warrant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(3,494)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(3,632)</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6,740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(3,907)</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500" w:type="dxa"/>
            <w:vAlign w:val="bottom"/>
          </w:tcPr>
          <w:p>
            <w:pPr>
              <w:jc w:val="right"/>
              <w:ind w:right="93"/>
              <w:spacing w:after="0"/>
              <w:rPr>
                <w:sz w:val="20"/>
                <w:szCs w:val="20"/>
                <w:color w:val="auto"/>
              </w:rPr>
            </w:pPr>
            <w:r>
              <w:rPr>
                <w:rFonts w:ascii="Arial" w:cs="Arial" w:eastAsia="Arial" w:hAnsi="Arial"/>
                <w:sz w:val="18"/>
                <w:szCs w:val="18"/>
                <w:color w:val="auto"/>
              </w:rPr>
              <w:t>1,248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5,492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(3,907)</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11"/>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7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Loss ratio</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77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Expense ratio</w:t>
            </w:r>
            <w:r>
              <w:rPr>
                <w:rFonts w:ascii="Arial" w:cs="Arial" w:eastAsia="Arial" w:hAnsi="Arial"/>
                <w:sz w:val="25"/>
                <w:szCs w:val="25"/>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3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Combined ratio</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7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Loss ratio is calculated by dividing the provision for insurance claims and claims expenses by net premiums earned.</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Expense ratio is calculated by dividing other underwriting and operating expenses by net premiums earned.</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three months ended March 31, 2017, we had net premiums earned of $33.2 million, compared to net premiums earned of $19.8 million for the three months ended March 31, 2016. The principal drivers of the increases in premiums earned for the three months ended March 31, 2017 were the continued growth of our NIW and IIF, primarily related to our monthly products, and the significant development of our customer base, including higher allocations of business to us from existing customers, slightly offset by ceded premiums earned related to the 2016 QSR Transaction. As expected, earnings from cancellations of single premium policies decreased for the three months ended March 31, 2017 compared to the three months ended March 31, 2016, due to the recent rise in interest rates and the related lower incidence of refinance transactions.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investment income was higher for the three months ended March 31, 2017 compared to the three months ended March 31, 2016, as a result of an increase in the size of our consolidated securities portfolio.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Expenses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expenses have historically been related to business development and operating activities. Although we expect our year-over-year expenses to increase as we continue to grow our business, we ultimately expect that the majority of our operating expenses will be relatively fixed in the long term. Until our business matures, our expense ratio is expected to be significantly higher than the industry given the low levels of premium written compared to our "fixed" costs customary to operating an MI company. We expect to see a continued decrease in our expense ratio as our business matures and our revenues increase.</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Insurance claims and claims expenses increased for the three months ended March 31, 2017 compared to the three months ended March 31, 2016, as a result of an increase in our NODs, primarily due to an increase in the number of policies-in-force year-over-year and expected loss development of our earliest book years.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Employee compensation represents the majority of our operating expense, which includes both cash and share-based compensation. Our underwriting and operating expenses grew primarily as the result of hiring new employees and expanding our operations and sales activities. Our headcount, consistent with our plan, grew from 253 as of March 31, 2016 to 289 as of March 31, 2017. In the first quarter, we also incurred $1.6 million related to the 2017 XOL Transaction and the amendment to the Credit Agreement. Underwriting and operating expenses also include costs related to policy acquisition, technology, professional services and facilities.</w:t>
      </w:r>
    </w:p>
    <w:p>
      <w:pPr>
        <w:spacing w:after="0" w:line="13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incurred interest expense of $3.5 million for the three months ended March 31, 2017, compared to interest expense of $3.6 million for the three months ended March 31, 2016 related to the Term Loan entered into during the fourth quarter of 2015. We expect interest costs to decline in the future by $275 thousand per quarter, as we amended our Credit Agreement in the first quarter of 2017 to, among other things, reduce the interest rate. See Item 1, "</w:t>
      </w:r>
      <w:r>
        <w:rPr>
          <w:rFonts w:ascii="Arial" w:cs="Arial" w:eastAsia="Arial" w:hAnsi="Arial"/>
          <w:sz w:val="17"/>
          <w:szCs w:val="17"/>
          <w:i w:val="1"/>
          <w:iCs w:val="1"/>
          <w:color w:val="auto"/>
        </w:rPr>
        <w:t>Financial Statements and Supplementary Data - Notes to Condensed Consolidated Financial Statements - Note 4. Term Loan.</w:t>
      </w:r>
      <w:r>
        <w:rPr>
          <w:rFonts w:ascii="Arial" w:cs="Arial" w:eastAsia="Arial" w:hAnsi="Arial"/>
          <w:sz w:val="17"/>
          <w:szCs w:val="17"/>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recognized net income of $5.5 million for the three months ended March 31, 2017 compared to a net loss of $3.9 million for the three months ended March 31, 2016. The primary driver of the profitable quarter ended March 31, 2017, compared to the quarter ended March 31, 2016, was the significant increase in premiums earned from growth of our IIF, slightly offset by personnel and external costs.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65"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Consolidated balance sheets</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 xml:space="preserve">December 31, 2016 </w:t>
            </w:r>
            <w:r>
              <w:rPr>
                <w:rFonts w:ascii="Arial" w:cs="Arial" w:eastAsia="Arial" w:hAnsi="Arial"/>
                <w:sz w:val="8"/>
                <w:szCs w:val="8"/>
                <w:b w:val="1"/>
                <w:bCs w:val="1"/>
                <w:color w:val="auto"/>
                <w:w w:val="94"/>
              </w:rPr>
              <w:t>(1)</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123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 portfolio</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658,640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628,969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12,543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47,746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13,728</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32,165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30,109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Software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Prepaid reinsurance premiums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38,348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37,921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51,434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11,204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9,588</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840,162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839,897</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Term loan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144,010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144,353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152,906</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14,175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25,297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for insurance claims and claims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Reinsurance funds withheld</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31,243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30,633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ceding commission</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Warrant liability</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3,367</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356,254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364,388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483,909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475,509</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840,162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839,897</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20" w:firstLine="8"/>
        <w:spacing w:after="0" w:line="321" w:lineRule="auto"/>
        <w:tabs>
          <w:tab w:leader="none" w:pos="153"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The 2016 prior period balance sheet has been revised. See Item 1, "</w:t>
      </w:r>
      <w:r>
        <w:rPr>
          <w:rFonts w:ascii="Arial" w:cs="Arial" w:eastAsia="Arial" w:hAnsi="Arial"/>
          <w:sz w:val="13"/>
          <w:szCs w:val="13"/>
          <w:i w:val="1"/>
          <w:iCs w:val="1"/>
          <w:color w:val="auto"/>
        </w:rPr>
        <w:t>Financial Statements and Supplementary Data - Notes to Condensed Consolidated Financial Statements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Note 1, Organization and Basis of Presentation, Immaterial Correction of Prior Period Amounts" </w:t>
      </w:r>
      <w:r>
        <w:rPr>
          <w:rFonts w:ascii="Arial" w:cs="Arial" w:eastAsia="Arial" w:hAnsi="Arial"/>
          <w:sz w:val="13"/>
          <w:szCs w:val="13"/>
          <w:color w:val="auto"/>
        </w:rPr>
        <w:t>for further details.</w:t>
      </w:r>
    </w:p>
    <w:p>
      <w:pPr>
        <w:spacing w:after="0" w:line="200" w:lineRule="exact"/>
        <w:rPr>
          <w:sz w:val="20"/>
          <w:szCs w:val="20"/>
          <w:color w:val="auto"/>
        </w:rPr>
      </w:pPr>
    </w:p>
    <w:p>
      <w:pPr>
        <w:spacing w:after="0" w:line="3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2017, we had approximately $671.2 million in cash and investments, including $59.0 million held at NMIH. The decrease in cash and investments from year-end 2016 relates directly to the lower volume of single premiums collected in 2017, as well as the payment of accrued expenses from year-end 2016.</w:t>
      </w: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cumulative net deferred policy acquisition costs were $32.2 million as of March 31, 2017, compared to $30.1 million at December 31, 2016. The increase was driven by the deferrable costs associated with premiums written during the three months ended March 31, 2017 of $34.6 million.</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prepaid reinsurance balance was $38.3 million as of March 31, 2017, which reflects the ceded unearned premium balance related to the 2016 QSR Transaction.</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growth in our unearned premium balance slowed in the first quarter, increasing $1.8 million from December 31, 2016, as the amount of single premium policies written declined. The balance also decreased as a result of cancellations of lender paid single premium policies and earnings of existing unearned premiums in accordance with the expiration of risk in the related policies.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accounts payable and accrued expenses decreased to $14.2 million as of March 31, 2017, from $25.3 million at December 31, 2016. The decrease reflects the payment during the quarter of accrued liabilities at year-end, offset by accruals for liabilities related to increased headcount, accrued premium taxes, and an increase in IT projects and expenses from December 31, 2016.</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Reinsurance funds withheld was $31.2 million as of March 31, 2017, representing reinsurance premiums payable, offset by our profit and ceding commission receivables related to the 2016 QSR Transaction.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87" w:right="2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Consolidated cash flows</w:t>
            </w: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50"/>
        </w:trPr>
        <w:tc>
          <w:tcPr>
            <w:tcW w:w="79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provided by:</w:t>
            </w:r>
          </w:p>
        </w:tc>
        <w:tc>
          <w:tcPr>
            <w:tcW w:w="360" w:type="dxa"/>
            <w:vAlign w:val="bottom"/>
          </w:tcPr>
          <w:p>
            <w:pPr>
              <w:spacing w:after="0"/>
              <w:rPr>
                <w:sz w:val="21"/>
                <w:szCs w:val="21"/>
                <w:color w:val="auto"/>
              </w:rPr>
            </w:pPr>
          </w:p>
        </w:tc>
        <w:tc>
          <w:tcPr>
            <w:tcW w:w="200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735</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(31,258)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15,784</w:t>
            </w: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(35,203)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15,985</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operating activities was $2.1 million for the three months ended March 31, 2017, compared to cash provided of $0.7 million in the same period in 2016. The decrease in cash flow from operating activities for the three months ended March 31, 2017 compared to the same period ended March 31, 2016 was the result of lower single premiums written, as well as a decrease in accruals from year-end 2016.</w:t>
      </w:r>
    </w:p>
    <w:p>
      <w:pPr>
        <w:spacing w:after="0" w:line="12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Cash used in investing activities for the three months ended March 31, 2017 was $31.3 million, compared to cash provided by investing activities of $15.8 million for the three months ended March 31, 2016, primarily due to the purchase of fixed and short-term maturities during the first quarter of 2017.</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cash used in financing activities for the three months ended March 31, 2017 compared to the same period ended March 31, 2016 was primarily due to an increase in taxes paid related to the net share settlement of equity awards period over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Liquidity and Capital Resources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NMIH serves as the holding company for our insurance subsidiaries and does not have any significant operations of its own. NMIH's principal liquidity demands include funds for: (i) payment of certain corporate expenses and reimbursable expenses of its insurance subsidiaries; (ii) capital support for its subsidiaries; (iii) potential tax payments to the Internal Revenue Service (IRS); (iv) the payment of principal and interest related to the Term Loan; and (v) the payment of dividends, if any, on its common stock. NMIH is not subject to any limitations on its ability to pay dividends except those generally applicable to corporations, such as NMIH, that are incorporated in Delaware. Delaware corporation law provides that dividends are only payable out of a corporation's capital surplus or (subject to certain limitations) recent net profits. As of March 31, 2017, NMIH's shareholders' equity was approximately $484 million.</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2017, NMIH had $59 million of cash and investments. NMIH's principal source of operating cash is investment income and in the future could include dividends from NMIC, if available and permitted under law and by the GSEs.</w:t>
      </w:r>
    </w:p>
    <w:p>
      <w:pPr>
        <w:spacing w:after="0" w:line="11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NMIH's future capital requirements depend on many factors, including NMIC's ability to successfully write new business, establish premium rates at levels sufficient to cover claims and operating costs and meet </w:t>
      </w:r>
      <w:r>
        <w:rPr>
          <w:rFonts w:ascii="Arial" w:cs="Arial" w:eastAsia="Arial" w:hAnsi="Arial"/>
          <w:sz w:val="16"/>
          <w:szCs w:val="16"/>
          <w:i w:val="1"/>
          <w:iCs w:val="1"/>
          <w:color w:val="auto"/>
        </w:rPr>
        <w:t>minimum required asset</w:t>
      </w:r>
      <w:r>
        <w:rPr>
          <w:rFonts w:ascii="Arial" w:cs="Arial" w:eastAsia="Arial" w:hAnsi="Arial"/>
          <w:sz w:val="16"/>
          <w:szCs w:val="16"/>
          <w:color w:val="auto"/>
        </w:rPr>
        <w:t xml:space="preserve"> thresholds under the PMIERs and state capital requirements. NMIH may make additional capital contributions to its insurance subsidiaries to support their applicable capital adequacy requirements from time-to-time.</w:t>
      </w:r>
    </w:p>
    <w:p>
      <w:pPr>
        <w:spacing w:after="0" w:line="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NMIH has entered into expense-sharing agreements with its subsidiaries which have been approved by the Wisconsin OCI, but such approval may be changed or revoked at any time. With Wisconsin OCI's approval, NMIH began allocating the interest expense on its Term Loan to NMIC in the first quarter of 2017, consistent with the benefits NMIC received from the loan proceeds. NMIC's ability to pay dividends to NMIH is subject to insurance department notice or approval. In general, dividends in excess of prescribed limits are deemed "extraordinary" and require insurance regulatory approval. Since inception, NMIC has not paid any dividends to NMIH. As NMIC had a statutory net loss for the year ended December 31, 2016, NMIC cannot pay any dividends to NMIH through December 31, 2017 without the prior approval of the Wisconsin OCI. Certain other states in which NMIC is licensed also have statutes or regulations that restrict its ability to pay dividends.</w:t>
      </w:r>
    </w:p>
    <w:p>
      <w:pPr>
        <w:spacing w:after="0" w:line="1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MI companies' principal operating sources of liquidity are premiums that we receive from policies in force and income generated by our investment portfolio. Our MI companies' primary liquidity needs include the payment of claims on our MI policies, operating expenses, investment expenses and other costs of our business. We anticipate that as our IIF grows, the premium revenue we receive will increase. We expect to manage our fixed operating expenses so that they grow at a slower rate than our NIW over the coming years.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jc w:val="both"/>
        <w:ind w:firstLine="648"/>
        <w:spacing w:after="0" w:line="291" w:lineRule="auto"/>
        <w:rPr>
          <w:sz w:val="20"/>
          <w:szCs w:val="20"/>
          <w:color w:val="auto"/>
        </w:rPr>
      </w:pPr>
      <w:r>
        <w:rPr>
          <w:rFonts w:ascii="Arial" w:cs="Arial" w:eastAsia="Arial" w:hAnsi="Arial"/>
          <w:sz w:val="16"/>
          <w:szCs w:val="16"/>
          <w:color w:val="auto"/>
        </w:rPr>
        <w:t>In 2015, NMIH entered into the Credit Agreement for the Term Loan to support the continued growth of its IIF. On February 10, 2017, NMIH amended the Credit Agreement, (the Amendment) to reduce the interest rate and extend the maturity date from November 10, 2018 to November 10, 2019. The Credit Agreement contains various restrictive covenants and required financial ratios and tests (which were not modified by the Amendment) that we are required to meet or maintain. These covenants include, but are not limited to the following: a maximum debt-to-total capitalization ratio (as defined) of 35%, maximum RTC ratio of 22.0:1.0, liquidity (as defined) of $33.4 million as of March 31, 2017, compliance with PMIERs financial requirements (subject to any GSE-approved waivers), and minimum equity requirements. The Term Loan bears interest at the Eurodollar Rate, with a floor of 1%, plus 6.75% (an all-in rate of 8.0% as of March 31, 2017), payable quarterly. The Company recorded $3.5 million of interest expense for the three months ended March 31, 2017.</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net investment income for the three months ended March 31, 2017 was $3.8 million, compared to $3.2 million for the three months ended March 31, 2016. As of March 31, 2017, our portfolio conforms with our investment guidelines. The principal factors affecting our investment income include the size and credit rating of our portfolio and its net yield. As measured by amortized cost (which excludes changes in fair market value, such as those resulting from changes in interest rates), the size of our investment portfolio is mainly a function of capital raised, cash generated from operations, such as net premiums received, and investment earnings.</w:t>
      </w:r>
    </w:p>
    <w:p>
      <w:pPr>
        <w:spacing w:after="0" w:line="13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pre-tax book yield on our portfolio as of March 31, 2017 was 2.3%, excluding unrealized gains and losses. The book yield is calculated on our year-to-date net investment income over our average portfolio book value as of March 31, 2017. We believe that the yield on our investment portfolio likely will change over time based on potential changes to the interest rate environment, the duration or mix of our investment portfolio or other factors.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sectors of our investment portfolio, including cash and cash equivalents appear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Percentage of portfolio's fair value</w:t>
            </w:r>
          </w:p>
        </w:tc>
        <w:tc>
          <w:tcPr>
            <w:tcW w:w="188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31, 2017</w:t>
            </w:r>
          </w:p>
        </w:tc>
        <w:tc>
          <w:tcPr>
            <w:tcW w:w="178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0"/>
        </w:trPr>
        <w:tc>
          <w:tcPr>
            <w:tcW w:w="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2.</w:t>
            </w:r>
          </w:p>
        </w:tc>
        <w:tc>
          <w:tcPr>
            <w:tcW w:w="7440" w:type="dxa"/>
            <w:vAlign w:val="bottom"/>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4.</w:t>
            </w:r>
          </w:p>
        </w:tc>
        <w:tc>
          <w:tcPr>
            <w:tcW w:w="7440" w:type="dxa"/>
            <w:vAlign w:val="bottom"/>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7440" w:type="dxa"/>
            <w:vAlign w:val="bottom"/>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40" w:type="dxa"/>
            <w:vAlign w:val="bottom"/>
            <w:vMerge w:val="restart"/>
          </w:tcPr>
          <w:p>
            <w:pPr>
              <w:ind w:left="340"/>
              <w:spacing w:after="0"/>
              <w:rPr>
                <w:sz w:val="20"/>
                <w:szCs w:val="20"/>
                <w:color w:val="auto"/>
              </w:rPr>
            </w:pPr>
            <w:r>
              <w:rPr>
                <w:rFonts w:ascii="Arial" w:cs="Arial" w:eastAsia="Arial" w:hAnsi="Arial"/>
                <w:sz w:val="18"/>
                <w:szCs w:val="18"/>
                <w:color w:val="auto"/>
              </w:rPr>
              <w:t>The ratings of our investment portfolio were:</w:t>
            </w: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0" w:type="dxa"/>
            <w:vAlign w:val="bottom"/>
          </w:tcPr>
          <w:p>
            <w:pPr>
              <w:spacing w:after="0"/>
              <w:rPr>
                <w:sz w:val="24"/>
                <w:szCs w:val="24"/>
                <w:color w:val="auto"/>
              </w:rPr>
            </w:pPr>
          </w:p>
        </w:tc>
        <w:tc>
          <w:tcPr>
            <w:tcW w:w="744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7760" w:type="dxa"/>
            <w:vAlign w:val="bottom"/>
            <w:gridSpan w:val="2"/>
          </w:tcPr>
          <w:p>
            <w:pPr>
              <w:ind w:left="40"/>
              <w:spacing w:after="0"/>
              <w:rPr>
                <w:sz w:val="20"/>
                <w:szCs w:val="20"/>
                <w:color w:val="auto"/>
              </w:rPr>
            </w:pPr>
            <w:r>
              <w:rPr>
                <w:rFonts w:ascii="Arial" w:cs="Arial" w:eastAsia="Arial" w:hAnsi="Arial"/>
                <w:sz w:val="14"/>
                <w:szCs w:val="14"/>
                <w:b w:val="1"/>
                <w:bCs w:val="1"/>
                <w:color w:val="auto"/>
              </w:rPr>
              <w:t>Investment portfolio ratings</w:t>
            </w:r>
          </w:p>
        </w:tc>
        <w:tc>
          <w:tcPr>
            <w:tcW w:w="188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31, 2017</w:t>
            </w:r>
          </w:p>
        </w:tc>
        <w:tc>
          <w:tcPr>
            <w:tcW w:w="178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0"/>
        </w:trPr>
        <w:tc>
          <w:tcPr>
            <w:tcW w:w="77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AA</w:t>
            </w:r>
          </w:p>
        </w:tc>
        <w:tc>
          <w:tcPr>
            <w:tcW w:w="744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74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BBB</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ratings above are provided by one or more of: Moody's, S&amp;P and Fitch Ratings. If three ratings are available, we assign the middle rating for classification purposes, otherwise we assign the lowest rating.</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Taxes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 U.S. taxpayer and are subject to a statutory U.S. federal corporate income tax rate of 35%. Our holding company files a consolidated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and various state income tax returns on behalf of itself and its subsidiaries.</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provision for income taxes for the interim reporting periods are based on an estimated annual effective tax rate for the year ending December 31, 2017. Our effective tax rate on our pre-tax income was 18.5% for the three months ended March 31, 2017, compared to 0.0% for the comparable 2016 period. The increase in the effective tax rate for the three months ended March 31, 2017 against the comparable 2016 period was attributable to the elimination of tax benefits in the comparable 2016 period due to the recognition of a full valuation allowance which was recorded to reflect the amount of the deferred taxes that may not be realized. The difference between our statutory tax rate and our effective tax rate for the three months ended March 31, 2017 was due to a discrete tax benefit associated with excess tax benefits for restricted stock units that were recognized during the period as a result of the adoption of ASU 2016-09 in the quarter. We expect our effective tax rate to return to approximately the statutory tax rate for the year ending December 31, 2017.</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 and Contractual Obligations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had no off-balance sheet arrangements as of March 31, 2017. There are no material changes outside the ordinary course of business in the contractual obligations specified in our 2016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Estimates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 accounting principles and methods that conform to GAAP. Where GAAP specifically excludes mortgage insurance we follow general industry practices.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assumptions and estimates associated with revenue recognition, fair value measurements, our investment portfolio, deferred policy acquisition costs, premium deficiency reserves, income taxes, reserves for insurance claims and claims expenses, warrants and share-based compensation have the greatest potential impact on our consolidated financial statements. Therefore, we consider these to be our critical accounting estimates. There have been no material changes to our critical accounting policies and estimates as compared to the critical accounting policies and estimates described in our 2016 10-K.</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and manage a large portfolio of various holdings, types and maturities. NMIH's principal source of operating cash is investment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assets within the investment portfolio are exposed to the same factors that affect overall financial market performance.</w:t>
      </w:r>
    </w:p>
    <w:p>
      <w:pPr>
        <w:spacing w:after="0" w:line="1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manage market risk via a defined investment policy implemented by our treasury function with oversight from our Board of Director's Risk Committee. Important drivers of our market risk exposure monitored and managed by us include but are not limited to:</w:t>
      </w:r>
    </w:p>
    <w:p>
      <w:pPr>
        <w:spacing w:after="0" w:line="116" w:lineRule="exact"/>
        <w:rPr>
          <w:sz w:val="20"/>
          <w:szCs w:val="20"/>
          <w:color w:val="auto"/>
        </w:rPr>
      </w:pPr>
    </w:p>
    <w:p>
      <w:pPr>
        <w:jc w:val="both"/>
        <w:ind w:left="660" w:hanging="328"/>
        <w:spacing w:after="0" w:line="297" w:lineRule="auto"/>
        <w:tabs>
          <w:tab w:leader="none" w:pos="66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Changes to the level of interest rates</w:t>
      </w:r>
      <w:r>
        <w:rPr>
          <w:rFonts w:ascii="Arial" w:cs="Arial" w:eastAsia="Arial" w:hAnsi="Arial"/>
          <w:sz w:val="16"/>
          <w:szCs w:val="16"/>
          <w:color w:val="auto"/>
        </w:rPr>
        <w:t>. 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50" w:lineRule="exact"/>
        <w:rPr>
          <w:rFonts w:ascii="Arial" w:cs="Arial" w:eastAsia="Arial" w:hAnsi="Arial"/>
          <w:sz w:val="16"/>
          <w:szCs w:val="16"/>
          <w:i w:val="1"/>
          <w:iCs w:val="1"/>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62" w:lineRule="exact"/>
        <w:rPr>
          <w:rFonts w:ascii="Arial" w:cs="Arial" w:eastAsia="Arial" w:hAnsi="Arial"/>
          <w:sz w:val="18"/>
          <w:szCs w:val="18"/>
          <w:i w:val="1"/>
          <w:iCs w:val="1"/>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Market volatility/changes in the real or perceived credit quality of investments</w:t>
      </w:r>
      <w:r>
        <w:rPr>
          <w:rFonts w:ascii="Arial" w:cs="Arial" w:eastAsia="Arial" w:hAnsi="Arial"/>
          <w:sz w:val="17"/>
          <w:szCs w:val="17"/>
          <w:color w:val="auto"/>
        </w:rPr>
        <w:t>. Deterioration in the quality of investments, identified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our own or third party (e.g., rating agency) assessments, will reduce the value and potentially the liquidity of investments.</w:t>
      </w:r>
    </w:p>
    <w:p>
      <w:pPr>
        <w:spacing w:after="0" w:line="38"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Concentration Risk</w:t>
      </w:r>
      <w:r>
        <w:rPr>
          <w:rFonts w:ascii="Arial" w:cs="Arial" w:eastAsia="Arial" w:hAnsi="Arial"/>
          <w:sz w:val="17"/>
          <w:szCs w:val="17"/>
          <w:color w:val="auto"/>
        </w:rPr>
        <w:t>. If the investment portfolio is highly concentrated in one asset, or in multiple assets whose values are highly correlated, the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total portfolio may be greatly affected by the change in value of just one asset or a group of highly correlated assets.</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our investment portfolio as of March 31, 2017 and December 31, 2016 was $659 million and $629 million,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2017, the duration of our fixed income portfolio, including cash and cash equivalents, was 0.56 years, which means that an instantaneous parallel shift (movement up or down) in the yield curve of 100 basis points would result in a change of 0.56% in fair value of our fixed income portfolio. Excluding cash, our fixed income portfolio duration was 1.15 years, which means that an instantaneous parallel shift (movement up or down) in the yield curve of 100 basis points would result in a change of 1.15% in fair value of our fixed income portfolio.</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also subject to market risk related to our Term Loan. As discussed in Item 1, "</w:t>
      </w:r>
      <w:r>
        <w:rPr>
          <w:rFonts w:ascii="Arial" w:cs="Arial" w:eastAsia="Arial" w:hAnsi="Arial"/>
          <w:sz w:val="18"/>
          <w:szCs w:val="18"/>
          <w:i w:val="1"/>
          <w:iCs w:val="1"/>
          <w:color w:val="auto"/>
        </w:rPr>
        <w:t>Financial Statements and Supplementary Data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 - Note 4, Term Loan,</w:t>
      </w:r>
      <w:r>
        <w:rPr>
          <w:rFonts w:ascii="Arial" w:cs="Arial" w:eastAsia="Arial" w:hAnsi="Arial"/>
          <w:sz w:val="18"/>
          <w:szCs w:val="18"/>
          <w:color w:val="auto"/>
        </w:rPr>
        <w:t>" the Term Loan bears interest at a variable rate and, as a result, increases in market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would generally result in increased interest expense on our outstanding principal.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Principal Executive Officer and Principal Financial Officer, conducted an evaluation of the effectiveness of our disclosure controls and procedures (as defined in Rule 13a-15(e) of the Exchange Act) as of March 31, 2017,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Based upon that evaluation, our Principal Executive Officer and Principal Financial Officer concluded that, as of March 31, 2017, our disclosure controls and procedures were not effective, due to the existence of a material weakness in the design and operating effectiveness of an internal control related to reconciliation support used to validate our deferred tax inventory. A material weakness is a deficiency, or combination of deficiencies, in internal control over financial reporting such that there is a reasonable possibility that a material misstatement of our annual or interim financial statements will not be prevented or detected in a timely basis. As described in Item 1, "</w:t>
      </w:r>
      <w:r>
        <w:rPr>
          <w:rFonts w:ascii="Arial" w:cs="Arial" w:eastAsia="Arial" w:hAnsi="Arial"/>
          <w:sz w:val="16"/>
          <w:szCs w:val="16"/>
          <w:i w:val="1"/>
          <w:iCs w:val="1"/>
          <w:color w:val="auto"/>
        </w:rPr>
        <w:t>Financial Statements and Supplementary Data - Notes to Consolidated Financial Statements</w:t>
      </w:r>
    </w:p>
    <w:p>
      <w:pPr>
        <w:spacing w:after="0" w:line="2" w:lineRule="exact"/>
        <w:rPr>
          <w:sz w:val="20"/>
          <w:szCs w:val="20"/>
          <w:color w:val="auto"/>
        </w:rPr>
      </w:pPr>
    </w:p>
    <w:p>
      <w:pPr>
        <w:jc w:val="both"/>
        <w:ind w:firstLine="8"/>
        <w:spacing w:after="0" w:line="253" w:lineRule="auto"/>
        <w:tabs>
          <w:tab w:leader="none" w:pos="114"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Note 1, Organization and Basis of Presentation - Immaterial Correction of Prior Period Amounts</w:t>
      </w:r>
      <w:r>
        <w:rPr>
          <w:rFonts w:ascii="Arial" w:cs="Arial" w:eastAsia="Arial" w:hAnsi="Arial"/>
          <w:sz w:val="18"/>
          <w:szCs w:val="18"/>
          <w:color w:val="auto"/>
        </w:rPr>
        <w:t>," above, we detected a $1.8 million error in the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balance that was immaterial to the 2016 financial statements. Notwithstanding the material weakness identified, our management has concluded that the consolidated financial statements included in this Form 10-Q fairly present, in all material respects, our financial condition, results of operations and cash flows at and for the periods presented. In addition, there were no material errors in our financial results or balances identified as a result of this control deficiency, and accordingly, amendment of our 2016 Form 10-K is not required.</w:t>
      </w:r>
    </w:p>
    <w:p>
      <w:pPr>
        <w:spacing w:after="0" w:line="1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enhancing existing controls and designing and implementing new controls applicable to our deferred tax accounting, including those related to stock compensation, to ensure that our deferred tax asset is accurately calculated and appropriately reflected in our financial statements and reports we file with the SEC. We believe these actions are sufficient to remediate the identified material weakness and strengthen our internal control over financial reporting; however, there can be no guarantee that such remediation will be sufficient. We will continue to monitor the effectiveness of our controls and will make any further changes management determines appropriate.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than noted above, there were no changes in our internal control over financial reporting that occurred during the period covered by this report that have materially affected, or are reasonably likely to materially affect, our internal control over financial reporting.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disclose information relating to any such potential loss, whether in excess of any established accruals or where there is no established accrual. We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of our 2016 10-K. As of the date of this report, we are not aware of any material changes in our risk factors from the risk factors disclosed in our 2016 10-K. You should carefully consider the risks and uncertainties described herein and in our 2016 10-K, which have the potential to affect our business, financial condition, results of operations, cash flows or prospects in a material and adverse manner. The risks described herein and in our 2016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index to exhibits has been filed as part of this report and is incorporated herein by reference.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3" w:name="page44"/>
    <w:bookmarkEnd w:id="43"/>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NMI HOLDINGS, INC.</w:t>
      </w: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May 4, 2017</w:t>
      </w:r>
      <w:r>
        <w:rPr>
          <w:sz w:val="20"/>
          <w:szCs w:val="20"/>
          <w:color w:val="auto"/>
        </w:rPr>
        <w:tab/>
      </w:r>
      <w:r>
        <w:rPr>
          <w:rFonts w:ascii="Arial" w:cs="Arial" w:eastAsia="Arial" w:hAnsi="Arial"/>
          <w:sz w:val="17"/>
          <w:szCs w:val="17"/>
          <w:color w:val="auto"/>
        </w:rPr>
        <w:t>By: /s/ Glenn M. Farrell</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Glenn M. Farrell</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Chief Accounting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40"/>
          </w:cols>
          <w:pgMar w:left="240" w:top="1013" w:right="7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468"/>
        </w:trPr>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0020" w:type="dxa"/>
            <w:vAlign w:val="bottom"/>
          </w:tcPr>
          <w:p>
            <w:pPr>
              <w:spacing w:after="0"/>
              <w:rPr>
                <w:sz w:val="24"/>
                <w:szCs w:val="24"/>
                <w:color w:val="auto"/>
              </w:rPr>
            </w:pPr>
          </w:p>
        </w:tc>
      </w:tr>
      <w:tr>
        <w:trPr>
          <w:trHeight w:val="234"/>
        </w:trPr>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0020" w:type="dxa"/>
            <w:vAlign w:val="bottom"/>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20" w:type="dxa"/>
            <w:vAlign w:val="bottom"/>
            <w:tcBorders>
              <w:bottom w:val="single" w:sz="8" w:color="auto"/>
            </w:tcBorders>
          </w:tcPr>
          <w:p>
            <w:pPr>
              <w:spacing w:after="0"/>
              <w:rPr>
                <w:sz w:val="9"/>
                <w:szCs w:val="9"/>
                <w:color w:val="auto"/>
              </w:rPr>
            </w:pPr>
          </w:p>
        </w:tc>
      </w:tr>
      <w:tr>
        <w:trPr>
          <w:trHeight w:val="411"/>
        </w:trPr>
        <w:tc>
          <w:tcPr>
            <w:tcW w:w="102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4"/>
                <w:szCs w:val="24"/>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4"/>
              </w:rPr>
              <w:t>Stock Purchase Agreement, dated November 30, 2011, between NMI Holdings, Inc. and MAC Financial Ltd. (incorporated herein by</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rPr>
              <w:t>reference to Exhibit 2.1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22"/>
                <w:szCs w:val="22"/>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6"/>
              </w:rPr>
              <w:t>Amendment to Stock Purchase Agreement, dated April 6, 2012, between NMI Holdings, Inc. and MAC Financial Ltd. (incorporated</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5"/>
              </w:rPr>
              <w:t>herein by reference to Exhibit 2.2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2"/>
                <w:szCs w:val="22"/>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1"/>
              </w:rPr>
              <w:t>Second Amended and Restated Certificate of Incorporation (incorporated herein by reference to Exhibit 3.1 to our Form S-1 Registration</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rPr>
              <w:t>Statement (Registration No. 333-191635), filed on October 9, 2013)</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3"/>
                <w:szCs w:val="23"/>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5"/>
              </w:rPr>
              <w:t>Third Amended and Restated By-Laws (incorporated herein by reference to Exhibit 3.1 to our Form 8-K, filed on December 9, 2014)</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2"/>
                <w:szCs w:val="22"/>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4"/>
              </w:rPr>
              <w:t>Specimen Class A common stock certificate (incorporated herein by reference to Exhibit 4.1 to our Form S-1 Registration Statement</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rPr>
              <w:t>(Registration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2"/>
                <w:szCs w:val="22"/>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3"/>
              </w:rPr>
              <w:t>Registration Rights Agreement between NMI Holdings, Inc. and FBR Capital Markets &amp; Co., dated April 24, 2012 (incorporated herein</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rPr>
              <w:t>by reference to Exhibit 4.2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2"/>
                <w:szCs w:val="22"/>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4"/>
              </w:rPr>
              <w:t>Registration Rights Agreement by and between MAC Financial Ltd. and NMI Holdings, Inc., dated April 24, 2012 (incorporated herein</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rPr>
              <w:t>by reference to Exhibit 4.3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2"/>
                <w:szCs w:val="22"/>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4"/>
              </w:rPr>
              <w:t>Registration Rights Agreement between FBR &amp; Co., FBR Capital Markets LT, Inc., FBR Capital Markets &amp; Co., FBR Capital Markets</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6"/>
              </w:rPr>
              <w:t>PT, Inc. and NMI Holdings, Inc., dated April 24, 2012 (incorporated herein by reference to Exhibit 4.4 to our Form S-1 Registration</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rPr>
              <w:t>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2"/>
                <w:szCs w:val="22"/>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rPr>
              <w:t>Warrant No. 1 to Purchase Common Stock of NMI Holdings, Inc. issued to FBR Capital Markets &amp; Co., dated June 13, 2013</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2"/>
              </w:rPr>
              <w:t>(incorporated herein by reference to Exhibit 4.5 to our Form S-1 Registration Statement (Registration No. 333-191635), filed on October</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rPr>
              <w:t>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22"/>
                <w:szCs w:val="22"/>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4"/>
              </w:rPr>
              <w:t>Form of Warrant to Purchase Common Stock of NMI Holdings, Inc. issued to former stockholders of MAC Financial Ltd.(incorporated</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5"/>
              </w:rPr>
              <w:t>herein by reference to Exhibit 4.6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10.1 ~</w:t>
            </w:r>
          </w:p>
        </w:tc>
        <w:tc>
          <w:tcPr>
            <w:tcW w:w="100" w:type="dxa"/>
            <w:vAlign w:val="bottom"/>
          </w:tcPr>
          <w:p>
            <w:pPr>
              <w:spacing w:after="0"/>
              <w:rPr>
                <w:sz w:val="22"/>
                <w:szCs w:val="22"/>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3"/>
              </w:rPr>
              <w:t>NMI Holdings Inc. 2012 Stock Incentive Plan (incorporated herein by reference to Exhibit 10.1 to our Form S-1 Registration Statement</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rPr>
              <w:t>(registration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10.2 ~</w:t>
            </w:r>
          </w:p>
        </w:tc>
        <w:tc>
          <w:tcPr>
            <w:tcW w:w="100" w:type="dxa"/>
            <w:vAlign w:val="bottom"/>
          </w:tcPr>
          <w:p>
            <w:pPr>
              <w:spacing w:after="0"/>
              <w:rPr>
                <w:sz w:val="22"/>
                <w:szCs w:val="22"/>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5"/>
              </w:rPr>
              <w:t>Form of NMI Holdings, Inc. 2012 Stock Incentive Plan Restricted Stock Unit Award Agreement for Chief Executive Officer and Chief</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7"/>
              </w:rPr>
              <w:t>Financial Officer (incorporated herein by reference to Exhibit 10.2 to our Form S-1 Registration Statement (Registration No. 333-</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rPr>
              <w:t>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10.3 ~</w:t>
            </w:r>
          </w:p>
        </w:tc>
        <w:tc>
          <w:tcPr>
            <w:tcW w:w="100" w:type="dxa"/>
            <w:vAlign w:val="bottom"/>
          </w:tcPr>
          <w:p>
            <w:pPr>
              <w:spacing w:after="0"/>
              <w:rPr>
                <w:sz w:val="22"/>
                <w:szCs w:val="22"/>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2"/>
              </w:rPr>
              <w:t>Form of NMI Holdings, Inc. 2012 Stock Incentive Plan Restricted Stock Unit Award Agreement for Management (incorporated herein by</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rPr>
              <w:t>reference to Exhibit 10.3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10.4 ~</w:t>
            </w:r>
          </w:p>
        </w:tc>
        <w:tc>
          <w:tcPr>
            <w:tcW w:w="100" w:type="dxa"/>
            <w:vAlign w:val="bottom"/>
          </w:tcPr>
          <w:p>
            <w:pPr>
              <w:spacing w:after="0"/>
              <w:rPr>
                <w:sz w:val="22"/>
                <w:szCs w:val="22"/>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5"/>
              </w:rPr>
              <w:t>Form of NMI Holdings, Inc. 2012 Stock Incentive Plan Restricted Stock Unit Award Agreement for Directors (incorporated herein by</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rPr>
              <w:t>reference to Exhibit 10.4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10.5 ~</w:t>
            </w:r>
          </w:p>
        </w:tc>
        <w:tc>
          <w:tcPr>
            <w:tcW w:w="100" w:type="dxa"/>
            <w:vAlign w:val="bottom"/>
          </w:tcPr>
          <w:p>
            <w:pPr>
              <w:spacing w:after="0"/>
              <w:rPr>
                <w:sz w:val="22"/>
                <w:szCs w:val="22"/>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5"/>
              </w:rPr>
              <w:t>Form of NMI Holdings, Inc. 2012 Stock Incentive Plan Nonqualified Stock Option Award Agreement for Chief Executive Officer and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3"/>
              </w:rPr>
              <w:t>Chief Financial Officer (incorporated herein by reference to Exhibit 10.5 to our Form S-1 Registration Statement (Registration No. 333-</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rPr>
              <w:t>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10.6 ~</w:t>
            </w:r>
          </w:p>
        </w:tc>
        <w:tc>
          <w:tcPr>
            <w:tcW w:w="100" w:type="dxa"/>
            <w:vAlign w:val="bottom"/>
          </w:tcPr>
          <w:p>
            <w:pPr>
              <w:spacing w:after="0"/>
              <w:rPr>
                <w:sz w:val="22"/>
                <w:szCs w:val="22"/>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6"/>
              </w:rPr>
              <w:t>Form of NMI Holdings, Inc. 2012 Stock Incentive Plan Nonqualified Stock Option Award Agreement for Management (incorporated</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4"/>
              </w:rPr>
              <w:t>herein by reference to Exhibit 10.6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10.7 ~</w:t>
            </w:r>
          </w:p>
        </w:tc>
        <w:tc>
          <w:tcPr>
            <w:tcW w:w="100" w:type="dxa"/>
            <w:vAlign w:val="bottom"/>
          </w:tcPr>
          <w:p>
            <w:pPr>
              <w:spacing w:after="0"/>
              <w:rPr>
                <w:sz w:val="22"/>
                <w:szCs w:val="22"/>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4"/>
              </w:rPr>
              <w:t>Form of NMI Holdings, Inc. 2012 Stock Incentive Plan Nonqualified Stock Option Award Agreement for Directors (incorporated herein</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rPr>
              <w:t>by reference to Exhibit 10.7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10.8 ~</w:t>
            </w:r>
          </w:p>
        </w:tc>
        <w:tc>
          <w:tcPr>
            <w:tcW w:w="100" w:type="dxa"/>
            <w:vAlign w:val="bottom"/>
          </w:tcPr>
          <w:p>
            <w:pPr>
              <w:spacing w:after="0"/>
              <w:rPr>
                <w:sz w:val="22"/>
                <w:szCs w:val="22"/>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5"/>
              </w:rPr>
              <w:t>Form of NMI Holdings, Inc. 2012 Stock Incentive Plan Nonqualified Stock Option Award Agreement for Chief Executive Officer and</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rPr>
              <w:t>Chief Financial Officer (incorporated herein by reference to Exhibit 10.8 to our Form 10-K, filed on February 17, 2017)</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10.9 ~</w:t>
            </w:r>
          </w:p>
        </w:tc>
        <w:tc>
          <w:tcPr>
            <w:tcW w:w="100" w:type="dxa"/>
            <w:vAlign w:val="bottom"/>
          </w:tcPr>
          <w:p>
            <w:pPr>
              <w:spacing w:after="0"/>
              <w:rPr>
                <w:sz w:val="22"/>
                <w:szCs w:val="22"/>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2"/>
              </w:rPr>
              <w:t>Form of NMI Holdings, Inc. 2012 Stock Incentive Plan Nonqualified Stock Option Award Agreement for Employees (incorporated herein</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rPr>
              <w:t>by reference to Exhibit 10.9 to our Form 10-K, filed on February 17, 2017)</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9"/>
              </w:rPr>
              <w:t>10.10 ~</w:t>
            </w:r>
          </w:p>
        </w:tc>
        <w:tc>
          <w:tcPr>
            <w:tcW w:w="100" w:type="dxa"/>
            <w:vAlign w:val="bottom"/>
          </w:tcPr>
          <w:p>
            <w:pPr>
              <w:spacing w:after="0"/>
              <w:rPr>
                <w:sz w:val="22"/>
                <w:szCs w:val="22"/>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w w:val="92"/>
              </w:rPr>
              <w:t>Amended and Restated Employment Agreement by and between NMI Holdings, Inc. and Bradley M. Shuster, dated December 23, 2015</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Arial" w:cs="Arial" w:eastAsia="Arial" w:hAnsi="Arial"/>
                <w:sz w:val="18"/>
                <w:szCs w:val="18"/>
                <w:color w:val="auto"/>
              </w:rPr>
              <w:t>(incorporated herein by reference to Exhibit 10.1 to our Form 8-K, filed on December 29, 2015)</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80" w:top="580" w:right="379" w:bottom="1440" w:gutter="0" w:footer="0" w:header="0"/>
        </w:sectPr>
      </w:pPr>
    </w:p>
    <w:bookmarkStart w:id="45" w:name="page46"/>
    <w:bookmarkEnd w:id="45"/>
    <w:p>
      <w:pPr>
        <w:jc w:val="both"/>
        <w:ind w:left="920" w:hanging="911"/>
        <w:spacing w:after="0" w:line="277" w:lineRule="auto"/>
        <w:tabs>
          <w:tab w:leader="none" w:pos="900" w:val="left"/>
        </w:tabs>
        <w:rPr>
          <w:sz w:val="20"/>
          <w:szCs w:val="20"/>
          <w:color w:val="auto"/>
        </w:rPr>
      </w:pPr>
      <w:r>
        <w:rPr>
          <w:rFonts w:ascii="Arial" w:cs="Arial" w:eastAsia="Arial" w:hAnsi="Arial"/>
          <w:sz w:val="18"/>
          <w:szCs w:val="18"/>
          <w:color w:val="auto"/>
        </w:rPr>
        <w:t>10.11 ~</w:t>
      </w:r>
      <w:r>
        <w:rPr>
          <w:sz w:val="20"/>
          <w:szCs w:val="20"/>
          <w:color w:val="auto"/>
        </w:rPr>
        <w:tab/>
      </w:r>
      <w:r>
        <w:rPr>
          <w:rFonts w:ascii="Arial" w:cs="Arial" w:eastAsia="Arial" w:hAnsi="Arial"/>
          <w:sz w:val="18"/>
          <w:szCs w:val="18"/>
          <w:color w:val="auto"/>
        </w:rPr>
        <w:t>Offer Letter by and between NMI Holdings, Inc. and Glenn Farrell, effective December 4, 2014 (incorporated herein by reference to Exhibit 10.1 to our Form 8-K, filed on December 9, 2014)</w:t>
      </w:r>
    </w:p>
    <w:p>
      <w:pPr>
        <w:spacing w:after="0" w:line="8" w:lineRule="exact"/>
        <w:rPr>
          <w:sz w:val="20"/>
          <w:szCs w:val="20"/>
          <w:color w:val="auto"/>
        </w:rPr>
      </w:pPr>
    </w:p>
    <w:p>
      <w:pPr>
        <w:jc w:val="both"/>
        <w:ind w:left="920" w:right="20" w:hanging="914"/>
        <w:spacing w:after="0" w:line="277" w:lineRule="auto"/>
        <w:tabs>
          <w:tab w:leader="none" w:pos="900" w:val="left"/>
        </w:tabs>
        <w:rPr>
          <w:sz w:val="20"/>
          <w:szCs w:val="20"/>
          <w:color w:val="auto"/>
        </w:rPr>
      </w:pPr>
      <w:r>
        <w:rPr>
          <w:rFonts w:ascii="Arial" w:cs="Arial" w:eastAsia="Arial" w:hAnsi="Arial"/>
          <w:sz w:val="18"/>
          <w:szCs w:val="18"/>
          <w:color w:val="auto"/>
        </w:rPr>
        <w:t>10.12 ~</w:t>
      </w:r>
      <w:r>
        <w:rPr>
          <w:sz w:val="20"/>
          <w:szCs w:val="20"/>
          <w:color w:val="auto"/>
        </w:rPr>
        <w:tab/>
      </w:r>
      <w:r>
        <w:rPr>
          <w:rFonts w:ascii="Arial" w:cs="Arial" w:eastAsia="Arial" w:hAnsi="Arial"/>
          <w:sz w:val="18"/>
          <w:szCs w:val="18"/>
          <w:color w:val="auto"/>
        </w:rPr>
        <w:t>Offer Letter by and between NMI Holdings, Inc. and William Leatherberry, dated July 11, 2014 (incorporated herein by reference to Exhibit 10.10 to our Form 10-Q, filed on April 28, 2016)</w:t>
      </w:r>
    </w:p>
    <w:p>
      <w:pPr>
        <w:spacing w:after="0" w:line="8"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Offer Letter by and between NMI Holdings, Inc. and Adam Pollitzer, dated February 1, 2017 (incorporated herein by reference to Exhibit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 to our Form 8-K, filed on February 3, 2017)</w:t>
      </w:r>
    </w:p>
    <w:p>
      <w:pPr>
        <w:spacing w:after="0" w:line="49" w:lineRule="exact"/>
        <w:rPr>
          <w:sz w:val="20"/>
          <w:szCs w:val="20"/>
          <w:color w:val="auto"/>
        </w:rPr>
      </w:pPr>
    </w:p>
    <w:p>
      <w:pPr>
        <w:jc w:val="both"/>
        <w:ind w:left="920" w:hanging="914"/>
        <w:spacing w:after="0" w:line="277" w:lineRule="auto"/>
        <w:tabs>
          <w:tab w:leader="none" w:pos="900" w:val="left"/>
        </w:tabs>
        <w:rPr>
          <w:sz w:val="20"/>
          <w:szCs w:val="20"/>
          <w:color w:val="auto"/>
        </w:rPr>
      </w:pPr>
      <w:r>
        <w:rPr>
          <w:rFonts w:ascii="Arial" w:cs="Arial" w:eastAsia="Arial" w:hAnsi="Arial"/>
          <w:sz w:val="18"/>
          <w:szCs w:val="18"/>
          <w:color w:val="auto"/>
        </w:rPr>
        <w:t>10.14 ~</w:t>
      </w:r>
      <w:r>
        <w:rPr>
          <w:sz w:val="20"/>
          <w:szCs w:val="20"/>
          <w:color w:val="auto"/>
        </w:rPr>
        <w:tab/>
      </w:r>
      <w:r>
        <w:rPr>
          <w:rFonts w:ascii="Arial" w:cs="Arial" w:eastAsia="Arial" w:hAnsi="Arial"/>
          <w:sz w:val="18"/>
          <w:szCs w:val="18"/>
          <w:color w:val="auto"/>
        </w:rPr>
        <w:t>Form of Indemnification Agreement between NMI Holdings, Inc. and its directors and certain executive officers (incorporated herein by reference to Exhibit 10.1 to our Form 8-K, filed on November 25, 2014)</w:t>
      </w:r>
    </w:p>
    <w:p>
      <w:pPr>
        <w:spacing w:after="0" w:line="8" w:lineRule="exact"/>
        <w:rPr>
          <w:sz w:val="20"/>
          <w:szCs w:val="20"/>
          <w:color w:val="auto"/>
        </w:rPr>
      </w:pPr>
    </w:p>
    <w:p>
      <w:pPr>
        <w:jc w:val="both"/>
        <w:ind w:left="920" w:hanging="916"/>
        <w:spacing w:after="0" w:line="259" w:lineRule="auto"/>
        <w:tabs>
          <w:tab w:leader="none" w:pos="900" w:val="left"/>
        </w:tabs>
        <w:rPr>
          <w:sz w:val="20"/>
          <w:szCs w:val="20"/>
          <w:color w:val="auto"/>
        </w:rPr>
      </w:pPr>
      <w:r>
        <w:rPr>
          <w:rFonts w:ascii="Arial" w:cs="Arial" w:eastAsia="Arial" w:hAnsi="Arial"/>
          <w:sz w:val="18"/>
          <w:szCs w:val="18"/>
          <w:color w:val="auto"/>
        </w:rPr>
        <w:t>10.15 +</w:t>
      </w:r>
      <w:r>
        <w:rPr>
          <w:sz w:val="20"/>
          <w:szCs w:val="20"/>
          <w:color w:val="auto"/>
        </w:rPr>
        <w:tab/>
      </w:r>
      <w:r>
        <w:rPr>
          <w:rFonts w:ascii="Arial" w:cs="Arial" w:eastAsia="Arial" w:hAnsi="Arial"/>
          <w:sz w:val="18"/>
          <w:szCs w:val="18"/>
          <w:color w:val="auto"/>
        </w:rPr>
        <w:t>Commitment Letter dated July 12, 2013 for Bulk Fannie Mae-Paid Loss-on-Sale Mortgage Insurance on the Portfolio of approximately $5.46 billion Purchased by Fannie Mae and Identified by Fannie Mae as Deal No. 2013 MIRT 01 and by the Company as Policy No. P-0001-01 (incorporated herein by reference to Exhibit 10.14 to our Form S-1 Registration Statement (Registration No. 333-191635), filed on October 9, 2013)</w:t>
      </w:r>
    </w:p>
    <w:p>
      <w:pPr>
        <w:spacing w:after="0" w:line="25" w:lineRule="exact"/>
        <w:rPr>
          <w:sz w:val="20"/>
          <w:szCs w:val="20"/>
          <w:color w:val="auto"/>
        </w:rPr>
      </w:pPr>
    </w:p>
    <w:p>
      <w:pPr>
        <w:jc w:val="both"/>
        <w:ind w:left="920" w:hanging="843"/>
        <w:spacing w:after="0" w:line="298" w:lineRule="auto"/>
        <w:tabs>
          <w:tab w:leader="none" w:pos="9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7"/>
          <w:szCs w:val="17"/>
          <w:color w:val="auto"/>
        </w:rPr>
        <w:t>Credit Agreement, dated November 10, 2015, between NMI Holdings, Inc., the lenders party thereto and JPMorgan Chase Bank, N.A., as administrative agent (incorporated herein by reference to Exhibit 4.1 to our Form 8-K, filed on November 10, 2015)</w:t>
      </w:r>
    </w:p>
    <w:p>
      <w:pPr>
        <w:spacing w:after="0" w:line="1" w:lineRule="exact"/>
        <w:rPr>
          <w:sz w:val="20"/>
          <w:szCs w:val="20"/>
          <w:color w:val="auto"/>
        </w:rPr>
      </w:pPr>
    </w:p>
    <w:p>
      <w:pPr>
        <w:jc w:val="both"/>
        <w:ind w:left="920" w:hanging="843"/>
        <w:spacing w:after="0" w:line="264" w:lineRule="auto"/>
        <w:tabs>
          <w:tab w:leader="none" w:pos="9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Amendment No. 1, dated February 10, 2017, to the Credit Agreement dated November 10, 2015, between NMI Holdings, Inc., the lender parties thereto and JPMorgan Chase Bank, N.A., as administrative agent (incorporated herein by reference to Exhibit 10.1 to our Form 8-K, filed on February 10, 2017)</w:t>
      </w:r>
    </w:p>
    <w:p>
      <w:pPr>
        <w:spacing w:after="0" w:line="19" w:lineRule="exact"/>
        <w:rPr>
          <w:sz w:val="20"/>
          <w:szCs w:val="20"/>
          <w:color w:val="auto"/>
        </w:rPr>
      </w:pPr>
    </w:p>
    <w:p>
      <w:pPr>
        <w:ind w:left="920" w:hanging="914"/>
        <w:spacing w:after="0" w:line="277" w:lineRule="auto"/>
        <w:tabs>
          <w:tab w:leader="none" w:pos="900" w:val="left"/>
        </w:tabs>
        <w:rPr>
          <w:sz w:val="20"/>
          <w:szCs w:val="20"/>
          <w:color w:val="auto"/>
        </w:rPr>
      </w:pPr>
      <w:r>
        <w:rPr>
          <w:rFonts w:ascii="Arial" w:cs="Arial" w:eastAsia="Arial" w:hAnsi="Arial"/>
          <w:sz w:val="18"/>
          <w:szCs w:val="18"/>
          <w:color w:val="auto"/>
        </w:rPr>
        <w:t>10.18 ~</w:t>
      </w:r>
      <w:r>
        <w:rPr>
          <w:sz w:val="20"/>
          <w:szCs w:val="20"/>
          <w:color w:val="auto"/>
        </w:rPr>
        <w:tab/>
      </w:r>
      <w:r>
        <w:rPr>
          <w:rFonts w:ascii="Arial" w:cs="Arial" w:eastAsia="Arial" w:hAnsi="Arial"/>
          <w:sz w:val="18"/>
          <w:szCs w:val="18"/>
          <w:color w:val="auto"/>
        </w:rPr>
        <w:t>NMI Holdings, Inc. 2014 Omnibus Incentive Plan (incorporated herein by reference to Appendix A to our 2014 Annual Proxy Statement, filed on March 26, 2014)</w:t>
      </w:r>
    </w:p>
    <w:p>
      <w:pPr>
        <w:spacing w:after="0" w:line="8" w:lineRule="exact"/>
        <w:rPr>
          <w:sz w:val="20"/>
          <w:szCs w:val="20"/>
          <w:color w:val="auto"/>
        </w:rPr>
      </w:pPr>
    </w:p>
    <w:p>
      <w:pPr>
        <w:ind w:left="920" w:hanging="914"/>
        <w:spacing w:after="0" w:line="277" w:lineRule="auto"/>
        <w:tabs>
          <w:tab w:leader="none" w:pos="900" w:val="left"/>
        </w:tabs>
        <w:rPr>
          <w:sz w:val="20"/>
          <w:szCs w:val="20"/>
          <w:color w:val="auto"/>
        </w:rPr>
      </w:pPr>
      <w:r>
        <w:rPr>
          <w:rFonts w:ascii="Arial" w:cs="Arial" w:eastAsia="Arial" w:hAnsi="Arial"/>
          <w:sz w:val="18"/>
          <w:szCs w:val="18"/>
          <w:color w:val="auto"/>
        </w:rPr>
        <w:t>10.19 ~</w:t>
      </w:r>
      <w:r>
        <w:rPr>
          <w:sz w:val="20"/>
          <w:szCs w:val="20"/>
          <w:color w:val="auto"/>
        </w:rPr>
        <w:tab/>
      </w:r>
      <w:r>
        <w:rPr>
          <w:rFonts w:ascii="Arial" w:cs="Arial" w:eastAsia="Arial" w:hAnsi="Arial"/>
          <w:sz w:val="18"/>
          <w:szCs w:val="18"/>
          <w:color w:val="auto"/>
        </w:rPr>
        <w:t>Form of NMI Holdings, Inc. 2014 Omnibus Incentive Plan Restricted Stock Unit Award Agreement for Chief Executive Officer and President (incorporated herein by reference to Exhibit 10.16 to our Form 10-K, filed on February 19, 2016)</w:t>
      </w:r>
    </w:p>
    <w:p>
      <w:pPr>
        <w:spacing w:after="0" w:line="8" w:lineRule="exact"/>
        <w:rPr>
          <w:sz w:val="20"/>
          <w:szCs w:val="20"/>
          <w:color w:val="auto"/>
        </w:rPr>
      </w:pPr>
    </w:p>
    <w:p>
      <w:pPr>
        <w:ind w:left="920" w:right="20" w:hanging="914"/>
        <w:spacing w:after="0" w:line="277" w:lineRule="auto"/>
        <w:tabs>
          <w:tab w:leader="none" w:pos="900" w:val="left"/>
        </w:tabs>
        <w:rPr>
          <w:sz w:val="20"/>
          <w:szCs w:val="20"/>
          <w:color w:val="auto"/>
        </w:rPr>
      </w:pPr>
      <w:r>
        <w:rPr>
          <w:rFonts w:ascii="Arial" w:cs="Arial" w:eastAsia="Arial" w:hAnsi="Arial"/>
          <w:sz w:val="18"/>
          <w:szCs w:val="18"/>
          <w:color w:val="auto"/>
        </w:rPr>
        <w:t>10.20 ~</w:t>
      </w:r>
      <w:r>
        <w:rPr>
          <w:sz w:val="20"/>
          <w:szCs w:val="20"/>
          <w:color w:val="auto"/>
        </w:rPr>
        <w:tab/>
      </w:r>
      <w:r>
        <w:rPr>
          <w:rFonts w:ascii="Arial" w:cs="Arial" w:eastAsia="Arial" w:hAnsi="Arial"/>
          <w:sz w:val="18"/>
          <w:szCs w:val="18"/>
          <w:color w:val="auto"/>
        </w:rPr>
        <w:t>Form of NMI Holdings, Inc. 2014 Omnibus Incentive Plan Restricted Stock Unit Award Agreement for Executive Officers (incorporated herein by reference to Exhibit 10.16 to our Form 10-K, filed on February 19, 2016)</w:t>
      </w:r>
    </w:p>
    <w:p>
      <w:pPr>
        <w:spacing w:after="0" w:line="8" w:lineRule="exact"/>
        <w:rPr>
          <w:sz w:val="20"/>
          <w:szCs w:val="20"/>
          <w:color w:val="auto"/>
        </w:rPr>
      </w:pPr>
    </w:p>
    <w:p>
      <w:pPr>
        <w:ind w:left="920" w:right="20" w:hanging="914"/>
        <w:spacing w:after="0" w:line="277" w:lineRule="auto"/>
        <w:tabs>
          <w:tab w:leader="none" w:pos="900" w:val="left"/>
        </w:tabs>
        <w:rPr>
          <w:sz w:val="20"/>
          <w:szCs w:val="20"/>
          <w:color w:val="auto"/>
        </w:rPr>
      </w:pPr>
      <w:r>
        <w:rPr>
          <w:rFonts w:ascii="Arial" w:cs="Arial" w:eastAsia="Arial" w:hAnsi="Arial"/>
          <w:sz w:val="18"/>
          <w:szCs w:val="18"/>
          <w:color w:val="auto"/>
        </w:rPr>
        <w:t>10.21 ~</w:t>
      </w:r>
      <w:r>
        <w:rPr>
          <w:sz w:val="20"/>
          <w:szCs w:val="20"/>
          <w:color w:val="auto"/>
        </w:rPr>
        <w:tab/>
      </w:r>
      <w:r>
        <w:rPr>
          <w:rFonts w:ascii="Arial" w:cs="Arial" w:eastAsia="Arial" w:hAnsi="Arial"/>
          <w:sz w:val="18"/>
          <w:szCs w:val="18"/>
          <w:color w:val="auto"/>
        </w:rPr>
        <w:t>Form of NMI Holdings, Inc. 2014 Omnibus Incentive Plan Restricted Stock Unit Award Agreement for Employees (incorporated herein by reference to Exhibit 10.19 to our Form 10-K, filed on February 20, 2015)</w:t>
      </w:r>
    </w:p>
    <w:p>
      <w:pPr>
        <w:spacing w:after="0" w:line="8" w:lineRule="exact"/>
        <w:rPr>
          <w:sz w:val="20"/>
          <w:szCs w:val="20"/>
          <w:color w:val="auto"/>
        </w:rPr>
      </w:pPr>
    </w:p>
    <w:p>
      <w:pPr>
        <w:ind w:left="920" w:hanging="892"/>
        <w:spacing w:after="0" w:line="277" w:lineRule="auto"/>
        <w:tabs>
          <w:tab w:leader="none" w:pos="9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Form of NMI Holdings, Inc. 2014 Omnibus Incentive Plan Restricted Stock Unit Award Agreement for Independent Directors (incorporated herein by reference to Exhibit 10.20 to our Form 10-K, filed on February 20, 2015)</w:t>
      </w:r>
    </w:p>
    <w:p>
      <w:pPr>
        <w:spacing w:after="0" w:line="8" w:lineRule="exact"/>
        <w:rPr>
          <w:sz w:val="20"/>
          <w:szCs w:val="20"/>
          <w:color w:val="auto"/>
        </w:rPr>
      </w:pPr>
    </w:p>
    <w:p>
      <w:pPr>
        <w:ind w:left="920" w:right="20" w:hanging="914"/>
        <w:spacing w:after="0" w:line="277" w:lineRule="auto"/>
        <w:tabs>
          <w:tab w:leader="none" w:pos="900" w:val="left"/>
        </w:tabs>
        <w:rPr>
          <w:sz w:val="20"/>
          <w:szCs w:val="20"/>
          <w:color w:val="auto"/>
        </w:rPr>
      </w:pPr>
      <w:r>
        <w:rPr>
          <w:rFonts w:ascii="Arial" w:cs="Arial" w:eastAsia="Arial" w:hAnsi="Arial"/>
          <w:sz w:val="18"/>
          <w:szCs w:val="18"/>
          <w:color w:val="auto"/>
        </w:rPr>
        <w:t>10.23 ~</w:t>
      </w:r>
      <w:r>
        <w:rPr>
          <w:sz w:val="20"/>
          <w:szCs w:val="20"/>
          <w:color w:val="auto"/>
        </w:rPr>
        <w:tab/>
      </w:r>
      <w:r>
        <w:rPr>
          <w:rFonts w:ascii="Arial" w:cs="Arial" w:eastAsia="Arial" w:hAnsi="Arial"/>
          <w:sz w:val="18"/>
          <w:szCs w:val="18"/>
          <w:color w:val="auto"/>
        </w:rPr>
        <w:t>Form of NMI Holdings, Inc. 2014 Omnibus Incentive Plan Nonqualified Stock Option Award Agreement for Chief Executive Officer and President (incorporated herein by reference to Exhibit 10.21 to our Form 10-K, filed on February 20, 2015)</w:t>
      </w:r>
    </w:p>
    <w:p>
      <w:pPr>
        <w:spacing w:after="0" w:line="8" w:lineRule="exact"/>
        <w:rPr>
          <w:sz w:val="20"/>
          <w:szCs w:val="20"/>
          <w:color w:val="auto"/>
        </w:rPr>
      </w:pPr>
    </w:p>
    <w:p>
      <w:pPr>
        <w:ind w:left="920" w:right="20" w:hanging="914"/>
        <w:spacing w:after="0" w:line="277" w:lineRule="auto"/>
        <w:tabs>
          <w:tab w:leader="none" w:pos="900" w:val="left"/>
        </w:tabs>
        <w:rPr>
          <w:sz w:val="20"/>
          <w:szCs w:val="20"/>
          <w:color w:val="auto"/>
        </w:rPr>
      </w:pPr>
      <w:r>
        <w:rPr>
          <w:rFonts w:ascii="Arial" w:cs="Arial" w:eastAsia="Arial" w:hAnsi="Arial"/>
          <w:sz w:val="18"/>
          <w:szCs w:val="18"/>
          <w:color w:val="auto"/>
        </w:rPr>
        <w:t>10.24 ~</w:t>
      </w:r>
      <w:r>
        <w:rPr>
          <w:sz w:val="20"/>
          <w:szCs w:val="20"/>
          <w:color w:val="auto"/>
        </w:rPr>
        <w:tab/>
      </w:r>
      <w:r>
        <w:rPr>
          <w:rFonts w:ascii="Arial" w:cs="Arial" w:eastAsia="Arial" w:hAnsi="Arial"/>
          <w:sz w:val="18"/>
          <w:szCs w:val="18"/>
          <w:color w:val="auto"/>
        </w:rPr>
        <w:t>Form of NMI Holdings, Inc. 2014 Omnibus Incentive Plan Nonqualified Stock Option Award Agreement for Employees (incorporated herein by reference to Exhibit 10.22 to our Form 10-K, filed on February 20, 2015)</w:t>
      </w:r>
    </w:p>
    <w:p>
      <w:pPr>
        <w:spacing w:after="0" w:line="8" w:lineRule="exact"/>
        <w:rPr>
          <w:sz w:val="20"/>
          <w:szCs w:val="20"/>
          <w:color w:val="auto"/>
        </w:rPr>
      </w:pPr>
    </w:p>
    <w:p>
      <w:pPr>
        <w:ind w:left="920" w:hanging="914"/>
        <w:spacing w:after="0" w:line="277" w:lineRule="auto"/>
        <w:tabs>
          <w:tab w:leader="none" w:pos="900" w:val="left"/>
        </w:tabs>
        <w:rPr>
          <w:sz w:val="20"/>
          <w:szCs w:val="20"/>
          <w:color w:val="auto"/>
        </w:rPr>
      </w:pPr>
      <w:r>
        <w:rPr>
          <w:rFonts w:ascii="Arial" w:cs="Arial" w:eastAsia="Arial" w:hAnsi="Arial"/>
          <w:sz w:val="18"/>
          <w:szCs w:val="18"/>
          <w:color w:val="auto"/>
        </w:rPr>
        <w:t>10.25 ~</w:t>
      </w:r>
      <w:r>
        <w:rPr>
          <w:sz w:val="20"/>
          <w:szCs w:val="20"/>
          <w:color w:val="auto"/>
        </w:rPr>
        <w:tab/>
      </w:r>
      <w:r>
        <w:rPr>
          <w:rFonts w:ascii="Arial" w:cs="Arial" w:eastAsia="Arial" w:hAnsi="Arial"/>
          <w:sz w:val="18"/>
          <w:szCs w:val="18"/>
          <w:color w:val="auto"/>
        </w:rPr>
        <w:t>Form of NMI Holdings, Inc. 2014 Omnibus Incentive Plan Phantom Unit Award Agreement for Independent Directors (incorporated herein by reference to Exhibit 10.21 to our Form 10-Q, filed on August 5, 2015)</w:t>
      </w:r>
    </w:p>
    <w:p>
      <w:pPr>
        <w:spacing w:after="0" w:line="8" w:lineRule="exact"/>
        <w:rPr>
          <w:sz w:val="20"/>
          <w:szCs w:val="20"/>
          <w:color w:val="auto"/>
        </w:rPr>
      </w:pPr>
    </w:p>
    <w:p>
      <w:pPr>
        <w:ind w:left="920" w:right="20" w:hanging="914"/>
        <w:spacing w:after="0" w:line="277" w:lineRule="auto"/>
        <w:tabs>
          <w:tab w:leader="none" w:pos="900" w:val="left"/>
        </w:tabs>
        <w:rPr>
          <w:sz w:val="20"/>
          <w:szCs w:val="20"/>
          <w:color w:val="auto"/>
        </w:rPr>
      </w:pPr>
      <w:r>
        <w:rPr>
          <w:rFonts w:ascii="Arial" w:cs="Arial" w:eastAsia="Arial" w:hAnsi="Arial"/>
          <w:sz w:val="18"/>
          <w:szCs w:val="18"/>
          <w:color w:val="auto"/>
        </w:rPr>
        <w:t>10.26 ~</w:t>
      </w:r>
      <w:r>
        <w:rPr>
          <w:sz w:val="20"/>
          <w:szCs w:val="20"/>
          <w:color w:val="auto"/>
        </w:rPr>
        <w:tab/>
      </w:r>
      <w:r>
        <w:rPr>
          <w:rFonts w:ascii="Arial" w:cs="Arial" w:eastAsia="Arial" w:hAnsi="Arial"/>
          <w:sz w:val="18"/>
          <w:szCs w:val="18"/>
          <w:color w:val="auto"/>
        </w:rPr>
        <w:t>Form of NMI Holdings, Inc. 2014 Omnibus Incentive Plan Performance Based Restricted Stock Unit Award Agreement for Chief Executive Officer (incorporated herein by reference to Exhibit 10.26 to our Form 10-K, filed on February 17, 2017)</w:t>
      </w:r>
    </w:p>
    <w:p>
      <w:pPr>
        <w:spacing w:after="0" w:line="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10.27 ~</w:t>
      </w:r>
      <w:r>
        <w:rPr>
          <w:sz w:val="20"/>
          <w:szCs w:val="20"/>
          <w:color w:val="auto"/>
        </w:rPr>
        <w:tab/>
      </w:r>
      <w:r>
        <w:rPr>
          <w:rFonts w:ascii="Arial" w:cs="Arial" w:eastAsia="Arial" w:hAnsi="Arial"/>
          <w:sz w:val="17"/>
          <w:szCs w:val="17"/>
          <w:color w:val="auto"/>
        </w:rPr>
        <w:t>NMI Holdings, Inc. Severance Benefit Plan (incorporated herein by reference to Exhibit 10.1 to our Form 8-K, filed on February 17,</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2016)</w:t>
      </w:r>
    </w:p>
    <w:p>
      <w:pPr>
        <w:spacing w:after="0" w:line="49"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Change in Control Severance Benefit Plan (incorporated herein by reference to Exhibit 10.1 to our Form 8-K, filed on February 23, 2017)</w:t>
      </w:r>
    </w:p>
    <w:p>
      <w:pPr>
        <w:spacing w:after="0" w:line="6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Clawback Policy (incorporated herein by reference to Exhibit 10.2 to our Form 8-K, filed on February 23, 2017)</w:t>
      </w:r>
    </w:p>
    <w:p>
      <w:pPr>
        <w:spacing w:after="0" w:line="63"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NMI Holdings, Inc. (incorporated herein by reference to Exhibit 21.1 to our Form 10-Q filed on October 30, 2015)</w:t>
      </w:r>
    </w:p>
    <w:p>
      <w:pPr>
        <w:spacing w:after="0" w:line="63"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Principal Executive Officer's Certification Pursuant to Section 302 of the Sarbanes-Oxley Act of 2002</w:t>
      </w:r>
    </w:p>
    <w:p>
      <w:pPr>
        <w:spacing w:after="0" w:line="63"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Principal Financial Officer's Certification Pursuant to Section 302 of the Sarbanes-Oxley Act of 2002</w:t>
      </w:r>
    </w:p>
    <w:p>
      <w:pPr>
        <w:spacing w:after="0" w:line="63"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18"/>
          <w:szCs w:val="18"/>
          <w:color w:val="auto"/>
        </w:rPr>
        <w:t>32.1 #</w:t>
      </w:r>
      <w:r>
        <w:rPr>
          <w:sz w:val="20"/>
          <w:szCs w:val="20"/>
          <w:color w:val="auto"/>
        </w:rPr>
        <w:tab/>
      </w:r>
      <w:r>
        <w:rPr>
          <w:rFonts w:ascii="Arial" w:cs="Arial" w:eastAsia="Arial" w:hAnsi="Arial"/>
          <w:sz w:val="16"/>
          <w:szCs w:val="16"/>
          <w:color w:val="auto"/>
        </w:rPr>
        <w:t>Certifications of CEO and CFO Pursuant to 18 U.S.C. Section 1350, as Adopted Pursuant to Section 906 of the Sarbanes-Oxley Act of</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2002</w:t>
      </w:r>
    </w:p>
    <w:p>
      <w:pPr>
        <w:spacing w:after="0" w:line="26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880"/>
          </w:cols>
          <w:pgMar w:left="620" w:top="746" w:right="399" w:bottom="1440" w:gutter="0" w:footer="0" w:header="0"/>
        </w:sectPr>
      </w:pPr>
    </w:p>
    <w:bookmarkStart w:id="46" w:name="page47"/>
    <w:bookmarkEnd w:id="46"/>
    <w:p>
      <w:pPr>
        <w:ind w:left="941" w:right="380" w:hanging="843"/>
        <w:spacing w:after="0" w:line="258" w:lineRule="auto"/>
        <w:tabs>
          <w:tab w:leader="none" w:pos="92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The following financial information from NMI Holdings, Inc.'s Quarterly Report on Form 10-Q for the quarter ended March 31, 2017 formatted in XBRL (eXtensible Business Reporting Language):</w:t>
      </w:r>
    </w:p>
    <w:p>
      <w:pPr>
        <w:spacing w:after="0" w:line="1" w:lineRule="exact"/>
        <w:rPr>
          <w:sz w:val="20"/>
          <w:szCs w:val="20"/>
          <w:color w:val="auto"/>
        </w:rPr>
      </w:pPr>
    </w:p>
    <w:p>
      <w:pPr>
        <w:ind w:left="1141" w:hanging="209"/>
        <w:spacing w:after="0"/>
        <w:tabs>
          <w:tab w:leader="none" w:pos="11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Consolidated Balance Sheets as of March 31, 2017 and December 31, 2016</w:t>
      </w:r>
    </w:p>
    <w:p>
      <w:pPr>
        <w:spacing w:after="0" w:line="9" w:lineRule="exact"/>
        <w:rPr>
          <w:rFonts w:ascii="Arial" w:cs="Arial" w:eastAsia="Arial" w:hAnsi="Arial"/>
          <w:sz w:val="18"/>
          <w:szCs w:val="18"/>
          <w:color w:val="auto"/>
        </w:rPr>
      </w:pPr>
    </w:p>
    <w:p>
      <w:pPr>
        <w:ind w:left="1201" w:hanging="269"/>
        <w:spacing w:after="0"/>
        <w:tabs>
          <w:tab w:leader="none" w:pos="12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 for the three months ended March 31, 2017 and 2016</w:t>
      </w:r>
    </w:p>
    <w:p>
      <w:pPr>
        <w:spacing w:after="0" w:line="9" w:lineRule="exact"/>
        <w:rPr>
          <w:rFonts w:ascii="Arial" w:cs="Arial" w:eastAsia="Arial" w:hAnsi="Arial"/>
          <w:sz w:val="18"/>
          <w:szCs w:val="18"/>
          <w:color w:val="auto"/>
        </w:rPr>
      </w:pPr>
    </w:p>
    <w:p>
      <w:pPr>
        <w:ind w:left="941" w:right="560" w:firstLine="216"/>
        <w:spacing w:after="0" w:line="250" w:lineRule="auto"/>
        <w:tabs>
          <w:tab w:leader="none" w:pos="1481"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Consolidated Statements of Changes in Shareholders' Equity for the three months ended March 31, 2017 and the year ended December 31, 2016</w:t>
      </w:r>
    </w:p>
    <w:p>
      <w:pPr>
        <w:ind w:left="1241" w:hanging="309"/>
        <w:spacing w:after="0"/>
        <w:tabs>
          <w:tab w:leader="none" w:pos="12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Consolidated Statements of Cash Flows for the three months ended March 31, 2017 and 2016, and</w:t>
      </w:r>
    </w:p>
    <w:p>
      <w:pPr>
        <w:spacing w:after="0" w:line="9" w:lineRule="exact"/>
        <w:rPr>
          <w:rFonts w:ascii="Arial" w:cs="Arial" w:eastAsia="Arial" w:hAnsi="Arial"/>
          <w:sz w:val="18"/>
          <w:szCs w:val="18"/>
          <w:color w:val="auto"/>
        </w:rPr>
      </w:pPr>
    </w:p>
    <w:p>
      <w:pPr>
        <w:ind w:left="1181" w:hanging="249"/>
        <w:spacing w:after="0"/>
        <w:tabs>
          <w:tab w:leader="none" w:pos="1181"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88" w:lineRule="exact"/>
        <w:rPr>
          <w:sz w:val="20"/>
          <w:szCs w:val="20"/>
          <w:color w:val="auto"/>
        </w:rPr>
      </w:pPr>
    </w:p>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Indicates a management contract or compensatory plan or contract.</w:t>
      </w:r>
    </w:p>
    <w:p>
      <w:pPr>
        <w:spacing w:after="0" w:line="73" w:lineRule="exact"/>
        <w:rPr>
          <w:sz w:val="20"/>
          <w:szCs w:val="20"/>
          <w:color w:val="auto"/>
        </w:rPr>
      </w:pPr>
    </w:p>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Confidential treatment granted as to certain portions, which portions have been filed separately with the Securities and Exchange Commission.</w:t>
      </w:r>
    </w:p>
    <w:p>
      <w:pPr>
        <w:spacing w:after="0" w:line="73" w:lineRule="exact"/>
        <w:rPr>
          <w:sz w:val="20"/>
          <w:szCs w:val="20"/>
          <w:color w:val="auto"/>
        </w:rPr>
      </w:pPr>
    </w:p>
    <w:p>
      <w:pPr>
        <w:jc w:val="both"/>
        <w:ind w:left="221" w:hanging="221"/>
        <w:spacing w:after="0" w:line="278" w:lineRule="auto"/>
        <w:tabs>
          <w:tab w:leader="none" w:pos="221"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2" w:lineRule="exact"/>
        <w:rPr>
          <w:sz w:val="20"/>
          <w:szCs w:val="20"/>
          <w:color w:val="auto"/>
        </w:rPr>
      </w:pPr>
    </w:p>
    <w:p>
      <w:pPr>
        <w:jc w:val="both"/>
        <w:ind w:left="221" w:right="20" w:hanging="221"/>
        <w:spacing w:after="0" w:line="278" w:lineRule="auto"/>
        <w:tabs>
          <w:tab w:leader="none" w:pos="221"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1"/>
          </w:cols>
          <w:pgMar w:left="599" w:top="746"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Bradley M. Shuster, certify that:</w:t>
      </w:r>
    </w:p>
    <w:p>
      <w:pPr>
        <w:spacing w:after="0" w:line="200" w:lineRule="exact"/>
        <w:rPr>
          <w:sz w:val="20"/>
          <w:szCs w:val="20"/>
          <w:color w:val="auto"/>
        </w:rPr>
      </w:pPr>
    </w:p>
    <w:p>
      <w:pPr>
        <w:spacing w:after="0" w:line="214"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firstLine="8"/>
        <w:spacing w:after="0" w:line="465" w:lineRule="auto"/>
        <w:tabs>
          <w:tab w:leader="none" w:pos="2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Arial" w:cs="Arial" w:eastAsia="Arial" w:hAnsi="Arial"/>
          <w:sz w:val="16"/>
          <w:szCs w:val="16"/>
          <w:color w:val="auto"/>
        </w:rPr>
      </w:pPr>
    </w:p>
    <w:p>
      <w:pPr>
        <w:ind w:firstLine="8"/>
        <w:spacing w:after="0" w:line="387" w:lineRule="auto"/>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4" w:lineRule="exact"/>
        <w:rPr>
          <w:rFonts w:ascii="Arial" w:cs="Arial" w:eastAsia="Arial" w:hAnsi="Arial"/>
          <w:sz w:val="18"/>
          <w:szCs w:val="18"/>
          <w:color w:val="auto"/>
        </w:rPr>
      </w:pPr>
    </w:p>
    <w:p>
      <w:pPr>
        <w:jc w:val="both"/>
        <w:ind w:firstLine="8"/>
        <w:spacing w:after="0" w:line="373"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7" w:lineRule="exact"/>
        <w:rPr>
          <w:rFonts w:ascii="Arial" w:cs="Arial" w:eastAsia="Arial" w:hAnsi="Arial"/>
          <w:sz w:val="18"/>
          <w:szCs w:val="18"/>
          <w:color w:val="auto"/>
        </w:rPr>
      </w:pPr>
    </w:p>
    <w:p>
      <w:pPr>
        <w:jc w:val="both"/>
        <w:ind w:left="660" w:hanging="4"/>
        <w:spacing w:after="0" w:line="373" w:lineRule="auto"/>
        <w:tabs>
          <w:tab w:leader="none" w:pos="863"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7" w:lineRule="exact"/>
        <w:rPr>
          <w:rFonts w:ascii="Arial" w:cs="Arial" w:eastAsia="Arial" w:hAnsi="Arial"/>
          <w:sz w:val="18"/>
          <w:szCs w:val="18"/>
          <w:color w:val="auto"/>
        </w:rPr>
      </w:pPr>
    </w:p>
    <w:p>
      <w:pPr>
        <w:jc w:val="both"/>
        <w:ind w:left="660" w:hanging="4"/>
        <w:spacing w:after="0" w:line="373" w:lineRule="auto"/>
        <w:tabs>
          <w:tab w:leader="none" w:pos="892"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7" w:lineRule="exact"/>
        <w:rPr>
          <w:rFonts w:ascii="Arial" w:cs="Arial" w:eastAsia="Arial" w:hAnsi="Arial"/>
          <w:sz w:val="18"/>
          <w:szCs w:val="18"/>
          <w:color w:val="auto"/>
        </w:rPr>
      </w:pPr>
    </w:p>
    <w:p>
      <w:pPr>
        <w:ind w:left="660" w:right="20" w:hanging="4"/>
        <w:spacing w:after="0" w:line="424" w:lineRule="auto"/>
        <w:tabs>
          <w:tab w:leader="none" w:pos="89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1" w:lineRule="exact"/>
        <w:rPr>
          <w:rFonts w:ascii="Arial" w:cs="Arial" w:eastAsia="Arial" w:hAnsi="Arial"/>
          <w:sz w:val="17"/>
          <w:szCs w:val="17"/>
          <w:color w:val="auto"/>
        </w:rPr>
      </w:pPr>
    </w:p>
    <w:p>
      <w:pPr>
        <w:jc w:val="both"/>
        <w:ind w:left="660" w:hanging="4"/>
        <w:spacing w:after="0" w:line="373" w:lineRule="auto"/>
        <w:tabs>
          <w:tab w:leader="none" w:pos="8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420"/>
          </w:cols>
          <w:pgMar w:left="240" w:top="634" w:right="239" w:bottom="1440" w:gutter="0" w:footer="0" w:header="0"/>
        </w:sectPr>
      </w:pPr>
    </w:p>
    <w:bookmarkStart w:id="48" w:name="page49"/>
    <w:bookmarkEnd w:id="48"/>
    <w:p>
      <w:pPr>
        <w:ind w:left="-8" w:firstLine="8"/>
        <w:spacing w:after="0" w:line="424" w:lineRule="auto"/>
        <w:tabs>
          <w:tab w:leader="none" w:pos="19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1" w:lineRule="exact"/>
        <w:rPr>
          <w:rFonts w:ascii="Arial" w:cs="Arial" w:eastAsia="Arial" w:hAnsi="Arial"/>
          <w:sz w:val="17"/>
          <w:szCs w:val="17"/>
          <w:color w:val="auto"/>
        </w:rPr>
      </w:pPr>
    </w:p>
    <w:p>
      <w:pPr>
        <w:ind w:left="652" w:right="20" w:hanging="4"/>
        <w:spacing w:after="0" w:line="387" w:lineRule="auto"/>
        <w:tabs>
          <w:tab w:leader="none" w:pos="8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4" w:lineRule="exact"/>
        <w:rPr>
          <w:rFonts w:ascii="Arial" w:cs="Arial" w:eastAsia="Arial" w:hAnsi="Arial"/>
          <w:sz w:val="18"/>
          <w:szCs w:val="18"/>
          <w:color w:val="auto"/>
        </w:rPr>
      </w:pPr>
    </w:p>
    <w:p>
      <w:pPr>
        <w:ind w:left="652" w:hanging="4"/>
        <w:spacing w:after="0" w:line="387" w:lineRule="auto"/>
        <w:tabs>
          <w:tab w:leader="none" w:pos="857"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tbl>
      <w:tblPr>
        <w:tblLayout w:type="fixed"/>
        <w:tblInd w:w="532" w:type="dxa"/>
        <w:tblCellMar>
          <w:top w:w="0" w:type="dxa"/>
          <w:left w:w="0" w:type="dxa"/>
          <w:bottom w:w="0" w:type="dxa"/>
          <w:right w:w="0" w:type="dxa"/>
        </w:tblCellMar>
      </w:tblPr>
      <w:tr>
        <w:trPr>
          <w:trHeight w:val="207"/>
        </w:trPr>
        <w:tc>
          <w:tcPr>
            <w:tcW w:w="2820" w:type="dxa"/>
            <w:vAlign w:val="bottom"/>
            <w:gridSpan w:val="3"/>
          </w:tcPr>
          <w:p>
            <w:pPr>
              <w:spacing w:after="0"/>
              <w:rPr>
                <w:sz w:val="20"/>
                <w:szCs w:val="20"/>
                <w:color w:val="auto"/>
              </w:rPr>
            </w:pPr>
            <w:r>
              <w:rPr>
                <w:rFonts w:ascii="Arial" w:cs="Arial" w:eastAsia="Arial" w:hAnsi="Arial"/>
                <w:sz w:val="18"/>
                <w:szCs w:val="18"/>
                <w:color w:val="auto"/>
              </w:rPr>
              <w:t>Date: May 4, 2017</w:t>
            </w:r>
          </w:p>
        </w:tc>
        <w:tc>
          <w:tcPr>
            <w:tcW w:w="5260" w:type="dxa"/>
            <w:vAlign w:val="bottom"/>
            <w:gridSpan w:val="2"/>
          </w:tcPr>
          <w:p>
            <w:pPr>
              <w:ind w:left="1440"/>
              <w:spacing w:after="0"/>
              <w:rPr>
                <w:sz w:val="20"/>
                <w:szCs w:val="20"/>
                <w:color w:val="auto"/>
              </w:rPr>
            </w:pPr>
            <w:r>
              <w:rPr>
                <w:rFonts w:ascii="Arial" w:cs="Arial" w:eastAsia="Arial" w:hAnsi="Arial"/>
                <w:sz w:val="18"/>
                <w:szCs w:val="18"/>
                <w:color w:val="auto"/>
              </w:rPr>
              <w:t>By:/s/ Bradley M. Shuster</w:t>
            </w:r>
          </w:p>
        </w:tc>
      </w:tr>
      <w:tr>
        <w:trPr>
          <w:trHeight w:val="20"/>
        </w:trPr>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91"/>
        </w:trPr>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60" w:type="dxa"/>
            <w:vAlign w:val="bottom"/>
            <w:gridSpan w:val="2"/>
          </w:tcPr>
          <w:p>
            <w:pPr>
              <w:ind w:left="1440"/>
              <w:spacing w:after="0"/>
              <w:rPr>
                <w:sz w:val="20"/>
                <w:szCs w:val="20"/>
                <w:color w:val="auto"/>
              </w:rPr>
            </w:pPr>
            <w:r>
              <w:rPr>
                <w:rFonts w:ascii="Arial" w:cs="Arial" w:eastAsia="Arial" w:hAnsi="Arial"/>
                <w:sz w:val="18"/>
                <w:szCs w:val="18"/>
                <w:color w:val="auto"/>
              </w:rPr>
              <w:t>Name:Bradley M. Shuster</w:t>
            </w:r>
          </w:p>
        </w:tc>
      </w:tr>
      <w:tr>
        <w:trPr>
          <w:trHeight w:val="270"/>
        </w:trPr>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260" w:type="dxa"/>
            <w:vAlign w:val="bottom"/>
            <w:gridSpan w:val="2"/>
          </w:tcPr>
          <w:p>
            <w:pPr>
              <w:ind w:left="1440"/>
              <w:spacing w:after="0"/>
              <w:rPr>
                <w:sz w:val="20"/>
                <w:szCs w:val="20"/>
                <w:color w:val="auto"/>
              </w:rPr>
            </w:pPr>
            <w:r>
              <w:rPr>
                <w:rFonts w:ascii="Arial" w:cs="Arial" w:eastAsia="Arial" w:hAnsi="Arial"/>
                <w:sz w:val="18"/>
                <w:szCs w:val="18"/>
                <w:color w:val="auto"/>
              </w:rPr>
              <w:t>Title:Chairman and Chief Executive Officer</w:t>
            </w:r>
          </w:p>
        </w:tc>
      </w:tr>
    </w:tbl>
    <w:p>
      <w:pPr>
        <w:sectPr>
          <w:pgSz w:w="11900" w:h="16838" w:orient="portrait"/>
          <w:cols w:equalWidth="0" w:num="1">
            <w:col w:w="11412"/>
          </w:cols>
          <w:pgMar w:left="248" w:top="638"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Glenn M. Farrell, certify that:</w:t>
      </w:r>
    </w:p>
    <w:p>
      <w:pPr>
        <w:spacing w:after="0" w:line="200" w:lineRule="exact"/>
        <w:rPr>
          <w:sz w:val="20"/>
          <w:szCs w:val="20"/>
          <w:color w:val="auto"/>
        </w:rPr>
      </w:pPr>
    </w:p>
    <w:p>
      <w:pPr>
        <w:spacing w:after="0" w:line="214"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firstLine="8"/>
        <w:spacing w:after="0" w:line="465" w:lineRule="auto"/>
        <w:tabs>
          <w:tab w:leader="none" w:pos="208"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Arial" w:cs="Arial" w:eastAsia="Arial" w:hAnsi="Arial"/>
          <w:sz w:val="16"/>
          <w:szCs w:val="16"/>
          <w:color w:val="auto"/>
        </w:rPr>
      </w:pPr>
    </w:p>
    <w:p>
      <w:pPr>
        <w:ind w:firstLine="8"/>
        <w:spacing w:after="0" w:line="387" w:lineRule="auto"/>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4" w:lineRule="exact"/>
        <w:rPr>
          <w:rFonts w:ascii="Arial" w:cs="Arial" w:eastAsia="Arial" w:hAnsi="Arial"/>
          <w:sz w:val="18"/>
          <w:szCs w:val="18"/>
          <w:color w:val="auto"/>
        </w:rPr>
      </w:pPr>
    </w:p>
    <w:p>
      <w:pPr>
        <w:ind w:firstLine="8"/>
        <w:spacing w:after="0" w:line="387"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64" w:lineRule="exact"/>
        <w:rPr>
          <w:rFonts w:ascii="Arial" w:cs="Arial" w:eastAsia="Arial" w:hAnsi="Arial"/>
          <w:sz w:val="18"/>
          <w:szCs w:val="18"/>
          <w:color w:val="auto"/>
        </w:rPr>
      </w:pPr>
    </w:p>
    <w:p>
      <w:pPr>
        <w:jc w:val="both"/>
        <w:ind w:left="660" w:hanging="4"/>
        <w:spacing w:after="0" w:line="373" w:lineRule="auto"/>
        <w:tabs>
          <w:tab w:leader="none" w:pos="863"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7" w:lineRule="exact"/>
        <w:rPr>
          <w:rFonts w:ascii="Arial" w:cs="Arial" w:eastAsia="Arial" w:hAnsi="Arial"/>
          <w:sz w:val="18"/>
          <w:szCs w:val="18"/>
          <w:color w:val="auto"/>
        </w:rPr>
      </w:pPr>
    </w:p>
    <w:p>
      <w:pPr>
        <w:jc w:val="both"/>
        <w:ind w:left="660" w:hanging="4"/>
        <w:spacing w:after="0" w:line="373" w:lineRule="auto"/>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7" w:lineRule="exact"/>
        <w:rPr>
          <w:rFonts w:ascii="Arial" w:cs="Arial" w:eastAsia="Arial" w:hAnsi="Arial"/>
          <w:sz w:val="18"/>
          <w:szCs w:val="18"/>
          <w:color w:val="auto"/>
        </w:rPr>
      </w:pPr>
    </w:p>
    <w:p>
      <w:pPr>
        <w:ind w:left="660" w:right="20" w:hanging="4"/>
        <w:spacing w:after="0" w:line="424" w:lineRule="auto"/>
        <w:tabs>
          <w:tab w:leader="none" w:pos="89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1" w:lineRule="exact"/>
        <w:rPr>
          <w:rFonts w:ascii="Arial" w:cs="Arial" w:eastAsia="Arial" w:hAnsi="Arial"/>
          <w:sz w:val="17"/>
          <w:szCs w:val="17"/>
          <w:color w:val="auto"/>
        </w:rPr>
      </w:pPr>
    </w:p>
    <w:p>
      <w:pPr>
        <w:jc w:val="both"/>
        <w:ind w:left="660" w:hanging="4"/>
        <w:spacing w:after="0" w:line="373" w:lineRule="auto"/>
        <w:tabs>
          <w:tab w:leader="none" w:pos="8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420"/>
          </w:cols>
          <w:pgMar w:left="240" w:top="634" w:right="239" w:bottom="1440" w:gutter="0" w:footer="0" w:header="0"/>
        </w:sectPr>
      </w:pPr>
    </w:p>
    <w:bookmarkStart w:id="50" w:name="page51"/>
    <w:bookmarkEnd w:id="50"/>
    <w:p>
      <w:pPr>
        <w:ind w:left="-8" w:firstLine="8"/>
        <w:spacing w:after="0" w:line="424" w:lineRule="auto"/>
        <w:tabs>
          <w:tab w:leader="none" w:pos="19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1" w:lineRule="exact"/>
        <w:rPr>
          <w:rFonts w:ascii="Arial" w:cs="Arial" w:eastAsia="Arial" w:hAnsi="Arial"/>
          <w:sz w:val="17"/>
          <w:szCs w:val="17"/>
          <w:color w:val="auto"/>
        </w:rPr>
      </w:pPr>
    </w:p>
    <w:p>
      <w:pPr>
        <w:ind w:left="652" w:right="20" w:hanging="4"/>
        <w:spacing w:after="0" w:line="387" w:lineRule="auto"/>
        <w:tabs>
          <w:tab w:leader="none" w:pos="8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8"/>
          <w:szCs w:val="18"/>
          <w:color w:val="auto"/>
        </w:rPr>
      </w:pPr>
    </w:p>
    <w:p>
      <w:pPr>
        <w:spacing w:after="0" w:line="374" w:lineRule="exact"/>
        <w:rPr>
          <w:rFonts w:ascii="Arial" w:cs="Arial" w:eastAsia="Arial" w:hAnsi="Arial"/>
          <w:sz w:val="18"/>
          <w:szCs w:val="18"/>
          <w:color w:val="auto"/>
        </w:rPr>
      </w:pPr>
    </w:p>
    <w:p>
      <w:pPr>
        <w:ind w:left="652" w:hanging="4"/>
        <w:spacing w:after="0" w:line="387" w:lineRule="auto"/>
        <w:tabs>
          <w:tab w:leader="none" w:pos="85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4, 2017</w:t>
      </w:r>
    </w:p>
    <w:p>
      <w:pPr>
        <w:spacing w:after="0" w:line="90" w:lineRule="exact"/>
        <w:rPr>
          <w:sz w:val="20"/>
          <w:szCs w:val="20"/>
          <w:color w:val="auto"/>
        </w:rPr>
      </w:pPr>
    </w:p>
    <w:p>
      <w:pPr>
        <w:ind w:left="5732"/>
        <w:spacing w:after="0"/>
        <w:rPr>
          <w:sz w:val="20"/>
          <w:szCs w:val="20"/>
          <w:color w:val="auto"/>
        </w:rPr>
      </w:pPr>
      <w:r>
        <w:rPr>
          <w:rFonts w:ascii="Arial" w:cs="Arial" w:eastAsia="Arial" w:hAnsi="Arial"/>
          <w:sz w:val="18"/>
          <w:szCs w:val="18"/>
          <w:color w:val="auto"/>
        </w:rPr>
        <w:t>/s/ Glenn M.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31750</wp:posOffset>
            </wp:positionV>
            <wp:extent cx="3601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32"/>
        <w:spacing w:after="0"/>
        <w:rPr>
          <w:sz w:val="20"/>
          <w:szCs w:val="20"/>
          <w:color w:val="auto"/>
        </w:rPr>
      </w:pPr>
      <w:r>
        <w:rPr>
          <w:rFonts w:ascii="Arial" w:cs="Arial" w:eastAsia="Arial" w:hAnsi="Arial"/>
          <w:sz w:val="18"/>
          <w:szCs w:val="18"/>
          <w:color w:val="auto"/>
        </w:rPr>
        <w:t>Glenn M. Farrell</w:t>
      </w:r>
    </w:p>
    <w:p>
      <w:pPr>
        <w:spacing w:after="0" w:line="63" w:lineRule="exact"/>
        <w:rPr>
          <w:sz w:val="20"/>
          <w:szCs w:val="20"/>
          <w:color w:val="auto"/>
        </w:rPr>
      </w:pPr>
    </w:p>
    <w:p>
      <w:pPr>
        <w:ind w:left="5732"/>
        <w:spacing w:after="0"/>
        <w:rPr>
          <w:sz w:val="20"/>
          <w:szCs w:val="20"/>
          <w:color w:val="auto"/>
        </w:rPr>
      </w:pPr>
      <w:r>
        <w:rPr>
          <w:rFonts w:ascii="Arial" w:cs="Arial" w:eastAsia="Arial" w:hAnsi="Arial"/>
          <w:sz w:val="18"/>
          <w:szCs w:val="18"/>
          <w:color w:val="auto"/>
        </w:rPr>
        <w:t>Chief Accounting Officer</w:t>
      </w:r>
    </w:p>
    <w:p>
      <w:pPr>
        <w:spacing w:after="0" w:line="63" w:lineRule="exact"/>
        <w:rPr>
          <w:sz w:val="20"/>
          <w:szCs w:val="20"/>
          <w:color w:val="auto"/>
        </w:rPr>
      </w:pPr>
    </w:p>
    <w:p>
      <w:pPr>
        <w:ind w:left="5732"/>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12"/>
          </w:cols>
          <w:pgMar w:left="248" w:top="638"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In connection with the Quarterly Report of NMI Holdings, Inc. (the “Company”) on Form 10-Q for the quarter ended March 31, 2017,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260" w:lineRule="exact"/>
        <w:rPr>
          <w:sz w:val="20"/>
          <w:szCs w:val="20"/>
          <w:color w:val="auto"/>
        </w:rPr>
      </w:pPr>
    </w:p>
    <w:p>
      <w:pPr>
        <w:ind w:left="920" w:hanging="264"/>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20" w:hanging="264"/>
        <w:spacing w:after="0"/>
        <w:tabs>
          <w:tab w:leader="none" w:pos="9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4, 2017</w:t>
      </w:r>
    </w:p>
    <w:p>
      <w:pPr>
        <w:spacing w:after="0" w:line="37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4, 2017</w:t>
      </w:r>
    </w:p>
    <w:p>
      <w:pPr>
        <w:spacing w:after="0" w:line="37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Glenn M.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Glenn M. Farrell</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Accounting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ind w:right="40"/>
        <w:spacing w:after="0" w:line="37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lowerRoman"/>
      <w:start w:val="1"/>
    </w:lvl>
    <w:lvl w:ilvl="1">
      <w:lvlJc w:val="left"/>
      <w:lvlText w:val="(%2)"/>
      <w:numFmt w:val="lowerRoman"/>
      <w:start w:val="3"/>
    </w:lvl>
  </w:abstractNum>
  <w:abstractNum w:abstractNumId="16">
    <w:nsid w:val="436C6125"/>
    <w:multiLevelType w:val="hybridMultilevel"/>
    <w:lvl w:ilvl="0">
      <w:lvlJc w:val="left"/>
      <w:lvlText w:val="(%1)"/>
      <w:numFmt w:val="lowerRoman"/>
      <w:start w:val="4"/>
    </w:lvl>
    <w:lvl w:ilvl="1">
      <w:lvlJc w:val="left"/>
      <w:lvlText w:val="%2"/>
      <w:numFmt w:val="lowerRoman"/>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lvl w:ilvl="1">
      <w:lvlJc w:val="left"/>
      <w:lvlText w:val="%2)"/>
      <w:numFmt w:val="lowerLetter"/>
      <w:start w:val="1"/>
    </w:lvl>
  </w:abstractNum>
  <w:abstractNum w:abstractNumId="20">
    <w:nsid w:val="2443A858"/>
    <w:multiLevelType w:val="hybridMultilevel"/>
    <w:lvl w:ilvl="0">
      <w:lvlJc w:val="left"/>
      <w:lvlText w:val="%1."/>
      <w:numFmt w:val="decimal"/>
      <w:start w:val="5"/>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5"/>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2019-12-29T05:39:16Z</dcterms:created>
  <dcterms:modified xsi:type="dcterms:W3CDTF">2019-12-29T05:39:16Z</dcterms:modified>
</cp:coreProperties>
</file>