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6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April 30,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NMI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5443" w:type="dxa"/>
        <w:jc w:val="center"/>
        <w:tblInd w:w="0" w:type="dxa"/>
        <w:tblLayout w:type="fixed"/>
        <w:tblCellMar>
          <w:top w:w="28" w:type="dxa"/>
          <w:left w:w="28" w:type="dxa"/>
          <w:bottom w:w="28" w:type="dxa"/>
          <w:right w:w="28" w:type="dxa"/>
        </w:tblCellMar>
      </w:tblPr>
      <w:tblGrid>
        <w:gridCol w:w="885"/>
        <w:gridCol w:w="775"/>
        <w:gridCol w:w="785"/>
        <w:gridCol w:w="423"/>
        <w:gridCol w:w="423"/>
        <w:gridCol w:w="428"/>
        <w:gridCol w:w="503"/>
        <w:gridCol w:w="503"/>
        <w:gridCol w:w="718"/>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001-36174</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45-4914248</w:t>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 of Incorporation)</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 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2100 Powell Street, 12th Floor, Emeryville, CA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94608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(855) 530-6642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53" w:type="dxa"/>
        <w:jc w:val="left"/>
        <w:tblInd w:w="0" w:type="dxa"/>
        <w:tblLayout w:type="fixed"/>
        <w:tblCellMar>
          <w:top w:w="28" w:type="dxa"/>
          <w:left w:w="28" w:type="dxa"/>
          <w:bottom w:w="28" w:type="dxa"/>
          <w:right w:w="28" w:type="dxa"/>
        </w:tblCellMar>
      </w:tblPr>
      <w:tblGrid>
        <w:gridCol w:w="988"/>
        <w:gridCol w:w="865"/>
        <w:gridCol w:w="876"/>
        <w:gridCol w:w="539"/>
        <w:gridCol w:w="539"/>
        <w:gridCol w:w="541"/>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NMIH</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Exchange Act of 1934 (§ 240.12b-2 of this chapter). </w:t>
      </w:r>
    </w:p>
    <w:tbl>
      <w:tblPr>
        <w:tblW w:w="3678" w:type="dxa"/>
        <w:jc w:val="center"/>
        <w:tblInd w:w="0" w:type="dxa"/>
        <w:tblLayout w:type="fixed"/>
        <w:tblCellMar>
          <w:top w:w="28" w:type="dxa"/>
          <w:left w:w="28" w:type="dxa"/>
          <w:bottom w:w="28" w:type="dxa"/>
          <w:right w:w="28" w:type="dxa"/>
        </w:tblCellMar>
      </w:tblPr>
      <w:tblGrid>
        <w:gridCol w:w="843"/>
        <w:gridCol w:w="738"/>
        <w:gridCol w:w="744"/>
        <w:gridCol w:w="109"/>
        <w:gridCol w:w="109"/>
        <w:gridCol w:w="109"/>
        <w:gridCol w:w="109"/>
        <w:gridCol w:w="109"/>
        <w:gridCol w:w="109"/>
        <w:gridCol w:w="109"/>
        <w:gridCol w:w="109"/>
        <w:gridCol w:w="109"/>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2.02.</w:t>
      </w:r>
      <w:r>
        <w:rPr>
          <w:color w:val="000000"/>
        </w:rPr>
        <w:t>    </w:t>
      </w:r>
      <w:r>
        <w:rPr>
          <w:rFonts w:ascii="Times New Roman;serif" w:hAnsi="Times New Roman;serif"/>
          <w:b/>
          <w:color w:val="000000"/>
          <w:sz w:val="20"/>
        </w:rPr>
        <w:t>Results of Operations and Financial Condition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April 30, 2026, NMI Holdings, Inc. issued a press release announcing its financial results for the quarter ended March 31, 2026. A copy of the press release is furnished as Exhibit 99.1 to this report.</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included in, or furnished with, this report has been "furnished" and shall not be deemed "filed" for purposes of Section 18 of the Securities Exchange Act of 1934, as amended (the "Exchange Act"), nor shall it be deemed incorporated by reference in any filing or other document under the Securities Act of 1933, as amended, or the Exchange Act, except as shall be expressly set forth by specific reference in such filing or document. </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0"/>
        <w:jc w:val="both"/>
        <w:rPr/>
      </w:pPr>
      <w:r>
        <w:rPr>
          <w:rFonts w:ascii="Times New Roman;serif" w:hAnsi="Times New Roman;serif"/>
          <w:b/>
          <w:color w:val="000000"/>
          <w:sz w:val="20"/>
        </w:rPr>
        <w:t>(d)</w:t>
      </w:r>
      <w:r>
        <w:rPr>
          <w:color w:val="000000"/>
        </w:rPr>
        <w:t xml:space="preserve"> </w:t>
      </w:r>
      <w:r>
        <w:rPr>
          <w:rFonts w:ascii="Times New Roman;serif" w:hAnsi="Times New Roman;serif"/>
          <w:b/>
          <w:i/>
          <w:color w:val="000000"/>
          <w:sz w:val="20"/>
        </w:rPr>
        <w:t>Exhibits.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Exhibit No.</w:t>
      </w:r>
      <w:r>
        <w:rPr>
          <w:color w:val="000000"/>
        </w:rPr>
        <w:t>    </w:t>
      </w:r>
      <w:r>
        <w:rPr>
          <w:rFonts w:ascii="Times New Roman;serif" w:hAnsi="Times New Roman;serif"/>
          <w:b/>
          <w:color w:val="000000"/>
          <w:sz w:val="20"/>
          <w:u w:val="single"/>
        </w:rPr>
        <w:t xml:space="preserve">Description </w:t>
      </w:r>
    </w:p>
    <w:p>
      <w:pPr>
        <w:pStyle w:val="TextBody"/>
        <w:bidi w:val="0"/>
        <w:spacing w:lineRule="auto" w:line="288" w:before="0" w:after="120"/>
        <w:ind w:left="0" w:right="0" w:hanging="1440"/>
        <w:jc w:val="left"/>
        <w:rPr/>
      </w:pPr>
      <w:r>
        <w:rPr>
          <w:rFonts w:ascii="Times New Roman;serif" w:hAnsi="Times New Roman;serif"/>
          <w:b w:val="false"/>
          <w:color w:val="000000"/>
          <w:sz w:val="20"/>
          <w:shd w:fill="FFFFFF" w:val="clear"/>
        </w:rPr>
        <w:t>99.1    </w:t>
      </w:r>
      <w:hyperlink w:anchor="exhibit991q12026.htm">
        <w:r>
          <w:rPr>
            <w:rStyle w:val="InternetLink"/>
            <w:rFonts w:ascii="Times New Roman;serif" w:hAnsi="Times New Roman;serif"/>
            <w:b w:val="false"/>
            <w:color w:val="0000FF"/>
            <w:sz w:val="20"/>
            <w:u w:val="single"/>
            <w:shd w:fill="FFFFFF" w:val="clear"/>
          </w:rPr>
          <w:t>NMI Holdings, Inc. Press Release, dated April 30, 2026</w:t>
        </w:r>
      </w:hyperlink>
    </w:p>
    <w:p>
      <w:pPr>
        <w:pStyle w:val="TextBody"/>
        <w:bidi w:val="0"/>
        <w:spacing w:lineRule="auto" w:line="288" w:before="0" w:after="12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12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NMI Holdings, Inc.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p>
      <w:pPr>
        <w:pStyle w:val="TextBody"/>
        <w:bidi w:val="0"/>
        <w:spacing w:before="0" w:after="0"/>
        <w:ind w:left="0" w:right="0" w:firstLine="4860"/>
        <w:jc w:val="left"/>
        <w:rPr/>
      </w:pPr>
      <w:r>
        <w:rPr/>
      </w:r>
    </w:p>
    <w:p>
      <w:pPr>
        <w:pStyle w:val="TextBody"/>
        <w:bidi w:val="0"/>
        <w:spacing w:lineRule="auto" w:line="288" w:before="0" w:after="120"/>
        <w:jc w:val="center"/>
        <w:rPr>
          <w:color w:val="000000"/>
        </w:rPr>
      </w:pPr>
      <w:r>
        <w:rPr>
          <w:color w:val="000000"/>
        </w:rPr>
        <w:t>                </w:t>
      </w:r>
    </w:p>
    <w:tbl>
      <w:tblPr>
        <w:tblW w:w="6838" w:type="dxa"/>
        <w:jc w:val="center"/>
        <w:tblInd w:w="0" w:type="dxa"/>
        <w:tblLayout w:type="fixed"/>
        <w:tblCellMar>
          <w:top w:w="28" w:type="dxa"/>
          <w:left w:w="28" w:type="dxa"/>
          <w:bottom w:w="28" w:type="dxa"/>
          <w:right w:w="28" w:type="dxa"/>
        </w:tblCellMar>
      </w:tblPr>
      <w:tblGrid>
        <w:gridCol w:w="645"/>
        <w:gridCol w:w="568"/>
        <w:gridCol w:w="571"/>
        <w:gridCol w:w="134"/>
        <w:gridCol w:w="134"/>
        <w:gridCol w:w="136"/>
        <w:gridCol w:w="1360"/>
        <w:gridCol w:w="1360"/>
        <w:gridCol w:w="1930"/>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April 30,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William J. Leatherberry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J. Leatherberry</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EVP, Chief Administrative Officer and General Counsel</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417" w:before="0" w:after="0"/>
        <w:jc w:val="left"/>
        <w:rPr>
          <w:rFonts w:ascii="Times New Roman;serif" w:hAnsi="Times New Roman;serif"/>
          <w:b/>
          <w:color w:val="000000"/>
          <w:sz w:val="22"/>
          <w:u w:val="single"/>
        </w:rPr>
      </w:pPr>
      <w:r>
        <w:rPr>
          <w:rFonts w:ascii="Times New Roman;serif" w:hAnsi="Times New Roman;serif"/>
          <w:b/>
          <w:color w:val="000000"/>
          <w:sz w:val="22"/>
          <w:u w:val="single"/>
        </w:rPr>
        <w:t>FOR IMMEDIATE RELEASE</w:t>
      </w:r>
    </w:p>
    <w:p>
      <w:pPr>
        <w:pStyle w:val="TextBody"/>
        <w:bidi w:val="0"/>
        <w:spacing w:before="0" w:after="12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NMI Holdings, Inc. Reports First Quarter 2026 Financial Results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EMERYVILLE, Calif., Apr. 30, 2026 -- NMI Holdings, Inc. (Nasdaq: NMIH) today reported net income of $99.3 million, or $1.28 per diluted share, for the first quarter ended March 31, 2026, compared to $94.2 million, or $1.20 per diluted share, for the fourth quarter ended December 31, 2025 and $102.6 million, or $1.28 per diluted share, for the first quarter ended March 31, 2025. Adjusted net income for the quarter was $99.4 million, or $1.28 per diluted share, compared to $93.8 million, or $1.20 per diluted share, for the fourth quarter ended December 31, 2025 and $102.5 million, or $1.28 per diluted share, for the first quarter ended March 31, 2025.</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Adam Pollitzer, President and Chief Executive Officer of National MI, said, “In the first quarter, we again delivered strong operating performance, consistent growth in our high-quality insured portfolio, and standout financial results. We have a strong customer franchise, a talented team driving us forward every day, an exceptionally high-quality book covered by a comprehensive set of risk transfer solutions, and a robust balance sheet supported by the significant earnings power of our platform. Looking forward, we’re well positioned to continue delivering differentiated growth, returns and value for our shareholders.”</w:t>
      </w:r>
    </w:p>
    <w:p>
      <w:pPr>
        <w:pStyle w:val="TextBody"/>
        <w:bidi w:val="0"/>
        <w:spacing w:lineRule="auto" w:line="288" w:before="0" w:after="180"/>
        <w:jc w:val="both"/>
        <w:rPr>
          <w:rFonts w:ascii="Times New Roman;serif" w:hAnsi="Times New Roman;serif"/>
          <w:b w:val="false"/>
          <w:color w:val="000000"/>
          <w:sz w:val="22"/>
        </w:rPr>
      </w:pPr>
      <w:r>
        <w:rPr>
          <w:rFonts w:ascii="Times New Roman;serif" w:hAnsi="Times New Roman;serif"/>
          <w:b w:val="false"/>
          <w:color w:val="000000"/>
          <w:sz w:val="22"/>
        </w:rPr>
        <w:t>Selected first quarter 2026 highlights include:</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Primary insurance-in-force at quarter end was $222.3 billion, compared to $221.4 billion at the end of the fourth quarter and $211.3 billion at the end of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Net premiums earned were $154.8 million, compared to $152.5 million in the fourth quarter and $149.4 million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Total revenue was $183.5 million, compared to $180.7 million in the fourth quarter and $173.2 million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Insurance claims and claim expenses were $20.7 million, compared to $21.2 million in the fourth quarter and $4.5 million in the first quarter of 2025. Loss ratio was 13.3%, compared to 13.9% in the fourth quarter and 3.0%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Underwriting and operating expenses were $30.6 million, compared to $31.1 million in the fourth quarter and $30.2 million in the first quarter of 2025. Expense ratio was 19.8%, compared to 20.4% in the fourth quarter and 20.2%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Net income was $99.3 million, compared to $94.2 million in the fourth quarter and $102.6 million in the first quarter of 2025. Diluted EPS was $1.28, compared to $1.20 in the fourth quarter and $1.28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Adjusted net income was $99.4 million, compared to $93.8 million in the fourth quarter and $102.5 million in the first quarter of 2025. Adjusted diluted EPS was $1.28, compared to $1.20 in the fourth quarter and $1.28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 xml:space="preserve">Shareholders' equity was $2.6 billion at quarter end and book value per share was $34.57. Book value per share excluding the impact of net unrealized gains and losses in the investment portfolio was $35.46, up </w:t>
      </w:r>
      <w:r>
        <w:rPr>
          <w:rFonts w:ascii="Times New Roman;serif" w:hAnsi="Times New Roman;serif"/>
          <w:b w:val="false"/>
          <w:color w:val="000000"/>
          <w:sz w:val="20"/>
        </w:rPr>
        <w:t>3%</w:t>
      </w:r>
      <w:r>
        <w:rPr>
          <w:color w:val="000000"/>
        </w:rPr>
        <w:t xml:space="preserve"> </w:t>
      </w:r>
      <w:r>
        <w:rPr>
          <w:rFonts w:ascii="Times New Roman;serif" w:hAnsi="Times New Roman;serif"/>
          <w:b w:val="false"/>
          <w:color w:val="000000"/>
          <w:sz w:val="22"/>
        </w:rPr>
        <w:t xml:space="preserve">compared to $34.58 in the fourth quarter and </w:t>
      </w:r>
      <w:r>
        <w:rPr>
          <w:rFonts w:ascii="Times New Roman;serif" w:hAnsi="Times New Roman;serif"/>
          <w:b w:val="false"/>
          <w:color w:val="000000"/>
          <w:sz w:val="20"/>
        </w:rPr>
        <w:t>15%</w:t>
      </w:r>
      <w:r>
        <w:rPr>
          <w:color w:val="000000"/>
        </w:rPr>
        <w:t xml:space="preserve"> </w:t>
      </w:r>
      <w:r>
        <w:rPr>
          <w:rFonts w:ascii="Times New Roman;serif" w:hAnsi="Times New Roman;serif"/>
          <w:b w:val="false"/>
          <w:color w:val="000000"/>
          <w:sz w:val="22"/>
        </w:rPr>
        <w:t>compared to $30.85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Annualized return on equity for the quarter was 15.2%, compared to 14.8% in the fourth quarter and 18.1% in the first quarter of 2025. Annualized adjusted return on equity was 15.2%, compared to 14.7% in the fourth quarter and 18.1% in the first quarter of 2025.</w:t>
      </w:r>
    </w:p>
    <w:p>
      <w:pPr>
        <w:pStyle w:val="TextBody"/>
        <w:bidi w:val="0"/>
        <w:spacing w:lineRule="auto" w:line="288" w:before="0" w:after="180"/>
        <w:ind w:left="0" w:right="0" w:hanging="360"/>
        <w:jc w:val="both"/>
        <w:rPr/>
      </w:pPr>
      <w:r>
        <w:rPr>
          <w:color w:val="000000"/>
        </w:rPr>
        <w:t>•</w:t>
      </w:r>
      <w:r>
        <w:rPr>
          <w:rFonts w:ascii="Times New Roman;serif" w:hAnsi="Times New Roman;serif"/>
          <w:b w:val="false"/>
          <w:color w:val="000000"/>
          <w:sz w:val="22"/>
        </w:rPr>
        <w:t>At quarter-end, total PMIERs available assets were $3.6 billion and net risk-based required assets were $2.2 billion.</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13"/>
        <w:gridCol w:w="714"/>
        <w:gridCol w:w="714"/>
        <w:gridCol w:w="714"/>
        <w:gridCol w:w="714"/>
        <w:gridCol w:w="721"/>
        <w:gridCol w:w="242"/>
        <w:gridCol w:w="707"/>
        <w:gridCol w:w="310"/>
        <w:gridCol w:w="242"/>
        <w:gridCol w:w="707"/>
        <w:gridCol w:w="310"/>
        <w:gridCol w:w="242"/>
        <w:gridCol w:w="707"/>
        <w:gridCol w:w="310"/>
        <w:gridCol w:w="214"/>
        <w:gridCol w:w="212"/>
        <w:gridCol w:w="509"/>
        <w:gridCol w:w="288"/>
        <w:gridCol w:w="238"/>
        <w:gridCol w:w="57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Quarter Ended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Quarter Ended</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Quarter Ended</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 xml:space="preserve">Change </w:t>
            </w:r>
            <w:r>
              <w:rPr>
                <w:rFonts w:ascii="Times New Roman;serif" w:hAnsi="Times New Roman;serif"/>
                <w:b/>
                <w:i/>
                <w:color w:val="000000"/>
                <w:sz w:val="13"/>
              </w:rPr>
              <w:t>(1)</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i/>
                <w:color w:val="000000"/>
                <w:sz w:val="20"/>
              </w:rPr>
              <w:t xml:space="preserve">Change </w:t>
            </w:r>
            <w:r>
              <w:rPr>
                <w:rFonts w:ascii="Times New Roman;serif" w:hAnsi="Times New Roman;serif"/>
                <w:b/>
                <w:i/>
                <w:color w:val="000000"/>
                <w:sz w:val="13"/>
              </w:rPr>
              <w:t>(1)</w:t>
            </w:r>
          </w:p>
        </w:tc>
      </w:tr>
      <w:tr>
        <w:trPr/>
        <w:tc>
          <w:tcPr>
            <w:tcW w:w="22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3/31/2026</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12/31/2025</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3/31/2025</w:t>
            </w:r>
          </w:p>
        </w:tc>
        <w:tc>
          <w:tcPr>
            <w:tcW w:w="9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Q/Q</w:t>
            </w:r>
          </w:p>
        </w:tc>
        <w:tc>
          <w:tcPr>
            <w:tcW w:w="1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Y/Y</w:t>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INSURANCE METRICS ($billions)</w:t>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Primary Insurance-in-Force </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3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New Insurance Written - NIW </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FINANCIAL HIGHLIGHTS (Unaudited, $millions, except per share amounts) </w:t>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2 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4 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r>
      <w:tr>
        <w:trPr/>
        <w:tc>
          <w:tcPr>
            <w:tcW w:w="439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4 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21 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(2)</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361 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r>
      <w:tr>
        <w:trPr/>
        <w:tc>
          <w:tcPr>
            <w:tcW w:w="43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Underwriting and Operating Expenses </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(1)</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1 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Adjusted Net Income </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39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Diluted EPS</w:t>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2"/>
              </w:rPr>
            </w:pPr>
            <w:r>
              <w:rPr>
                <w:rFonts w:ascii="Times New Roman;serif" w:hAnsi="Times New Roman;serif"/>
                <w:b w:val="false"/>
                <w:i/>
                <w:color w:val="000000"/>
                <w:sz w:val="22"/>
              </w:rPr>
              <w:t>%</w:t>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tcPr>
          <w:p>
            <w:pPr>
              <w:pStyle w:val="TableContents"/>
              <w:bidi w:val="0"/>
              <w:spacing w:before="0" w:after="283"/>
              <w:jc w:val="left"/>
              <w:rPr>
                <w:sz w:val="4"/>
                <w:szCs w:val="4"/>
              </w:rPr>
            </w:pPr>
            <w:r>
              <w:rPr>
                <w:sz w:val="4"/>
                <w:szCs w:val="4"/>
              </w:rPr>
            </w:r>
          </w:p>
        </w:tc>
      </w:tr>
      <w:tr>
        <w:trPr/>
        <w:tc>
          <w:tcPr>
            <w:tcW w:w="2241" w:type="dxa"/>
            <w:gridSpan w:val="3"/>
            <w:tcBorders/>
            <w:vAlign w:val="center"/>
          </w:tcPr>
          <w:p>
            <w:pPr>
              <w:pStyle w:val="TableContents"/>
              <w:bidi w:val="0"/>
              <w:spacing w:before="0" w:after="283"/>
              <w:jc w:val="left"/>
              <w:rPr>
                <w:sz w:val="4"/>
                <w:szCs w:val="4"/>
              </w:rPr>
            </w:pPr>
            <w:r>
              <w:rPr>
                <w:sz w:val="4"/>
                <w:szCs w:val="4"/>
              </w:rPr>
            </w:r>
          </w:p>
        </w:tc>
        <w:tc>
          <w:tcPr>
            <w:tcW w:w="214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935" w:type="dxa"/>
            <w:gridSpan w:val="3"/>
            <w:tcBorders/>
            <w:vAlign w:val="center"/>
          </w:tcPr>
          <w:p>
            <w:pPr>
              <w:pStyle w:val="TableContents"/>
              <w:bidi w:val="0"/>
              <w:spacing w:before="0" w:after="283"/>
              <w:jc w:val="left"/>
              <w:rPr>
                <w:sz w:val="4"/>
                <w:szCs w:val="4"/>
              </w:rPr>
            </w:pPr>
            <w:r>
              <w:rPr>
                <w:sz w:val="4"/>
                <w:szCs w:val="4"/>
              </w:rPr>
            </w:r>
          </w:p>
        </w:tc>
        <w:tc>
          <w:tcPr>
            <w:tcW w:w="1103" w:type="dxa"/>
            <w:gridSpan w:val="3"/>
            <w:tcBorders/>
            <w:vAlign w:val="center"/>
          </w:tcPr>
          <w:p>
            <w:pPr>
              <w:pStyle w:val="TableContents"/>
              <w:bidi w:val="0"/>
              <w:spacing w:before="0" w:after="283"/>
              <w:jc w:val="left"/>
              <w:rPr>
                <w:sz w:val="4"/>
                <w:szCs w:val="4"/>
              </w:rPr>
            </w:pPr>
            <w:r>
              <w:rPr>
                <w:sz w:val="4"/>
                <w:szCs w:val="4"/>
              </w:rPr>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Book Value per Share (excluding net unrealized gains and losses) </w:t>
            </w:r>
            <w:r>
              <w:rPr>
                <w:rFonts w:ascii="Times New Roman;serif" w:hAnsi="Times New Roman;serif"/>
                <w:b w:val="false"/>
                <w:color w:val="000000"/>
                <w:sz w:val="13"/>
              </w:rPr>
              <w:t>(2)</w:t>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15 </w:t>
            </w:r>
          </w:p>
        </w:tc>
        <w:tc>
          <w:tcPr>
            <w:tcW w:w="5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4390"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Expense Ratio </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9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(1)    Percentages may not be replicated based on the rounded figures presented in the table.</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Book value per share (excluding net unrealized gains and losses) is defined as total shareholders' equity, excluding the after-tax effects of unrealized gains and losses on our investment portfolio, divided by shares outstanding.</w:t>
      </w:r>
    </w:p>
    <w:p>
      <w:pPr>
        <w:pStyle w:val="TextBody"/>
        <w:bidi w:val="0"/>
        <w:spacing w:before="0" w:after="0"/>
        <w:jc w:val="left"/>
        <w:rPr/>
      </w:pPr>
      <w:r>
        <w:rPr/>
      </w:r>
    </w:p>
    <w:p>
      <w:pPr>
        <w:pStyle w:val="TextBody"/>
        <w:bidi w:val="0"/>
        <w:spacing w:before="0" w:after="0"/>
        <w:ind w:left="0" w:right="0" w:hanging="360"/>
        <w:jc w:val="left"/>
        <w:rPr/>
      </w:pPr>
      <w:r>
        <w:rPr/>
      </w:r>
    </w:p>
    <w:p>
      <w:pPr>
        <w:pStyle w:val="TextBody"/>
        <w:bidi w:val="0"/>
        <w:spacing w:lineRule="auto" w:line="288" w:before="0" w:after="180"/>
        <w:jc w:val="both"/>
        <w:rPr/>
      </w:pPr>
      <w:r>
        <w:rPr>
          <w:rFonts w:ascii="Times New Roman;serif" w:hAnsi="Times New Roman;serif"/>
          <w:b/>
          <w:color w:val="000000"/>
          <w:sz w:val="20"/>
        </w:rPr>
        <w:t>Conference Call and Webcast Details</w:t>
      </w:r>
      <w:r>
        <w:rPr>
          <w:color w:val="000000"/>
        </w:rPr>
        <w:t xml:space="preserve">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company will hold a conference call, which will be webcast live today, April 30, 2026, at 2:00 p.m. Pacific Time / 5:00 p.m. Eastern Time. The webcast will be available on the company's website, www.nationalmi.com, in the “Investor Relations” section. The conference call can also be accessed by dialing (844) 481-2708 in the U.S., or (412) 317-0664 internationally, by referencing NMI Holdings, Inc.</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About NMI Holdings, Inc.</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NMI Holdings, Inc. (NASDAQ: NMIH), is the parent company of National Mortgage Insurance Corporation (National MI), a U.S.-based, private mortgage insurance company enabling low down payment borrowers to realize home ownership while protecting lenders and investors against losses related to a borrower's default. To learn more, please visit www.nationalmi.com.</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Certain statements contained in this press release or any other written or oral statements made by or on behalf of the Company in connection therewith may constitute forward-looking statements within the meaning of Section 27A of the Securities Act of 1933, as amended, Section 21E of the Securities Exchange Act of 1934, as amended, and the U.S. Private Securities Litigation Reform Act of 1995 (the “PSLRA”). The PSLRA provides a “safe harbor” for any forward-looking statements. All statements other than statements of historical fact included in or incorporated by reference in this release are forward-looking statements, including any statements about our expectations, outlook, beliefs, plans, predictions, forecasts, objectives, assumptions or future events or performance. These statements are often, but not always, made through the use of words or phrases such as “anticipate,” “believe,” “can,” “could,” “may,” “predict,” “assume,” “potential,” “should,” “will,” “estimate,” “perceive,” “plan,” “project,” “continuing,” “ongoing,” “expect,” “intend” and similar words or phrases. All forward-looking statements are only predictions and involve estimates, known and unknown risks, assumptions and uncertainties that may turn out to be inaccurate and could cause actual results to differ materially from those expressed in them. Many risks and uncertainties are inherent in our industry and markets. Others are more specific to our business and operations. Important factors that could cause actual events or results to differ materially from those indicated in such statements include, but are not limited to: changes in general economic, market and political conditions and policies (including changes in interest rates and inflation) and investment results or other conditions that affect the U.S. housing market or the U.S. markets for home mortgages, mortgage insurance, reinsurance and credit risk transfer markets, including the risk related to geopolitical instability, inflation, an economic downturn (including any decline in home prices) or recession, international trade policies in areas such as tariffs or other trade restrictions, and their impacts on our business, operations and personnel; changes in the charters, business practices, policies, pricing or priorities of Fannie Mae and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Freddie Mac (collectively, the GSEs), which may include decisions that have the impact of decreasing or discontinuing the use of mortgage insurance as credit enhancement generally, or with first-time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underrepresented communities; our ability to remain an eligible mortgage insurer under the private mortgage insurer eligibility requirements (“PMIERs”) and other requirements imposed by the GSEs, which they may change at any time; retention of our existing certificates of authority in each state and the District of Columbia (“D.C.”) and our ability to remain a mortgage insurer in good standing in each state and D.C.; our future profitability, liquidity and capital resources; actions of existing competitors, including other private mortgage insurers and government mortgage insurers such as the Federal Housing Administration, the U.S. Department of Agriculture’s Rural Housing Service and the U.S. Department of Veterans Affairs, and potential market entry by new competitors or consolidation of existing competitors; 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 U.S. federal tax reform and other potential changes in tax law and their impact on us and our operations; legislative or regulatory changes to the GSEs’ role in the secondary mortgage market or other changes that could affect the residential mortgage industry generally or mortgage insurance industry in particular; potential legal and regulatory claims, investigations, actions, audits or inquiries that could result in adverse judgements, settlements, fines or other reliefs that could require significant expenditures or have other negative effects on our business; our ability to successfully execute and implement our capital plans, including our ability to access the equity, credit and reinsurance markets and to enter into, and receive approval of, reinsurance arrangements on terms and conditions that are acceptable to us, the GSEs and our regulators; lenders, the GSEs, or other market participants seeking alternatives to private mortgage insurance; 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 our ability to attract and retain a diverse customer base, including the largest mortgage originators; failure of risk management or pricing or investment strategies; decrease in the length of time our insurance policies are in force; emergence of unexpected claim and coverage issues, including claims exceeding our reserves or amounts we had expected to experience; potential adverse impacts arising from natural disasters including, with respect to affected areas, a decline in new business, adverse effects on home prices, and an increase in notices of default on insured mortgages; climate risk and efforts to manage or regulate climate risk by government agencies could affect our business and operations; potential adverse impacts arising from the occurrence of any man-made disasters or public health emergencies, including pandemics; the inability of our counter-parties, including third party reinsurers, to meet their obligations to us; failure to maintain, improve and continue to develop necessary information technology systems or the failure of technology providers to perform; effectiveness and security of our information technology systems and digital products and services, including the risks these systems, products or services may fail to operate as expected or planned, or expose us to cybersecurity or third-party risks (including the exposure of our confidential customer and other information); and ability to recruit, train and retain key personnel. These risks and uncertainties also include, but are not limited to, those set forth under the heading “Risk Factors” detailed in Item 1A of Part I of our Annual Report on Form 10-K for the year ended December 31, 2025, as subsequently updated through other reports we file with the SEC. All subsequent written and oral forward-looking statements attributable to the Company or persons acting on its behalf are expressly qualified in their entirety by these cautionary statements. We caution you not to place undue reliance on any forward-looking statement, which speaks only as of the date on which it is made, and we undertake no obligation to publicly update or revise any forward-looking statement to reflect new information, future events or circumstances that occur after the date on which the statement is made or to reflect the occurrence of unanticipated events except as required by law.</w:t>
      </w:r>
    </w:p>
    <w:p>
      <w:pPr>
        <w:pStyle w:val="TextBody"/>
        <w:bidi w:val="0"/>
        <w:spacing w:lineRule="auto" w:line="288" w:before="0" w:after="180"/>
        <w:jc w:val="both"/>
        <w:rPr>
          <w:rFonts w:ascii="Times New Roman;serif" w:hAnsi="Times New Roman;serif"/>
          <w:b/>
          <w:color w:val="000000"/>
          <w:sz w:val="20"/>
        </w:rPr>
      </w:pPr>
      <w:r>
        <w:rPr>
          <w:rFonts w:ascii="Times New Roman;serif" w:hAnsi="Times New Roman;serif"/>
          <w:b/>
          <w:color w:val="000000"/>
          <w:sz w:val="20"/>
        </w:rPr>
        <w:t>Use of Non-GAAP Financial Measures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believe the use of the non-GAAP measures of adjusted income before tax, adjusted net income, adjusted diluted EPS, adjusted return-on-equity, adjusted expense ratio, adjusted combined ratio and book value per share (excluding net unrealized gains and losses) enhance the comparability of our fundamental financial performance between periods, and provide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pStyle w:val="TextBody"/>
        <w:bidi w:val="0"/>
        <w:spacing w:lineRule="auto" w:line="288" w:before="0" w:after="180"/>
        <w:jc w:val="both"/>
        <w:rPr/>
      </w:pPr>
      <w:r>
        <w:rPr>
          <w:rFonts w:ascii="Times New Roman;serif" w:hAnsi="Times New Roman;serif"/>
          <w:b/>
          <w:color w:val="000000"/>
          <w:sz w:val="20"/>
        </w:rPr>
        <w:t>Adjusted income before tax</w:t>
      </w:r>
      <w:r>
        <w:rPr>
          <w:color w:val="000000"/>
        </w:rPr>
        <w:t xml:space="preserve"> </w:t>
      </w:r>
      <w:r>
        <w:rPr>
          <w:rFonts w:ascii="Times New Roman;serif" w:hAnsi="Times New Roman;serif"/>
          <w:b w:val="false"/>
          <w:color w:val="000000"/>
          <w:sz w:val="20"/>
        </w:rPr>
        <w:t>is defined as GAAP income before tax, excluding the pre-tax effects of net realized gains or losses from our investment portfolio, periodic costs incurred in connection with capital markets transactions, and other infrequent, unusual or non-operating items in the periods in which such items are incurred.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both"/>
        <w:rPr/>
      </w:pPr>
      <w:r>
        <w:rPr>
          <w:rFonts w:ascii="Times New Roman;serif" w:hAnsi="Times New Roman;serif"/>
          <w:b/>
          <w:color w:val="000000"/>
          <w:sz w:val="20"/>
        </w:rPr>
        <w:t>Adjusted net income</w:t>
      </w:r>
      <w:r>
        <w:rPr>
          <w:color w:val="000000"/>
        </w:rPr>
        <w:t xml:space="preserve"> </w:t>
      </w:r>
      <w:r>
        <w:rPr>
          <w:rFonts w:ascii="Times New Roman;serif" w:hAnsi="Times New Roman;serif"/>
          <w:b w:val="false"/>
          <w:color w:val="000000"/>
          <w:sz w:val="20"/>
        </w:rPr>
        <w:t>is defined as GAAP net income, excluding the after-tax effects of net realized gains or losses from our investment portfolio, periodic costs incurred in connection with capital markets transactions, and other infrequent, unusual or non-operating items in the periods in which such items are incurred. Adjustments to components of pre-tax income are tax effected using the applicable federal statutory tax rate for the respective periods.</w:t>
      </w:r>
    </w:p>
    <w:p>
      <w:pPr>
        <w:pStyle w:val="TextBody"/>
        <w:bidi w:val="0"/>
        <w:spacing w:lineRule="auto" w:line="288" w:before="0" w:after="180"/>
        <w:jc w:val="both"/>
        <w:rPr/>
      </w:pPr>
      <w:r>
        <w:rPr>
          <w:rFonts w:ascii="Times New Roman;serif" w:hAnsi="Times New Roman;serif"/>
          <w:b/>
          <w:color w:val="000000"/>
          <w:sz w:val="20"/>
        </w:rPr>
        <w:t xml:space="preserve">Adjusted diluted EPS </w:t>
      </w:r>
      <w:r>
        <w:rPr>
          <w:rFonts w:ascii="Times New Roman;serif" w:hAnsi="Times New Roman;serif"/>
          <w:b w:val="false"/>
          <w:color w:val="000000"/>
          <w:sz w:val="20"/>
        </w:rPr>
        <w:t>is defined as adjusted net income divided by adjusted weighted average diluted shares outstanding. Adjusted weighted average 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periods that non-vested shares are anti-dilutive under GAAP.</w:t>
      </w:r>
    </w:p>
    <w:p>
      <w:pPr>
        <w:pStyle w:val="TextBody"/>
        <w:bidi w:val="0"/>
        <w:spacing w:lineRule="auto" w:line="288" w:before="0" w:after="180"/>
        <w:jc w:val="both"/>
        <w:rPr/>
      </w:pPr>
      <w:r>
        <w:rPr>
          <w:rFonts w:ascii="Times New Roman;serif" w:hAnsi="Times New Roman;serif"/>
          <w:b/>
          <w:color w:val="000000"/>
          <w:sz w:val="20"/>
        </w:rPr>
        <w:t>Adjusted return on equity</w:t>
      </w:r>
      <w:r>
        <w:rPr>
          <w:color w:val="000000"/>
        </w:rPr>
        <w:t xml:space="preserve"> </w:t>
      </w:r>
      <w:r>
        <w:rPr>
          <w:rFonts w:ascii="Times New Roman;serif" w:hAnsi="Times New Roman;serif"/>
          <w:b w:val="false"/>
          <w:color w:val="000000"/>
          <w:sz w:val="20"/>
        </w:rPr>
        <w:t>is calculated by dividing adjusted net income on an annualized basis by the average shareholders' equity for the period.</w:t>
      </w:r>
    </w:p>
    <w:p>
      <w:pPr>
        <w:pStyle w:val="TextBody"/>
        <w:bidi w:val="0"/>
        <w:spacing w:lineRule="auto" w:line="288" w:before="0" w:after="180"/>
        <w:jc w:val="both"/>
        <w:rPr/>
      </w:pPr>
      <w:r>
        <w:rPr>
          <w:rFonts w:ascii="Times New Roman;serif" w:hAnsi="Times New Roman;serif"/>
          <w:b/>
          <w:color w:val="000000"/>
          <w:sz w:val="20"/>
        </w:rPr>
        <w:t xml:space="preserve">Adjusted expense ratio </w:t>
      </w:r>
      <w:r>
        <w:rPr>
          <w:rFonts w:ascii="Times New Roman;serif" w:hAnsi="Times New Roman;serif"/>
          <w:b w:val="false"/>
          <w:color w:val="000000"/>
          <w:sz w:val="20"/>
        </w:rPr>
        <w:t>is defined as GAAP underwriting and operating expenses, excluding the pre-tax effects of periodic costs incurred in connection with capital markets transactions, divided by net premiums earned.</w:t>
      </w:r>
    </w:p>
    <w:p>
      <w:pPr>
        <w:pStyle w:val="TextBody"/>
        <w:bidi w:val="0"/>
        <w:spacing w:lineRule="auto" w:line="288" w:before="0" w:after="180"/>
        <w:jc w:val="both"/>
        <w:rPr/>
      </w:pPr>
      <w:r>
        <w:rPr>
          <w:rFonts w:ascii="Times New Roman;serif" w:hAnsi="Times New Roman;serif"/>
          <w:b/>
          <w:color w:val="000000"/>
          <w:sz w:val="20"/>
        </w:rPr>
        <w:t xml:space="preserve">Adjusted combined ratio </w:t>
      </w:r>
      <w:r>
        <w:rPr>
          <w:rFonts w:ascii="Times New Roman;serif" w:hAnsi="Times New Roman;serif"/>
          <w:b w:val="false"/>
          <w:color w:val="000000"/>
          <w:sz w:val="20"/>
        </w:rPr>
        <w:t>is defined as the total of GAAP underwriting and operating expenses, excluding the pre-tax effects of periodic costs incurred in connection with capital markets transactions and insurance claims and claims expenses, divided by net premiums earned.</w:t>
      </w:r>
    </w:p>
    <w:p>
      <w:pPr>
        <w:pStyle w:val="TextBody"/>
        <w:bidi w:val="0"/>
        <w:spacing w:lineRule="auto" w:line="288" w:before="0" w:after="180"/>
        <w:jc w:val="both"/>
        <w:rPr/>
      </w:pPr>
      <w:r>
        <w:rPr>
          <w:rFonts w:ascii="Times New Roman;serif" w:hAnsi="Times New Roman;serif"/>
          <w:b/>
          <w:color w:val="000000"/>
          <w:sz w:val="20"/>
        </w:rPr>
        <w:t>Book value per share (excluding net unrealized gains and losses)</w:t>
      </w:r>
      <w:r>
        <w:rPr>
          <w:color w:val="000000"/>
        </w:rPr>
        <w:t xml:space="preserve"> </w:t>
      </w:r>
      <w:r>
        <w:rPr>
          <w:rFonts w:ascii="Times New Roman;serif" w:hAnsi="Times New Roman;serif"/>
          <w:b w:val="false"/>
          <w:color w:val="000000"/>
          <w:sz w:val="20"/>
        </w:rPr>
        <w:t>is defined as total shareholders' equity, excluding the after-tax effects of unrealized gains and losses on investments, divided by shares outstanding.</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Although adjusted income before tax, adjusted net income, adjusted diluted EPS, adjusted return-on-equity, adjusted expense ratio, adjusted combined ratio and book value per share (excluding net unrealized gains and losses)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pStyle w:val="TextBody"/>
        <w:bidi w:val="0"/>
        <w:spacing w:lineRule="auto" w:line="288" w:before="0" w:after="120"/>
        <w:ind w:left="0" w:right="0" w:hanging="270"/>
        <w:jc w:val="both"/>
        <w:rPr/>
      </w:pPr>
      <w:r>
        <w:rPr>
          <w:rFonts w:ascii="Times New Roman;serif" w:hAnsi="Times New Roman;serif"/>
          <w:b w:val="false"/>
          <w:color w:val="000000"/>
          <w:sz w:val="20"/>
        </w:rPr>
        <w:t>(1)    </w:t>
      </w:r>
      <w:r>
        <w:rPr>
          <w:rFonts w:ascii="Times New Roman;serif" w:hAnsi="Times New Roman;serif"/>
          <w:b w:val="false"/>
          <w:i/>
          <w:color w:val="000000"/>
          <w:sz w:val="20"/>
        </w:rPr>
        <w:t>Net realized investment gains and losses</w:t>
      </w:r>
      <w:r>
        <w:rPr>
          <w:rFonts w:ascii="Times New Roman;serif" w:hAnsi="Times New Roman;serif"/>
          <w:b w:val="false"/>
          <w:color w:val="000000"/>
          <w:sz w:val="20"/>
        </w:rPr>
        <w:t>. The recognition of net realized investment gains or losses can vary significantly across periods as the timing is highly discretionary and is influenced by factors such as market opportunities, tax and capital profile, and overall market cycles that do not reflect our current period operating results.</w:t>
      </w:r>
    </w:p>
    <w:p>
      <w:pPr>
        <w:pStyle w:val="TextBody"/>
        <w:bidi w:val="0"/>
        <w:spacing w:lineRule="auto" w:line="288" w:before="0" w:after="120"/>
        <w:ind w:left="0" w:right="0" w:hanging="270"/>
        <w:jc w:val="both"/>
        <w:rPr/>
      </w:pPr>
      <w:r>
        <w:rPr>
          <w:rFonts w:ascii="Times New Roman;serif" w:hAnsi="Times New Roman;serif"/>
          <w:b w:val="false"/>
          <w:color w:val="000000"/>
          <w:sz w:val="20"/>
        </w:rPr>
        <w:t>(2)    </w:t>
      </w:r>
      <w:r>
        <w:rPr>
          <w:rFonts w:ascii="Times New Roman;serif" w:hAnsi="Times New Roman;serif"/>
          <w:b w:val="false"/>
          <w:i/>
          <w:color w:val="000000"/>
          <w:sz w:val="20"/>
        </w:rPr>
        <w:t xml:space="preserve">Capital markets transaction costs. </w:t>
      </w:r>
      <w:r>
        <w:rPr>
          <w:rFonts w:ascii="Times New Roman;serif" w:hAnsi="Times New Roman;serif"/>
          <w:b w:val="false"/>
          <w:color w:val="000000"/>
          <w:sz w:val="20"/>
        </w:rPr>
        <w:t>Capital markets transaction costs result from activities that are undertaken to improve our debt profile or enhance our capital position through activities such as debt refinancing and capital markets reinsurance transactions that may vary in their size and timing due to factors such as market opportunities, tax and capital profile, and overall market cycles.</w:t>
      </w:r>
    </w:p>
    <w:p>
      <w:pPr>
        <w:pStyle w:val="TextBody"/>
        <w:bidi w:val="0"/>
        <w:spacing w:lineRule="auto" w:line="288" w:before="0" w:after="180"/>
        <w:ind w:left="0" w:right="0" w:hanging="270"/>
        <w:jc w:val="both"/>
        <w:rPr/>
      </w:pPr>
      <w:r>
        <w:rPr>
          <w:rFonts w:ascii="Times New Roman;serif" w:hAnsi="Times New Roman;serif"/>
          <w:b w:val="false"/>
          <w:color w:val="000000"/>
          <w:sz w:val="20"/>
        </w:rPr>
        <w:t>(3)    </w:t>
      </w:r>
      <w:r>
        <w:rPr>
          <w:rFonts w:ascii="Times New Roman;serif" w:hAnsi="Times New Roman;serif"/>
          <w:b w:val="false"/>
          <w:i/>
          <w:color w:val="000000"/>
          <w:sz w:val="20"/>
        </w:rPr>
        <w:t>Other infrequent, unusual or non-operating items</w:t>
      </w:r>
      <w:r>
        <w:rPr>
          <w:rFonts w:ascii="Times New Roman;serif" w:hAnsi="Times New Roman;serif"/>
          <w:b w:val="false"/>
          <w:color w:val="000000"/>
          <w:sz w:val="20"/>
        </w:rPr>
        <w:t xml:space="preserve">. Items that are the result of unforeseen or uncommon events, and are not expected to recur with frequency in the future. Identification and exclusion of these items provide clarity about the impact special or rare occurrences may have on our current financial performance. Past adjustments under this category include infrequent, unusual or non-operating adjustments related to severance, restricted stock modification and other expenses incurred in connection with the CEO transition announced in September 2021 and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 </w:t>
      </w:r>
    </w:p>
    <w:p>
      <w:pPr>
        <w:pStyle w:val="TextBody"/>
        <w:bidi w:val="0"/>
        <w:spacing w:lineRule="auto" w:line="288" w:before="0" w:after="180"/>
        <w:ind w:left="0" w:right="0" w:hanging="270"/>
        <w:jc w:val="both"/>
        <w:rPr/>
      </w:pPr>
      <w:r>
        <w:rPr>
          <w:rFonts w:ascii="Times New Roman;serif" w:hAnsi="Times New Roman;serif"/>
          <w:b w:val="false"/>
          <w:color w:val="000000"/>
          <w:sz w:val="20"/>
        </w:rPr>
        <w:t xml:space="preserve">(4) </w:t>
      </w:r>
      <w:r>
        <w:rPr>
          <w:rFonts w:ascii="Times New Roman;serif" w:hAnsi="Times New Roman;serif"/>
          <w:b w:val="false"/>
          <w:i/>
          <w:color w:val="000000"/>
          <w:sz w:val="20"/>
        </w:rPr>
        <w:t xml:space="preserve">Net unrealized gains and losses on investments. </w:t>
      </w:r>
      <w:r>
        <w:rPr>
          <w:rFonts w:ascii="Times New Roman;serif" w:hAnsi="Times New Roman;serif"/>
          <w:b w:val="false"/>
          <w:color w:val="000000"/>
          <w:sz w:val="20"/>
        </w:rPr>
        <w:t>The recognition of net unrealized gains or losses on investment can vary significantly across periods and is influenced by factors such as interest rate movement, overall market and economic conditions, and tax and capital profiles. These valuation adjustments may not necessarily result in economic gains or losses and are not reflective of ongoing operations.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Investor Contact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John M. Swenson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Vice President, Investor Relations &amp; Treasury</w:t>
      </w:r>
    </w:p>
    <w:p>
      <w:pPr>
        <w:pStyle w:val="TextBody"/>
        <w:bidi w:val="0"/>
        <w:spacing w:lineRule="auto" w:line="288" w:before="0" w:after="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John.Swenson@nationalmi.com</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013"/>
        <w:gridCol w:w="1764"/>
        <w:gridCol w:w="1774"/>
        <w:gridCol w:w="109"/>
        <w:gridCol w:w="109"/>
        <w:gridCol w:w="471"/>
        <w:gridCol w:w="471"/>
        <w:gridCol w:w="1004"/>
        <w:gridCol w:w="535"/>
        <w:gridCol w:w="522"/>
        <w:gridCol w:w="118"/>
        <w:gridCol w:w="118"/>
        <w:gridCol w:w="118"/>
        <w:gridCol w:w="248"/>
        <w:gridCol w:w="340"/>
        <w:gridCol w:w="491"/>
      </w:tblGrid>
      <w:tr>
        <w:trPr/>
        <w:tc>
          <w:tcPr>
            <w:tcW w:w="2013"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5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Consolidated statements of operations and comprehensive income (unaudited)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433" w:type="dxa"/>
            <w:gridSpan w:val="6"/>
            <w:tcBorders/>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154,806</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149,366</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28,604</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173,246</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131,371</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28,812</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76,175</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78,407</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79,858</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555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r>
      <w:tr>
        <w:trPr/>
        <w:tc>
          <w:tcPr>
            <w:tcW w:w="55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r>
    </w:tbl>
    <w:p>
      <w:pPr>
        <w:pStyle w:val="TextBody"/>
        <w:bidi w:val="0"/>
        <w:spacing w:before="0" w:after="0"/>
        <w:ind w:left="0" w:right="0" w:hanging="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before="0" w:after="0"/>
        <w:ind w:left="0" w:right="0" w:hanging="360"/>
        <w:jc w:val="left"/>
        <w:rPr/>
      </w:pPr>
      <w:r>
        <w:rPr/>
      </w:r>
    </w:p>
    <w:p>
      <w:pPr>
        <w:pStyle w:val="TextBody"/>
        <w:bidi w:val="0"/>
        <w:ind w:left="0" w:right="0" w:hanging="36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640"/>
        <w:gridCol w:w="2229"/>
        <w:gridCol w:w="2240"/>
        <w:gridCol w:w="211"/>
        <w:gridCol w:w="976"/>
        <w:gridCol w:w="109"/>
        <w:gridCol w:w="109"/>
        <w:gridCol w:w="109"/>
        <w:gridCol w:w="109"/>
        <w:gridCol w:w="231"/>
        <w:gridCol w:w="1071"/>
        <w:gridCol w:w="171"/>
      </w:tblGrid>
      <w:tr>
        <w:trPr/>
        <w:tc>
          <w:tcPr>
            <w:tcW w:w="2640"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Consolidated balance sheets (unaudited)</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0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share data)</w:t>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Fixed maturities, available-for-sale, at fair value (amortized cost of $3,255,203 and $3,190,174)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3,174,107 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3,137,023 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Premiums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86,259 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64,372 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and 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Reinsurance recoverable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38,577 </w:t>
            </w:r>
          </w:p>
        </w:tc>
        <w:tc>
          <w:tcPr>
            <w:tcW w:w="1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federal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400,258 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417,031 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46,660 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101,595 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insurance claims and claim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491,879 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478,890 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1,277,206 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1,249,112 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76,149,574 and 76,285,242 shares outstanding as of March 31,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1,016,772 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 12,801,970 and 12,086,223 common shares as of March 31, 2026 and December 31, 2025, respectively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(351,772)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 net of tax</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Retained earnings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1,972,185 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2,632,432 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2,591,986 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shareholders'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3,909,638 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3,841,098 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before="0" w:after="180"/>
        <w:ind w:left="0" w:right="0" w:hanging="3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93"/>
        <w:gridCol w:w="1620"/>
        <w:gridCol w:w="1631"/>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156"/>
      </w:tblGrid>
      <w:tr>
        <w:trPr/>
        <w:tc>
          <w:tcPr>
            <w:tcW w:w="1893"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722"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Non-GAAP Financial Measure Reconciliations (unaudited)</w:t>
            </w:r>
          </w:p>
        </w:tc>
        <w:tc>
          <w:tcPr>
            <w:tcW w:w="483" w:type="dxa"/>
            <w:gridSpan w:val="4"/>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3/31/2026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12/31/2025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3/31/2025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16"/>
              </w:rPr>
              <w:t>As Reported</w:t>
            </w:r>
          </w:p>
        </w:tc>
        <w:tc>
          <w:tcPr>
            <w:tcW w:w="45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483" w:type="dxa"/>
            <w:gridSpan w:val="4"/>
            <w:tcBorders/>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income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125,090 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120,662 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131,347 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tax expense (benefit) on adjustments</w:t>
            </w:r>
            <w:r>
              <w:rPr>
                <w:color w:val="000000"/>
              </w:rPr>
              <w:t xml:space="preserve"> </w:t>
            </w:r>
            <w:r>
              <w:rPr>
                <w:rFonts w:ascii="Times New Roman;serif" w:hAnsi="Times New Roman;serif"/>
                <w:b w:val="false"/>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99,446 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102,540 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Weighted average diluted shares outstanding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Diluted EPS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Adjusted diluted EPS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Return on equity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return on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Expense ratio </w:t>
            </w:r>
            <w:r>
              <w:rPr>
                <w:rFonts w:ascii="Times New Roman;serif" w:hAnsi="Times New Roman;serif"/>
                <w:b/>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expense ratio </w:t>
            </w:r>
            <w:r>
              <w:rPr>
                <w:rFonts w:ascii="Times New Roman;serif" w:hAnsi="Times New Roman;serif"/>
                <w:b/>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Combined ratio </w:t>
            </w:r>
            <w:r>
              <w:rPr>
                <w:rFonts w:ascii="Times New Roman;serif" w:hAnsi="Times New Roman;serif"/>
                <w:b/>
                <w:color w:val="000000"/>
                <w:sz w:val="13"/>
              </w:rPr>
              <w:t>(4)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Adjusted combined ratio </w:t>
            </w:r>
            <w:r>
              <w:rPr>
                <w:rFonts w:ascii="Times New Roman;serif" w:hAnsi="Times New Roman;serif"/>
                <w:b/>
                <w:color w:val="000000"/>
                <w:sz w:val="13"/>
              </w:rPr>
              <w:t>(5)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Book value per share </w:t>
            </w:r>
            <w:r>
              <w:rPr>
                <w:rFonts w:ascii="Times New Roman;serif" w:hAnsi="Times New Roman;serif"/>
                <w:b/>
                <w:color w:val="000000"/>
                <w:sz w:val="13"/>
              </w:rPr>
              <w:t>(6)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1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Book value per share (excluding net unrealized gains and losses)</w:t>
            </w:r>
            <w:r>
              <w:rPr>
                <w:color w:val="000000"/>
              </w:rPr>
              <w:t xml:space="preserve"> </w:t>
            </w:r>
            <w:r>
              <w:rPr>
                <w:rFonts w:ascii="Times New Roman;serif" w:hAnsi="Times New Roman;serif"/>
                <w:b/>
                <w:color w:val="000000"/>
                <w:sz w:val="13"/>
              </w:rPr>
              <w:t>(7)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Marginal tax impact of non-GAAP adjustments is calculated based on our statutory U.S. federal corporate income tax rate of 21%, except for those items that are not eligible for an income tax deduction.</w:t>
      </w:r>
    </w:p>
    <w:p>
      <w:pPr>
        <w:pStyle w:val="TextBody"/>
        <w:bidi w:val="0"/>
        <w:spacing w:lineRule="auto" w:line="268"/>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Adjusted expense ratio is calculated by dividing adjusted underwriting and operating expense (underwriting and operating expenses excluding costs related to capital markets reinsurance transactions) by net premiums earned.</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Combined ratio is calculated by dividing the total of underwriting and operating expenses and insurance claims and claim expenses by net premiums earned.</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Adjusted combined ratio is calculated by dividing the total of adjusted underwriting and operating expenses (underwriting and operating expenses excluding costs related to capital market reinsurance transaction) and insurance claims and claim expenses by net premiums earned.</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(6)    Book value per share is calculated by dividing total shareholders' equity by shares outstanding.</w:t>
      </w:r>
    </w:p>
    <w:p>
      <w:pPr>
        <w:pStyle w:val="TextBody"/>
        <w:bidi w:val="0"/>
        <w:spacing w:lineRule="auto" w:line="276"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(7)    Book value per share (excluding net unrealized gains and losses) is defined as total shareholders' equity, excluding the after-tax effects of unrealized gains and losses on our investment portfolio, divided by shares outstanding. </w:t>
      </w:r>
    </w:p>
    <w:p>
      <w:pPr>
        <w:pStyle w:val="TextBody"/>
        <w:bidi w:val="0"/>
        <w:spacing w:before="0" w:after="0"/>
        <w:jc w:val="left"/>
        <w:rPr/>
      </w:pPr>
      <w:r>
        <w:rPr/>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tbl>
      <w:tblPr>
        <w:tblW w:w="11056" w:type="dxa"/>
        <w:jc w:val="center"/>
        <w:tblInd w:w="0" w:type="dxa"/>
        <w:tblLayout w:type="fixed"/>
        <w:tblCellMar>
          <w:top w:w="28" w:type="dxa"/>
          <w:left w:w="28" w:type="dxa"/>
          <w:bottom w:w="28" w:type="dxa"/>
          <w:right w:w="28" w:type="dxa"/>
        </w:tblCellMar>
      </w:tblPr>
      <w:tblGrid>
        <w:gridCol w:w="655"/>
        <w:gridCol w:w="272"/>
        <w:gridCol w:w="274"/>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211"/>
        <w:gridCol w:w="826"/>
        <w:gridCol w:w="271"/>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65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Historical Quarterly Data</w:t>
            </w:r>
          </w:p>
        </w:tc>
        <w:tc>
          <w:tcPr>
            <w:tcW w:w="13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3"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gridSpan w:val="5"/>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8"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 except for per share data)</w:t>
            </w:r>
          </w:p>
        </w:tc>
        <w:tc>
          <w:tcPr>
            <w:tcW w:w="2007" w:type="dxa"/>
            <w:gridSpan w:val="1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premiums earned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151,323 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149,066 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149,366 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27,529 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26,773 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23,686 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realized investment (losses)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180,736 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173,779 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173,246 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claims and claim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21,172 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and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29,156 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59,587 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54,996 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50,178 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124,943 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121,149 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123,601 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131,371 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28,812 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99,330 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94,217 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95,999 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96,151 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102,559 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Earnings per share </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76,700 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77,410 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77,987 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78,407 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77,435 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79,858 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data</w:t>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Loss ratio </w:t>
            </w:r>
            <w:r>
              <w:rPr>
                <w:rFonts w:ascii="Times New Roman;serif" w:hAnsi="Times New Roman;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Expense ratio </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Combined ratio </w:t>
            </w:r>
            <w:r>
              <w:rPr>
                <w:rFonts w:ascii="Times New Roman;serif" w:hAnsi="Times New Roman;serif"/>
                <w:b w:val="false"/>
                <w:color w:val="000000"/>
                <w:sz w:val="13"/>
              </w:rPr>
              <w:t>(3)</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    Loss ratio is calculated by dividing insurance claims and claim expenses by net premiums earned.</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    Expense ratio is calculated by dividing underwriting and operating expenses by net premiums earned.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Combined ratio may not foot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Portfolio Statistics</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highlights trends in our primary portfolio as of the date and for the periods indicated.</w:t>
      </w:r>
    </w:p>
    <w:tbl>
      <w:tblPr>
        <w:tblW w:w="10205" w:type="dxa"/>
        <w:jc w:val="left"/>
        <w:tblInd w:w="0" w:type="dxa"/>
        <w:tblLayout w:type="fixed"/>
        <w:tblCellMar>
          <w:top w:w="28" w:type="dxa"/>
          <w:left w:w="28" w:type="dxa"/>
          <w:bottom w:w="28" w:type="dxa"/>
          <w:right w:w="28" w:type="dxa"/>
        </w:tblCellMar>
      </w:tblPr>
      <w:tblGrid>
        <w:gridCol w:w="951"/>
        <w:gridCol w:w="568"/>
        <w:gridCol w:w="396"/>
        <w:gridCol w:w="212"/>
        <w:gridCol w:w="727"/>
        <w:gridCol w:w="273"/>
        <w:gridCol w:w="109"/>
        <w:gridCol w:w="109"/>
        <w:gridCol w:w="109"/>
        <w:gridCol w:w="220"/>
        <w:gridCol w:w="752"/>
        <w:gridCol w:w="283"/>
        <w:gridCol w:w="109"/>
        <w:gridCol w:w="109"/>
        <w:gridCol w:w="109"/>
        <w:gridCol w:w="221"/>
        <w:gridCol w:w="757"/>
        <w:gridCol w:w="284"/>
        <w:gridCol w:w="109"/>
        <w:gridCol w:w="109"/>
        <w:gridCol w:w="109"/>
        <w:gridCol w:w="211"/>
        <w:gridCol w:w="721"/>
        <w:gridCol w:w="271"/>
        <w:gridCol w:w="109"/>
        <w:gridCol w:w="109"/>
        <w:gridCol w:w="109"/>
        <w:gridCol w:w="216"/>
        <w:gridCol w:w="632"/>
        <w:gridCol w:w="278"/>
        <w:gridCol w:w="109"/>
        <w:gridCol w:w="109"/>
        <w:gridCol w:w="109"/>
        <w:gridCol w:w="109"/>
        <w:gridCol w:w="109"/>
        <w:gridCol w:w="109"/>
        <w:gridCol w:w="109"/>
        <w:gridCol w:w="161"/>
      </w:tblGrid>
      <w:tr>
        <w:trPr/>
        <w:tc>
          <w:tcPr>
            <w:tcW w:w="95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portfolio trends</w:t>
            </w:r>
          </w:p>
        </w:tc>
        <w:tc>
          <w:tcPr>
            <w:tcW w:w="73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gridSpan w:val="2"/>
            <w:tcBorders/>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 except as noted below)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insurance written (NIW)</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risk written</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3,399 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Insurance-in-force (IIF) </w:t>
            </w:r>
            <w:r>
              <w:rPr>
                <w:rFonts w:ascii="Times New Roman;serif" w:hAnsi="Times New Roman;serif"/>
                <w:b w:val="false"/>
                <w:color w:val="000000"/>
                <w:sz w:val="13"/>
              </w:rPr>
              <w:t>(1)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Risk-in-force (RIF)</w:t>
            </w:r>
            <w:r>
              <w:rPr>
                <w:color w:val="000000"/>
              </w:rPr>
              <w:t xml:space="preserve"> </w:t>
            </w:r>
            <w:r>
              <w:rPr>
                <w:rFonts w:ascii="Times New Roman;serif" w:hAnsi="Times New Roman;serif"/>
                <w:b w:val="false"/>
                <w:color w:val="000000"/>
                <w:sz w:val="13"/>
              </w:rPr>
              <w:t>(1)</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58,538 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57,496 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Policies in force (count)</w:t>
            </w:r>
            <w:r>
              <w:rPr>
                <w:color w:val="000000"/>
              </w:rPr>
              <w:t xml:space="preserve"> </w:t>
            </w:r>
            <w:r>
              <w:rPr>
                <w:rFonts w:ascii="Times New Roman;serif" w:hAnsi="Times New Roman;serif"/>
                <w:b w:val="false"/>
                <w:color w:val="000000"/>
                <w:sz w:val="13"/>
              </w:rPr>
              <w:t>(1)</w:t>
            </w:r>
          </w:p>
        </w:tc>
        <w:tc>
          <w:tcPr>
            <w:tcW w:w="12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677,010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668,638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661,490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loan size</w:t>
            </w:r>
            <w:r>
              <w:rPr>
                <w:color w:val="000000"/>
              </w:rPr>
              <w:t xml:space="preserve"> </w:t>
            </w:r>
            <w:r>
              <w:rPr>
                <w:rFonts w:ascii="Times New Roman;serif" w:hAnsi="Times New Roman;serif"/>
                <w:b w:val="false"/>
                <w:i/>
                <w:color w:val="000000"/>
                <w:sz w:val="16"/>
              </w:rPr>
              <w:t>($ value in thousands)</w:t>
            </w:r>
            <w:r>
              <w:rPr>
                <w:color w:val="000000"/>
              </w:rPr>
              <w:t xml:space="preserve"> </w:t>
            </w:r>
            <w:r>
              <w:rPr>
                <w:rFonts w:ascii="Times New Roman;serif" w:hAnsi="Times New Roman;serif"/>
                <w:b w:val="false"/>
                <w:color w:val="000000"/>
                <w:sz w:val="13"/>
              </w:rPr>
              <w:t>(1)</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Coverage percentage </w:t>
            </w:r>
            <w:r>
              <w:rPr>
                <w:rFonts w:ascii="Times New Roman;serif" w:hAnsi="Times New Roman;serif"/>
                <w:b w:val="false"/>
                <w:color w:val="000000"/>
                <w:sz w:val="13"/>
              </w:rPr>
              <w:t>(2)</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Loans in default (count) </w:t>
            </w:r>
            <w:r>
              <w:rPr>
                <w:rFonts w:ascii="Times New Roman;serif" w:hAnsi="Times New Roman;serif"/>
                <w:b w:val="false"/>
                <w:color w:val="000000"/>
                <w:sz w:val="13"/>
              </w:rPr>
              <w:t>(1)</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7,093 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Default rate </w:t>
            </w:r>
            <w:r>
              <w:rPr>
                <w:rFonts w:ascii="Times New Roman;serif" w:hAnsi="Times New Roman;serif"/>
                <w:b w:val="false"/>
                <w:color w:val="000000"/>
                <w:sz w:val="13"/>
              </w:rPr>
              <w:t>(1)</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Risk-in-force on defaulted loans </w:t>
            </w:r>
            <w:r>
              <w:rPr>
                <w:rFonts w:ascii="Times New Roman;serif" w:hAnsi="Times New Roman;serif"/>
                <w:b w:val="false"/>
                <w:color w:val="000000"/>
                <w:sz w:val="13"/>
              </w:rPr>
              <w:t>(1)</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Average net premium yield </w:t>
            </w:r>
            <w:r>
              <w:rPr>
                <w:rFonts w:ascii="Times New Roman;serif" w:hAnsi="Times New Roman;serif"/>
                <w:b w:val="false"/>
                <w:color w:val="000000"/>
                <w:sz w:val="13"/>
              </w:rPr>
              <w:t>(3)</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from cancellations</w:t>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Annual persistency</w:t>
            </w:r>
            <w:r>
              <w:rPr>
                <w:color w:val="000000"/>
              </w:rPr>
              <w:t xml:space="preserve"> </w:t>
            </w:r>
            <w:r>
              <w:rPr>
                <w:rFonts w:ascii="Times New Roman;serif" w:hAnsi="Times New Roman;serif"/>
                <w:b w:val="false"/>
                <w:color w:val="000000"/>
                <w:sz w:val="13"/>
              </w:rPr>
              <w:t>(4)</w:t>
            </w:r>
          </w:p>
        </w:tc>
        <w:tc>
          <w:tcPr>
            <w:tcW w:w="9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82.2 </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83.9 </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Quarterly run-off</w:t>
            </w:r>
            <w:r>
              <w:rPr>
                <w:color w:val="000000"/>
              </w:rPr>
              <w:t xml:space="preserve"> </w:t>
            </w:r>
            <w:r>
              <w:rPr>
                <w:rFonts w:ascii="Times New Roman;serif" w:hAnsi="Times New Roman;serif"/>
                <w:b w:val="false"/>
                <w:color w:val="000000"/>
                <w:sz w:val="13"/>
              </w:rPr>
              <w:t>(5)</w:t>
            </w:r>
          </w:p>
        </w:tc>
        <w:tc>
          <w:tcPr>
            <w:tcW w:w="9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15"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Reported as of the end of the period.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end of period RIF divided by end of period IIF.</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Calculated as net premiums earned, divided by average primary IIF for the period, annualized.</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Defined as the percentage of IIF that remains on our books after a given twelve-month period.</w:t>
      </w:r>
    </w:p>
    <w:p>
      <w:pPr>
        <w:pStyle w:val="TextBody"/>
        <w:bidi w:val="0"/>
        <w:spacing w:lineRule="auto" w:line="288" w:before="0" w:after="24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(5)    Defined as the percentage of IIF that is no longer on our books after a given three-month period.</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NIW, IIF and Premiums</w:t>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20"/>
        </w:rPr>
        <w:t>The tables below present NIW and primary IIF, as of the dates and for the periods indicated.</w:t>
      </w:r>
    </w:p>
    <w:tbl>
      <w:tblPr>
        <w:tblW w:w="10205" w:type="dxa"/>
        <w:jc w:val="left"/>
        <w:tblInd w:w="0" w:type="dxa"/>
        <w:tblLayout w:type="fixed"/>
        <w:tblCellMar>
          <w:top w:w="28" w:type="dxa"/>
          <w:left w:w="28" w:type="dxa"/>
          <w:bottom w:w="28" w:type="dxa"/>
          <w:right w:w="28" w:type="dxa"/>
        </w:tblCellMar>
      </w:tblPr>
      <w:tblGrid>
        <w:gridCol w:w="303"/>
        <w:gridCol w:w="267"/>
        <w:gridCol w:w="271"/>
        <w:gridCol w:w="249"/>
        <w:gridCol w:w="853"/>
        <w:gridCol w:w="129"/>
        <w:gridCol w:w="109"/>
        <w:gridCol w:w="109"/>
        <w:gridCol w:w="109"/>
        <w:gridCol w:w="292"/>
        <w:gridCol w:w="998"/>
        <w:gridCol w:w="150"/>
        <w:gridCol w:w="109"/>
        <w:gridCol w:w="109"/>
        <w:gridCol w:w="109"/>
        <w:gridCol w:w="300"/>
        <w:gridCol w:w="1025"/>
        <w:gridCol w:w="154"/>
        <w:gridCol w:w="109"/>
        <w:gridCol w:w="109"/>
        <w:gridCol w:w="109"/>
        <w:gridCol w:w="225"/>
        <w:gridCol w:w="771"/>
        <w:gridCol w:w="115"/>
        <w:gridCol w:w="109"/>
        <w:gridCol w:w="109"/>
        <w:gridCol w:w="109"/>
        <w:gridCol w:w="274"/>
        <w:gridCol w:w="801"/>
        <w:gridCol w:w="141"/>
        <w:gridCol w:w="109"/>
        <w:gridCol w:w="109"/>
        <w:gridCol w:w="109"/>
        <w:gridCol w:w="109"/>
        <w:gridCol w:w="109"/>
        <w:gridCol w:w="109"/>
        <w:gridCol w:w="109"/>
        <w:gridCol w:w="109"/>
        <w:gridCol w:w="109"/>
        <w:gridCol w:w="109"/>
        <w:gridCol w:w="109"/>
        <w:gridCol w:w="109"/>
        <w:gridCol w:w="109"/>
        <w:gridCol w:w="162"/>
      </w:tblGrid>
      <w:tr>
        <w:trPr/>
        <w:tc>
          <w:tcPr>
            <w:tcW w:w="303"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w:t>
            </w:r>
          </w:p>
        </w:tc>
        <w:tc>
          <w:tcPr>
            <w:tcW w:w="77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10"/>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3" w:type="dxa"/>
            <w:gridSpan w:val="10"/>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13,841 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9,049 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12,464 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10155" w:type="dxa"/>
        <w:jc w:val="left"/>
        <w:tblInd w:w="0" w:type="dxa"/>
        <w:tblLayout w:type="fixed"/>
        <w:tblCellMar>
          <w:top w:w="28" w:type="dxa"/>
          <w:left w:w="28" w:type="dxa"/>
          <w:bottom w:w="28" w:type="dxa"/>
          <w:right w:w="28" w:type="dxa"/>
        </w:tblCellMar>
      </w:tblPr>
      <w:tblGrid>
        <w:gridCol w:w="363"/>
        <w:gridCol w:w="319"/>
        <w:gridCol w:w="322"/>
        <w:gridCol w:w="232"/>
        <w:gridCol w:w="908"/>
        <w:gridCol w:w="119"/>
        <w:gridCol w:w="109"/>
        <w:gridCol w:w="109"/>
        <w:gridCol w:w="109"/>
        <w:gridCol w:w="276"/>
        <w:gridCol w:w="1081"/>
        <w:gridCol w:w="142"/>
        <w:gridCol w:w="109"/>
        <w:gridCol w:w="109"/>
        <w:gridCol w:w="109"/>
        <w:gridCol w:w="284"/>
        <w:gridCol w:w="1114"/>
        <w:gridCol w:w="147"/>
        <w:gridCol w:w="109"/>
        <w:gridCol w:w="109"/>
        <w:gridCol w:w="109"/>
        <w:gridCol w:w="211"/>
        <w:gridCol w:w="826"/>
        <w:gridCol w:w="109"/>
        <w:gridCol w:w="109"/>
        <w:gridCol w:w="109"/>
        <w:gridCol w:w="109"/>
        <w:gridCol w:w="232"/>
        <w:gridCol w:w="908"/>
        <w:gridCol w:w="119"/>
        <w:gridCol w:w="109"/>
        <w:gridCol w:w="109"/>
        <w:gridCol w:w="109"/>
        <w:gridCol w:w="109"/>
        <w:gridCol w:w="109"/>
        <w:gridCol w:w="109"/>
        <w:gridCol w:w="109"/>
        <w:gridCol w:w="109"/>
        <w:gridCol w:w="109"/>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Primary IIF</w:t>
            </w:r>
          </w:p>
        </w:tc>
        <w:tc>
          <w:tcPr>
            <w:tcW w:w="80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c>
          <w:tcPr>
            <w:tcW w:w="1135" w:type="dxa"/>
            <w:gridSpan w:val="10"/>
            <w:tcBorders/>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135" w:type="dxa"/>
            <w:gridSpan w:val="10"/>
            <w:tcBorders/>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Monthly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204,925 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80"/>
        <w:jc w:val="both"/>
        <w:rPr>
          <w:color w:val="000000"/>
        </w:rPr>
      </w:pPr>
      <w:r>
        <w:rPr>
          <w:color w:val="000000"/>
        </w:rPr>
        <w:t>    </w:t>
      </w:r>
      <w:r>
        <w:rPr>
          <w:rFonts w:ascii="Times New Roman;serif" w:hAnsi="Times New Roman;serif"/>
          <w:b w:val="false"/>
          <w:color w:val="000000"/>
          <w:sz w:val="20"/>
        </w:rPr>
        <w:t>The following table presents the amounts related to the company's quota-share reinsurance transactions (the 2018 QSR Transaction, 2020 QSR Transaction, 2021 QSR Transaction, 2022 QSR Transaction, 2022 Seasoned QSR Transaction, 2023 QSR Transaction, 2024 QSR Transaction, 2025 QSR Transaction, and 2026 QSR Transaction and collectively, the QSR Transactions), traditional reinsurance transactions (the 2022-1 XOL Transaction, 2022-2 XOL Transaction, 2022-3 XOL Transaction, 2023-1 XOL Transaction, 2023-2 XOL Transaction, 2024 XOL Transaction, 2025 XOL Transaction, and 2026-1 XOL Transaction and collectively, the XOL Transactions), and insurance-linked note transactions (the 2021-1 ILN Transaction, and 2021-2 ILN Transaction and collectively, the ILN Transactions) for the periods indicated.</w:t>
      </w:r>
    </w:p>
    <w:tbl>
      <w:tblPr>
        <w:tblW w:w="10495" w:type="dxa"/>
        <w:jc w:val="left"/>
        <w:tblInd w:w="0" w:type="dxa"/>
        <w:tblLayout w:type="fixed"/>
        <w:tblCellMar>
          <w:top w:w="28" w:type="dxa"/>
          <w:left w:w="28" w:type="dxa"/>
          <w:bottom w:w="28" w:type="dxa"/>
          <w:right w:w="28" w:type="dxa"/>
        </w:tblCellMar>
      </w:tblPr>
      <w:tblGrid>
        <w:gridCol w:w="419"/>
        <w:gridCol w:w="368"/>
        <w:gridCol w:w="36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09"/>
        <w:gridCol w:w="109"/>
        <w:gridCol w:w="109"/>
        <w:gridCol w:w="109"/>
        <w:gridCol w:w="109"/>
        <w:gridCol w:w="109"/>
        <w:gridCol w:w="109"/>
        <w:gridCol w:w="109"/>
        <w:gridCol w:w="109"/>
        <w:gridCol w:w="154"/>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26"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26" w:type="dxa"/>
            <w:gridSpan w:val="9"/>
            <w:tcBorders/>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The QSR Transactions </w:t>
            </w:r>
            <w:r>
              <w:rPr>
                <w:rFonts w:ascii="Times New Roman;serif" w:hAnsi="Times New Roman;serif"/>
                <w:b w:val="false"/>
                <w:color w:val="000000"/>
                <w:sz w:val="13"/>
              </w:rPr>
              <w:t>(1)</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risk-in-force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12,805,761 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12,699,082 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12,764,708 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12,888,870 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 earned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claims and claim expenses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Ceding commission earned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commission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XOL Transactions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ILN Transactions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Ceded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Effective July 1, 2025, NMIC terminated its coverage with all reinsurers under the 2016 QSR Transaction by mutual agreement on a cut-off basis.</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pStyle w:val="TextBody"/>
        <w:bidi w:val="0"/>
        <w:spacing w:lineRule="auto" w:line="288" w:before="10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tables below present our total NIW by FICO, loan-to-value (LTV) ratio, and purchase/refinance mix for the periods indicated.</w:t>
      </w:r>
    </w:p>
    <w:tbl>
      <w:tblPr>
        <w:tblW w:w="7224" w:type="dxa"/>
        <w:jc w:val="left"/>
        <w:tblInd w:w="0" w:type="dxa"/>
        <w:tblLayout w:type="fixed"/>
        <w:tblCellMar>
          <w:top w:w="28" w:type="dxa"/>
          <w:left w:w="28" w:type="dxa"/>
          <w:bottom w:w="28" w:type="dxa"/>
          <w:right w:w="28" w:type="dxa"/>
        </w:tblCellMar>
      </w:tblPr>
      <w:tblGrid>
        <w:gridCol w:w="750"/>
        <w:gridCol w:w="658"/>
        <w:gridCol w:w="662"/>
        <w:gridCol w:w="255"/>
        <w:gridCol w:w="873"/>
        <w:gridCol w:w="132"/>
        <w:gridCol w:w="109"/>
        <w:gridCol w:w="109"/>
        <w:gridCol w:w="109"/>
        <w:gridCol w:w="304"/>
        <w:gridCol w:w="1039"/>
        <w:gridCol w:w="157"/>
        <w:gridCol w:w="109"/>
        <w:gridCol w:w="109"/>
        <w:gridCol w:w="109"/>
        <w:gridCol w:w="284"/>
        <w:gridCol w:w="829"/>
        <w:gridCol w:w="146"/>
        <w:gridCol w:w="109"/>
        <w:gridCol w:w="109"/>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FICO</w:t>
            </w:r>
          </w:p>
        </w:tc>
        <w:tc>
          <w:tcPr>
            <w:tcW w:w="4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FICO</w:t>
            </w:r>
          </w:p>
        </w:tc>
        <w:tc>
          <w:tcPr>
            <w:tcW w:w="1128"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both"/>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tbl>
      <w:tblPr>
        <w:tblW w:w="7164" w:type="dxa"/>
        <w:jc w:val="center"/>
        <w:tblInd w:w="0" w:type="dxa"/>
        <w:tblLayout w:type="fixed"/>
        <w:tblCellMar>
          <w:top w:w="28" w:type="dxa"/>
          <w:left w:w="28" w:type="dxa"/>
          <w:bottom w:w="28" w:type="dxa"/>
          <w:right w:w="28" w:type="dxa"/>
        </w:tblCellMar>
      </w:tblPr>
      <w:tblGrid>
        <w:gridCol w:w="724"/>
        <w:gridCol w:w="638"/>
        <w:gridCol w:w="647"/>
        <w:gridCol w:w="221"/>
        <w:gridCol w:w="755"/>
        <w:gridCol w:w="284"/>
        <w:gridCol w:w="109"/>
        <w:gridCol w:w="109"/>
        <w:gridCol w:w="109"/>
        <w:gridCol w:w="263"/>
        <w:gridCol w:w="899"/>
        <w:gridCol w:w="338"/>
        <w:gridCol w:w="109"/>
        <w:gridCol w:w="109"/>
        <w:gridCol w:w="109"/>
        <w:gridCol w:w="242"/>
        <w:gridCol w:w="707"/>
        <w:gridCol w:w="311"/>
        <w:gridCol w:w="109"/>
        <w:gridCol w:w="109"/>
        <w:gridCol w:w="109"/>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LTV</w:t>
            </w:r>
          </w:p>
        </w:tc>
        <w:tc>
          <w:tcPr>
            <w:tcW w:w="46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For the three months ended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1,606 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3,840 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1,931 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LTV</w:t>
            </w:r>
          </w:p>
        </w:tc>
        <w:tc>
          <w:tcPr>
            <w:tcW w:w="97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91.4 </w:t>
            </w:r>
          </w:p>
        </w:tc>
        <w:tc>
          <w:tcPr>
            <w:tcW w:w="28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33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tbl>
      <w:tblPr>
        <w:tblW w:w="7568" w:type="dxa"/>
        <w:jc w:val="center"/>
        <w:tblInd w:w="0" w:type="dxa"/>
        <w:tblLayout w:type="fixed"/>
        <w:tblCellMar>
          <w:top w:w="28" w:type="dxa"/>
          <w:left w:w="28" w:type="dxa"/>
          <w:bottom w:w="28" w:type="dxa"/>
          <w:right w:w="28" w:type="dxa"/>
        </w:tblCellMar>
      </w:tblPr>
      <w:tblGrid>
        <w:gridCol w:w="875"/>
        <w:gridCol w:w="768"/>
        <w:gridCol w:w="771"/>
        <w:gridCol w:w="255"/>
        <w:gridCol w:w="873"/>
        <w:gridCol w:w="132"/>
        <w:gridCol w:w="109"/>
        <w:gridCol w:w="109"/>
        <w:gridCol w:w="109"/>
        <w:gridCol w:w="304"/>
        <w:gridCol w:w="1039"/>
        <w:gridCol w:w="157"/>
        <w:gridCol w:w="109"/>
        <w:gridCol w:w="109"/>
        <w:gridCol w:w="109"/>
        <w:gridCol w:w="284"/>
        <w:gridCol w:w="829"/>
        <w:gridCol w:w="146"/>
        <w:gridCol w:w="109"/>
        <w:gridCol w:w="109"/>
        <w:gridCol w:w="109"/>
        <w:gridCol w:w="154"/>
      </w:tblGrid>
      <w:tr>
        <w:trPr/>
        <w:tc>
          <w:tcPr>
            <w:tcW w:w="87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NIW by purchase/refinance mix</w:t>
            </w:r>
          </w:p>
        </w:tc>
        <w:tc>
          <w:tcPr>
            <w:tcW w:w="4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9,367 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Refinance</w:t>
            </w:r>
            <w:r>
              <w:rPr>
                <w:color w:val="000000"/>
              </w:rPr>
              <w:t xml:space="preserve">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our primary IIF and RIF by book year as of March 31, 2026.</w:t>
      </w:r>
    </w:p>
    <w:tbl>
      <w:tblPr>
        <w:tblW w:w="5952" w:type="dxa"/>
        <w:jc w:val="left"/>
        <w:tblInd w:w="0" w:type="dxa"/>
        <w:tblLayout w:type="fixed"/>
        <w:tblCellMar>
          <w:top w:w="28" w:type="dxa"/>
          <w:left w:w="28" w:type="dxa"/>
          <w:bottom w:w="28" w:type="dxa"/>
          <w:right w:w="28" w:type="dxa"/>
        </w:tblCellMar>
      </w:tblPr>
      <w:tblGrid>
        <w:gridCol w:w="596"/>
        <w:gridCol w:w="524"/>
        <w:gridCol w:w="529"/>
        <w:gridCol w:w="211"/>
        <w:gridCol w:w="826"/>
        <w:gridCol w:w="109"/>
        <w:gridCol w:w="109"/>
        <w:gridCol w:w="109"/>
        <w:gridCol w:w="109"/>
        <w:gridCol w:w="211"/>
        <w:gridCol w:w="721"/>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596"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and RIF</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IIF</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RIF</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Book Year</w:t>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and before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180" w:after="180"/>
        <w:jc w:val="both"/>
        <w:rPr>
          <w:color w:val="000000"/>
        </w:rPr>
      </w:pPr>
      <w:r>
        <w:rPr>
          <w:color w:val="000000"/>
        </w:rPr>
        <w:t>    </w:t>
      </w:r>
      <w:r>
        <w:rPr>
          <w:rFonts w:ascii="Times New Roman;serif" w:hAnsi="Times New Roman;serif"/>
          <w:b w:val="false"/>
          <w:color w:val="000000"/>
          <w:sz w:val="20"/>
        </w:rPr>
        <w:t>The tables below present our total primary IIF and RIF by FICO and LTV, and total primary RIF by loan type as of the dates indicated.</w:t>
      </w:r>
    </w:p>
    <w:tbl>
      <w:tblPr>
        <w:tblW w:w="6410" w:type="dxa"/>
        <w:jc w:val="left"/>
        <w:tblInd w:w="0" w:type="dxa"/>
        <w:tblLayout w:type="fixed"/>
        <w:tblCellMar>
          <w:top w:w="28" w:type="dxa"/>
          <w:left w:w="28" w:type="dxa"/>
          <w:bottom w:w="28" w:type="dxa"/>
          <w:right w:w="28" w:type="dxa"/>
        </w:tblCellMar>
      </w:tblPr>
      <w:tblGrid>
        <w:gridCol w:w="612"/>
        <w:gridCol w:w="539"/>
        <w:gridCol w:w="543"/>
        <w:gridCol w:w="232"/>
        <w:gridCol w:w="908"/>
        <w:gridCol w:w="119"/>
        <w:gridCol w:w="109"/>
        <w:gridCol w:w="109"/>
        <w:gridCol w:w="109"/>
        <w:gridCol w:w="276"/>
        <w:gridCol w:w="1081"/>
        <w:gridCol w:w="142"/>
        <w:gridCol w:w="109"/>
        <w:gridCol w:w="109"/>
        <w:gridCol w:w="109"/>
        <w:gridCol w:w="231"/>
        <w:gridCol w:w="905"/>
        <w:gridCol w:w="168"/>
      </w:tblGrid>
      <w:tr>
        <w:trPr/>
        <w:tc>
          <w:tcPr>
            <w:tcW w:w="6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FICO</w:t>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111,255 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106,004 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20,349 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20,491 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13,271 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&lt;=679</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5,097 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tbl>
      <w:tblPr>
        <w:tblW w:w="6474" w:type="dxa"/>
        <w:jc w:val="center"/>
        <w:tblInd w:w="0" w:type="dxa"/>
        <w:tblLayout w:type="fixed"/>
        <w:tblCellMar>
          <w:top w:w="28" w:type="dxa"/>
          <w:left w:w="28" w:type="dxa"/>
          <w:bottom w:w="28" w:type="dxa"/>
          <w:right w:w="28" w:type="dxa"/>
        </w:tblCellMar>
      </w:tblPr>
      <w:tblGrid>
        <w:gridCol w:w="634"/>
        <w:gridCol w:w="558"/>
        <w:gridCol w:w="563"/>
        <w:gridCol w:w="255"/>
        <w:gridCol w:w="873"/>
        <w:gridCol w:w="132"/>
        <w:gridCol w:w="109"/>
        <w:gridCol w:w="109"/>
        <w:gridCol w:w="109"/>
        <w:gridCol w:w="304"/>
        <w:gridCol w:w="1039"/>
        <w:gridCol w:w="157"/>
        <w:gridCol w:w="109"/>
        <w:gridCol w:w="109"/>
        <w:gridCol w:w="109"/>
        <w:gridCol w:w="253"/>
        <w:gridCol w:w="867"/>
        <w:gridCol w:w="185"/>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FICO</w:t>
            </w:r>
          </w:p>
        </w:tc>
        <w:tc>
          <w:tcPr>
            <w:tcW w:w="4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&gt;= 760</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740-759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720-739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700-719</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680-699</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&lt;=679 </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tbl>
      <w:tblPr>
        <w:tblW w:w="6351" w:type="dxa"/>
        <w:jc w:val="center"/>
        <w:tblInd w:w="0" w:type="dxa"/>
        <w:tblLayout w:type="fixed"/>
        <w:tblCellMar>
          <w:top w:w="28" w:type="dxa"/>
          <w:left w:w="28" w:type="dxa"/>
          <w:bottom w:w="28" w:type="dxa"/>
          <w:right w:w="28" w:type="dxa"/>
        </w:tblCellMar>
      </w:tblPr>
      <w:tblGrid>
        <w:gridCol w:w="591"/>
        <w:gridCol w:w="520"/>
        <w:gridCol w:w="524"/>
        <w:gridCol w:w="232"/>
        <w:gridCol w:w="908"/>
        <w:gridCol w:w="119"/>
        <w:gridCol w:w="109"/>
        <w:gridCol w:w="109"/>
        <w:gridCol w:w="109"/>
        <w:gridCol w:w="276"/>
        <w:gridCol w:w="1081"/>
        <w:gridCol w:w="142"/>
        <w:gridCol w:w="109"/>
        <w:gridCol w:w="109"/>
        <w:gridCol w:w="109"/>
        <w:gridCol w:w="231"/>
        <w:gridCol w:w="905"/>
        <w:gridCol w:w="16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 by LTV</w:t>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26,739 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24,167 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109,554 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109,228 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104,312 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66,285 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64,298 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19,652 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18,531 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5"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tbl>
      <w:tblPr>
        <w:tblW w:w="6384" w:type="dxa"/>
        <w:jc w:val="center"/>
        <w:tblInd w:w="0" w:type="dxa"/>
        <w:tblLayout w:type="fixed"/>
        <w:tblCellMar>
          <w:top w:w="28" w:type="dxa"/>
          <w:left w:w="28" w:type="dxa"/>
          <w:bottom w:w="28" w:type="dxa"/>
          <w:right w:w="28" w:type="dxa"/>
        </w:tblCellMar>
      </w:tblPr>
      <w:tblGrid>
        <w:gridCol w:w="602"/>
        <w:gridCol w:w="529"/>
        <w:gridCol w:w="534"/>
        <w:gridCol w:w="255"/>
        <w:gridCol w:w="873"/>
        <w:gridCol w:w="132"/>
        <w:gridCol w:w="109"/>
        <w:gridCol w:w="109"/>
        <w:gridCol w:w="109"/>
        <w:gridCol w:w="304"/>
        <w:gridCol w:w="1039"/>
        <w:gridCol w:w="157"/>
        <w:gridCol w:w="109"/>
        <w:gridCol w:w="109"/>
        <w:gridCol w:w="109"/>
        <w:gridCol w:w="253"/>
        <w:gridCol w:w="867"/>
        <w:gridCol w:w="185"/>
      </w:tblGrid>
      <w:tr>
        <w:trPr/>
        <w:tc>
          <w:tcPr>
            <w:tcW w:w="60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LTV</w:t>
            </w:r>
          </w:p>
        </w:tc>
        <w:tc>
          <w:tcPr>
            <w:tcW w:w="4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95.01% and above</w:t>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8,631 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90.01% to 95.00%</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32,314 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30,804 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85.01% to 90.00%</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85.00% and below</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59,517 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59,313 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56,515 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7011" w:type="dxa"/>
        <w:jc w:val="center"/>
        <w:tblInd w:w="0" w:type="dxa"/>
        <w:tblLayout w:type="fixed"/>
        <w:tblCellMar>
          <w:top w:w="28" w:type="dxa"/>
          <w:left w:w="28" w:type="dxa"/>
          <w:bottom w:w="28" w:type="dxa"/>
          <w:right w:w="28" w:type="dxa"/>
        </w:tblCellMar>
      </w:tblPr>
      <w:tblGrid>
        <w:gridCol w:w="829"/>
        <w:gridCol w:w="729"/>
        <w:gridCol w:w="736"/>
        <w:gridCol w:w="279"/>
        <w:gridCol w:w="279"/>
        <w:gridCol w:w="701"/>
        <w:gridCol w:w="109"/>
        <w:gridCol w:w="109"/>
        <w:gridCol w:w="109"/>
        <w:gridCol w:w="334"/>
        <w:gridCol w:w="334"/>
        <w:gridCol w:w="832"/>
        <w:gridCol w:w="109"/>
        <w:gridCol w:w="109"/>
        <w:gridCol w:w="109"/>
        <w:gridCol w:w="264"/>
        <w:gridCol w:w="264"/>
        <w:gridCol w:w="776"/>
      </w:tblGrid>
      <w:tr>
        <w:trPr/>
        <w:tc>
          <w:tcPr>
            <w:tcW w:w="8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RIF by Loan Type</w:t>
            </w:r>
          </w:p>
        </w:tc>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294"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Adjustable rate mortgages:</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than five years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Five years and longer</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table below presents a summary of the change in total primary IIF for the dates and periods indicated.</w:t>
      </w:r>
    </w:p>
    <w:tbl>
      <w:tblPr>
        <w:tblW w:w="9907" w:type="dxa"/>
        <w:jc w:val="left"/>
        <w:tblInd w:w="0" w:type="dxa"/>
        <w:tblLayout w:type="fixed"/>
        <w:tblCellMar>
          <w:top w:w="28" w:type="dxa"/>
          <w:left w:w="28" w:type="dxa"/>
          <w:bottom w:w="28" w:type="dxa"/>
          <w:right w:w="28" w:type="dxa"/>
        </w:tblCellMar>
      </w:tblPr>
      <w:tblGrid>
        <w:gridCol w:w="1719"/>
        <w:gridCol w:w="1511"/>
        <w:gridCol w:w="1525"/>
        <w:gridCol w:w="232"/>
        <w:gridCol w:w="908"/>
        <w:gridCol w:w="119"/>
        <w:gridCol w:w="109"/>
        <w:gridCol w:w="109"/>
        <w:gridCol w:w="109"/>
        <w:gridCol w:w="276"/>
        <w:gridCol w:w="1081"/>
        <w:gridCol w:w="142"/>
        <w:gridCol w:w="109"/>
        <w:gridCol w:w="109"/>
        <w:gridCol w:w="109"/>
        <w:gridCol w:w="232"/>
        <w:gridCol w:w="908"/>
        <w:gridCol w:w="119"/>
        <w:gridCol w:w="109"/>
        <w:gridCol w:w="109"/>
        <w:gridCol w:w="109"/>
        <w:gridCol w:w="154"/>
      </w:tblGrid>
      <w:tr>
        <w:trPr/>
        <w:tc>
          <w:tcPr>
            <w:tcW w:w="1719"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Primary IIF</w:t>
            </w:r>
          </w:p>
        </w:tc>
        <w:tc>
          <w:tcPr>
            <w:tcW w:w="46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and for the 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beginning of period</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218,376 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210,183 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NIW</w:t>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14,203 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Cancellations, principal repayments and other reductions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(11,131)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IIF, end of period</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221,448 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211,308 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80"/>
        <w:jc w:val="left"/>
        <w:rPr/>
      </w:pPr>
      <w:r>
        <w:rPr/>
      </w:r>
    </w:p>
    <w:p>
      <w:pPr>
        <w:pStyle w:val="TextBody"/>
        <w:bidi w:val="0"/>
        <w:spacing w:lineRule="auto" w:line="288" w:before="120" w:after="180"/>
        <w:jc w:val="left"/>
        <w:rPr>
          <w:rFonts w:ascii="Times New Roman;serif" w:hAnsi="Times New Roman;serif"/>
          <w:b w:val="false"/>
          <w:i/>
          <w:color w:val="000000"/>
          <w:sz w:val="20"/>
        </w:rPr>
      </w:pPr>
      <w:r>
        <w:rPr>
          <w:rFonts w:ascii="Times New Roman;serif" w:hAnsi="Times New Roman;serif"/>
          <w:b w:val="false"/>
          <w:i/>
          <w:color w:val="000000"/>
          <w:sz w:val="20"/>
        </w:rPr>
        <w:t>Geographic Dispersion</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The following table shows the distribution by state of our primary RIF as of the periods indicated.</w:t>
      </w:r>
    </w:p>
    <w:tbl>
      <w:tblPr>
        <w:tblW w:w="6936" w:type="dxa"/>
        <w:jc w:val="left"/>
        <w:tblInd w:w="0" w:type="dxa"/>
        <w:tblLayout w:type="fixed"/>
        <w:tblCellMar>
          <w:top w:w="28" w:type="dxa"/>
          <w:left w:w="28" w:type="dxa"/>
          <w:bottom w:w="28" w:type="dxa"/>
          <w:right w:w="28" w:type="dxa"/>
        </w:tblCellMar>
      </w:tblPr>
      <w:tblGrid>
        <w:gridCol w:w="803"/>
        <w:gridCol w:w="705"/>
        <w:gridCol w:w="711"/>
        <w:gridCol w:w="279"/>
        <w:gridCol w:w="279"/>
        <w:gridCol w:w="701"/>
        <w:gridCol w:w="109"/>
        <w:gridCol w:w="109"/>
        <w:gridCol w:w="109"/>
        <w:gridCol w:w="334"/>
        <w:gridCol w:w="334"/>
        <w:gridCol w:w="832"/>
        <w:gridCol w:w="109"/>
        <w:gridCol w:w="109"/>
        <w:gridCol w:w="109"/>
        <w:gridCol w:w="264"/>
        <w:gridCol w:w="264"/>
        <w:gridCol w:w="776"/>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Top 10 primary RIF by state</w:t>
            </w:r>
          </w:p>
        </w:tc>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California</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8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Texas</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Florida</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Georgia</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Illinois</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Virginia</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Washington</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Pennsylvania</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Ohio</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7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8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55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7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51.2 </w:t>
            </w:r>
          </w:p>
        </w:tc>
        <w:tc>
          <w:tcPr>
            <w:tcW w:w="8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table below presents selected primary portfolio statistics, by book year, as of March 31, 2026.</w:t>
      </w:r>
    </w:p>
    <w:tbl>
      <w:tblPr>
        <w:tblW w:w="13566" w:type="dxa"/>
        <w:jc w:val="left"/>
        <w:tblInd w:w="0" w:type="dxa"/>
        <w:tblLayout w:type="fixed"/>
        <w:tblCellMar>
          <w:top w:w="28" w:type="dxa"/>
          <w:left w:w="28" w:type="dxa"/>
          <w:bottom w:w="28" w:type="dxa"/>
          <w:right w:w="28" w:type="dxa"/>
        </w:tblCellMar>
      </w:tblPr>
      <w:tblGrid>
        <w:gridCol w:w="239"/>
        <w:gridCol w:w="158"/>
        <w:gridCol w:w="159"/>
        <w:gridCol w:w="211"/>
        <w:gridCol w:w="826"/>
        <w:gridCol w:w="109"/>
        <w:gridCol w:w="109"/>
        <w:gridCol w:w="109"/>
        <w:gridCol w:w="109"/>
        <w:gridCol w:w="211"/>
        <w:gridCol w:w="826"/>
        <w:gridCol w:w="109"/>
        <w:gridCol w:w="109"/>
        <w:gridCol w:w="109"/>
        <w:gridCol w:w="109"/>
        <w:gridCol w:w="244"/>
        <w:gridCol w:w="244"/>
        <w:gridCol w:w="608"/>
        <w:gridCol w:w="109"/>
        <w:gridCol w:w="109"/>
        <w:gridCol w:w="109"/>
        <w:gridCol w:w="559"/>
        <w:gridCol w:w="417"/>
        <w:gridCol w:w="216"/>
        <w:gridCol w:w="109"/>
        <w:gridCol w:w="109"/>
        <w:gridCol w:w="109"/>
        <w:gridCol w:w="596"/>
        <w:gridCol w:w="230"/>
        <w:gridCol w:w="231"/>
        <w:gridCol w:w="109"/>
        <w:gridCol w:w="109"/>
        <w:gridCol w:w="109"/>
        <w:gridCol w:w="386"/>
        <w:gridCol w:w="230"/>
        <w:gridCol w:w="231"/>
        <w:gridCol w:w="109"/>
        <w:gridCol w:w="109"/>
        <w:gridCol w:w="109"/>
        <w:gridCol w:w="416"/>
        <w:gridCol w:w="200"/>
        <w:gridCol w:w="201"/>
        <w:gridCol w:w="109"/>
        <w:gridCol w:w="109"/>
        <w:gridCol w:w="109"/>
        <w:gridCol w:w="324"/>
        <w:gridCol w:w="187"/>
        <w:gridCol w:w="467"/>
        <w:gridCol w:w="109"/>
        <w:gridCol w:w="109"/>
        <w:gridCol w:w="109"/>
        <w:gridCol w:w="210"/>
        <w:gridCol w:w="210"/>
        <w:gridCol w:w="526"/>
        <w:gridCol w:w="109"/>
        <w:gridCol w:w="109"/>
        <w:gridCol w:w="109"/>
        <w:gridCol w:w="256"/>
        <w:gridCol w:w="150"/>
        <w:gridCol w:w="436"/>
      </w:tblGrid>
      <w:tr>
        <w:trPr/>
        <w:tc>
          <w:tcPr>
            <w:tcW w:w="23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Book Year</w:t>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Original Insurance Written</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Remaining Insurance in Force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Remaining of Original Insurance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Policies Ever in Force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Policies in Force</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Loans in Default</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Claims Paid</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Incurred Loss Ratio (Inception to Date) </w:t>
            </w:r>
            <w:r>
              <w:rPr>
                <w:rFonts w:ascii="Times New Roman;serif" w:hAnsi="Times New Roman;serif"/>
                <w:b/>
                <w:color w:val="000000"/>
                <w:sz w:val="10"/>
              </w:rPr>
              <w:t>(1)</w:t>
            </w:r>
          </w:p>
        </w:tc>
        <w:tc>
          <w:tcPr>
            <w:tcW w:w="32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Cumulative Default Rate </w:t>
            </w:r>
            <w:r>
              <w:rPr>
                <w:rFonts w:ascii="Times New Roman;serif" w:hAnsi="Times New Roman;serif"/>
                <w:b/>
                <w:color w:val="000000"/>
                <w:sz w:val="10"/>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Current default rate </w:t>
            </w:r>
            <w:r>
              <w:rPr>
                <w:rFonts w:ascii="Times New Roman;serif" w:hAnsi="Times New Roman;serif"/>
                <w:b/>
                <w:color w:val="000000"/>
                <w:sz w:val="10"/>
              </w:rPr>
              <w:t>(3)</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2017 and prior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237,512 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17,167 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104,043 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2020</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186,174 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56,248 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257,972 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134,406 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163,281 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120,023 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80,907 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6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125,570 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115,779 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4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6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30,457 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30,329 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1,486,173 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684,977 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Calculated as total claims incurred (paid and reserved) divided by cumulative premiums earned, net of reinsurance.</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Calculated as the sum of the number of claims paid ever to date and number of loans in default divided by policies ever in force.</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(3)    Calculated as the number of loans in default divided by number of policies in force. </w:t>
      </w:r>
    </w:p>
    <w:p>
      <w:pPr>
        <w:pStyle w:val="TextBody"/>
        <w:bidi w:val="0"/>
        <w:spacing w:before="0" w:after="18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both"/>
        <w:rPr>
          <w:color w:val="000000"/>
        </w:rPr>
      </w:pPr>
      <w:r>
        <w:rPr>
          <w:color w:val="000000"/>
        </w:rPr>
        <w:t>    </w:t>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insurance claims and claim expenses:</w:t>
      </w:r>
    </w:p>
    <w:tbl>
      <w:tblPr>
        <w:tblW w:w="9308" w:type="dxa"/>
        <w:jc w:val="left"/>
        <w:tblInd w:w="0" w:type="dxa"/>
        <w:tblLayout w:type="fixed"/>
        <w:tblCellMar>
          <w:top w:w="28" w:type="dxa"/>
          <w:left w:w="28" w:type="dxa"/>
          <w:bottom w:w="28" w:type="dxa"/>
          <w:right w:w="28" w:type="dxa"/>
        </w:tblCellMar>
      </w:tblPr>
      <w:tblGrid>
        <w:gridCol w:w="1695"/>
        <w:gridCol w:w="1488"/>
        <w:gridCol w:w="1496"/>
        <w:gridCol w:w="109"/>
        <w:gridCol w:w="109"/>
        <w:gridCol w:w="199"/>
        <w:gridCol w:w="199"/>
        <w:gridCol w:w="199"/>
        <w:gridCol w:w="199"/>
        <w:gridCol w:w="386"/>
        <w:gridCol w:w="1512"/>
        <w:gridCol w:w="199"/>
        <w:gridCol w:w="109"/>
        <w:gridCol w:w="109"/>
        <w:gridCol w:w="109"/>
        <w:gridCol w:w="211"/>
        <w:gridCol w:w="826"/>
        <w:gridCol w:w="154"/>
      </w:tblGrid>
      <w:tr>
        <w:trPr/>
        <w:tc>
          <w:tcPr>
            <w:tcW w:w="1695"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518" w:type="dxa"/>
            <w:gridSpan w:val="6"/>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21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196,429 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Less reinsurance recoverables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(38,577)</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 net of reinsurance recoverables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157,852 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119,811 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claims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47,150 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Prior years</w:t>
            </w:r>
            <w:r>
              <w:rPr>
                <w:color w:val="000000"/>
              </w:rPr>
              <w:t xml:space="preserve">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(26,489)</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incurred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20,661 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Claims and claim expenses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year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Prior years </w:t>
            </w:r>
            <w:r>
              <w:rPr>
                <w:rFonts w:ascii="Times New Roman;serif" w:hAnsi="Times New Roman;serif"/>
                <w:b w:val="false"/>
                <w:color w:val="000000"/>
                <w:sz w:val="13"/>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Reinsurance terminations </w:t>
            </w:r>
            <w:r>
              <w:rPr>
                <w:rFonts w:ascii="Times New Roman;serif" w:hAnsi="Times New Roman;serif"/>
                <w:b w:val="false"/>
                <w:color w:val="000000"/>
                <w:sz w:val="13"/>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claims and claim expenses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7,012 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at end of period, net of reinsurance recoverables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171,501 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Add reinsurance recoverables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39,703 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211,204 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Related to ceded losses recoverable under the QSR Transactions.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$34.8 million attributed to net case reserves and $11.7 million attributed to net IBNR reserves for the three months ended March 31, 2026 and $25.9 million attributed to net case reserves and $8.1 million attributed to net IBNR reserves for the three months ended March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(3)    Related to insured loans with defaults occurring in prior years, which have been continuously in default before the start of the current year. Amounts are presented net of reinsurance and included $15.2 million attributed to net case reserves and $10.8 million attributed to net IBNR reserves for the three months ended March 31, 2026 and $21.8 million attributed to net case reserves and $8.1 million attributed to net IBNR reserves for the three months ended March 31, 2025.</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(4)    Represents the settlement of reinsurance recoverables in conjunction with the termination or amendment of certain QSR transactions.</w:t>
      </w:r>
    </w:p>
    <w:p>
      <w:pPr>
        <w:pStyle w:val="TextBody"/>
        <w:bidi w:val="0"/>
        <w:spacing w:before="0" w:after="0"/>
        <w:ind w:left="0" w:right="0" w:hanging="36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count of loans in default:</w:t>
      </w:r>
    </w:p>
    <w:tbl>
      <w:tblPr>
        <w:tblW w:w="7237" w:type="dxa"/>
        <w:jc w:val="left"/>
        <w:tblInd w:w="0" w:type="dxa"/>
        <w:tblLayout w:type="fixed"/>
        <w:tblCellMar>
          <w:top w:w="28" w:type="dxa"/>
          <w:left w:w="28" w:type="dxa"/>
          <w:bottom w:w="28" w:type="dxa"/>
          <w:right w:w="28" w:type="dxa"/>
        </w:tblCellMar>
      </w:tblPr>
      <w:tblGrid>
        <w:gridCol w:w="1049"/>
        <w:gridCol w:w="920"/>
        <w:gridCol w:w="926"/>
        <w:gridCol w:w="109"/>
        <w:gridCol w:w="109"/>
        <w:gridCol w:w="578"/>
        <w:gridCol w:w="578"/>
        <w:gridCol w:w="578"/>
        <w:gridCol w:w="578"/>
        <w:gridCol w:w="582"/>
        <w:gridCol w:w="109"/>
        <w:gridCol w:w="109"/>
        <w:gridCol w:w="109"/>
        <w:gridCol w:w="344"/>
        <w:gridCol w:w="346"/>
        <w:gridCol w:w="213"/>
      </w:tblGrid>
      <w:tr>
        <w:trPr/>
        <w:tc>
          <w:tcPr>
            <w:tcW w:w="104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230" w:type="dxa"/>
            <w:gridSpan w:val="6"/>
            <w:tcBorders/>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default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7,661 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6,642 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new defaults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(2,160)</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(2,094)</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claims paid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rescission and claims denied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default inventory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1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8,044 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 xml:space="preserve">The following table provides details of our claims paid, before giving effect to claims ceded under the QSR Transactions, for the periods indicated: </w:t>
      </w:r>
    </w:p>
    <w:tbl>
      <w:tblPr>
        <w:tblW w:w="7297" w:type="dxa"/>
        <w:jc w:val="left"/>
        <w:tblInd w:w="0" w:type="dxa"/>
        <w:tblLayout w:type="fixed"/>
        <w:tblCellMar>
          <w:top w:w="28" w:type="dxa"/>
          <w:left w:w="28" w:type="dxa"/>
          <w:bottom w:w="28" w:type="dxa"/>
          <w:right w:w="28" w:type="dxa"/>
        </w:tblCellMar>
      </w:tblPr>
      <w:tblGrid>
        <w:gridCol w:w="981"/>
        <w:gridCol w:w="864"/>
        <w:gridCol w:w="869"/>
        <w:gridCol w:w="109"/>
        <w:gridCol w:w="109"/>
        <w:gridCol w:w="222"/>
        <w:gridCol w:w="222"/>
        <w:gridCol w:w="430"/>
        <w:gridCol w:w="1469"/>
        <w:gridCol w:w="552"/>
        <w:gridCol w:w="109"/>
        <w:gridCol w:w="109"/>
        <w:gridCol w:w="109"/>
        <w:gridCol w:w="211"/>
        <w:gridCol w:w="616"/>
        <w:gridCol w:w="316"/>
      </w:tblGrid>
      <w:tr>
        <w:trPr/>
        <w:tc>
          <w:tcPr>
            <w:tcW w:w="981"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three months ended March 31,</w:t>
            </w:r>
          </w:p>
        </w:tc>
        <w:tc>
          <w:tcPr>
            <w:tcW w:w="1470" w:type="dxa"/>
            <w:gridSpan w:val="6"/>
            <w:tcBorders/>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9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 Values In Thousands)</w:t>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Number of claims paid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amount paid for claims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10,776 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5,225 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Average amount paid per claim</w:t>
            </w:r>
            <w:r>
              <w:rPr>
                <w:color w:val="000000"/>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5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Severity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60" w:after="283"/>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 xml:space="preserve">(1)    Count includes 12 and 20 claims settled without payment during the three months ended March 31, 2026 and 2025, respectively. </w:t>
      </w:r>
    </w:p>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Severity represents the total amount of claims paid including claim expenses divided by the related RIF on the loan at the time the claim is perfected, and is calculated including claims settled without payment.</w:t>
      </w:r>
    </w:p>
    <w:p>
      <w:pPr>
        <w:pStyle w:val="TextBody"/>
        <w:bidi w:val="0"/>
        <w:spacing w:before="0" w:after="0"/>
        <w:ind w:left="0" w:right="0" w:hanging="360"/>
        <w:jc w:val="both"/>
        <w:rPr/>
      </w:pPr>
      <w:r>
        <w:rPr/>
      </w:r>
    </w:p>
    <w:p>
      <w:pPr>
        <w:pStyle w:val="TextBody"/>
        <w:bidi w:val="0"/>
        <w:spacing w:lineRule="auto" w:line="288" w:before="0" w:after="120"/>
        <w:jc w:val="both"/>
        <w:rPr>
          <w:color w:val="000000"/>
        </w:rPr>
      </w:pPr>
      <w:r>
        <w:rPr>
          <w:color w:val="000000"/>
        </w:rPr>
        <w:t>    </w:t>
      </w:r>
      <w:r>
        <w:rPr>
          <w:rFonts w:ascii="Times New Roman;serif" w:hAnsi="Times New Roman;serif"/>
          <w:b w:val="false"/>
          <w:color w:val="000000"/>
          <w:sz w:val="20"/>
        </w:rPr>
        <w:t>The following table shows our average reserve per default, before giving effect to reserves ceded under the QSR Transactions, as of the dates indicated:</w:t>
      </w:r>
    </w:p>
    <w:tbl>
      <w:tblPr>
        <w:tblW w:w="4239" w:type="dxa"/>
        <w:jc w:val="left"/>
        <w:tblInd w:w="0" w:type="dxa"/>
        <w:tblLayout w:type="fixed"/>
        <w:tblCellMar>
          <w:top w:w="28" w:type="dxa"/>
          <w:left w:w="28" w:type="dxa"/>
          <w:bottom w:w="28" w:type="dxa"/>
          <w:right w:w="28" w:type="dxa"/>
        </w:tblCellMar>
      </w:tblPr>
      <w:tblGrid>
        <w:gridCol w:w="797"/>
        <w:gridCol w:w="701"/>
        <w:gridCol w:w="707"/>
        <w:gridCol w:w="211"/>
        <w:gridCol w:w="511"/>
        <w:gridCol w:w="109"/>
        <w:gridCol w:w="109"/>
        <w:gridCol w:w="109"/>
        <w:gridCol w:w="109"/>
        <w:gridCol w:w="211"/>
        <w:gridCol w:w="511"/>
        <w:gridCol w:w="154"/>
      </w:tblGrid>
      <w:tr>
        <w:trPr/>
        <w:tc>
          <w:tcPr>
            <w:tcW w:w="797"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March 31,</w:t>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reserve per default:</w:t>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Case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IBNR </w:t>
            </w:r>
            <w:r>
              <w:rPr>
                <w:rFonts w:ascii="Times New Roman;serif" w:hAnsi="Times New Roman;serif"/>
                <w:b w:val="false"/>
                <w:color w:val="000000"/>
                <w:sz w:val="13"/>
              </w:rPr>
              <w:t>(1)(2)</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(1)    Defined as the gross reserve per insured loan in default.</w:t>
      </w:r>
    </w:p>
    <w:p>
      <w:pPr>
        <w:pStyle w:val="TextBody"/>
        <w:bidi w:val="0"/>
        <w:spacing w:lineRule="auto" w:line="288" w:before="0" w:after="180"/>
        <w:ind w:left="0" w:right="0" w:hanging="360"/>
        <w:jc w:val="both"/>
        <w:rPr>
          <w:rFonts w:ascii="Times New Roman;serif" w:hAnsi="Times New Roman;serif"/>
          <w:b w:val="false"/>
          <w:color w:val="000000"/>
          <w:sz w:val="16"/>
        </w:rPr>
      </w:pPr>
      <w:r>
        <w:rPr>
          <w:rFonts w:ascii="Times New Roman;serif" w:hAnsi="Times New Roman;serif"/>
          <w:b w:val="false"/>
          <w:color w:val="000000"/>
          <w:sz w:val="16"/>
        </w:rPr>
        <w:t>(2)    Amount includes claims adjustment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pPr>
      <w:r>
        <w:rPr>
          <w:color w:val="000000"/>
        </w:rPr>
        <w:t>    </w:t>
      </w:r>
      <w:r>
        <w:rPr>
          <w:rFonts w:ascii="Times New Roman;serif" w:hAnsi="Times New Roman;serif"/>
          <w:b w:val="false"/>
          <w:color w:val="000000"/>
          <w:sz w:val="20"/>
        </w:rPr>
        <w:t xml:space="preserve">The following table provides a comparison of the PMIERs </w:t>
      </w:r>
      <w:r>
        <w:rPr>
          <w:rFonts w:ascii="Times New Roman;serif" w:hAnsi="Times New Roman;serif"/>
          <w:b w:val="false"/>
          <w:i/>
          <w:color w:val="000000"/>
          <w:sz w:val="20"/>
        </w:rPr>
        <w:t>available assets</w:t>
      </w:r>
      <w:r>
        <w:rPr>
          <w:color w:val="000000"/>
        </w:rPr>
        <w:t xml:space="preserve"> </w:t>
      </w:r>
      <w:r>
        <w:rPr>
          <w:rFonts w:ascii="Times New Roman;serif" w:hAnsi="Times New Roman;serif"/>
          <w:b w:val="false"/>
          <w:color w:val="000000"/>
          <w:sz w:val="20"/>
        </w:rPr>
        <w:t xml:space="preserve">and net </w:t>
      </w:r>
      <w:r>
        <w:rPr>
          <w:rFonts w:ascii="Times New Roman;serif" w:hAnsi="Times New Roman;serif"/>
          <w:b w:val="false"/>
          <w:i/>
          <w:color w:val="000000"/>
          <w:sz w:val="20"/>
        </w:rPr>
        <w:t xml:space="preserve">risk-based required asset </w:t>
      </w:r>
      <w:r>
        <w:rPr>
          <w:rFonts w:ascii="Times New Roman;serif" w:hAnsi="Times New Roman;serif"/>
          <w:b w:val="false"/>
          <w:color w:val="000000"/>
          <w:sz w:val="20"/>
        </w:rPr>
        <w:t>amount as reported by NMIC as of the dates indicated:</w:t>
      </w:r>
    </w:p>
    <w:tbl>
      <w:tblPr>
        <w:tblW w:w="7295" w:type="dxa"/>
        <w:jc w:val="left"/>
        <w:tblInd w:w="0" w:type="dxa"/>
        <w:tblLayout w:type="fixed"/>
        <w:tblCellMar>
          <w:top w:w="28" w:type="dxa"/>
          <w:left w:w="28" w:type="dxa"/>
          <w:bottom w:w="28" w:type="dxa"/>
          <w:right w:w="28" w:type="dxa"/>
        </w:tblCellMar>
      </w:tblPr>
      <w:tblGrid>
        <w:gridCol w:w="907"/>
        <w:gridCol w:w="796"/>
        <w:gridCol w:w="801"/>
        <w:gridCol w:w="211"/>
        <w:gridCol w:w="976"/>
        <w:gridCol w:w="109"/>
        <w:gridCol w:w="109"/>
        <w:gridCol w:w="109"/>
        <w:gridCol w:w="109"/>
        <w:gridCol w:w="244"/>
        <w:gridCol w:w="1130"/>
        <w:gridCol w:w="126"/>
        <w:gridCol w:w="109"/>
        <w:gridCol w:w="109"/>
        <w:gridCol w:w="109"/>
        <w:gridCol w:w="211"/>
        <w:gridCol w:w="97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(In Thousands)</w:t>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Available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3,630,735 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3,496,971 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3,230,653 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risk-based required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2,165,418 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2,058,467 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hanging="36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6798</Words>
  <Characters>35835</Characters>
  <CharactersWithSpaces>41852</CharactersWithSpaces>
  <Paragraphs>1762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